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32FA" w14:textId="77777777" w:rsidR="000F4E75" w:rsidRDefault="000F4E75" w:rsidP="000F4E75">
      <w:pPr>
        <w:jc w:val="center"/>
        <w:rPr>
          <w:b/>
          <w:bCs/>
        </w:rPr>
      </w:pPr>
    </w:p>
    <w:p w14:paraId="7DB73E0C" w14:textId="77777777" w:rsidR="000F4E75" w:rsidRDefault="000F4E75" w:rsidP="000F4E75">
      <w:pPr>
        <w:jc w:val="center"/>
        <w:rPr>
          <w:b/>
          <w:bCs/>
        </w:rPr>
      </w:pPr>
    </w:p>
    <w:p w14:paraId="6039BE06" w14:textId="77777777" w:rsidR="000F4E75" w:rsidRDefault="000F4E75" w:rsidP="000F4E75">
      <w:pPr>
        <w:jc w:val="center"/>
        <w:rPr>
          <w:b/>
          <w:bCs/>
        </w:rPr>
      </w:pPr>
    </w:p>
    <w:p w14:paraId="6E9ACC46" w14:textId="77777777" w:rsidR="000F4E75" w:rsidRDefault="000F4E75" w:rsidP="000F4E75">
      <w:pPr>
        <w:jc w:val="center"/>
        <w:rPr>
          <w:b/>
          <w:bCs/>
        </w:rPr>
      </w:pPr>
    </w:p>
    <w:p w14:paraId="40371212" w14:textId="77777777" w:rsidR="000F4E75" w:rsidRDefault="000F4E75" w:rsidP="000F4E75">
      <w:pPr>
        <w:jc w:val="center"/>
        <w:rPr>
          <w:b/>
          <w:bCs/>
        </w:rPr>
      </w:pPr>
    </w:p>
    <w:p w14:paraId="10714C17" w14:textId="439B8481" w:rsidR="000F4E75" w:rsidRPr="00425F23" w:rsidRDefault="000F4E75" w:rsidP="000F4E75">
      <w:pPr>
        <w:jc w:val="center"/>
        <w:rPr>
          <w:b/>
          <w:bCs/>
        </w:rPr>
      </w:pPr>
      <w:r w:rsidRPr="00425F23">
        <w:rPr>
          <w:b/>
          <w:bCs/>
        </w:rPr>
        <w:t>An Evaluation of the Long-Term Effects of the COVID-19 Pandemic on Public Transit Use</w:t>
      </w:r>
      <w:r>
        <w:rPr>
          <w:b/>
          <w:bCs/>
        </w:rPr>
        <w:t xml:space="preserve"> in the United States</w:t>
      </w:r>
    </w:p>
    <w:p w14:paraId="6580CE6B" w14:textId="77777777" w:rsidR="000F4E75" w:rsidRPr="00425F23" w:rsidRDefault="000F4E75" w:rsidP="000F4E75">
      <w:pPr>
        <w:rPr>
          <w:b/>
          <w:bCs/>
        </w:rPr>
      </w:pPr>
    </w:p>
    <w:p w14:paraId="197BC454" w14:textId="77777777" w:rsidR="000F4E75" w:rsidRPr="00425F23" w:rsidRDefault="000F4E75" w:rsidP="000F4E75">
      <w:pPr>
        <w:rPr>
          <w:b/>
          <w:bCs/>
        </w:rPr>
      </w:pPr>
    </w:p>
    <w:p w14:paraId="3C277BBE" w14:textId="77777777" w:rsidR="000F4E75" w:rsidRPr="00425F23" w:rsidRDefault="000F4E75" w:rsidP="000F4E75">
      <w:pPr>
        <w:rPr>
          <w:b/>
          <w:bCs/>
        </w:rPr>
      </w:pPr>
    </w:p>
    <w:p w14:paraId="51C30ED3" w14:textId="77777777" w:rsidR="000F4E75" w:rsidRPr="00425F23" w:rsidRDefault="000F4E75" w:rsidP="000F4E75">
      <w:pPr>
        <w:rPr>
          <w:b/>
          <w:bCs/>
        </w:rPr>
      </w:pPr>
    </w:p>
    <w:p w14:paraId="431C9695" w14:textId="77777777" w:rsidR="000F4E75" w:rsidRPr="00425F23" w:rsidRDefault="000F4E75" w:rsidP="000F4E75">
      <w:pPr>
        <w:rPr>
          <w:b/>
          <w:bCs/>
        </w:rPr>
      </w:pPr>
    </w:p>
    <w:p w14:paraId="3AC9BB7B" w14:textId="0D534BBD" w:rsidR="000F4E75" w:rsidRDefault="000F4E75" w:rsidP="000F4E75">
      <w:pPr>
        <w:rPr>
          <w:b/>
          <w:bCs/>
        </w:rPr>
      </w:pPr>
    </w:p>
    <w:p w14:paraId="4F8D406A" w14:textId="77777777" w:rsidR="000F4E75" w:rsidRPr="00425F23" w:rsidRDefault="000F4E75" w:rsidP="000F4E75">
      <w:pPr>
        <w:rPr>
          <w:b/>
          <w:bCs/>
        </w:rPr>
      </w:pPr>
    </w:p>
    <w:p w14:paraId="682A1FFE" w14:textId="77777777" w:rsidR="000F4E75" w:rsidRPr="00425F23" w:rsidRDefault="000F4E75" w:rsidP="000F4E75">
      <w:pPr>
        <w:rPr>
          <w:b/>
          <w:bCs/>
        </w:rPr>
      </w:pPr>
    </w:p>
    <w:p w14:paraId="331A49F6" w14:textId="77777777" w:rsidR="000F4E75" w:rsidRPr="00425F23" w:rsidRDefault="000F4E75" w:rsidP="000F4E75">
      <w:pPr>
        <w:rPr>
          <w:b/>
          <w:bCs/>
        </w:rPr>
      </w:pPr>
    </w:p>
    <w:p w14:paraId="1294316B" w14:textId="77777777" w:rsidR="000F4E75" w:rsidRPr="00425F23" w:rsidRDefault="000F4E75" w:rsidP="000F4E75">
      <w:pPr>
        <w:rPr>
          <w:b/>
          <w:bCs/>
        </w:rPr>
      </w:pPr>
      <w:r w:rsidRPr="00425F23">
        <w:rPr>
          <w:b/>
          <w:bCs/>
        </w:rPr>
        <w:t>Bonny V. Smith</w:t>
      </w:r>
    </w:p>
    <w:p w14:paraId="5A38A18C" w14:textId="77777777" w:rsidR="000F4E75" w:rsidRPr="00425F23" w:rsidRDefault="000F4E75" w:rsidP="000F4E75">
      <w:r w:rsidRPr="00425F23">
        <w:t>The University of Texas at Austin</w:t>
      </w:r>
    </w:p>
    <w:p w14:paraId="499A633B" w14:textId="77777777" w:rsidR="000F4E75" w:rsidRPr="00425F23" w:rsidRDefault="000F4E75" w:rsidP="000F4E75">
      <w:r w:rsidRPr="00425F23">
        <w:t>Department of Civil, Architectural and Environmental Engineering</w:t>
      </w:r>
    </w:p>
    <w:p w14:paraId="42DDB370" w14:textId="77777777" w:rsidR="000F4E75" w:rsidRPr="00425F23" w:rsidRDefault="000F4E75" w:rsidP="000F4E75">
      <w:r w:rsidRPr="00425F23">
        <w:t>301 E. Dean Keeton St. Stop C1761, Austin TX 78712, USA</w:t>
      </w:r>
    </w:p>
    <w:p w14:paraId="4E39A3D5" w14:textId="77777777" w:rsidR="000F4E75" w:rsidRPr="00425F23" w:rsidRDefault="000F4E75" w:rsidP="000F4E75">
      <w:r w:rsidRPr="00425F23">
        <w:t xml:space="preserve">Email: </w:t>
      </w:r>
      <w:hyperlink r:id="rId8" w:history="1">
        <w:r w:rsidRPr="00425F23">
          <w:rPr>
            <w:rStyle w:val="Hyperlink"/>
          </w:rPr>
          <w:t>bonny.smith@utexas.edu</w:t>
        </w:r>
      </w:hyperlink>
    </w:p>
    <w:p w14:paraId="144EFB8C" w14:textId="77777777" w:rsidR="000F4E75" w:rsidRPr="00425F23" w:rsidRDefault="000F4E75" w:rsidP="000F4E75"/>
    <w:p w14:paraId="3514E32E" w14:textId="77777777" w:rsidR="000F4E75" w:rsidRPr="00425F23" w:rsidRDefault="000F4E75" w:rsidP="000F4E75">
      <w:pPr>
        <w:rPr>
          <w:b/>
          <w:bCs/>
        </w:rPr>
      </w:pPr>
      <w:r w:rsidRPr="00425F23">
        <w:rPr>
          <w:b/>
          <w:bCs/>
        </w:rPr>
        <w:t>Dale Robbennolt</w:t>
      </w:r>
    </w:p>
    <w:p w14:paraId="7D5C33D3" w14:textId="77777777" w:rsidR="000F4E75" w:rsidRPr="00425F23" w:rsidRDefault="000F4E75" w:rsidP="000F4E75">
      <w:r w:rsidRPr="00425F23">
        <w:t>The University of Texas at Austin</w:t>
      </w:r>
    </w:p>
    <w:p w14:paraId="553D16DE" w14:textId="77777777" w:rsidR="000F4E75" w:rsidRPr="00425F23" w:rsidRDefault="000F4E75" w:rsidP="000F4E75">
      <w:r w:rsidRPr="00425F23">
        <w:t>Department of Civil, Architectural and Environmental Engineering</w:t>
      </w:r>
    </w:p>
    <w:p w14:paraId="23A32E2C" w14:textId="77777777" w:rsidR="000F4E75" w:rsidRPr="00425F23" w:rsidRDefault="000F4E75" w:rsidP="000F4E75">
      <w:r w:rsidRPr="00425F23">
        <w:t>301 E. Dean Keeton St. Stop C1761, Austin TX 78712, USA</w:t>
      </w:r>
    </w:p>
    <w:p w14:paraId="462F1A90" w14:textId="77777777" w:rsidR="000F4E75" w:rsidRPr="00425F23" w:rsidRDefault="000F4E75" w:rsidP="000F4E75">
      <w:r w:rsidRPr="00425F23">
        <w:t xml:space="preserve">Email: </w:t>
      </w:r>
      <w:hyperlink r:id="rId9" w:history="1">
        <w:r w:rsidRPr="00425F23">
          <w:rPr>
            <w:rStyle w:val="Hyperlink"/>
          </w:rPr>
          <w:t>dar4836@utexas.edu</w:t>
        </w:r>
      </w:hyperlink>
    </w:p>
    <w:p w14:paraId="181AD238" w14:textId="77777777" w:rsidR="000F4E75" w:rsidRPr="00425F23" w:rsidRDefault="000F4E75" w:rsidP="000F4E75"/>
    <w:p w14:paraId="57FF61E5" w14:textId="77777777" w:rsidR="000F4E75" w:rsidRPr="00425F23" w:rsidRDefault="000F4E75" w:rsidP="000F4E75">
      <w:pPr>
        <w:rPr>
          <w:b/>
          <w:bCs/>
        </w:rPr>
      </w:pPr>
      <w:r w:rsidRPr="00425F23">
        <w:rPr>
          <w:b/>
          <w:bCs/>
        </w:rPr>
        <w:t>Chandra R. Bhat (corresponding author)</w:t>
      </w:r>
    </w:p>
    <w:p w14:paraId="7B5B66D4" w14:textId="77777777" w:rsidR="000F4E75" w:rsidRPr="00425F23" w:rsidRDefault="000F4E75" w:rsidP="000F4E75">
      <w:r w:rsidRPr="00425F23">
        <w:t>The University of Texas at Austin</w:t>
      </w:r>
    </w:p>
    <w:p w14:paraId="7C84CEA5" w14:textId="77777777" w:rsidR="000F4E75" w:rsidRPr="00425F23" w:rsidRDefault="000F4E75" w:rsidP="000F4E75">
      <w:r w:rsidRPr="00425F23">
        <w:t>Department of Civil, Architectural and Environmental Engineering</w:t>
      </w:r>
    </w:p>
    <w:p w14:paraId="0DF8850F" w14:textId="77777777" w:rsidR="000F4E75" w:rsidRPr="00425F23" w:rsidRDefault="000F4E75" w:rsidP="000F4E75">
      <w:r w:rsidRPr="00425F23">
        <w:t>301 E. Dean Keeton St. Stop C1761, Austin TX 78712, USA</w:t>
      </w:r>
    </w:p>
    <w:p w14:paraId="12154055" w14:textId="77777777" w:rsidR="000F4E75" w:rsidRPr="00425F23" w:rsidRDefault="000F4E75" w:rsidP="000F4E75">
      <w:r w:rsidRPr="00425F23">
        <w:t xml:space="preserve">Tel: 1-512-471-4535; Email: </w:t>
      </w:r>
      <w:hyperlink r:id="rId10" w:history="1">
        <w:r w:rsidRPr="00425F23">
          <w:rPr>
            <w:rStyle w:val="Hyperlink"/>
          </w:rPr>
          <w:t>bhat@mail.utexas.edu</w:t>
        </w:r>
      </w:hyperlink>
    </w:p>
    <w:p w14:paraId="5451B2FA" w14:textId="77777777" w:rsidR="000F4E75" w:rsidRPr="00425F23" w:rsidRDefault="000F4E75" w:rsidP="000F4E75"/>
    <w:p w14:paraId="5D4C0034" w14:textId="77777777" w:rsidR="000F4E75" w:rsidRPr="00425F23" w:rsidRDefault="000F4E75" w:rsidP="000F4E75"/>
    <w:p w14:paraId="1AD15823" w14:textId="77777777" w:rsidR="00751692" w:rsidRPr="00751692" w:rsidRDefault="00751692" w:rsidP="00537EB8"/>
    <w:p w14:paraId="1E0F3B12" w14:textId="77777777" w:rsidR="00751692" w:rsidRPr="00751692" w:rsidRDefault="00751692" w:rsidP="00537EB8"/>
    <w:p w14:paraId="588BFC1A" w14:textId="77777777" w:rsidR="000F4E75" w:rsidRDefault="000F4E75" w:rsidP="00537EB8">
      <w:pPr>
        <w:rPr>
          <w:b/>
          <w:bCs/>
        </w:rPr>
        <w:sectPr w:rsidR="000F4E75" w:rsidSect="001766B9">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pPr>
    </w:p>
    <w:p w14:paraId="4938117E" w14:textId="3CF9DC7A" w:rsidR="00537EB8" w:rsidRPr="00425F23" w:rsidRDefault="00537EB8" w:rsidP="00537EB8">
      <w:pPr>
        <w:rPr>
          <w:b/>
          <w:bCs/>
        </w:rPr>
      </w:pPr>
      <w:r w:rsidRPr="00425F23">
        <w:rPr>
          <w:b/>
          <w:bCs/>
        </w:rPr>
        <w:lastRenderedPageBreak/>
        <w:t>ABSTRACT</w:t>
      </w:r>
    </w:p>
    <w:p w14:paraId="0703F73A" w14:textId="2EE9E1A2" w:rsidR="00537EB8" w:rsidRPr="00425F23" w:rsidRDefault="00537EB8" w:rsidP="00537EB8">
      <w:pPr>
        <w:pStyle w:val="NormalWeb"/>
        <w:shd w:val="clear" w:color="auto" w:fill="FFFFFF"/>
        <w:spacing w:before="0" w:beforeAutospacing="0" w:after="0" w:afterAutospacing="0" w:line="235" w:lineRule="atLeast"/>
        <w:jc w:val="both"/>
        <w:rPr>
          <w:color w:val="222222"/>
        </w:rPr>
      </w:pPr>
      <w:r w:rsidRPr="00425F23">
        <w:t xml:space="preserve">Public transit </w:t>
      </w:r>
      <w:r w:rsidR="002756A2">
        <w:t>offers significant societal benefits</w:t>
      </w:r>
      <w:r w:rsidRPr="00425F23">
        <w:t>, offering efficien</w:t>
      </w:r>
      <w:r w:rsidR="002756A2">
        <w:t>t accessibility for all and helping to reduce congestion and greenhouse gas emissions</w:t>
      </w:r>
      <w:r w:rsidRPr="00425F23">
        <w:t xml:space="preserve">. However, the COVID-19 pandemic has altered many aspects of travel </w:t>
      </w:r>
      <w:r w:rsidR="00992D4C" w:rsidRPr="00425F23">
        <w:t>behavior</w:t>
      </w:r>
      <w:r w:rsidR="00992D4C">
        <w:t xml:space="preserve"> and</w:t>
      </w:r>
      <w:r w:rsidR="002756A2">
        <w:t xml:space="preserve"> had particularly important implications for the future use of transit</w:t>
      </w:r>
      <w:r w:rsidRPr="00425F23">
        <w:t xml:space="preserve">. Despite </w:t>
      </w:r>
      <w:r w:rsidRPr="00425F23">
        <w:rPr>
          <w:color w:val="222222"/>
        </w:rPr>
        <w:t>significant evidence of rebounds in ridership from pandemic lows, transit has not fully recovered. Various factors</w:t>
      </w:r>
      <w:r w:rsidR="00295FE9">
        <w:rPr>
          <w:color w:val="222222"/>
        </w:rPr>
        <w:t xml:space="preserve"> have </w:t>
      </w:r>
      <w:r w:rsidR="0035217E">
        <w:rPr>
          <w:color w:val="222222"/>
        </w:rPr>
        <w:t>contributed to</w:t>
      </w:r>
      <w:r w:rsidR="00295FE9">
        <w:rPr>
          <w:color w:val="222222"/>
        </w:rPr>
        <w:t xml:space="preserve"> this slow recovery</w:t>
      </w:r>
      <w:r w:rsidR="002756A2">
        <w:rPr>
          <w:color w:val="222222"/>
        </w:rPr>
        <w:t>, including</w:t>
      </w:r>
      <w:r w:rsidR="00295FE9">
        <w:rPr>
          <w:color w:val="222222"/>
        </w:rPr>
        <w:t xml:space="preserve"> </w:t>
      </w:r>
      <w:r w:rsidRPr="00425F23">
        <w:rPr>
          <w:color w:val="222222"/>
        </w:rPr>
        <w:t>continued fears of safety, service cuts, new travel habits, evolving work arrangements, and the growth of online activity participation</w:t>
      </w:r>
      <w:r w:rsidR="00295FE9">
        <w:rPr>
          <w:color w:val="222222"/>
        </w:rPr>
        <w:t xml:space="preserve">. </w:t>
      </w:r>
      <w:r w:rsidR="009C16B1">
        <w:rPr>
          <w:color w:val="222222"/>
        </w:rPr>
        <w:t>In this paper</w:t>
      </w:r>
      <w:r w:rsidR="00295FE9">
        <w:rPr>
          <w:color w:val="222222"/>
        </w:rPr>
        <w:t>, w</w:t>
      </w:r>
      <w:r w:rsidR="00D80D51" w:rsidRPr="00425F23">
        <w:rPr>
          <w:color w:val="222222"/>
        </w:rPr>
        <w:t>e examine change</w:t>
      </w:r>
      <w:r w:rsidR="002756A2">
        <w:rPr>
          <w:color w:val="222222"/>
        </w:rPr>
        <w:t>s</w:t>
      </w:r>
      <w:r w:rsidR="00D80D51" w:rsidRPr="00425F23">
        <w:rPr>
          <w:color w:val="222222"/>
        </w:rPr>
        <w:t xml:space="preserve"> in public transit use during the pandemic, as well as the potential transitory nature of these </w:t>
      </w:r>
      <w:r w:rsidR="00761145" w:rsidRPr="00425F23">
        <w:rPr>
          <w:color w:val="222222"/>
        </w:rPr>
        <w:t>shifts</w:t>
      </w:r>
      <w:r w:rsidR="00D80D51" w:rsidRPr="00425F23">
        <w:rPr>
          <w:color w:val="222222"/>
        </w:rPr>
        <w:t>. Using data from the 2022 National Household Travel Survey</w:t>
      </w:r>
      <w:r w:rsidR="00295FE9">
        <w:rPr>
          <w:color w:val="222222"/>
        </w:rPr>
        <w:t xml:space="preserve">, </w:t>
      </w:r>
      <w:r w:rsidR="00D80D51" w:rsidRPr="00425F23">
        <w:rPr>
          <w:color w:val="222222"/>
        </w:rPr>
        <w:t>we explore the permanence of pandemic-era changes to public tran</w:t>
      </w:r>
      <w:r w:rsidR="009C16B1">
        <w:rPr>
          <w:color w:val="222222"/>
        </w:rPr>
        <w:t>sportation (PT) use</w:t>
      </w:r>
      <w:r w:rsidR="00D80D51" w:rsidRPr="00425F23">
        <w:rPr>
          <w:color w:val="222222"/>
        </w:rPr>
        <w:t xml:space="preserve"> behaviors</w:t>
      </w:r>
      <w:r w:rsidR="00FD67F8">
        <w:rPr>
          <w:color w:val="222222"/>
        </w:rPr>
        <w:t xml:space="preserve"> in the United States</w:t>
      </w:r>
      <w:r w:rsidR="00D80D51" w:rsidRPr="00425F23">
        <w:rPr>
          <w:color w:val="222222"/>
        </w:rPr>
        <w:t xml:space="preserve">, connecting future use intentions directly with the change in use during the pandemic. The results </w:t>
      </w:r>
      <w:r w:rsidR="00761145" w:rsidRPr="00425F23">
        <w:rPr>
          <w:color w:val="222222"/>
        </w:rPr>
        <w:t xml:space="preserve">of this study </w:t>
      </w:r>
      <w:r w:rsidR="00D80D51" w:rsidRPr="00425F23">
        <w:rPr>
          <w:color w:val="222222"/>
        </w:rPr>
        <w:t xml:space="preserve">point to significant changes </w:t>
      </w:r>
      <w:r w:rsidR="00761145" w:rsidRPr="00425F23">
        <w:rPr>
          <w:color w:val="222222"/>
        </w:rPr>
        <w:t>of</w:t>
      </w:r>
      <w:r w:rsidR="00D80D51" w:rsidRPr="00425F23">
        <w:rPr>
          <w:color w:val="222222"/>
        </w:rPr>
        <w:t xml:space="preserve"> us</w:t>
      </w:r>
      <w:r w:rsidR="00761145" w:rsidRPr="00425F23">
        <w:rPr>
          <w:color w:val="222222"/>
        </w:rPr>
        <w:t>e</w:t>
      </w:r>
      <w:r w:rsidR="00D80D51" w:rsidRPr="00425F23">
        <w:rPr>
          <w:color w:val="222222"/>
        </w:rPr>
        <w:t xml:space="preserve"> </w:t>
      </w:r>
      <w:r w:rsidR="000A5007">
        <w:rPr>
          <w:color w:val="222222"/>
        </w:rPr>
        <w:t>through</w:t>
      </w:r>
      <w:r w:rsidR="00D80D51" w:rsidRPr="00425F23">
        <w:rPr>
          <w:color w:val="222222"/>
        </w:rPr>
        <w:t xml:space="preserve"> the pandemic and heterogeneity in the permanence of these impacts based on age, gender, race,</w:t>
      </w:r>
      <w:r w:rsidR="00761145" w:rsidRPr="00425F23">
        <w:rPr>
          <w:color w:val="222222"/>
        </w:rPr>
        <w:t xml:space="preserve"> ethnicity,</w:t>
      </w:r>
      <w:r w:rsidR="00D80D51" w:rsidRPr="00425F23">
        <w:rPr>
          <w:color w:val="222222"/>
        </w:rPr>
        <w:t xml:space="preserve"> income, and vehicle constraints. By identifying groups who have reduced their use of transit </w:t>
      </w:r>
      <w:r w:rsidR="00295FE9">
        <w:rPr>
          <w:color w:val="222222"/>
        </w:rPr>
        <w:t xml:space="preserve">post-pandemic and </w:t>
      </w:r>
      <w:r w:rsidR="009C16B1">
        <w:rPr>
          <w:color w:val="222222"/>
        </w:rPr>
        <w:t>state</w:t>
      </w:r>
      <w:r w:rsidR="00D80D51" w:rsidRPr="00425F23">
        <w:rPr>
          <w:color w:val="222222"/>
        </w:rPr>
        <w:t xml:space="preserve"> that this change is likely to be temporary, we </w:t>
      </w:r>
      <w:r w:rsidR="002756A2">
        <w:rPr>
          <w:color w:val="222222"/>
        </w:rPr>
        <w:t>identify</w:t>
      </w:r>
      <w:r w:rsidR="00295FE9">
        <w:rPr>
          <w:color w:val="222222"/>
        </w:rPr>
        <w:t xml:space="preserve"> individual</w:t>
      </w:r>
      <w:r w:rsidR="009C16B1">
        <w:rPr>
          <w:color w:val="222222"/>
        </w:rPr>
        <w:t xml:space="preserve"> groups who may be most receptive to PT</w:t>
      </w:r>
      <w:r w:rsidR="00295FE9">
        <w:rPr>
          <w:color w:val="222222"/>
        </w:rPr>
        <w:t xml:space="preserve"> </w:t>
      </w:r>
      <w:r w:rsidR="009C16B1">
        <w:rPr>
          <w:color w:val="222222"/>
        </w:rPr>
        <w:t>service improvement interventions</w:t>
      </w:r>
      <w:r w:rsidR="00D80D51" w:rsidRPr="00425F23">
        <w:rPr>
          <w:color w:val="222222"/>
        </w:rPr>
        <w:t xml:space="preserve">. </w:t>
      </w:r>
      <w:r w:rsidR="009C16B1">
        <w:rPr>
          <w:color w:val="222222"/>
        </w:rPr>
        <w:t>More broadly,</w:t>
      </w:r>
      <w:r w:rsidR="00295FE9">
        <w:rPr>
          <w:color w:val="222222"/>
        </w:rPr>
        <w:t xml:space="preserve"> w</w:t>
      </w:r>
      <w:r w:rsidR="00D80D51" w:rsidRPr="00425F23">
        <w:rPr>
          <w:color w:val="222222"/>
        </w:rPr>
        <w:t xml:space="preserve">e </w:t>
      </w:r>
      <w:r w:rsidR="007B75D2">
        <w:rPr>
          <w:color w:val="222222"/>
        </w:rPr>
        <w:t>formulate several specific policy recommendations intended</w:t>
      </w:r>
      <w:r w:rsidR="00295FE9">
        <w:rPr>
          <w:color w:val="222222"/>
        </w:rPr>
        <w:t xml:space="preserve"> </w:t>
      </w:r>
      <w:r w:rsidR="00D80D51" w:rsidRPr="00425F23">
        <w:rPr>
          <w:color w:val="222222"/>
        </w:rPr>
        <w:t>to help revitalize</w:t>
      </w:r>
      <w:r w:rsidR="006A063E">
        <w:rPr>
          <w:color w:val="222222"/>
        </w:rPr>
        <w:t xml:space="preserve"> </w:t>
      </w:r>
      <w:r w:rsidR="00D80D51" w:rsidRPr="00425F23">
        <w:rPr>
          <w:color w:val="222222"/>
        </w:rPr>
        <w:t xml:space="preserve">transit services in the </w:t>
      </w:r>
      <w:r w:rsidR="006A063E">
        <w:rPr>
          <w:color w:val="222222"/>
        </w:rPr>
        <w:t xml:space="preserve">United States in the </w:t>
      </w:r>
      <w:r w:rsidR="00D80D51" w:rsidRPr="00425F23">
        <w:rPr>
          <w:color w:val="222222"/>
        </w:rPr>
        <w:t xml:space="preserve">aftermath of the </w:t>
      </w:r>
      <w:r w:rsidR="00303AB9" w:rsidRPr="00425F23">
        <w:rPr>
          <w:color w:val="222222"/>
        </w:rPr>
        <w:t>pandemic</w:t>
      </w:r>
      <w:r w:rsidR="00303AB9">
        <w:rPr>
          <w:color w:val="222222"/>
        </w:rPr>
        <w:t xml:space="preserve"> and</w:t>
      </w:r>
      <w:r w:rsidR="00D80D51" w:rsidRPr="00425F23">
        <w:rPr>
          <w:color w:val="222222"/>
        </w:rPr>
        <w:t xml:space="preserve"> discuss the implications of the pandemic for current and future public transportation policies. </w:t>
      </w:r>
    </w:p>
    <w:p w14:paraId="5867C1D2" w14:textId="77777777" w:rsidR="00537EB8" w:rsidRPr="00425F23" w:rsidRDefault="00537EB8" w:rsidP="00537EB8">
      <w:pPr>
        <w:pStyle w:val="NormalWeb"/>
        <w:shd w:val="clear" w:color="auto" w:fill="FFFFFF"/>
        <w:spacing w:before="0" w:beforeAutospacing="0" w:after="0" w:afterAutospacing="0" w:line="235" w:lineRule="atLeast"/>
        <w:rPr>
          <w:color w:val="222222"/>
        </w:rPr>
      </w:pPr>
    </w:p>
    <w:p w14:paraId="1F838635" w14:textId="586F11C2" w:rsidR="00537EB8" w:rsidRPr="00425F23" w:rsidRDefault="00537EB8" w:rsidP="00537EB8">
      <w:pPr>
        <w:pStyle w:val="NormalWeb"/>
        <w:shd w:val="clear" w:color="auto" w:fill="FFFFFF"/>
        <w:spacing w:before="0" w:beforeAutospacing="0" w:after="0" w:afterAutospacing="0" w:line="235" w:lineRule="atLeast"/>
        <w:rPr>
          <w:color w:val="222222"/>
        </w:rPr>
      </w:pPr>
      <w:r w:rsidRPr="008B03BA">
        <w:rPr>
          <w:b/>
          <w:bCs/>
          <w:i/>
          <w:iCs/>
          <w:color w:val="222222"/>
        </w:rPr>
        <w:t>Keywords</w:t>
      </w:r>
      <w:r w:rsidRPr="008B03BA">
        <w:rPr>
          <w:b/>
          <w:bCs/>
          <w:color w:val="222222"/>
        </w:rPr>
        <w:t xml:space="preserve">: </w:t>
      </w:r>
      <w:r w:rsidRPr="00425F23">
        <w:rPr>
          <w:color w:val="222222"/>
        </w:rPr>
        <w:t xml:space="preserve">Public transit, ridership, COVID impacts, behavior permanence, </w:t>
      </w:r>
      <w:r w:rsidR="00B2064B">
        <w:rPr>
          <w:color w:val="222222"/>
        </w:rPr>
        <w:t xml:space="preserve">equity, </w:t>
      </w:r>
      <w:r w:rsidRPr="00425F23">
        <w:rPr>
          <w:color w:val="222222"/>
        </w:rPr>
        <w:t xml:space="preserve">multivariate model </w:t>
      </w:r>
    </w:p>
    <w:p w14:paraId="13C06ED5" w14:textId="77777777" w:rsidR="00537EB8" w:rsidRPr="00425F23" w:rsidRDefault="00537EB8" w:rsidP="00537EB8">
      <w:pPr>
        <w:pStyle w:val="NormalWeb"/>
        <w:shd w:val="clear" w:color="auto" w:fill="FFFFFF"/>
        <w:spacing w:before="0" w:beforeAutospacing="0" w:after="0" w:afterAutospacing="0" w:line="235" w:lineRule="atLeast"/>
        <w:rPr>
          <w:color w:val="222222"/>
        </w:rPr>
      </w:pPr>
    </w:p>
    <w:p w14:paraId="3E93ADB2" w14:textId="25236184" w:rsidR="00537EB8" w:rsidRPr="00425F23" w:rsidRDefault="00537EB8" w:rsidP="00C67E12">
      <w:pPr>
        <w:rPr>
          <w:b/>
          <w:bCs/>
          <w:color w:val="222222"/>
        </w:rPr>
      </w:pPr>
      <w:r w:rsidRPr="00425F23">
        <w:rPr>
          <w:b/>
          <w:bCs/>
          <w:color w:val="222222"/>
        </w:rPr>
        <w:br w:type="page"/>
      </w:r>
      <w:r w:rsidRPr="00425F23">
        <w:rPr>
          <w:b/>
          <w:bCs/>
          <w:color w:val="222222"/>
        </w:rPr>
        <w:lastRenderedPageBreak/>
        <w:t>1. INTRODUCTION</w:t>
      </w:r>
    </w:p>
    <w:p w14:paraId="141C91BE" w14:textId="0FD9735E" w:rsidR="00537EB8" w:rsidRPr="00425F23" w:rsidRDefault="00537EB8" w:rsidP="00C67E12">
      <w:pPr>
        <w:pStyle w:val="NormalWeb"/>
        <w:shd w:val="clear" w:color="auto" w:fill="FFFFFF"/>
        <w:spacing w:before="0" w:beforeAutospacing="0" w:after="0" w:afterAutospacing="0"/>
        <w:jc w:val="both"/>
        <w:rPr>
          <w:color w:val="222222"/>
        </w:rPr>
      </w:pPr>
      <w:r w:rsidRPr="00425F23">
        <w:rPr>
          <w:color w:val="222222"/>
        </w:rPr>
        <w:t xml:space="preserve">Public transportation </w:t>
      </w:r>
      <w:r w:rsidR="00D00043">
        <w:rPr>
          <w:color w:val="222222"/>
        </w:rPr>
        <w:t xml:space="preserve">(PT) </w:t>
      </w:r>
      <w:r w:rsidR="00EE4703">
        <w:rPr>
          <w:color w:val="222222"/>
        </w:rPr>
        <w:t>contributes to societal well-being in multiple ways, including (a) providing better access to out-of-home opportunities for all, and especially for those who do not have access to personal (motorized) vehicles or who have physical challenges that make travel difficult (thereby, promoting travel equity) and (b) contributing to a reduction in traffic congestion and carbon emissions (thus, improv</w:t>
      </w:r>
      <w:r w:rsidR="000A5007">
        <w:rPr>
          <w:color w:val="222222"/>
        </w:rPr>
        <w:t xml:space="preserve">ing </w:t>
      </w:r>
      <w:r w:rsidR="00EE4703">
        <w:rPr>
          <w:color w:val="222222"/>
        </w:rPr>
        <w:t>mobility</w:t>
      </w:r>
      <w:r w:rsidR="004678CD">
        <w:rPr>
          <w:color w:val="222222"/>
        </w:rPr>
        <w:t>/</w:t>
      </w:r>
      <w:r w:rsidR="00EE4703">
        <w:rPr>
          <w:color w:val="222222"/>
        </w:rPr>
        <w:t xml:space="preserve">environmental sustainability and enhancing public health). On the first issue of improved access, for example, </w:t>
      </w:r>
      <w:r w:rsidRPr="00425F23">
        <w:rPr>
          <w:color w:val="222222"/>
        </w:rPr>
        <w:t xml:space="preserve">Appleyard et al. </w:t>
      </w:r>
      <w:r w:rsidRPr="00425F23">
        <w:rPr>
          <w:color w:val="222222"/>
        </w:rPr>
        <w:fldChar w:fldCharType="begin"/>
      </w:r>
      <w:r w:rsidR="005C565E">
        <w:rPr>
          <w:color w:val="222222"/>
        </w:rPr>
        <w:instrText xml:space="preserve"> ADDIN ZOTERO_ITEM CSL_CITATION {"citationID":"a2pftn94qer","properties":{"formattedCitation":"(2019)","plainCitation":"(2019)","noteIndex":0},"citationItems":[{"id":57,"uris":["http://zotero.org/groups/5345474/items/72Q98R7H"],"itemData":{"id":57,"type":"article-journal","abstract":"Purpose\nWhile “Smart Growth”, Transit-Oriented-Development, and “Livability\" have been around for years, little research has provided a framework to measure and understand their performance so we can realize key sustainability, livability, health, and equity outcomes.\nProcedures\nIn response, this paper builds on literature and practice to evaluate over 350 light rail stations throughout the US, using smart growth, livability, and Transportation/Land-use Coordination (TLC) principles. Using recently developed Livability and Smart Growth Equity calculators (http://bit.ly/SmartGrowthEquity), and a smart growth/livability place-typology framework, this research assesses and grades “livability opportunity access” performance of these station areas along such key dimensions as regional/local access to jobs, services, transit, walkability. Using analysis of variance (ANOVA) methods, we show the significant associations between this livability access and the potential for realizing key quality-of-life benefits important for both individuals and society. But are all people able to equitably access these livability opportunities around transit so they can work towards realizing their desired quality of life?\nFindings\nThis study provides a unique evaluation of urban quality performance related to Transportation Land-use Coordination (TLC), “Smart Growth” and “New Urbanism. We find stations with higher levels of livability opportunity access to be significantly associated with key quality of life outcomes for individuals and society, such as lower rates of obesity, cardiovascular disease, asthma, driving, carbon emissions, and even lower poverty and unemployment. These higher-performing stations also have higher rates of walking, bicycling, transit use associated with lower household transportation costs which offset higher housing costs. Unfortunately, these stations are not socio-economically inclusive – in sum, all stations are not equal, or equitable. Using livability-opportunity-access-assessments with livability ethics, we recommend transportation and land-use agencies coordinate policies to provide equitable access to opportunities so all people can pursue and realize sustainability, livability, health, and equity outcomes for themselves and society.","container-title":"Journal of Transport &amp; Health","DOI":"10.1016/j.jth.2019.100584","ISSN":"2214-1405","journalAbbreviation":"Journal of Transport &amp; Health","page":"100584","source":"ScienceDirect","title":"Are all transit stations equal and equitable? Calculating sustainability, livability, health, &amp; equity performance of smart growth &amp; transit-oriented-development (TOD)","title-short":"Are all transit stations equal and equitable?","URL":"https://www.sciencedirect.com/science/article/pii/S2214140517300166","volume":"14","author":[{"family":"Appleyard","given":"Bruce S."},{"family":"Frost","given":"Alexander R."},{"family":"Allen","given":"Christopher"}],"accessed":{"date-parts":[["2024",2,9]]},"issued":{"date-parts":[["2019",9,1]]}},"label":"page","suppress-author":true}],"schema":"https://github.com/citation-style-language/schema/raw/master/csl-citation.json"} </w:instrText>
      </w:r>
      <w:r w:rsidRPr="00425F23">
        <w:rPr>
          <w:color w:val="222222"/>
        </w:rPr>
        <w:fldChar w:fldCharType="separate"/>
      </w:r>
      <w:r w:rsidRPr="00425F23">
        <w:t>(2019)</w:t>
      </w:r>
      <w:r w:rsidRPr="00425F23">
        <w:rPr>
          <w:color w:val="222222"/>
        </w:rPr>
        <w:fldChar w:fldCharType="end"/>
      </w:r>
      <w:r w:rsidRPr="00425F23">
        <w:rPr>
          <w:color w:val="222222"/>
        </w:rPr>
        <w:t xml:space="preserve"> </w:t>
      </w:r>
      <w:r w:rsidR="00EE4703">
        <w:rPr>
          <w:color w:val="222222"/>
        </w:rPr>
        <w:t xml:space="preserve">observed </w:t>
      </w:r>
      <w:r w:rsidR="00C360BD" w:rsidRPr="00425F23">
        <w:rPr>
          <w:color w:val="222222"/>
        </w:rPr>
        <w:t xml:space="preserve">that </w:t>
      </w:r>
      <w:r w:rsidR="00C360BD" w:rsidRPr="00425F23">
        <w:rPr>
          <w:i/>
          <w:iCs/>
          <w:color w:val="222222"/>
        </w:rPr>
        <w:t xml:space="preserve">Coordinating </w:t>
      </w:r>
      <w:r w:rsidR="00C360BD" w:rsidRPr="00425F23">
        <w:rPr>
          <w:color w:val="222222"/>
        </w:rPr>
        <w:t xml:space="preserve">(high </w:t>
      </w:r>
      <w:r w:rsidR="00EE4703">
        <w:rPr>
          <w:color w:val="222222"/>
        </w:rPr>
        <w:t xml:space="preserve">transit </w:t>
      </w:r>
      <w:r w:rsidR="00C360BD" w:rsidRPr="00425F23">
        <w:rPr>
          <w:color w:val="222222"/>
        </w:rPr>
        <w:t xml:space="preserve">frequency and connectivity) </w:t>
      </w:r>
      <w:r w:rsidR="00EE4703">
        <w:rPr>
          <w:color w:val="222222"/>
        </w:rPr>
        <w:t>areas</w:t>
      </w:r>
      <w:r w:rsidR="004678CD">
        <w:rPr>
          <w:color w:val="222222"/>
        </w:rPr>
        <w:t xml:space="preserve">, </w:t>
      </w:r>
      <w:r w:rsidR="004678CD" w:rsidRPr="00425F23">
        <w:rPr>
          <w:color w:val="222222"/>
        </w:rPr>
        <w:t xml:space="preserve">compared to </w:t>
      </w:r>
      <w:r w:rsidR="004678CD" w:rsidRPr="00425F23">
        <w:rPr>
          <w:i/>
          <w:iCs/>
          <w:color w:val="222222"/>
        </w:rPr>
        <w:t>Emerging</w:t>
      </w:r>
      <w:r w:rsidR="004678CD" w:rsidRPr="00425F23">
        <w:rPr>
          <w:color w:val="222222"/>
        </w:rPr>
        <w:t xml:space="preserve"> (limited </w:t>
      </w:r>
      <w:r w:rsidR="004678CD">
        <w:rPr>
          <w:color w:val="222222"/>
        </w:rPr>
        <w:t xml:space="preserve">transit </w:t>
      </w:r>
      <w:r w:rsidR="004678CD" w:rsidRPr="00425F23">
        <w:rPr>
          <w:color w:val="222222"/>
        </w:rPr>
        <w:t>frequency and connectivity)</w:t>
      </w:r>
      <w:r w:rsidR="004678CD">
        <w:rPr>
          <w:color w:val="222222"/>
        </w:rPr>
        <w:t xml:space="preserve"> </w:t>
      </w:r>
      <w:r w:rsidR="004678CD" w:rsidRPr="00425F23">
        <w:rPr>
          <w:color w:val="222222"/>
        </w:rPr>
        <w:t>areas</w:t>
      </w:r>
      <w:r w:rsidR="004678CD">
        <w:rPr>
          <w:color w:val="222222"/>
        </w:rPr>
        <w:t>,</w:t>
      </w:r>
      <w:r w:rsidR="00EE4703">
        <w:rPr>
          <w:color w:val="222222"/>
        </w:rPr>
        <w:t xml:space="preserve"> provided </w:t>
      </w:r>
      <w:r w:rsidR="00EE4703" w:rsidRPr="00425F23">
        <w:rPr>
          <w:color w:val="222222"/>
        </w:rPr>
        <w:t xml:space="preserve">twice the access to livability opportunities (i.e. cultural arts, and entertainment institutions), and 19% more </w:t>
      </w:r>
      <w:r w:rsidR="00CB792A">
        <w:rPr>
          <w:color w:val="222222"/>
        </w:rPr>
        <w:t xml:space="preserve">access to </w:t>
      </w:r>
      <w:r w:rsidR="00EE4703" w:rsidRPr="00425F23">
        <w:rPr>
          <w:color w:val="222222"/>
        </w:rPr>
        <w:t xml:space="preserve">civic involvement </w:t>
      </w:r>
      <w:r w:rsidR="00CB792A">
        <w:rPr>
          <w:color w:val="222222"/>
        </w:rPr>
        <w:t xml:space="preserve">opportunities </w:t>
      </w:r>
      <w:r w:rsidR="00EE4703" w:rsidRPr="00425F23">
        <w:rPr>
          <w:color w:val="222222"/>
        </w:rPr>
        <w:t>(i.e. social, religious, political, and business organizations)</w:t>
      </w:r>
      <w:r w:rsidR="00EE4703">
        <w:rPr>
          <w:color w:val="222222"/>
        </w:rPr>
        <w:t>.</w:t>
      </w:r>
      <w:r w:rsidR="00EE4703" w:rsidRPr="006D2090">
        <w:rPr>
          <w:color w:val="222222"/>
        </w:rPr>
        <w:t xml:space="preserve"> </w:t>
      </w:r>
      <w:r w:rsidR="00CB792A">
        <w:t>On</w:t>
      </w:r>
      <w:r w:rsidR="00CB792A" w:rsidRPr="006D2090">
        <w:t xml:space="preserve"> the </w:t>
      </w:r>
      <w:r w:rsidR="00CB792A">
        <w:t>second issue of traffic congestion</w:t>
      </w:r>
      <w:r w:rsidR="00CB792A" w:rsidRPr="006D2090">
        <w:t xml:space="preserve"> and emissions</w:t>
      </w:r>
      <w:r w:rsidR="00CB792A">
        <w:t xml:space="preserve"> </w:t>
      </w:r>
      <w:r w:rsidR="009C16B1">
        <w:t>reduction</w:t>
      </w:r>
      <w:r w:rsidR="00CB792A">
        <w:t>,</w:t>
      </w:r>
      <w:r w:rsidR="00CB792A" w:rsidRPr="006D2090">
        <w:t xml:space="preserve"> in the U</w:t>
      </w:r>
      <w:r w:rsidR="006D2090">
        <w:t>.</w:t>
      </w:r>
      <w:r w:rsidR="00CB792A" w:rsidRPr="006D2090">
        <w:t>S</w:t>
      </w:r>
      <w:r w:rsidR="006D2090">
        <w:t>.</w:t>
      </w:r>
      <w:r w:rsidR="00CB792A">
        <w:t xml:space="preserve"> at least,</w:t>
      </w:r>
      <w:r w:rsidR="00CB792A" w:rsidRPr="00354E92">
        <w:t xml:space="preserve"> transit systems have </w:t>
      </w:r>
      <w:r w:rsidR="00CB792A">
        <w:t>been estimated</w:t>
      </w:r>
      <w:r w:rsidR="00CB792A" w:rsidRPr="006D2090">
        <w:t xml:space="preserve"> to </w:t>
      </w:r>
      <w:r w:rsidR="009C16B1">
        <w:t>decrease</w:t>
      </w:r>
      <w:r w:rsidR="00CB792A" w:rsidRPr="006D2090">
        <w:t xml:space="preserve"> congestion</w:t>
      </w:r>
      <w:r w:rsidR="00CB792A">
        <w:t xml:space="preserve">-related time and </w:t>
      </w:r>
      <w:r w:rsidR="009C16B1">
        <w:t>(un)</w:t>
      </w:r>
      <w:r w:rsidR="00CB792A">
        <w:t>productivity</w:t>
      </w:r>
      <w:r w:rsidR="00CB792A" w:rsidRPr="006D2090">
        <w:t xml:space="preserve"> costs by billions of dollars and </w:t>
      </w:r>
      <w:r w:rsidR="00CB792A">
        <w:t>lower</w:t>
      </w:r>
      <w:r w:rsidR="00CB792A" w:rsidRPr="006D2090">
        <w:t xml:space="preserve"> associated greenhouse gas emissions </w:t>
      </w:r>
      <w:r w:rsidR="0042283E" w:rsidRPr="00425F23">
        <w:rPr>
          <w:color w:val="222222"/>
        </w:rPr>
        <w:fldChar w:fldCharType="begin"/>
      </w:r>
      <w:r w:rsidR="005C565E">
        <w:rPr>
          <w:color w:val="222222"/>
        </w:rPr>
        <w:instrText xml:space="preserve"> ADDIN ZOTERO_ITEM CSL_CITATION {"citationID":"0X4M2Ogs","properties":{"formattedCitation":"(Beaudoin et al., 2015; Harford, 2006)","plainCitation":"(Beaudoin et al., 2015; Harford, 2006)","noteIndex":0},"citationItems":[{"id":211,"uris":["http://zotero.org/groups/5345474/items/9UDNW2IZ"],"itemData":{"id":211,"type":"article-journal","abstract":"In this paper we provide a framework for evaluating public transit investment, taking account of the effects of transit investment on traffic congestion and air quality. We discuss how to assess the sustainability of transit investment and the mechanisms through which public transit investment can affect equilibrium auto travel volumes and the associated congestion and air quality outcomes. Several related issues are addressed: the differences between short-run and long-run equilibria; the role of regional heterogeneity; regulatory and policy considerations; and the potential endogeneity of transit investment when conducting empirical analyses. As the transportation policy landscape evolves and technological advancements continue, a complete evaluation of the social benefits of transit investment is essential both for allocating investment funds and for designing policies that result in an efficient level of investment and travel in the long run. Does the existing evidence bolster public transit's ‘green’ reputation? Reviewing the recent empirical literature, it appears that transit can both reduce congestion and improve air quality, but the magnitudes of these benefits are uncertain and may be specific to each location.","collection-title":"Sustainable Transportation","container-title":"Research in Transportation Economics","DOI":"10.1016/j.retrec.2015.10.004","ISSN":"0739-8859","journalAbbreviation":"Research in Transportation Economics","page":"15-22","source":"ScienceDirect","title":"Public transit investment and sustainable transportation: A review of studies of transit's impact on traffic congestion and air quality","title-short":"Public transit investment and sustainable transportation","URL":"https://www.sciencedirect.com/science/article/pii/S0739885915000487","volume":"52","author":[{"family":"Beaudoin","given":"Justin"},{"family":"Farzin","given":"Y. Hossein"},{"family":"Lin Lawell","given":"C. -Y. Cynthia"}],"accessed":{"date-parts":[["2024",5,8]]},"issued":{"date-parts":[["2015",10,1]]}}},{"id":213,"uris":["http://zotero.org/groups/5345474/items/3D54LWYL"],"itemData":{"id":213,"type":"article-journal","abstract":"This paper presents a broad set of benefit–cost analyses of the public transit systems of 81 urbanized areas. The calculated sources of benefits are to riders and the reduction of congestion costs. Other sources of benefits are shown to be quite small. Costs are calculated based upon operating costs and adjustment factors to account for capital costs and the excess burden of taxes used to support public transit. For the medium estimates the aggregate benefit–cost ratio is 1.34. Only 23 of the urbanized areas have a benefit–cost ratio of one or greater for the medium estimates, but these were mainly the largest in population and transit use. Even for the high estimates, the benefit–cost ratio was less than one for almost half the areas considered.","container-title":"Transportation Research Part D: Transport and Environment","DOI":"10.1016/j.trd.2005.09.001","ISSN":"1361-9209","issue":"1","journalAbbreviation":"Transportation Research Part D: Transport and Environment","page":"45-58","source":"ScienceDirect","title":"Congestion, pollution, and benefit-to-cost ratios of US public transit systems","URL":"https://www.sciencedirect.com/science/article/pii/S1361920905000830","volume":"11","author":[{"family":"Harford","given":"Jon D."}],"accessed":{"date-parts":[["2024",5,8]]},"issued":{"date-parts":[["2006",1,1]]}}}],"schema":"https://github.com/citation-style-language/schema/raw/master/csl-citation.json"} </w:instrText>
      </w:r>
      <w:r w:rsidR="0042283E" w:rsidRPr="00425F23">
        <w:rPr>
          <w:color w:val="222222"/>
        </w:rPr>
        <w:fldChar w:fldCharType="separate"/>
      </w:r>
      <w:r w:rsidR="009D0BEC" w:rsidRPr="00425F23">
        <w:rPr>
          <w:noProof/>
          <w:color w:val="222222"/>
        </w:rPr>
        <w:t>(Beaudoin et al., 2015; Harford, 2006)</w:t>
      </w:r>
      <w:r w:rsidR="0042283E" w:rsidRPr="00425F23">
        <w:rPr>
          <w:color w:val="222222"/>
        </w:rPr>
        <w:fldChar w:fldCharType="end"/>
      </w:r>
      <w:r w:rsidR="0042283E" w:rsidRPr="00425F23">
        <w:rPr>
          <w:color w:val="222222"/>
        </w:rPr>
        <w:t xml:space="preserve">. </w:t>
      </w:r>
    </w:p>
    <w:p w14:paraId="71EACB27" w14:textId="7BF3223F" w:rsidR="00327312" w:rsidRDefault="00773EAF" w:rsidP="00C67E12">
      <w:pPr>
        <w:pStyle w:val="NormalWeb"/>
        <w:shd w:val="clear" w:color="auto" w:fill="FFFFFF"/>
        <w:spacing w:before="0" w:beforeAutospacing="0" w:after="0" w:afterAutospacing="0"/>
        <w:ind w:firstLine="720"/>
        <w:jc w:val="both"/>
        <w:rPr>
          <w:color w:val="222222"/>
        </w:rPr>
      </w:pPr>
      <w:r w:rsidRPr="00425F23">
        <w:rPr>
          <w:color w:val="222222"/>
        </w:rPr>
        <w:t xml:space="preserve">While there is clear evidence of </w:t>
      </w:r>
      <w:r w:rsidR="00D00043">
        <w:rPr>
          <w:color w:val="222222"/>
        </w:rPr>
        <w:t>PT</w:t>
      </w:r>
      <w:r w:rsidR="0031524C">
        <w:rPr>
          <w:color w:val="222222"/>
        </w:rPr>
        <w:t xml:space="preserve"> </w:t>
      </w:r>
      <w:r w:rsidRPr="00425F23">
        <w:rPr>
          <w:color w:val="222222"/>
        </w:rPr>
        <w:t>benefits</w:t>
      </w:r>
      <w:r w:rsidR="00873AB1">
        <w:rPr>
          <w:color w:val="222222"/>
        </w:rPr>
        <w:t>,</w:t>
      </w:r>
      <w:r w:rsidRPr="00425F23">
        <w:rPr>
          <w:color w:val="222222"/>
        </w:rPr>
        <w:t xml:space="preserve"> recent changes in tra</w:t>
      </w:r>
      <w:r w:rsidR="009507BF">
        <w:rPr>
          <w:color w:val="222222"/>
        </w:rPr>
        <w:t xml:space="preserve">vel </w:t>
      </w:r>
      <w:r w:rsidRPr="00425F23">
        <w:rPr>
          <w:color w:val="222222"/>
        </w:rPr>
        <w:t xml:space="preserve">behavior have </w:t>
      </w:r>
      <w:r w:rsidR="009507BF">
        <w:rPr>
          <w:color w:val="222222"/>
        </w:rPr>
        <w:t>resulted in</w:t>
      </w:r>
      <w:r w:rsidRPr="00425F23">
        <w:rPr>
          <w:color w:val="222222"/>
        </w:rPr>
        <w:t xml:space="preserve"> major declines in transit ridership</w:t>
      </w:r>
      <w:r w:rsidR="00ED6D43">
        <w:rPr>
          <w:color w:val="222222"/>
        </w:rPr>
        <w:t xml:space="preserve">, to the point of even </w:t>
      </w:r>
      <w:r w:rsidR="00CB792A">
        <w:rPr>
          <w:color w:val="222222"/>
        </w:rPr>
        <w:t>call</w:t>
      </w:r>
      <w:r w:rsidR="00ED6D43">
        <w:rPr>
          <w:color w:val="222222"/>
        </w:rPr>
        <w:t>ing</w:t>
      </w:r>
      <w:r w:rsidR="00CB792A">
        <w:rPr>
          <w:color w:val="222222"/>
        </w:rPr>
        <w:t xml:space="preserve"> into question the future of this mode</w:t>
      </w:r>
      <w:r w:rsidR="00656348">
        <w:rPr>
          <w:color w:val="222222"/>
        </w:rPr>
        <w:t xml:space="preserve"> </w:t>
      </w:r>
      <w:r w:rsidR="00656348" w:rsidRPr="001712B4">
        <w:rPr>
          <w:color w:val="222222"/>
        </w:rPr>
        <w:fldChar w:fldCharType="begin"/>
      </w:r>
      <w:r w:rsidR="005C565E">
        <w:rPr>
          <w:color w:val="222222"/>
        </w:rPr>
        <w:instrText xml:space="preserve"> ADDIN ZOTERO_ITEM CSL_CITATION {"citationID":"CncU4bGV","properties":{"formattedCitation":"(Ziedan et al., 2023; Zipper, 2023)","plainCitation":"(Ziedan et al., 2023; Zipper, 2023)","noteIndex":0},"citationItems":[{"id":315,"uris":["http://zotero.org/groups/5345474/items/GNPWULXQ"],"itemData":{"id":315,"type":"article-journal","container-title":"World Transit Research","title":"A Multiple Mediation Analysis to Untangle the Impacts of Covid-19 on Nationwide Bus Ridership in the United States","URL":"https://www.worldtransitresearch.info/research/9915","author":[{"family":"Ziedan","given":"Abubakr"},{"family":"Lima","given":"Liuz"},{"family":"Brakewood","given":"Candace"}],"issued":{"date-parts":[["2023",1,1]]}}},{"id":304,"uris":["http://zotero.org/groups/5345474/items/WITRGPNB"],"itemData":{"id":304,"type":"webpage","container-title":"VOX","title":"How to Save America's Public Transit System from a Doom Spiral","URL":"https://www.vox.com/future-perfect/23653855/covid-transit-fares-buses-subways-crisis","author":[{"family":"Zipper","given":"David"}],"accessed":{"date-parts":[["2024",6,3]]},"issued":{"date-parts":[["2023",3,27]]}}}],"schema":"https://github.com/citation-style-language/schema/raw/master/csl-citation.json"} </w:instrText>
      </w:r>
      <w:r w:rsidR="00656348" w:rsidRPr="001712B4">
        <w:rPr>
          <w:color w:val="222222"/>
        </w:rPr>
        <w:fldChar w:fldCharType="separate"/>
      </w:r>
      <w:r w:rsidR="00656348" w:rsidRPr="001712B4">
        <w:t>(Ziedan et al., 2023; Zipper, 2023)</w:t>
      </w:r>
      <w:r w:rsidR="00656348" w:rsidRPr="001712B4">
        <w:rPr>
          <w:color w:val="222222"/>
        </w:rPr>
        <w:fldChar w:fldCharType="end"/>
      </w:r>
      <w:r w:rsidR="00C1617C" w:rsidRPr="001712B4">
        <w:rPr>
          <w:color w:val="222222"/>
        </w:rPr>
        <w:t xml:space="preserve">. </w:t>
      </w:r>
      <w:r w:rsidR="00CB792A" w:rsidRPr="001712B4">
        <w:rPr>
          <w:color w:val="222222"/>
        </w:rPr>
        <w:t xml:space="preserve">In particular, the COVID-19 pandemic </w:t>
      </w:r>
      <w:r w:rsidR="009507BF" w:rsidRPr="001712B4">
        <w:rPr>
          <w:color w:val="222222"/>
        </w:rPr>
        <w:t xml:space="preserve">raised </w:t>
      </w:r>
      <w:r w:rsidR="00ED6D43" w:rsidRPr="001712B4">
        <w:rPr>
          <w:color w:val="222222"/>
        </w:rPr>
        <w:t xml:space="preserve">health-related </w:t>
      </w:r>
      <w:r w:rsidR="00CB792A" w:rsidRPr="001712B4">
        <w:rPr>
          <w:color w:val="222222"/>
        </w:rPr>
        <w:t>safety</w:t>
      </w:r>
      <w:r w:rsidR="00ED6D43" w:rsidRPr="001712B4">
        <w:rPr>
          <w:color w:val="222222"/>
        </w:rPr>
        <w:t xml:space="preserve"> con</w:t>
      </w:r>
      <w:r w:rsidR="009507BF" w:rsidRPr="001712B4">
        <w:rPr>
          <w:color w:val="222222"/>
        </w:rPr>
        <w:t xml:space="preserve">cerns </w:t>
      </w:r>
      <w:r w:rsidR="0093606C" w:rsidRPr="001712B4">
        <w:rPr>
          <w:color w:val="222222"/>
        </w:rPr>
        <w:t>associated with PT us</w:t>
      </w:r>
      <w:r w:rsidR="0093606C">
        <w:rPr>
          <w:color w:val="222222"/>
        </w:rPr>
        <w:t xml:space="preserve">e </w:t>
      </w:r>
      <w:r w:rsidR="003C7F81">
        <w:rPr>
          <w:color w:val="222222"/>
        </w:rPr>
        <w:fldChar w:fldCharType="begin"/>
      </w:r>
      <w:r w:rsidR="005C565E">
        <w:rPr>
          <w:color w:val="222222"/>
        </w:rPr>
        <w:instrText xml:space="preserve"> ADDIN ZOTERO_ITEM CSL_CITATION {"citationID":"OZIPNhdv","properties":{"formattedCitation":"(Sung et al., 2023; Transit App, 2024)","plainCitation":"(Sung et al., 2023; Transit App, 2024)","noteIndex":0},"citationItems":[{"id":29,"uris":["http://zotero.org/groups/5345474/items/WHY7ZI9D"],"itemData":{"id":29,"type":"article-journal","abstract":"Social distancing measures (SDMs) mitigated the spread of coronavirus disease 2019 (COVID-19) by reducing human activity and mobility. However, few studies have explored SDMs’ effects on intra- and inter-urban mobility concerning public transit. This study employed the autoregressive integrated moving average with exogenous variables models to examine distinct-level impacts of SDMs on intra- and inter-urban daily ridership by transit in Seoul, South Korea, during the COVID-19 pandemic. This study found: (1) The effect of SDMs on transit mobility was more pronounced for subways than buses, despite both modes experiencing reduced mobility without completely ceasing operations. (2) No substantial disparity was observed between intra- and inter-urban transit mobility. (3) Although other measures effectively curtailed transit mobility, mask-wearing had no statistically significant impact on intra- and inter-urban transit usage. (4) Heightened SDMs (e.g., workplace closures, cancelation of public events, stay-at-home orders) have reduced transit mobility more for railways/subways than buses. These findings underscore the importance of considering the distinct impacts of diverse SDMs on transit mobility, thereby ensuring the sustainable functioning of public transit while mitigating the spread of infectious disease during pandemics.","container-title":"Sustainable Cities and Society","DOI":"10.1016/j.scs.2023.104842","ISSN":"2210-6707","journalAbbreviation":"Sustainable Cities and Society","page":"104842","source":"ScienceDirect","title":"Mode-specific impacts of social distancing measures on the intra- and inter-urban mobility of public transit in Seoul during the COVID-19 pandemic","URL":"https://www.sciencedirect.com/science/article/pii/S2210670723004535","volume":"98","author":[{"family":"Sung","given":"Hyungun"},{"family":"Dabrundashvili","given":"Nino"},{"family":"Baek","given":"SeungYeob"}],"accessed":{"date-parts":[["2024",1,10]]},"issued":{"date-parts":[["2023",11,1]]}}},{"id":144,"uris":["http://zotero.org/groups/5345474/items/ZJI2PYF9"],"itemData":{"id":144,"type":"webpage","abstract":"APTA and the Transit app have partnered to build a new resource for the entire industry, tracking demand for public transit and publishing estimates of ridership change in real time.","title":"APTA - Ridership Trends","URL":"https://transitapp.com/APTA","author":[{"family":"Transit App","given":""}],"accessed":{"date-parts":[["2024",2,22]]},"issued":{"date-parts":[["2024"]]}}}],"schema":"https://github.com/citation-style-language/schema/raw/master/csl-citation.json"} </w:instrText>
      </w:r>
      <w:r w:rsidR="003C7F81">
        <w:rPr>
          <w:color w:val="222222"/>
        </w:rPr>
        <w:fldChar w:fldCharType="separate"/>
      </w:r>
      <w:r w:rsidR="003C7F81">
        <w:rPr>
          <w:noProof/>
          <w:color w:val="222222"/>
        </w:rPr>
        <w:t>(Sung et al., 2023; Transit App, 2024)</w:t>
      </w:r>
      <w:r w:rsidR="003C7F81">
        <w:rPr>
          <w:color w:val="222222"/>
        </w:rPr>
        <w:fldChar w:fldCharType="end"/>
      </w:r>
      <w:r w:rsidR="009507BF">
        <w:rPr>
          <w:color w:val="222222"/>
        </w:rPr>
        <w:t xml:space="preserve">. Besides, the strict </w:t>
      </w:r>
      <w:r w:rsidR="00327312" w:rsidRPr="00425F23">
        <w:rPr>
          <w:color w:val="222222"/>
        </w:rPr>
        <w:t xml:space="preserve">office </w:t>
      </w:r>
      <w:r w:rsidR="00ED6D43">
        <w:rPr>
          <w:color w:val="222222"/>
        </w:rPr>
        <w:t xml:space="preserve">and </w:t>
      </w:r>
      <w:r w:rsidR="009507BF">
        <w:rPr>
          <w:color w:val="222222"/>
        </w:rPr>
        <w:t xml:space="preserve">non-essential </w:t>
      </w:r>
      <w:r w:rsidR="00ED6D43">
        <w:rPr>
          <w:color w:val="222222"/>
        </w:rPr>
        <w:t xml:space="preserve">business </w:t>
      </w:r>
      <w:r w:rsidR="00327312" w:rsidRPr="00425F23">
        <w:rPr>
          <w:color w:val="222222"/>
        </w:rPr>
        <w:t xml:space="preserve">closures </w:t>
      </w:r>
      <w:r w:rsidR="00ED6D43">
        <w:rPr>
          <w:color w:val="222222"/>
        </w:rPr>
        <w:t>in all but 11 states of the U.S.</w:t>
      </w:r>
      <w:r w:rsidR="009507BF">
        <w:rPr>
          <w:color w:val="222222"/>
        </w:rPr>
        <w:t xml:space="preserve"> led to a decline in commuting, further adding to PT ridership </w:t>
      </w:r>
      <w:r w:rsidR="007C2EC6">
        <w:rPr>
          <w:color w:val="222222"/>
        </w:rPr>
        <w:t>dec</w:t>
      </w:r>
      <w:r w:rsidR="0093606C">
        <w:rPr>
          <w:color w:val="222222"/>
        </w:rPr>
        <w:t>lines</w:t>
      </w:r>
      <w:r w:rsidR="00327312" w:rsidRPr="00425F23">
        <w:rPr>
          <w:color w:val="222222"/>
        </w:rPr>
        <w:t xml:space="preserve"> </w:t>
      </w:r>
      <w:r w:rsidR="00327312" w:rsidRPr="00425F23">
        <w:rPr>
          <w:color w:val="222222"/>
        </w:rPr>
        <w:fldChar w:fldCharType="begin"/>
      </w:r>
      <w:r w:rsidR="005C565E">
        <w:rPr>
          <w:color w:val="222222"/>
        </w:rPr>
        <w:instrText xml:space="preserve"> ADDIN ZOTERO_ITEM CSL_CITATION {"citationID":"a1jo6ocgs0t","properties":{"formattedCitation":"(Bergquist et al., 2020)","plainCitation":"(Bergquist et al., 2020)","noteIndex":0},"citationItems":[{"id":61,"uris":["http://zotero.org/groups/5345474/items/6PVCM3DU"],"itemData":{"id":61,"type":"article-journal","abstract":"Objectives\nThe paper highlights US health policy and technology responses to the COVID-19 pandemic from January 1, 2020 – August 9, 2020.\nMethods\nA review of primary data sources in the US was conducted. The data were summarized to describe national and state-level trends in the spread of COVID-19 and in policy and technology solutions.\nResults\nCOVID-19 cases and deaths initially peaked in late March and April, but after a brief reduction in June cases and deaths began rising again during July and continued to climb into early August. The US policy response is best characterized by its federalist, decentralized nature. The national government has led in terms of economic and fiscal response, increasing funding for scientific research into testing, treatment, and vaccines, and in creating more favorable regulations for the use of telemedicine. State governments have been responsible for many of the containment, testing, and treatment responses, often with little federal government support. Policies that favor economic re-opening are often followed by increases in state-level case numbers, which are then followed by stricter containment measures, such as mask wearing or pausing re-opening plans.\nConclusions\nWhile all US states have begun to “re-open” economic activities, this trend appears to be largely driven by social tensions and economic motivations rather than an ability to effectively test and surveil populations.","collection-title":"The COVID-19 pandemic: Global health policy and technology responses in the making","container-title":"Health Policy and Technology","DOI":"10.1016/j.hlpt.2020.08.007","ISSN":"2211-8837","issue":"4","journalAbbreviation":"Health Policy and Technology","page":"623-638","source":"ScienceDirect","title":"COVID-19 pandemic in the United States","URL":"https://www.sciencedirect.com/science/article/pii/S2211883720300794","volume":"9","author":[{"family":"Bergquist","given":"Savannah"},{"family":"Otten","given":"Thomas"},{"family":"Sarich","given":"Nick"}],"accessed":{"date-parts":[["2024",2,12]]},"issued":{"date-parts":[["2020",12,1]]}}}],"schema":"https://github.com/citation-style-language/schema/raw/master/csl-citation.json"} </w:instrText>
      </w:r>
      <w:r w:rsidR="00327312" w:rsidRPr="00425F23">
        <w:rPr>
          <w:color w:val="222222"/>
        </w:rPr>
        <w:fldChar w:fldCharType="separate"/>
      </w:r>
      <w:r w:rsidR="00327312" w:rsidRPr="00425F23">
        <w:t>(Bergquist et al., 2020)</w:t>
      </w:r>
      <w:r w:rsidR="00327312" w:rsidRPr="00425F23">
        <w:rPr>
          <w:color w:val="222222"/>
        </w:rPr>
        <w:fldChar w:fldCharType="end"/>
      </w:r>
      <w:r w:rsidR="00327312" w:rsidRPr="00425F23">
        <w:rPr>
          <w:color w:val="222222"/>
        </w:rPr>
        <w:t>.</w:t>
      </w:r>
      <w:r w:rsidRPr="00425F23">
        <w:rPr>
          <w:color w:val="222222"/>
        </w:rPr>
        <w:t xml:space="preserve"> </w:t>
      </w:r>
      <w:r w:rsidR="00ED6D43">
        <w:rPr>
          <w:color w:val="222222"/>
        </w:rPr>
        <w:t>In turn, the</w:t>
      </w:r>
      <w:r w:rsidR="007C2EC6">
        <w:rPr>
          <w:color w:val="222222"/>
        </w:rPr>
        <w:t>se</w:t>
      </w:r>
      <w:r w:rsidR="00ED6D43">
        <w:rPr>
          <w:color w:val="222222"/>
        </w:rPr>
        <w:t xml:space="preserve"> ridership d</w:t>
      </w:r>
      <w:r w:rsidR="007C2EC6">
        <w:rPr>
          <w:color w:val="222222"/>
        </w:rPr>
        <w:t>rops</w:t>
      </w:r>
      <w:r w:rsidR="00ED6D43">
        <w:rPr>
          <w:color w:val="222222"/>
        </w:rPr>
        <w:t xml:space="preserve"> forced </w:t>
      </w:r>
      <w:r w:rsidR="007C2EC6">
        <w:rPr>
          <w:color w:val="222222"/>
        </w:rPr>
        <w:t xml:space="preserve">reductions in </w:t>
      </w:r>
      <w:r w:rsidR="00D00043">
        <w:rPr>
          <w:color w:val="222222"/>
        </w:rPr>
        <w:t xml:space="preserve">PT </w:t>
      </w:r>
      <w:r w:rsidRPr="00425F23">
        <w:rPr>
          <w:color w:val="222222"/>
        </w:rPr>
        <w:t>service provision</w:t>
      </w:r>
      <w:r w:rsidR="00ED6D43">
        <w:rPr>
          <w:color w:val="222222"/>
        </w:rPr>
        <w:t xml:space="preserve"> that resulted in longer wait and transfer times, further reducing </w:t>
      </w:r>
      <w:r w:rsidR="00D00043">
        <w:rPr>
          <w:color w:val="222222"/>
        </w:rPr>
        <w:t xml:space="preserve">PT </w:t>
      </w:r>
      <w:r w:rsidR="001712B4">
        <w:rPr>
          <w:color w:val="222222"/>
        </w:rPr>
        <w:t>use,</w:t>
      </w:r>
      <w:r w:rsidR="00ED6D43">
        <w:rPr>
          <w:color w:val="222222"/>
        </w:rPr>
        <w:t xml:space="preserve"> </w:t>
      </w:r>
      <w:r w:rsidR="000A3599">
        <w:rPr>
          <w:color w:val="222222"/>
        </w:rPr>
        <w:t xml:space="preserve">and then even further reducing service provision </w:t>
      </w:r>
      <w:r w:rsidR="00ED6D43">
        <w:rPr>
          <w:color w:val="222222"/>
        </w:rPr>
        <w:t xml:space="preserve">in a </w:t>
      </w:r>
      <w:r w:rsidR="009C16B1">
        <w:rPr>
          <w:color w:val="222222"/>
        </w:rPr>
        <w:t>snowballing</w:t>
      </w:r>
      <w:r w:rsidR="000A3599">
        <w:rPr>
          <w:color w:val="222222"/>
        </w:rPr>
        <w:t xml:space="preserve"> effect. While many individuals with personal </w:t>
      </w:r>
      <w:r w:rsidR="004678CD">
        <w:rPr>
          <w:color w:val="222222"/>
        </w:rPr>
        <w:t>(</w:t>
      </w:r>
      <w:r w:rsidR="000A3599">
        <w:rPr>
          <w:color w:val="222222"/>
        </w:rPr>
        <w:t>motorized</w:t>
      </w:r>
      <w:r w:rsidR="004678CD">
        <w:rPr>
          <w:color w:val="222222"/>
        </w:rPr>
        <w:t>)</w:t>
      </w:r>
      <w:r w:rsidR="000A3599">
        <w:rPr>
          <w:color w:val="222222"/>
        </w:rPr>
        <w:t xml:space="preserve"> vehicle ownership</w:t>
      </w:r>
      <w:r w:rsidR="007C2EC6">
        <w:rPr>
          <w:color w:val="222222"/>
        </w:rPr>
        <w:t xml:space="preserve"> have been </w:t>
      </w:r>
      <w:r w:rsidR="000A3599">
        <w:rPr>
          <w:color w:val="222222"/>
        </w:rPr>
        <w:t xml:space="preserve">able to </w:t>
      </w:r>
      <w:r w:rsidR="001712B4">
        <w:rPr>
          <w:color w:val="222222"/>
        </w:rPr>
        <w:t>adapt to</w:t>
      </w:r>
      <w:r w:rsidR="000A3599">
        <w:rPr>
          <w:color w:val="222222"/>
        </w:rPr>
        <w:t xml:space="preserve"> the</w:t>
      </w:r>
      <w:r w:rsidR="007C2EC6">
        <w:rPr>
          <w:color w:val="222222"/>
        </w:rPr>
        <w:t>se</w:t>
      </w:r>
      <w:r w:rsidR="000A3599">
        <w:rPr>
          <w:color w:val="222222"/>
        </w:rPr>
        <w:t xml:space="preserve"> </w:t>
      </w:r>
      <w:r w:rsidR="00D00043">
        <w:rPr>
          <w:color w:val="222222"/>
        </w:rPr>
        <w:t>PT service cutback</w:t>
      </w:r>
      <w:r w:rsidR="007C2EC6">
        <w:rPr>
          <w:color w:val="222222"/>
        </w:rPr>
        <w:t>s</w:t>
      </w:r>
      <w:r w:rsidR="0031524C">
        <w:rPr>
          <w:color w:val="222222"/>
        </w:rPr>
        <w:t xml:space="preserve">, it has </w:t>
      </w:r>
      <w:r w:rsidR="007C2EC6">
        <w:rPr>
          <w:color w:val="222222"/>
        </w:rPr>
        <w:t>affected</w:t>
      </w:r>
      <w:r w:rsidR="0031524C">
        <w:rPr>
          <w:color w:val="222222"/>
        </w:rPr>
        <w:t xml:space="preserve"> the accessibility to out-of-home activities for individuals </w:t>
      </w:r>
      <w:r w:rsidR="004678CD">
        <w:rPr>
          <w:color w:val="222222"/>
        </w:rPr>
        <w:t>more</w:t>
      </w:r>
      <w:r w:rsidR="0031524C">
        <w:rPr>
          <w:color w:val="222222"/>
        </w:rPr>
        <w:t xml:space="preserve"> </w:t>
      </w:r>
      <w:r w:rsidR="00327312">
        <w:rPr>
          <w:color w:val="222222"/>
        </w:rPr>
        <w:t xml:space="preserve">reliant </w:t>
      </w:r>
      <w:r w:rsidR="0031524C">
        <w:rPr>
          <w:color w:val="222222"/>
        </w:rPr>
        <w:t xml:space="preserve">on </w:t>
      </w:r>
      <w:r w:rsidR="00327312">
        <w:rPr>
          <w:color w:val="222222"/>
        </w:rPr>
        <w:t xml:space="preserve">transit services </w:t>
      </w:r>
      <w:r w:rsidR="00327312" w:rsidRPr="00425F23">
        <w:rPr>
          <w:color w:val="222222"/>
        </w:rPr>
        <w:fldChar w:fldCharType="begin"/>
      </w:r>
      <w:r w:rsidR="005C565E">
        <w:rPr>
          <w:color w:val="222222"/>
        </w:rPr>
        <w:instrText xml:space="preserve"> ADDIN ZOTERO_ITEM CSL_CITATION {"citationID":"Qs9adANv","properties":{"formattedCitation":"(He et al., 2022)","plainCitation":"(He et al., 2022)","noteIndex":0},"citationItems":[{"id":38,"uris":["http://zotero.org/groups/5345474/items/WPRRIT7T"],"itemData":{"id":38,"type":"article-journal","abstract":"The Covid-19 pandemic has decimated public transit service across the United States and caused significant decreases in ridership. Little is known about the reasons for unevenness in pandemic-era mode shifts and the impacts of pandemic-related transit reductions on riders’ day-to-day lives. Using a national survey of U.S. transit riders (n = 500) conducted in fall 2020, this study examines changes in transit use since the pandemic began, the reasons for transit reductions, and the effects of reduced transit use and transit service on transit riders’ ability to meet their travel needs. The Covid-19 pandemic has exacerbated existing transportation burdens for those who have limited mobility options, those facing socioeconomic challenges, Hispanic or Latinx riders, and female, non-binary or genderqueer people. We close with recommendations for strengthening transit service for these groups in the long term as we recover from the pandemic.","container-title":"Transportation Research Part D: Transport and Environment","DOI":"10.1016/j.trd.2022.103217","ISSN":"1361-9209","journalAbbreviation":"Transportation Research Part D: Transport and Environment","page":"103217","source":"ScienceDirect","title":"Covid-19 pandemic impacts on essential transit riders: Findings from a U.S. Survey","title-short":"Covid-19 pandemic impacts on essential transit riders","URL":"https://www.sciencedirect.com/science/article/pii/S1361920922000475","volume":"105","author":[{"family":"He","given":"Qian"},{"family":"Rowangould","given":"Dana"},{"family":"Karner","given":"Alex"},{"family":"Palm","given":"Matthew"},{"family":"LaRue","given":"Seth"}],"accessed":{"date-parts":[["2024",1,17]]},"issued":{"date-parts":[["2022",4,1]]}}}],"schema":"https://github.com/citation-style-language/schema/raw/master/csl-citation.json"} </w:instrText>
      </w:r>
      <w:r w:rsidR="00327312" w:rsidRPr="00425F23">
        <w:rPr>
          <w:color w:val="222222"/>
        </w:rPr>
        <w:fldChar w:fldCharType="separate"/>
      </w:r>
      <w:r w:rsidR="00327312" w:rsidRPr="00425F23">
        <w:t>(He et al., 2022)</w:t>
      </w:r>
      <w:r w:rsidR="00327312" w:rsidRPr="00425F23">
        <w:rPr>
          <w:color w:val="222222"/>
        </w:rPr>
        <w:fldChar w:fldCharType="end"/>
      </w:r>
      <w:r w:rsidR="00327312">
        <w:rPr>
          <w:color w:val="222222"/>
        </w:rPr>
        <w:t xml:space="preserve">. </w:t>
      </w:r>
    </w:p>
    <w:p w14:paraId="275F866E" w14:textId="7E67DB6D" w:rsidR="00537EB8" w:rsidRPr="00425F23" w:rsidRDefault="00CE4DCC" w:rsidP="00C67E12">
      <w:pPr>
        <w:pStyle w:val="NormalWeb"/>
        <w:shd w:val="clear" w:color="auto" w:fill="FFFFFF"/>
        <w:spacing w:before="0" w:beforeAutospacing="0" w:after="0" w:afterAutospacing="0"/>
        <w:jc w:val="both"/>
      </w:pPr>
      <w:r>
        <w:rPr>
          <w:color w:val="222222"/>
        </w:rPr>
        <w:tab/>
      </w:r>
      <w:r w:rsidR="00537EB8" w:rsidRPr="00425F23">
        <w:rPr>
          <w:color w:val="222222"/>
        </w:rPr>
        <w:t xml:space="preserve">Given the </w:t>
      </w:r>
      <w:r w:rsidR="00F17FEC">
        <w:rPr>
          <w:color w:val="222222"/>
        </w:rPr>
        <w:t xml:space="preserve">general </w:t>
      </w:r>
      <w:r w:rsidR="00537EB8" w:rsidRPr="00425F23">
        <w:rPr>
          <w:color w:val="222222"/>
        </w:rPr>
        <w:t xml:space="preserve">benefits of </w:t>
      </w:r>
      <w:r w:rsidR="00D00043">
        <w:rPr>
          <w:color w:val="222222"/>
        </w:rPr>
        <w:t xml:space="preserve">PT </w:t>
      </w:r>
      <w:r w:rsidR="00AF1B73">
        <w:rPr>
          <w:color w:val="222222"/>
        </w:rPr>
        <w:t>use</w:t>
      </w:r>
      <w:r w:rsidR="00537EB8" w:rsidRPr="00425F23">
        <w:rPr>
          <w:color w:val="222222"/>
        </w:rPr>
        <w:t xml:space="preserve">, </w:t>
      </w:r>
      <w:r w:rsidR="00F17FEC">
        <w:rPr>
          <w:color w:val="222222"/>
        </w:rPr>
        <w:t xml:space="preserve">as well as </w:t>
      </w:r>
      <w:r w:rsidR="00AF1B73">
        <w:rPr>
          <w:color w:val="222222"/>
        </w:rPr>
        <w:t xml:space="preserve">the lifeline it offers for activity participation to </w:t>
      </w:r>
      <w:r w:rsidR="009C16B1">
        <w:rPr>
          <w:color w:val="222222"/>
        </w:rPr>
        <w:t xml:space="preserve">relatively mobility-challenged </w:t>
      </w:r>
      <w:r w:rsidR="00AF1B73">
        <w:rPr>
          <w:color w:val="222222"/>
        </w:rPr>
        <w:t xml:space="preserve">population groups, many studies have been undertaken to </w:t>
      </w:r>
      <w:r w:rsidR="00537EB8" w:rsidRPr="00425F23">
        <w:rPr>
          <w:color w:val="222222"/>
        </w:rPr>
        <w:t xml:space="preserve">assess the </w:t>
      </w:r>
      <w:r w:rsidR="0093606C">
        <w:rPr>
          <w:color w:val="222222"/>
        </w:rPr>
        <w:t xml:space="preserve">use and viability </w:t>
      </w:r>
      <w:r w:rsidR="00537EB8" w:rsidRPr="00425F23">
        <w:rPr>
          <w:color w:val="222222"/>
        </w:rPr>
        <w:t xml:space="preserve">of </w:t>
      </w:r>
      <w:r w:rsidR="0093606C">
        <w:rPr>
          <w:color w:val="222222"/>
        </w:rPr>
        <w:t xml:space="preserve">future </w:t>
      </w:r>
      <w:r w:rsidR="00D00043">
        <w:rPr>
          <w:color w:val="222222"/>
        </w:rPr>
        <w:t xml:space="preserve">PT </w:t>
      </w:r>
      <w:r w:rsidR="00F04AD5">
        <w:rPr>
          <w:color w:val="222222"/>
        </w:rPr>
        <w:t>serv</w:t>
      </w:r>
      <w:r w:rsidR="00F04AD5" w:rsidRPr="004E6DA2">
        <w:rPr>
          <w:color w:val="222222"/>
        </w:rPr>
        <w:t>ice</w:t>
      </w:r>
      <w:r w:rsidR="0093606C" w:rsidRPr="004E6DA2">
        <w:rPr>
          <w:color w:val="222222"/>
        </w:rPr>
        <w:t>s</w:t>
      </w:r>
      <w:r w:rsidRPr="004E6DA2">
        <w:rPr>
          <w:color w:val="222222"/>
        </w:rPr>
        <w:t xml:space="preserve"> </w:t>
      </w:r>
      <w:r w:rsidR="00DA14F1" w:rsidRPr="004E6DA2">
        <w:rPr>
          <w:color w:val="222222"/>
        </w:rPr>
        <w:fldChar w:fldCharType="begin"/>
      </w:r>
      <w:r w:rsidR="005C565E">
        <w:rPr>
          <w:color w:val="222222"/>
        </w:rPr>
        <w:instrText xml:space="preserve"> ADDIN ZOTERO_ITEM CSL_CITATION {"citationID":"g6zd4DQT","properties":{"formattedCitation":"(Etukudoh et al., 2024; Hartman et al., 2024; Pollock et al., 2024)","plainCitation":"(Etukudoh et al., 2024; Hartman et al., 2024; Pollock et al., 2024)","dontUpdate":true,"noteIndex":0},"citationItems":[{"id":283,"uris":["http://zotero.org/groups/5345474/items/M88IPUCI"],"itemData":{"id":283,"type":"article-journal","abstract":"The paper explores the need for sustainable transportation alternatives that minimize environmental repercussions, focusing on advancements in public transit systems, electric vehicles (EVs), alternative fuels, and innovative mobility concepts. It provides a comprehensive analysis of the strengths and limitations inherent in sustainable transportation solutions, highlighting the efficiency gains of well-designed public transit systems and the monumental leap represented by electric vehicles powered by rechargeable batteries. However, the journey towards sustainable transportation is not without challenges, such as infrastructure limitations, cost considerations, and the imperative for behavioral shifts. The paper dissects these challenges, shedding light on the intricacies that demand attention from researchers, policymakers, and stakeholders alike. Infrastructure development is a critical linchpin, demanding strategic investment and collaboration to overcome hurdles of building and maintaining extensive public transportation networks, EV charging infrastructure, and alternative fuel production facilities. Cost considerations are a formidable barrier, particularly with the initial costs of EVs and alternative fuel vehicles surpassing those of traditional counterparts. The paper advocates for government incentives and research funding to bridge the financial gap, making sustainable transportation options accessible to a broader demographic. Technological advancements, ranging from battery technology to autonomous vehicle capabilities, serve as the engine driving the evolution of sustainable transportation. The paper underscores the need for continuous research and development initiatives to refine these technologies, enhancing efficiency, affordability, and range. Behavioral shifts pose a unique challenge, necessitating effective public awareness campaigns and policy interventions. The paper explores the opportunities presented by education, advocacy, and policy innovation in instigating this cultural shift. The paper also emphasizes the importance of social equity and accessibility in the pursuit of sustainable transportation. It advocates for inclusive policies that ensure the benefits of sustainable transportation are accessible to all demographics. Community engagement and impact assessments are proposed as indispensable tools to identify and address gaps in accessibility.","container-title":"World Journal of Advanced Research and Reviews","DOI":"10.30574/wjarr.2024.21.1.0173","ISSN":"2581-9615, 2581-9615","issue":"1","language":"en","license":"Copyrights to World Journal of Advanced Research and Reviews","note":"Last Modified: 2024-02-21T16:32+05:30\nnumber: 1\npublisher: World Journal of Advanced Research and Reviews","page":"1440-1452","source":"wjarr.com","title":"A Review of sustainable transportation solutions: Innovations, challenges, and future directions","title-short":"A Review of sustainable transportation solutions","URL":"https://wjarr.com/content/review-sustainable-transportation-solutions-innovations-challenges-and-future-directions","volume":"21","author":[{"family":"Etukudoh","given":"Emmanuel Augustine"},{"family":"Adefemi","given":"Adedayo"},{"family":"Ilojianya","given":"Valentine Ikenna"},{"family":"Umoh","given":"Aniekan Akpan"},{"family":"Ibekwe","given":"Kenneth Ifeanyi"},{"family":"Nwokediegwu","given":"Zamathula Queen Sikhakhane"},{"family":"Etukudoh","given":"Emmanuel Augustine"},{"family":"Adefemi","given":"Adedayo"},{"family":"Ilojianya","given":"Valentine Ikenna"},{"family":"Umoh","given":"Aniekan Akpan"},{"family":"Ibekwe","given":"Kenneth Ifeanyi"},{"family":"Nwokediegwu","given":"Zamathula Queen Sikhakhane"}],"accessed":{"date-parts":[["2024",5,29]]},"issued":{"date-parts":[["2024"]]}}},{"id":279,"uris":["http://zotero.org/groups/5345474/items/CRJ3AVEN"],"itemData":{"id":279,"type":"article-journal","abstract":"We argue that municipalities of all sizes should prioritize transit, particularly buses, as a moral and practical consideration. Buses represent a mode of transit that is significantly better than private automobiles: better for the environment, more accessible to a broad range of people, healthier, and more conducive to the creation of safe, humane communities. Writing from Roanoke, VA, USA, we know that small and medium-sized American cities such as ours tend to underfund their transit systems, but a good bus system could be the centerpiece of a transportation strategy that generates health, clean air, and upward mobility for all. In this essay we establish the practical and moral reasons why cities should invest in public transit: it is not only financially smart but morally imperative to do so. We also examine cultural reasons why public transit tends to be underfunded in the US. Well-funded public transportation systems—which, in most cases, should feature a robust and well-funded bus system—have the potential to act as a key ingredient in healthy, prosperous, and just communities. Whether bus systems live up to this potential is a question that lies in the hands of advocates and decision-makers.","container-title":"Journal of Environmental Studies and Sciences","DOI":"10.1007/s13412-023-00874-1","ISSN":"2190-6491","issue":"1","journalAbbreviation":"J Environ Stud Sci","language":"en","page":"180-192","source":"Springer Link","title":"The case for buses: interdisciplinary ethical arguments in support of strong public transit","title-short":"The case for buses","URL":"https://doi.org/10.1007/s13412-023-00874-1","volume":"14","author":[{"family":"Hartman","given":"Laura M."},{"family":"Wooley","given":"Kathleen M."},{"family":"Tucker","given":"Ryan C."}],"accessed":{"date-parts":[["2024",5,29]]},"issued":{"date-parts":[["2024",3,1]]}}},{"id":31,"uris":["http://zotero.org/groups/5345474/items/YC92SJRA"],"itemData":{"id":31,"type":"article-journal","abstract":"The COVID-19 pandemic and its accompanying restrictions reduced travel demand globally. Public transit ridership was significantly affected, causing transit agencies to lose fare revenue and reduce service. Although transit ridership has recovered significantly since the worst of the pandemic, it is still reduced in many cities. Transit agencies can benefit from understanding how to increase post-pandemic mode share and prepare for future health crises. This paper presents the design and findings of a stated preference (SP) survey conducted in Calgary, Canada to investigate the effects of different safety measures, pandemic risk levels, transit service characteristics, crowding, and demographics on the attractiveness of transit. SP scenarios were generated using Bayesian D-efficient design and were pivoted on respondents’ answers to previous questions. A multinomial logit model and a mixed logit model were estimated using the survey results. The model estimations show that transit agencies can attract riders by implementing mandatory masking policies and reducing in-vehicle crowding. Safety policies such as backdoor boarding and daily deep cleaning are unlikely to attract riders to transit. Higher pandemic risk levels, as measured by the daily number of cases in the study area, decrease the attractiveness of transit. Females and older respondents perceived transit modes as less attractive compared to males and younger respondents. Respondents who had been at least partially vaccinated perceived transit as more attractive compared to those who were unvaccinated. The results of this project can guide transit agencies in the event of future pandemics or health crises.","container-title":"Travel Behaviour and Society","DOI":"10.1016/j.tbs.2023.100678","ISSN":"2214-367X","journalAbbreviation":"Travel Behaviour and Society","page":"100678","source":"ScienceDirect","title":"Evaluating transit mode choice in the context of the COVID-19 pandemic – A stated preference approach","URL":"https://www.sciencedirect.com/science/article/pii/S2214367X23001291","volume":"34","author":[{"family":"Pollock","given":"Sam"},{"family":"Devasurendra","given":"Kaushan W."},{"family":"Weiss","given":"Adam"},{"family":"Barros","given":"Alexandre","non-dropping-particle":"de"},{"family":"Wirasinghe","given":"S. C."},{"family":"Kattan","given":"Lina"}],"accessed":{"date-parts":[["2024",1,10]]},"issued":{"date-parts":[["2024",1,1]]}}}],"schema":"https://github.com/citation-style-language/schema/raw/master/csl-citation.json"} </w:instrText>
      </w:r>
      <w:r w:rsidR="00DA14F1" w:rsidRPr="004E6DA2">
        <w:rPr>
          <w:color w:val="222222"/>
        </w:rPr>
        <w:fldChar w:fldCharType="separate"/>
      </w:r>
      <w:r w:rsidR="002C3B7A" w:rsidRPr="004E6DA2">
        <w:rPr>
          <w:noProof/>
          <w:color w:val="222222"/>
        </w:rPr>
        <w:t>(see Etukudoh et al., 2024; Hartman et al., 2024; Pollock et al., 2024)</w:t>
      </w:r>
      <w:r w:rsidR="00DA14F1" w:rsidRPr="004E6DA2">
        <w:rPr>
          <w:color w:val="222222"/>
        </w:rPr>
        <w:fldChar w:fldCharType="end"/>
      </w:r>
      <w:r w:rsidR="00537EB8" w:rsidRPr="004E6DA2">
        <w:rPr>
          <w:color w:val="222222"/>
        </w:rPr>
        <w:t xml:space="preserve">. </w:t>
      </w:r>
      <w:r w:rsidR="00537EB8" w:rsidRPr="004E6DA2">
        <w:t xml:space="preserve">In this </w:t>
      </w:r>
      <w:r w:rsidR="00AF1B73" w:rsidRPr="004E6DA2">
        <w:t>paper</w:t>
      </w:r>
      <w:r w:rsidR="00537EB8" w:rsidRPr="004E6DA2">
        <w:t xml:space="preserve">, we </w:t>
      </w:r>
      <w:r w:rsidR="00AF1B73" w:rsidRPr="004E6DA2">
        <w:t>contri</w:t>
      </w:r>
      <w:r w:rsidR="00AF1B73">
        <w:t xml:space="preserve">bute to this stream of research by </w:t>
      </w:r>
      <w:r w:rsidR="00537EB8" w:rsidRPr="00425F23">
        <w:t>examin</w:t>
      </w:r>
      <w:r w:rsidR="00AF1B73">
        <w:t>ing</w:t>
      </w:r>
      <w:r w:rsidR="00537EB8" w:rsidRPr="00425F23">
        <w:t xml:space="preserve"> the impacts of the pandemic on </w:t>
      </w:r>
      <w:r w:rsidR="00D00043">
        <w:t>PT use behavior</w:t>
      </w:r>
      <w:r w:rsidR="00537EB8" w:rsidRPr="00425F23">
        <w:t xml:space="preserve">, as well as </w:t>
      </w:r>
      <w:r w:rsidR="00F17FEC">
        <w:t xml:space="preserve">investigating </w:t>
      </w:r>
      <w:r w:rsidR="00537EB8" w:rsidRPr="00425F23">
        <w:t xml:space="preserve">the </w:t>
      </w:r>
      <w:r w:rsidR="00AF1B73">
        <w:t>potential</w:t>
      </w:r>
      <w:r w:rsidR="00F17FEC">
        <w:t xml:space="preserve"> for </w:t>
      </w:r>
      <w:r w:rsidR="007C2EC6">
        <w:t xml:space="preserve">a </w:t>
      </w:r>
      <w:r w:rsidR="00537EB8" w:rsidRPr="00425F23">
        <w:t xml:space="preserve">return to pre-pandemic </w:t>
      </w:r>
      <w:r w:rsidR="00D00043">
        <w:t xml:space="preserve">PT use </w:t>
      </w:r>
      <w:r w:rsidR="00537EB8" w:rsidRPr="00425F23">
        <w:t>behavior</w:t>
      </w:r>
      <w:r w:rsidR="005B092D">
        <w:t>s</w:t>
      </w:r>
      <w:r w:rsidR="00537EB8" w:rsidRPr="00425F23">
        <w:t xml:space="preserve">. </w:t>
      </w:r>
      <w:r w:rsidR="00F17FEC">
        <w:t>In this context, and d</w:t>
      </w:r>
      <w:r w:rsidR="00AF1B73">
        <w:t xml:space="preserve">ifferently from other earlier studies </w:t>
      </w:r>
      <w:r w:rsidR="00537EB8" w:rsidRPr="00425F23">
        <w:t xml:space="preserve">that </w:t>
      </w:r>
      <w:r w:rsidR="00F17FEC">
        <w:t xml:space="preserve">have </w:t>
      </w:r>
      <w:r w:rsidR="00537EB8" w:rsidRPr="00425F23">
        <w:t>examine</w:t>
      </w:r>
      <w:r w:rsidR="00F17FEC">
        <w:t>d</w:t>
      </w:r>
      <w:r w:rsidR="00537EB8" w:rsidRPr="00425F23">
        <w:t xml:space="preserve"> </w:t>
      </w:r>
      <w:r w:rsidR="00D00043">
        <w:t xml:space="preserve">PT </w:t>
      </w:r>
      <w:r w:rsidR="00AF1B73">
        <w:t xml:space="preserve">use </w:t>
      </w:r>
      <w:r w:rsidR="00537EB8" w:rsidRPr="00425F23">
        <w:t>trends at an aggregate level</w:t>
      </w:r>
      <w:r w:rsidR="00DA14F1">
        <w:t xml:space="preserve"> (see </w:t>
      </w:r>
      <w:r w:rsidR="00DA14F1">
        <w:fldChar w:fldCharType="begin"/>
      </w:r>
      <w:r w:rsidR="005C565E">
        <w:instrText xml:space="preserve"> ADDIN ZOTERO_ITEM CSL_CITATION {"citationID":"8Vjkj6eh","properties":{"formattedCitation":"(Lin et al., 2024)","plainCitation":"(Lin et al., 2024)","dontUpdate":true,"noteIndex":0},"citationItems":[{"id":281,"uris":["http://zotero.org/groups/5345474/items/RHC49ECX"],"itemData":{"id":281,"type":"article-journal","abstract":"During a pandemic or natural disaster, people may alter transit usage behavior due to perception of changes in the environment. To effectively respond to these crises, it is important for governments and public transit agencies to understand when these changes occurred and how they were affected by relevant policies and responsive strategies. In this study, we develop a methodological framework based on Bayesian online changepoint detection (BOCD) to identify the occurrence time, direction, and persistency of changes in individual-level transit usage. We demonstrate the effectiveness of this framework in informing government decision-making in the context of COVID-19. Using Jeju Island, South Korea as a case study, we apply the framework over a nearly two-year smart card dataset collected from the beginning of 2019 till nine months into the pandemic. By focusing on frequent transit users, we detect when these users significantly changed their transit usage frequency during the pandemic and identify several types of users who experienced different behavior change patterns. Besides demonstrating the great heterogeneity in individual-level behavior changes, we perform a regression analysis to further understand how these changes were affected by key government policies (e.g., Risk alert, Social distancing, Public transit policy, and Eased social distancing). Our results suggest that only certain sets of policies appear to have significant effects. In particular, introducing Risk alert would cause a 277% to 317% increase in the number of users who reduced transit usage frequency. Policies that eased social distancing, though, would cause a 134% to 155% increase in the number of users with travel frequency increase. The proposed BOCD framework enables a scalable solution to identifying and understanding changes of individual transit behavior. The methodology and findings are beneficial for developing targeted policies and interventions to facilitate daily travel and public transit operations during public health crises.","container-title":"Transportation Research Part A: Policy and Practice","DOI":"10.1016/j.tra.2024.104003","ISSN":"0965-8564","journalAbbreviation":"Transportation Research Part A: Policy and Practice","page":"104003","source":"ScienceDirect","title":"Assessing effects of pandemic-related policies on individual public transit travel patterns: A Bayesian online changepoint detection based framework","title-short":"Assessing effects of pandemic-related policies on individual public transit travel patterns","URL":"https://www.sciencedirect.com/science/article/pii/S096585642400051X","volume":"181","author":[{"family":"Lin","given":"Yuqian"},{"family":"Xu","given":"Yang"},{"family":"Zhao","given":"Zhan"},{"family":"Tu","given":"Wei"},{"family":"Park","given":"Sangwon"},{"family":"Li","given":"Qingquan"}],"accessed":{"date-parts":[["2024",5,29]]},"issued":{"date-parts":[["2024",3,1]]}}}],"schema":"https://github.com/citation-style-language/schema/raw/master/csl-citation.json"} </w:instrText>
      </w:r>
      <w:r w:rsidR="00DA14F1">
        <w:fldChar w:fldCharType="separate"/>
      </w:r>
      <w:r w:rsidR="00DA14F1">
        <w:rPr>
          <w:noProof/>
        </w:rPr>
        <w:t>Lin et al., 2024)</w:t>
      </w:r>
      <w:r w:rsidR="00DA14F1">
        <w:fldChar w:fldCharType="end"/>
      </w:r>
      <w:r w:rsidR="00537EB8" w:rsidRPr="00425F23">
        <w:t xml:space="preserve">, we </w:t>
      </w:r>
      <w:r w:rsidR="00AF1B73">
        <w:t xml:space="preserve">undertake an individual-level analysis employing </w:t>
      </w:r>
      <w:r w:rsidR="007C2EC6">
        <w:t xml:space="preserve">the </w:t>
      </w:r>
      <w:r w:rsidR="00F17FEC">
        <w:t xml:space="preserve">stated </w:t>
      </w:r>
      <w:r w:rsidR="007C2EC6">
        <w:t xml:space="preserve">PT </w:t>
      </w:r>
      <w:r w:rsidR="00AF1B73">
        <w:t xml:space="preserve">use </w:t>
      </w:r>
      <w:r w:rsidR="00537EB8" w:rsidRPr="00425F23">
        <w:t xml:space="preserve">change </w:t>
      </w:r>
      <w:r w:rsidR="0093606C">
        <w:t xml:space="preserve">of individuals </w:t>
      </w:r>
      <w:r w:rsidR="007C2EC6">
        <w:t xml:space="preserve">between the </w:t>
      </w:r>
      <w:r w:rsidR="00AF1B73">
        <w:t>before</w:t>
      </w:r>
      <w:r w:rsidR="007C2EC6">
        <w:t>-</w:t>
      </w:r>
      <w:r w:rsidR="00AF1B73">
        <w:t>COVID and after</w:t>
      </w:r>
      <w:r w:rsidR="007C2EC6">
        <w:t>-COVID periods (for ease in presentation, we will refer to the period after the onset of the pandemic as the after-COVID period)</w:t>
      </w:r>
      <w:r w:rsidR="00537EB8" w:rsidRPr="00425F23">
        <w:t xml:space="preserve">. In addition, we consider stated intentions about the permanence </w:t>
      </w:r>
      <w:r w:rsidR="00F17FEC">
        <w:t xml:space="preserve">(or not) </w:t>
      </w:r>
      <w:r w:rsidR="00537EB8" w:rsidRPr="00425F23">
        <w:t xml:space="preserve">of these </w:t>
      </w:r>
      <w:r w:rsidR="007C2EC6">
        <w:t xml:space="preserve">pandemic-engendered </w:t>
      </w:r>
      <w:r w:rsidR="00537EB8" w:rsidRPr="00425F23">
        <w:t xml:space="preserve">changes in </w:t>
      </w:r>
      <w:r w:rsidR="00D00043">
        <w:t>PT</w:t>
      </w:r>
      <w:r w:rsidR="00537EB8" w:rsidRPr="00425F23">
        <w:t xml:space="preserve"> use, revealing the extent to which </w:t>
      </w:r>
      <w:r w:rsidR="007C2EC6">
        <w:t xml:space="preserve">the </w:t>
      </w:r>
      <w:r w:rsidR="00A52448">
        <w:t xml:space="preserve">PT use </w:t>
      </w:r>
      <w:r w:rsidR="007C2EC6">
        <w:t xml:space="preserve">changes </w:t>
      </w:r>
      <w:r w:rsidR="00537EB8" w:rsidRPr="00425F23">
        <w:t xml:space="preserve">may be </w:t>
      </w:r>
      <w:r>
        <w:t>transient in nature</w:t>
      </w:r>
      <w:r w:rsidR="00537EB8" w:rsidRPr="00425F23">
        <w:t xml:space="preserve">. </w:t>
      </w:r>
      <w:r w:rsidR="00A52448">
        <w:t>Specifically</w:t>
      </w:r>
      <w:r w:rsidR="00F17FEC">
        <w:t>, w</w:t>
      </w:r>
      <w:r>
        <w:t xml:space="preserve">hile many individuals have made significant lifestyle changes during the pandemic that may have permanently impacted their </w:t>
      </w:r>
      <w:r w:rsidR="0093606C">
        <w:t>PT use</w:t>
      </w:r>
      <w:r>
        <w:t xml:space="preserve">, others may be willing to return as fears of infection decline and individual-level transportation needs continue to evolve. </w:t>
      </w:r>
      <w:r w:rsidR="00537EB8" w:rsidRPr="00425F23">
        <w:t>To our knowledge, no other study has explored th</w:t>
      </w:r>
      <w:r w:rsidR="00F17FEC">
        <w:t>is</w:t>
      </w:r>
      <w:r w:rsidR="00537EB8" w:rsidRPr="00425F23">
        <w:t xml:space="preserve"> </w:t>
      </w:r>
      <w:r w:rsidR="00F17FEC">
        <w:t xml:space="preserve">potentially </w:t>
      </w:r>
      <w:r w:rsidR="00537EB8" w:rsidRPr="00425F23">
        <w:t xml:space="preserve">transient </w:t>
      </w:r>
      <w:r w:rsidR="00F17FEC">
        <w:t xml:space="preserve">dimension </w:t>
      </w:r>
      <w:r w:rsidR="00537EB8" w:rsidRPr="00425F23">
        <w:t xml:space="preserve">of </w:t>
      </w:r>
      <w:r w:rsidR="007C2EC6">
        <w:t xml:space="preserve">PT </w:t>
      </w:r>
      <w:r w:rsidR="00537EB8" w:rsidRPr="00425F23">
        <w:t>use</w:t>
      </w:r>
      <w:r w:rsidR="007C2EC6">
        <w:t xml:space="preserve"> change</w:t>
      </w:r>
      <w:r>
        <w:t>.</w:t>
      </w:r>
      <w:r w:rsidR="00537EB8" w:rsidRPr="00425F23">
        <w:t xml:space="preserve"> </w:t>
      </w:r>
      <w:r w:rsidR="007C2EC6">
        <w:t xml:space="preserve">Our analysis is based on </w:t>
      </w:r>
      <w:r w:rsidR="00537EB8" w:rsidRPr="00425F23">
        <w:t>data from the 2022 National Household Travel Survey</w:t>
      </w:r>
      <w:r w:rsidR="00CF1F64">
        <w:t>. In this regard,</w:t>
      </w:r>
      <w:r w:rsidR="001E1DC5">
        <w:t xml:space="preserve"> while </w:t>
      </w:r>
      <w:r w:rsidR="00CF1F64">
        <w:t xml:space="preserve">PT use changes in </w:t>
      </w:r>
      <w:r w:rsidR="001E1DC5">
        <w:t xml:space="preserve">other countries are referenced </w:t>
      </w:r>
      <w:r w:rsidR="00CF1F64">
        <w:t xml:space="preserve">in our literature overview </w:t>
      </w:r>
      <w:r w:rsidR="001E1DC5">
        <w:t xml:space="preserve">to provide a </w:t>
      </w:r>
      <w:r w:rsidR="00CF1F64">
        <w:t>comprehensive picture</w:t>
      </w:r>
      <w:r w:rsidR="001E1DC5">
        <w:t xml:space="preserve">, </w:t>
      </w:r>
      <w:bookmarkStart w:id="0" w:name="_Hlk195686869"/>
      <w:r w:rsidR="00CF1F64">
        <w:t xml:space="preserve">the results from </w:t>
      </w:r>
      <w:r w:rsidR="001E1DC5">
        <w:t xml:space="preserve">our analysis </w:t>
      </w:r>
      <w:r w:rsidR="00CF1F64">
        <w:t xml:space="preserve">should be viewed in the strict context of </w:t>
      </w:r>
      <w:r w:rsidR="001E1DC5">
        <w:t>the U.S</w:t>
      </w:r>
      <w:r w:rsidR="009D58D2">
        <w:t>.</w:t>
      </w:r>
      <w:r w:rsidR="00537EB8" w:rsidRPr="00425F23">
        <w:t xml:space="preserve"> </w:t>
      </w:r>
    </w:p>
    <w:bookmarkEnd w:id="0"/>
    <w:p w14:paraId="02224EFF" w14:textId="7CAD5142" w:rsidR="001571D1" w:rsidRPr="006D2090" w:rsidRDefault="00E312E1" w:rsidP="00C67E12">
      <w:pPr>
        <w:pStyle w:val="NormalWeb"/>
        <w:shd w:val="clear" w:color="auto" w:fill="FFFFFF"/>
        <w:spacing w:before="0" w:beforeAutospacing="0" w:after="0" w:afterAutospacing="0"/>
        <w:ind w:firstLine="720"/>
        <w:jc w:val="both"/>
      </w:pPr>
      <w:r>
        <w:t>The next section provides</w:t>
      </w:r>
      <w:r w:rsidR="001571D1" w:rsidRPr="00425F23">
        <w:t xml:space="preserve"> a broad overview of the current literature that addresses </w:t>
      </w:r>
      <w:r w:rsidR="00A52448">
        <w:t xml:space="preserve">PT </w:t>
      </w:r>
      <w:r w:rsidR="001571D1" w:rsidRPr="00425F23">
        <w:t>use</w:t>
      </w:r>
      <w:r w:rsidR="00A23600" w:rsidRPr="00425F23">
        <w:t xml:space="preserve"> </w:t>
      </w:r>
      <w:r w:rsidR="0093606C">
        <w:t xml:space="preserve">trends using aggregate and individual-level data, </w:t>
      </w:r>
      <w:r w:rsidR="00A23600" w:rsidRPr="00425F23">
        <w:t>as well as</w:t>
      </w:r>
      <w:r w:rsidR="0093606C">
        <w:t xml:space="preserve"> PT perceptions, attitudes and stated </w:t>
      </w:r>
      <w:r w:rsidR="00E556C7">
        <w:lastRenderedPageBreak/>
        <w:t xml:space="preserve">future </w:t>
      </w:r>
      <w:r w:rsidR="0093606C">
        <w:t>use intentions</w:t>
      </w:r>
      <w:r w:rsidR="001571D1" w:rsidRPr="00425F23">
        <w:t xml:space="preserve">. Section 3 </w:t>
      </w:r>
      <w:r w:rsidR="00CE4DCC">
        <w:t>describes the data used for th</w:t>
      </w:r>
      <w:r w:rsidR="0093606C">
        <w:t>e</w:t>
      </w:r>
      <w:r w:rsidR="00CE4DCC">
        <w:t xml:space="preserve"> study and the mathematical framework </w:t>
      </w:r>
      <w:r w:rsidR="0093606C">
        <w:t>employed</w:t>
      </w:r>
      <w:r w:rsidR="00CE4DCC">
        <w:t xml:space="preserve">. </w:t>
      </w:r>
      <w:r w:rsidR="001571D1" w:rsidRPr="00425F23">
        <w:t xml:space="preserve">Section 4 </w:t>
      </w:r>
      <w:r w:rsidR="00CE4DCC">
        <w:t xml:space="preserve">presents </w:t>
      </w:r>
      <w:r w:rsidR="001571D1" w:rsidRPr="00425F23">
        <w:t xml:space="preserve">the model </w:t>
      </w:r>
      <w:r w:rsidR="00A23600" w:rsidRPr="00425F23">
        <w:t>results</w:t>
      </w:r>
      <w:r w:rsidR="0093606C">
        <w:t xml:space="preserve">. </w:t>
      </w:r>
      <w:r w:rsidR="00CE4DCC">
        <w:t>S</w:t>
      </w:r>
      <w:r w:rsidR="001571D1" w:rsidRPr="00425F23">
        <w:t xml:space="preserve">ection 5 </w:t>
      </w:r>
      <w:r w:rsidR="00CE4DCC">
        <w:t>discusses</w:t>
      </w:r>
      <w:r w:rsidR="001571D1" w:rsidRPr="00425F23">
        <w:t xml:space="preserve"> the implications of these results </w:t>
      </w:r>
      <w:r w:rsidR="00CE4DCC">
        <w:t xml:space="preserve">in the context of transportation planning and potential efforts to revitalize </w:t>
      </w:r>
      <w:r w:rsidR="00A52448">
        <w:t xml:space="preserve">PT </w:t>
      </w:r>
      <w:r w:rsidR="00CE4DCC">
        <w:t>ridership</w:t>
      </w:r>
      <w:r w:rsidR="001E1DC5">
        <w:t xml:space="preserve"> in the U</w:t>
      </w:r>
      <w:r w:rsidR="00A228A2">
        <w:t>nited States</w:t>
      </w:r>
      <w:r w:rsidR="001571D1" w:rsidRPr="00425F23">
        <w:t xml:space="preserve">. </w:t>
      </w:r>
      <w:r w:rsidR="00CE4DCC">
        <w:t>Finally</w:t>
      </w:r>
      <w:r w:rsidR="001571D1" w:rsidRPr="00425F23">
        <w:t>, Section 6 provide</w:t>
      </w:r>
      <w:r w:rsidR="00CE4DCC">
        <w:t>s</w:t>
      </w:r>
      <w:r w:rsidR="001571D1" w:rsidRPr="00425F23">
        <w:t xml:space="preserve"> a summary of the important findings and </w:t>
      </w:r>
      <w:r w:rsidR="00CE4DCC">
        <w:t xml:space="preserve">identifies </w:t>
      </w:r>
      <w:r w:rsidR="001571D1" w:rsidRPr="00425F23">
        <w:t xml:space="preserve">future research opportunities. </w:t>
      </w:r>
    </w:p>
    <w:p w14:paraId="16B4F9EA" w14:textId="77777777" w:rsidR="00537EB8" w:rsidRPr="00425F23" w:rsidRDefault="00537EB8" w:rsidP="00C67E12">
      <w:pPr>
        <w:pStyle w:val="NormalWeb"/>
        <w:shd w:val="clear" w:color="auto" w:fill="FFFFFF"/>
        <w:spacing w:before="0" w:beforeAutospacing="0" w:after="0" w:afterAutospacing="0"/>
        <w:rPr>
          <w:color w:val="222222"/>
        </w:rPr>
      </w:pPr>
    </w:p>
    <w:p w14:paraId="37E43237" w14:textId="77777777" w:rsidR="00537EB8" w:rsidRPr="00425F23" w:rsidRDefault="00537EB8" w:rsidP="00C67E12">
      <w:pPr>
        <w:pStyle w:val="NormalWeb"/>
        <w:shd w:val="clear" w:color="auto" w:fill="FFFFFF"/>
        <w:spacing w:before="0" w:beforeAutospacing="0" w:after="0" w:afterAutospacing="0"/>
        <w:rPr>
          <w:b/>
          <w:bCs/>
          <w:color w:val="222222"/>
        </w:rPr>
      </w:pPr>
      <w:r w:rsidRPr="00425F23">
        <w:rPr>
          <w:b/>
          <w:bCs/>
          <w:color w:val="222222"/>
        </w:rPr>
        <w:t>2. LITERATURE OVERVIEW AND THE CURRENT STUDY</w:t>
      </w:r>
    </w:p>
    <w:p w14:paraId="48674843" w14:textId="3E9E2768" w:rsidR="00537EB8" w:rsidRPr="00E556C7" w:rsidRDefault="00046F58" w:rsidP="00C67E12">
      <w:pPr>
        <w:pStyle w:val="NormalWeb"/>
        <w:shd w:val="clear" w:color="auto" w:fill="FFFFFF"/>
        <w:spacing w:before="0" w:beforeAutospacing="0" w:after="0" w:afterAutospacing="0"/>
        <w:jc w:val="both"/>
        <w:rPr>
          <w:b/>
          <w:bCs/>
          <w:color w:val="222222"/>
        </w:rPr>
      </w:pPr>
      <w:r>
        <w:rPr>
          <w:color w:val="222222"/>
        </w:rPr>
        <w:t>E</w:t>
      </w:r>
      <w:r w:rsidR="007E1E79">
        <w:rPr>
          <w:color w:val="222222"/>
        </w:rPr>
        <w:t xml:space="preserve">xtensive literature </w:t>
      </w:r>
      <w:r>
        <w:rPr>
          <w:color w:val="222222"/>
        </w:rPr>
        <w:t xml:space="preserve">has </w:t>
      </w:r>
      <w:r w:rsidR="00537EB8" w:rsidRPr="00425F23">
        <w:rPr>
          <w:color w:val="222222"/>
        </w:rPr>
        <w:t>examin</w:t>
      </w:r>
      <w:r>
        <w:rPr>
          <w:color w:val="222222"/>
        </w:rPr>
        <w:t>ed</w:t>
      </w:r>
      <w:r w:rsidR="00537EB8" w:rsidRPr="00425F23">
        <w:rPr>
          <w:color w:val="222222"/>
        </w:rPr>
        <w:t xml:space="preserve"> the </w:t>
      </w:r>
      <w:r w:rsidR="00470B70" w:rsidRPr="00425F23">
        <w:rPr>
          <w:color w:val="222222"/>
        </w:rPr>
        <w:t>impact</w:t>
      </w:r>
      <w:r w:rsidR="00537EB8" w:rsidRPr="00425F23">
        <w:rPr>
          <w:color w:val="222222"/>
        </w:rPr>
        <w:t xml:space="preserve"> of the COVID-19 pandemic on</w:t>
      </w:r>
      <w:r w:rsidR="00A52448">
        <w:rPr>
          <w:color w:val="222222"/>
        </w:rPr>
        <w:t xml:space="preserve"> PT </w:t>
      </w:r>
      <w:r w:rsidR="00537EB8" w:rsidRPr="00425F23">
        <w:rPr>
          <w:color w:val="222222"/>
        </w:rPr>
        <w:t>us</w:t>
      </w:r>
      <w:r w:rsidR="006F7932">
        <w:rPr>
          <w:color w:val="222222"/>
        </w:rPr>
        <w:t>e</w:t>
      </w:r>
      <w:r w:rsidR="00537EB8" w:rsidRPr="00425F23">
        <w:rPr>
          <w:color w:val="222222"/>
        </w:rPr>
        <w:t>.</w:t>
      </w:r>
      <w:r w:rsidR="007E1E79">
        <w:rPr>
          <w:color w:val="222222"/>
        </w:rPr>
        <w:t xml:space="preserve"> </w:t>
      </w:r>
      <w:r w:rsidR="006F7932">
        <w:rPr>
          <w:color w:val="222222"/>
        </w:rPr>
        <w:t xml:space="preserve">These </w:t>
      </w:r>
      <w:r w:rsidR="00537EB8" w:rsidRPr="00425F23">
        <w:rPr>
          <w:color w:val="222222"/>
        </w:rPr>
        <w:t xml:space="preserve">studies </w:t>
      </w:r>
      <w:r w:rsidR="006F7932">
        <w:rPr>
          <w:color w:val="222222"/>
        </w:rPr>
        <w:t xml:space="preserve">may be broadly grouped under three categories: </w:t>
      </w:r>
      <w:r w:rsidR="00537EB8" w:rsidRPr="00425F23">
        <w:rPr>
          <w:color w:val="222222"/>
        </w:rPr>
        <w:t xml:space="preserve">(1) aggregate </w:t>
      </w:r>
      <w:r w:rsidR="00E556C7">
        <w:rPr>
          <w:color w:val="222222"/>
        </w:rPr>
        <w:t xml:space="preserve">data </w:t>
      </w:r>
      <w:r w:rsidR="00537EB8" w:rsidRPr="00425F23">
        <w:rPr>
          <w:color w:val="222222"/>
        </w:rPr>
        <w:t>studies of ridership trends</w:t>
      </w:r>
      <w:r>
        <w:rPr>
          <w:color w:val="222222"/>
        </w:rPr>
        <w:t xml:space="preserve">, (2) </w:t>
      </w:r>
      <w:r w:rsidR="00E556C7" w:rsidRPr="00E556C7">
        <w:rPr>
          <w:color w:val="222222"/>
        </w:rPr>
        <w:t>individual</w:t>
      </w:r>
      <w:r w:rsidR="004D72DF">
        <w:rPr>
          <w:color w:val="222222"/>
        </w:rPr>
        <w:t>-</w:t>
      </w:r>
      <w:r w:rsidR="00E556C7" w:rsidRPr="00E556C7">
        <w:rPr>
          <w:color w:val="222222"/>
        </w:rPr>
        <w:t xml:space="preserve">level data studies of </w:t>
      </w:r>
      <w:r w:rsidR="00E556C7" w:rsidRPr="00E556C7">
        <w:rPr>
          <w:i/>
          <w:iCs/>
          <w:color w:val="222222"/>
        </w:rPr>
        <w:t>current</w:t>
      </w:r>
      <w:r w:rsidR="00E556C7" w:rsidRPr="00E556C7">
        <w:rPr>
          <w:color w:val="222222"/>
        </w:rPr>
        <w:t xml:space="preserve"> PT attitudes and us</w:t>
      </w:r>
      <w:r w:rsidR="004D4482">
        <w:rPr>
          <w:color w:val="222222"/>
        </w:rPr>
        <w:t>age</w:t>
      </w:r>
      <w:r w:rsidR="00E556C7" w:rsidRPr="00E556C7">
        <w:rPr>
          <w:color w:val="222222"/>
        </w:rPr>
        <w:t xml:space="preserve"> change</w:t>
      </w:r>
      <w:r w:rsidR="004D4482">
        <w:rPr>
          <w:color w:val="222222"/>
        </w:rPr>
        <w:t>s</w:t>
      </w:r>
      <w:r>
        <w:rPr>
          <w:color w:val="222222"/>
        </w:rPr>
        <w:t>,</w:t>
      </w:r>
      <w:r w:rsidR="00537EB8" w:rsidRPr="00425F23">
        <w:rPr>
          <w:color w:val="222222"/>
        </w:rPr>
        <w:t xml:space="preserve"> </w:t>
      </w:r>
      <w:r w:rsidR="00C3389F">
        <w:rPr>
          <w:color w:val="222222"/>
        </w:rPr>
        <w:t xml:space="preserve">and </w:t>
      </w:r>
      <w:r w:rsidR="00537EB8" w:rsidRPr="00425F23">
        <w:rPr>
          <w:color w:val="222222"/>
        </w:rPr>
        <w:t>(</w:t>
      </w:r>
      <w:r>
        <w:rPr>
          <w:color w:val="222222"/>
        </w:rPr>
        <w:t>3</w:t>
      </w:r>
      <w:r w:rsidR="00537EB8" w:rsidRPr="00425F23">
        <w:rPr>
          <w:color w:val="222222"/>
        </w:rPr>
        <w:t xml:space="preserve">) </w:t>
      </w:r>
      <w:r w:rsidR="004D72DF">
        <w:rPr>
          <w:color w:val="222222"/>
        </w:rPr>
        <w:t xml:space="preserve">individual-level </w:t>
      </w:r>
      <w:r w:rsidR="00537EB8" w:rsidRPr="00425F23">
        <w:rPr>
          <w:color w:val="222222"/>
        </w:rPr>
        <w:t xml:space="preserve">stated </w:t>
      </w:r>
      <w:r w:rsidR="00E556C7" w:rsidRPr="00E556C7">
        <w:rPr>
          <w:i/>
          <w:iCs/>
          <w:color w:val="222222"/>
        </w:rPr>
        <w:t>future</w:t>
      </w:r>
      <w:r w:rsidR="00E556C7">
        <w:rPr>
          <w:color w:val="222222"/>
        </w:rPr>
        <w:t xml:space="preserve"> PT use assessments based on </w:t>
      </w:r>
      <w:r w:rsidR="00537EB8" w:rsidRPr="00425F23">
        <w:rPr>
          <w:color w:val="222222"/>
        </w:rPr>
        <w:t>intention</w:t>
      </w:r>
      <w:r w:rsidR="00E556C7">
        <w:rPr>
          <w:color w:val="222222"/>
        </w:rPr>
        <w:t>/</w:t>
      </w:r>
      <w:r w:rsidR="004D72DF">
        <w:rPr>
          <w:color w:val="222222"/>
        </w:rPr>
        <w:t>perception</w:t>
      </w:r>
      <w:r w:rsidR="00D85525">
        <w:rPr>
          <w:color w:val="222222"/>
        </w:rPr>
        <w:t>s</w:t>
      </w:r>
      <w:r w:rsidR="004D72DF">
        <w:rPr>
          <w:color w:val="222222"/>
        </w:rPr>
        <w:t xml:space="preserve">. </w:t>
      </w:r>
    </w:p>
    <w:p w14:paraId="3D4C1BD7" w14:textId="77777777" w:rsidR="00537EB8" w:rsidRPr="00425F23" w:rsidRDefault="00537EB8" w:rsidP="00C67E12">
      <w:pPr>
        <w:pStyle w:val="NormalWeb"/>
        <w:shd w:val="clear" w:color="auto" w:fill="FFFFFF"/>
        <w:spacing w:before="0" w:beforeAutospacing="0" w:after="0" w:afterAutospacing="0"/>
        <w:jc w:val="both"/>
        <w:rPr>
          <w:color w:val="222222"/>
        </w:rPr>
      </w:pPr>
    </w:p>
    <w:p w14:paraId="2BD4D75B" w14:textId="5F305824" w:rsidR="00537EB8" w:rsidRPr="00425F23" w:rsidRDefault="00537EB8" w:rsidP="00C67E12">
      <w:pPr>
        <w:pStyle w:val="NormalWeb"/>
        <w:shd w:val="clear" w:color="auto" w:fill="FFFFFF"/>
        <w:spacing w:before="0" w:beforeAutospacing="0" w:after="0" w:afterAutospacing="0"/>
        <w:jc w:val="both"/>
        <w:rPr>
          <w:b/>
          <w:bCs/>
          <w:color w:val="222222"/>
        </w:rPr>
      </w:pPr>
      <w:r w:rsidRPr="00425F23">
        <w:rPr>
          <w:b/>
          <w:bCs/>
          <w:color w:val="222222"/>
        </w:rPr>
        <w:t xml:space="preserve">2.1 Aggregate </w:t>
      </w:r>
      <w:r w:rsidR="009F295D">
        <w:rPr>
          <w:b/>
          <w:bCs/>
          <w:color w:val="222222"/>
        </w:rPr>
        <w:t xml:space="preserve">Data </w:t>
      </w:r>
      <w:r w:rsidR="00C3389F">
        <w:rPr>
          <w:b/>
          <w:bCs/>
          <w:color w:val="222222"/>
        </w:rPr>
        <w:t>Studies of Ridership Trends</w:t>
      </w:r>
    </w:p>
    <w:p w14:paraId="7061AC76" w14:textId="7F758D7E" w:rsidR="00C3389F" w:rsidRPr="00425F23" w:rsidRDefault="00537EB8" w:rsidP="00C67E12">
      <w:pPr>
        <w:pStyle w:val="NormalWeb"/>
        <w:shd w:val="clear" w:color="auto" w:fill="FFFFFF"/>
        <w:spacing w:before="0" w:beforeAutospacing="0" w:after="0" w:afterAutospacing="0"/>
        <w:jc w:val="both"/>
        <w:rPr>
          <w:color w:val="222222"/>
        </w:rPr>
      </w:pPr>
      <w:r w:rsidRPr="00425F23">
        <w:rPr>
          <w:color w:val="222222"/>
        </w:rPr>
        <w:t>Aggregate data on</w:t>
      </w:r>
      <w:r w:rsidR="00A52448">
        <w:rPr>
          <w:color w:val="222222"/>
        </w:rPr>
        <w:t xml:space="preserve"> PT</w:t>
      </w:r>
      <w:r w:rsidRPr="00425F23">
        <w:rPr>
          <w:color w:val="222222"/>
        </w:rPr>
        <w:t xml:space="preserve"> ridership has revealed</w:t>
      </w:r>
      <w:r w:rsidR="00C3389F">
        <w:rPr>
          <w:color w:val="222222"/>
        </w:rPr>
        <w:t xml:space="preserve"> substantial</w:t>
      </w:r>
      <w:r w:rsidRPr="00425F23">
        <w:rPr>
          <w:color w:val="222222"/>
        </w:rPr>
        <w:t xml:space="preserve"> declines in transit use during the pandemic and a </w:t>
      </w:r>
      <w:r w:rsidR="00C3389F">
        <w:rPr>
          <w:color w:val="222222"/>
        </w:rPr>
        <w:t xml:space="preserve">projected </w:t>
      </w:r>
      <w:r w:rsidRPr="00425F23">
        <w:rPr>
          <w:color w:val="222222"/>
        </w:rPr>
        <w:t>slow recovery</w:t>
      </w:r>
      <w:r w:rsidR="00C3389F">
        <w:rPr>
          <w:color w:val="222222"/>
        </w:rPr>
        <w:t>,</w:t>
      </w:r>
      <w:r w:rsidRPr="00425F23">
        <w:rPr>
          <w:color w:val="222222"/>
        </w:rPr>
        <w:t xml:space="preserve"> even as many other public services have returned to pre-COVID service levels </w:t>
      </w:r>
      <w:r w:rsidRPr="00425F23">
        <w:rPr>
          <w:color w:val="222222"/>
        </w:rPr>
        <w:fldChar w:fldCharType="begin"/>
      </w:r>
      <w:r w:rsidR="005C565E">
        <w:rPr>
          <w:color w:val="222222"/>
        </w:rPr>
        <w:instrText xml:space="preserve"> ADDIN ZOTERO_ITEM CSL_CITATION {"citationID":"a1qgaqtsjj3","properties":{"formattedCitation":"(Zhang et al., 2021)","plainCitation":"(Zhang et al., 2021)","noteIndex":0},"citationItems":[{"id":75,"uris":["http://zotero.org/groups/5345474/items/U9J8TB8B"],"itemData":{"id":75,"type":"article-journal","abstract":"Coronavirus disease 2019 (COVID-19) continues to threaten human life worldwide. We explored how human behaviors have been influenced by the COVID-19 pandemic in Hong Kong, and how the transmission of other respiratory diseases (eg, influenza) has been influenced by human behavior.We focused on the spread of COVID-19 and influenza infections based on the reported COVID-19 cases and influenza surveillance data and investigated the changes in human behavior due to COVID-19 based on mass transit railway data and the data from a telephone survey. We did the simulation based on a susceptible-exposed-infected-recovered (SEIR) model to assess the risk reduction of influenza transmission caused by the changes in human behavior.During the COVID-19 pandemic, the number of passengers fell by 52.0% compared with the same period in 2019. Residents spent 32.2% more time at home. Each person, on average, came into close contact with 17.6 and 7.1 people per day during the normal and pandemic periods, respectively. Students, workers, and older people reduced their daily number of close contacts by 83.0%, 48.1%, and 40.3%, respectively. The close contact rates in residences, workplaces, places of study, restaurants, shopping centers, markets, and public transport decreased by 8.3%, 30.8%, 66.0%, 38.5%, 48.6%, 41.0%, and 36.1%, respectively. Based on the simulation, these changes in human behavior reduced the effective reproduction number of influenza by 63.1%.Human behaviors were significantly influenced by the COVID-19 pandemic in Hong Kong. Close contact control contributed more than 47% to the reduction in infection risk of COVID-19.","container-title":"Clinical Infectious Diseases","DOI":"10.1093/cid/ciaa1818","ISSN":"1058-4838","issue":"5","journalAbbreviation":"Clinical Infectious Diseases","page":"e1142-e1150","source":"Silverchair","title":"Effects of Human Behavior Changes During the Coronavirus Disease 2019 (COVID-19) Pandemic on Influenza Spread in Hong Kong","URL":"https://doi.org/10.1093/cid/ciaa1818","volume":"73","author":[{"family":"Zhang","given":"Nan"},{"family":"Jia","given":"Wei"},{"family":"Lei","given":"Hao"},{"family":"Wang","given":"Peihua"},{"family":"Zhao","given":"Pengcheng"},{"family":"Guo","given":"Yong"},{"family":"Dung","given":"Chung-Hin"},{"family":"Bu","given":"Zhongming"},{"family":"Xue","given":"Peng"},{"family":"Xie","given":"Jingchao"},{"family":"Zhang","given":"Yinping"},{"family":"Cheng","given":"Reynold"},{"family":"Li","given":"Yuguo"}],"accessed":{"date-parts":[["2024",2,13]]},"issued":{"date-parts":[["2021",9,1]]}}}],"schema":"https://github.com/citation-style-language/schema/raw/master/csl-citation.json"} </w:instrText>
      </w:r>
      <w:r w:rsidRPr="00425F23">
        <w:rPr>
          <w:color w:val="222222"/>
        </w:rPr>
        <w:fldChar w:fldCharType="separate"/>
      </w:r>
      <w:r w:rsidRPr="00425F23">
        <w:t>(Zhang et al., 2021)</w:t>
      </w:r>
      <w:r w:rsidRPr="00425F23">
        <w:rPr>
          <w:color w:val="222222"/>
        </w:rPr>
        <w:fldChar w:fldCharType="end"/>
      </w:r>
      <w:r w:rsidRPr="00425F23">
        <w:rPr>
          <w:color w:val="222222"/>
        </w:rPr>
        <w:t xml:space="preserve">. National trends in the United States </w:t>
      </w:r>
      <w:r w:rsidR="00E26D2B" w:rsidRPr="00425F23">
        <w:rPr>
          <w:color w:val="222222"/>
        </w:rPr>
        <w:t xml:space="preserve">in 2022 </w:t>
      </w:r>
      <w:r w:rsidRPr="00425F23">
        <w:rPr>
          <w:color w:val="222222"/>
        </w:rPr>
        <w:t>show</w:t>
      </w:r>
      <w:r w:rsidR="00E26D2B" w:rsidRPr="00425F23">
        <w:rPr>
          <w:color w:val="222222"/>
        </w:rPr>
        <w:t>ed</w:t>
      </w:r>
      <w:r w:rsidRPr="00425F23">
        <w:rPr>
          <w:color w:val="222222"/>
        </w:rPr>
        <w:t xml:space="preserve"> that transit ha</w:t>
      </w:r>
      <w:r w:rsidR="00E26D2B" w:rsidRPr="00425F23">
        <w:rPr>
          <w:color w:val="222222"/>
        </w:rPr>
        <w:t>d</w:t>
      </w:r>
      <w:r w:rsidRPr="00425F23">
        <w:rPr>
          <w:color w:val="222222"/>
        </w:rPr>
        <w:t xml:space="preserve"> only rebounded to about 70% of the 2019 ridership levels, revealing the continued impacts of the pandemic </w:t>
      </w:r>
      <w:r w:rsidRPr="00425F23">
        <w:rPr>
          <w:color w:val="222222"/>
        </w:rPr>
        <w:fldChar w:fldCharType="begin"/>
      </w:r>
      <w:r w:rsidR="005C565E">
        <w:rPr>
          <w:color w:val="222222"/>
        </w:rPr>
        <w:instrText xml:space="preserve"> ADDIN ZOTERO_ITEM CSL_CITATION {"citationID":"a2dpurokprh","properties":{"formattedCitation":"(Doyle, 2022)","plainCitation":"(Doyle, 2022)","noteIndex":0},"citationItems":[{"id":148,"uris":["http://zotero.org/groups/5345474/items/VXP4LFCZ"],"itemData":{"id":148,"type":"post-weblog","abstract":"WASHINGTON, D.C. (September 28, 2022) – According to APTA’s Ridership […]","container-title":"American Public Transportation Association","language":"en-US","title":"Public Transportation Ridership Rises to More than 70 Percent of Pre-Pandemic Levels","URL":"https://www.apta.com/news-publications/press-releases/releases/public-transportation-ridership-rises-to-more-than-70-percent-of-pre-pandemic-levels/","author":[{"family":"Doyle","given":"Thomas"}],"accessed":{"date-parts":[["2024",2,22]]},"issued":{"date-parts":[["2022"]]}}}],"schema":"https://github.com/citation-style-language/schema/raw/master/csl-citation.json"} </w:instrText>
      </w:r>
      <w:r w:rsidRPr="00425F23">
        <w:rPr>
          <w:color w:val="222222"/>
        </w:rPr>
        <w:fldChar w:fldCharType="separate"/>
      </w:r>
      <w:r w:rsidRPr="00425F23">
        <w:t>(Doyle, 2022)</w:t>
      </w:r>
      <w:r w:rsidRPr="00425F23">
        <w:rPr>
          <w:color w:val="222222"/>
        </w:rPr>
        <w:fldChar w:fldCharType="end"/>
      </w:r>
      <w:r w:rsidRPr="00425F23">
        <w:rPr>
          <w:color w:val="222222"/>
        </w:rPr>
        <w:t xml:space="preserve">. </w:t>
      </w:r>
      <w:r w:rsidR="00E26D2B" w:rsidRPr="00425F23">
        <w:rPr>
          <w:color w:val="222222"/>
        </w:rPr>
        <w:t>More recently, t</w:t>
      </w:r>
      <w:r w:rsidR="009612FE" w:rsidRPr="00425F23">
        <w:rPr>
          <w:color w:val="222222"/>
        </w:rPr>
        <w:t>he Transit App include</w:t>
      </w:r>
      <w:r w:rsidR="004D72DF">
        <w:rPr>
          <w:color w:val="222222"/>
        </w:rPr>
        <w:t>d</w:t>
      </w:r>
      <w:r w:rsidR="009612FE" w:rsidRPr="00425F23">
        <w:rPr>
          <w:color w:val="222222"/>
        </w:rPr>
        <w:t xml:space="preserve"> a comparison of </w:t>
      </w:r>
      <w:r w:rsidR="003F610F" w:rsidRPr="00425F23">
        <w:rPr>
          <w:color w:val="222222"/>
        </w:rPr>
        <w:t>ridership between</w:t>
      </w:r>
      <w:r w:rsidR="00933AA7" w:rsidRPr="00425F23">
        <w:rPr>
          <w:color w:val="222222"/>
        </w:rPr>
        <w:t xml:space="preserve"> </w:t>
      </w:r>
      <w:r w:rsidR="005A01A6" w:rsidRPr="00425F23">
        <w:rPr>
          <w:color w:val="222222"/>
        </w:rPr>
        <w:t>February of 2020</w:t>
      </w:r>
      <w:r w:rsidR="00A964F6" w:rsidRPr="00425F23">
        <w:rPr>
          <w:color w:val="222222"/>
        </w:rPr>
        <w:t xml:space="preserve"> (188.2 m)</w:t>
      </w:r>
      <w:r w:rsidR="005A01A6" w:rsidRPr="00425F23">
        <w:rPr>
          <w:color w:val="222222"/>
        </w:rPr>
        <w:t xml:space="preserve"> </w:t>
      </w:r>
      <w:r w:rsidR="003F610F" w:rsidRPr="00425F23">
        <w:rPr>
          <w:color w:val="222222"/>
        </w:rPr>
        <w:t xml:space="preserve">and </w:t>
      </w:r>
      <w:r w:rsidR="005A01A6" w:rsidRPr="00425F23">
        <w:rPr>
          <w:color w:val="222222"/>
        </w:rPr>
        <w:t>February of 2024</w:t>
      </w:r>
      <w:r w:rsidR="00A964F6" w:rsidRPr="00425F23">
        <w:rPr>
          <w:color w:val="222222"/>
        </w:rPr>
        <w:t xml:space="preserve"> (148.6 m)</w:t>
      </w:r>
      <w:r w:rsidR="005A01A6" w:rsidRPr="00425F23">
        <w:rPr>
          <w:color w:val="222222"/>
        </w:rPr>
        <w:t>, show</w:t>
      </w:r>
      <w:r w:rsidR="00A964F6" w:rsidRPr="00425F23">
        <w:rPr>
          <w:color w:val="222222"/>
        </w:rPr>
        <w:t>ing current</w:t>
      </w:r>
      <w:r w:rsidR="007B3BC7">
        <w:rPr>
          <w:color w:val="222222"/>
        </w:rPr>
        <w:t xml:space="preserve"> PT</w:t>
      </w:r>
      <w:r w:rsidR="003F610F" w:rsidRPr="00425F23">
        <w:rPr>
          <w:color w:val="222222"/>
        </w:rPr>
        <w:t xml:space="preserve"> ridership</w:t>
      </w:r>
      <w:r w:rsidR="00A964F6" w:rsidRPr="00425F23">
        <w:rPr>
          <w:color w:val="222222"/>
        </w:rPr>
        <w:t xml:space="preserve"> </w:t>
      </w:r>
      <w:r w:rsidR="004D72DF">
        <w:rPr>
          <w:color w:val="222222"/>
        </w:rPr>
        <w:t>to be</w:t>
      </w:r>
      <w:r w:rsidR="00A964F6" w:rsidRPr="00425F23">
        <w:rPr>
          <w:color w:val="222222"/>
        </w:rPr>
        <w:t xml:space="preserve"> still down </w:t>
      </w:r>
      <w:r w:rsidR="003F610F" w:rsidRPr="00425F23">
        <w:rPr>
          <w:color w:val="222222"/>
        </w:rPr>
        <w:t xml:space="preserve">by </w:t>
      </w:r>
      <w:r w:rsidR="009612FE" w:rsidRPr="00425F23">
        <w:rPr>
          <w:color w:val="222222"/>
        </w:rPr>
        <w:t>a significant</w:t>
      </w:r>
      <w:r w:rsidR="00C3389F">
        <w:rPr>
          <w:color w:val="222222"/>
        </w:rPr>
        <w:t xml:space="preserve"> </w:t>
      </w:r>
      <w:r w:rsidR="00817374">
        <w:rPr>
          <w:color w:val="222222"/>
        </w:rPr>
        <w:t>(</w:t>
      </w:r>
      <w:r w:rsidR="00C3389F">
        <w:rPr>
          <w:color w:val="222222"/>
        </w:rPr>
        <w:t>though much more moderate</w:t>
      </w:r>
      <w:r w:rsidR="00817374">
        <w:rPr>
          <w:color w:val="222222"/>
        </w:rPr>
        <w:t>)</w:t>
      </w:r>
      <w:r w:rsidR="009612FE" w:rsidRPr="00425F23">
        <w:rPr>
          <w:color w:val="222222"/>
        </w:rPr>
        <w:t xml:space="preserve"> </w:t>
      </w:r>
      <w:r w:rsidR="00A964F6" w:rsidRPr="00425F23">
        <w:rPr>
          <w:color w:val="222222"/>
        </w:rPr>
        <w:t>21%</w:t>
      </w:r>
      <w:r w:rsidR="00817374">
        <w:rPr>
          <w:color w:val="222222"/>
        </w:rPr>
        <w:t>,</w:t>
      </w:r>
      <w:r w:rsidR="00A964F6" w:rsidRPr="00425F23">
        <w:rPr>
          <w:color w:val="222222"/>
        </w:rPr>
        <w:t xml:space="preserve"> four years </w:t>
      </w:r>
      <w:r w:rsidR="00046F58">
        <w:rPr>
          <w:color w:val="222222"/>
        </w:rPr>
        <w:t>after</w:t>
      </w:r>
      <w:r w:rsidR="00046F58" w:rsidRPr="00425F23">
        <w:rPr>
          <w:color w:val="222222"/>
        </w:rPr>
        <w:t xml:space="preserve"> </w:t>
      </w:r>
      <w:r w:rsidR="00A964F6" w:rsidRPr="00425F23">
        <w:rPr>
          <w:color w:val="222222"/>
        </w:rPr>
        <w:t xml:space="preserve">the pandemic </w:t>
      </w:r>
      <w:r w:rsidR="00A964F6" w:rsidRPr="00425F23">
        <w:rPr>
          <w:color w:val="222222"/>
        </w:rPr>
        <w:fldChar w:fldCharType="begin"/>
      </w:r>
      <w:r w:rsidR="005C565E">
        <w:rPr>
          <w:color w:val="222222"/>
        </w:rPr>
        <w:instrText xml:space="preserve"> ADDIN ZOTERO_ITEM CSL_CITATION {"citationID":"GgOSEYZP","properties":{"formattedCitation":"(Transit App, 2024)","plainCitation":"(Transit App, 2024)","noteIndex":0},"citationItems":[{"id":144,"uris":["http://zotero.org/groups/5345474/items/ZJI2PYF9"],"itemData":{"id":144,"type":"webpage","abstract":"APTA and the Transit app have partnered to build a new resource for the entire industry, tracking demand for public transit and publishing estimates of ridership change in real time.","title":"APTA - Ridership Trends","URL":"https://transitapp.com/APTA","author":[{"family":"Transit App","given":""}],"accessed":{"date-parts":[["2024",2,22]]},"issued":{"date-parts":[["2024"]]}}}],"schema":"https://github.com/citation-style-language/schema/raw/master/csl-citation.json"} </w:instrText>
      </w:r>
      <w:r w:rsidR="00A964F6" w:rsidRPr="00425F23">
        <w:rPr>
          <w:color w:val="222222"/>
        </w:rPr>
        <w:fldChar w:fldCharType="separate"/>
      </w:r>
      <w:r w:rsidR="00826964" w:rsidRPr="00425F23">
        <w:rPr>
          <w:noProof/>
          <w:color w:val="222222"/>
        </w:rPr>
        <w:t>(Transit App, 2024)</w:t>
      </w:r>
      <w:r w:rsidR="00A964F6" w:rsidRPr="00425F23">
        <w:rPr>
          <w:color w:val="222222"/>
        </w:rPr>
        <w:fldChar w:fldCharType="end"/>
      </w:r>
      <w:r w:rsidR="005A01A6" w:rsidRPr="00425F23">
        <w:rPr>
          <w:color w:val="222222"/>
        </w:rPr>
        <w:t xml:space="preserve">. </w:t>
      </w:r>
      <w:r w:rsidRPr="00425F23">
        <w:rPr>
          <w:color w:val="222222"/>
        </w:rPr>
        <w:t xml:space="preserve">Beyond these overall trends, comparisons of the extent of changes in </w:t>
      </w:r>
      <w:r w:rsidR="007B3BC7">
        <w:rPr>
          <w:color w:val="222222"/>
        </w:rPr>
        <w:t xml:space="preserve">PT </w:t>
      </w:r>
      <w:r w:rsidRPr="00425F23">
        <w:rPr>
          <w:color w:val="222222"/>
        </w:rPr>
        <w:t>use across geographic regions have begun to reveal heterogeneity in the effects of the pandemic</w:t>
      </w:r>
      <w:r w:rsidR="00C3389F">
        <w:rPr>
          <w:color w:val="222222"/>
        </w:rPr>
        <w:t>, based on the extent of COVID infections in the region and regional perceptions of the effectiveness of COVID vaccina</w:t>
      </w:r>
      <w:r w:rsidR="00C3389F" w:rsidRPr="00DC6F5A">
        <w:rPr>
          <w:color w:val="222222"/>
        </w:rPr>
        <w:t xml:space="preserve">tions </w:t>
      </w:r>
      <w:r w:rsidR="00C3389F" w:rsidRPr="00DC6F5A">
        <w:rPr>
          <w:color w:val="222222"/>
        </w:rPr>
        <w:fldChar w:fldCharType="begin"/>
      </w:r>
      <w:r w:rsidR="005C565E">
        <w:rPr>
          <w:color w:val="222222"/>
        </w:rPr>
        <w:instrText xml:space="preserve"> ADDIN ZOTERO_ITEM CSL_CITATION {"citationID":"Ud38weTR","properties":{"formattedCitation":"(Lin et al., 2024; Siewwuttanagul and Jittrapirom, 2023)","plainCitation":"(Lin et al., 2024; Siewwuttanagul and Jittrapirom, 2023)","noteIndex":0},"citationItems":[{"id":281,"uris":["http://zotero.org/groups/5345474/items/RHC49ECX"],"itemData":{"id":281,"type":"article-journal","abstract":"During a pandemic or natural disaster, people may alter transit usage behavior due to perception of changes in the environment. To effectively respond to these crises, it is important for governments and public transit agencies to understand when these changes occurred and how they were affected by relevant policies and responsive strategies. In this study, we develop a methodological framework based on Bayesian online changepoint detection (BOCD) to identify the occurrence time, direction, and persistency of changes in individual-level transit usage. We demonstrate the effectiveness of this framework in informing government decision-making in the context of COVID-19. Using Jeju Island, South Korea as a case study, we apply the framework over a nearly two-year smart card dataset collected from the beginning of 2019 till nine months into the pandemic. By focusing on frequent transit users, we detect when these users significantly changed their transit usage frequency during the pandemic and identify several types of users who experienced different behavior change patterns. Besides demonstrating the great heterogeneity in individual-level behavior changes, we perform a regression analysis to further understand how these changes were affected by key government policies (e.g., Risk alert, Social distancing, Public transit policy, and Eased social distancing). Our results suggest that only certain sets of policies appear to have significant effects. In particular, introducing Risk alert would cause a 277% to 317% increase in the number of users who reduced transit usage frequency. Policies that eased social distancing, though, would cause a 134% to 155% increase in the number of users with travel frequency increase. The proposed BOCD framework enables a scalable solution to identifying and understanding changes of individual transit behavior. The methodology and findings are beneficial for developing targeted policies and interventions to facilitate daily travel and public transit operations during public health crises.","container-title":"Transportation Research Part A: Policy and Practice","DOI":"10.1016/j.tra.2024.104003","ISSN":"0965-8564","journalAbbreviation":"Transportation Research Part A: Policy and Practice","page":"104003","source":"ScienceDirect","title":"Assessing effects of pandemic-related policies on individual public transit travel patterns: A Bayesian online changepoint detection based framework","title-short":"Assessing effects of pandemic-related policies on individual public transit travel patterns","URL":"https://www.sciencedirect.com/science/article/pii/S096585642400051X","volume":"181","author":[{"family":"Lin","given":"Yuqian"},{"family":"Xu","given":"Yang"},{"family":"Zhao","given":"Zhan"},{"family":"Tu","given":"Wei"},{"family":"Park","given":"Sangwon"},{"family":"Li","given":"Qingquan"}],"accessed":{"date-parts":[["2024",5,29]]},"issued":{"date-parts":[["2024",3,1]]}}},{"id":97,"uris":["http://zotero.org/groups/5345474/items/JTUCMFKX"],"itemData":{"id":97,"type":"article-journal","abstract":"The COVID-19 pandemic and related measures used to contain its spread affected public transport ridership in cities around the world. In Thailand, the government issued 41 Royal Decrees between April 2020 and December 2021 to mitigate the spread of the pandemic. In this study, we investigate how Bangkok's public transport services (bus, metro, and boat) have been affected during this period by analyzing the daily ridership data, confirmed COVID-19 cases, and aggregated travel trends by trip destinations using from Google mobility reports. The results show that public transport ridership decreased as daily COVID cases increased and the levels of restraining measures became higher. However, other factors, such as relative strictness compared to earlier measures and sequencing of the measures seems to have had an impact on the ridership. Moreover, the impact on ridership trends is unique for each of the three modes. Bus and metro ridership appear to be more sensitive to the changes in restrictions than the boats. Bus and metro ridership also shows similar changes in the travel trends concerning the place of visit. The findings reported here provide first insights into how Bangkok's public transport systems were affected and suggest the rationale of why different public transport modes were affected differently. These results can be useful for researchers and for decision-makers who plan and design policies and measures for public transport services.","container-title":"Transportation Research Interdisciplinary Perspectives","DOI":"10.1016/j.trip.2022.100737","ISSN":"2590-1982","journalAbbreviation":"Transportation Research Interdisciplinary Perspectives","page":"100737","source":"ScienceDirect","title":"The impact of COVID-19 and related containment measures on Bangkok’s public transport ridership","URL":"https://www.sciencedirect.com/science/article/pii/S259019822200197X","volume":"17","author":[{"family":"Siewwuttanagul","given":"Somsiri"},{"family":"Jittrapirom","given":"Peraphan"}],"accessed":{"date-parts":[["2024",2,13]]},"issued":{"date-parts":[["2023",1,1]]}}}],"schema":"https://github.com/citation-style-language/schema/raw/master/csl-citation.json"} </w:instrText>
      </w:r>
      <w:r w:rsidR="00C3389F" w:rsidRPr="00DC6F5A">
        <w:rPr>
          <w:color w:val="222222"/>
        </w:rPr>
        <w:fldChar w:fldCharType="separate"/>
      </w:r>
      <w:r w:rsidR="002C3B7A" w:rsidRPr="00DC6F5A">
        <w:t>(Lin et al., 2024; Siewwuttanagul and Jittrapirom, 2023)</w:t>
      </w:r>
      <w:r w:rsidR="00C3389F" w:rsidRPr="00DC6F5A">
        <w:rPr>
          <w:color w:val="222222"/>
        </w:rPr>
        <w:fldChar w:fldCharType="end"/>
      </w:r>
      <w:r w:rsidR="00C3389F" w:rsidRPr="00DC6F5A">
        <w:rPr>
          <w:color w:val="222222"/>
        </w:rPr>
        <w:t>.</w:t>
      </w:r>
      <w:r w:rsidR="00C3389F">
        <w:rPr>
          <w:color w:val="222222"/>
        </w:rPr>
        <w:t xml:space="preserve"> However, </w:t>
      </w:r>
      <w:r w:rsidR="00046F58">
        <w:rPr>
          <w:color w:val="222222"/>
        </w:rPr>
        <w:t xml:space="preserve">both of </w:t>
      </w:r>
      <w:r w:rsidR="00C3389F">
        <w:rPr>
          <w:color w:val="222222"/>
        </w:rPr>
        <w:t xml:space="preserve">these issues </w:t>
      </w:r>
      <w:r w:rsidRPr="00425F23">
        <w:rPr>
          <w:color w:val="222222"/>
        </w:rPr>
        <w:t>ha</w:t>
      </w:r>
      <w:r w:rsidR="00046F58">
        <w:rPr>
          <w:color w:val="222222"/>
        </w:rPr>
        <w:t>ve</w:t>
      </w:r>
      <w:r w:rsidRPr="00425F23">
        <w:rPr>
          <w:color w:val="222222"/>
        </w:rPr>
        <w:t xml:space="preserve"> become less important as fears of infection have</w:t>
      </w:r>
      <w:r w:rsidR="007B3BC7">
        <w:rPr>
          <w:color w:val="222222"/>
        </w:rPr>
        <w:t>, f</w:t>
      </w:r>
      <w:r w:rsidR="00C3389F">
        <w:rPr>
          <w:color w:val="222222"/>
        </w:rPr>
        <w:t>or the most part,</w:t>
      </w:r>
      <w:r w:rsidRPr="00425F23">
        <w:rPr>
          <w:color w:val="222222"/>
        </w:rPr>
        <w:t xml:space="preserve"> subsided.</w:t>
      </w:r>
    </w:p>
    <w:p w14:paraId="5564E2E0" w14:textId="37F3DFA3" w:rsidR="00537EB8" w:rsidRPr="00425F23" w:rsidRDefault="00537EB8" w:rsidP="00C67E12">
      <w:pPr>
        <w:pStyle w:val="NormalWeb"/>
        <w:shd w:val="clear" w:color="auto" w:fill="FFFFFF"/>
        <w:spacing w:before="0" w:beforeAutospacing="0" w:after="0" w:afterAutospacing="0"/>
        <w:jc w:val="both"/>
        <w:rPr>
          <w:color w:val="222222"/>
        </w:rPr>
      </w:pPr>
      <w:r w:rsidRPr="00425F23">
        <w:rPr>
          <w:color w:val="222222"/>
        </w:rPr>
        <w:tab/>
        <w:t xml:space="preserve">Other </w:t>
      </w:r>
      <w:r w:rsidR="004D72DF">
        <w:rPr>
          <w:color w:val="222222"/>
        </w:rPr>
        <w:t xml:space="preserve">PT ridership </w:t>
      </w:r>
      <w:r w:rsidR="00C3389F">
        <w:rPr>
          <w:color w:val="222222"/>
        </w:rPr>
        <w:t xml:space="preserve">trend </w:t>
      </w:r>
      <w:r w:rsidRPr="00425F23">
        <w:rPr>
          <w:color w:val="222222"/>
        </w:rPr>
        <w:t>studies have examined sociodemographic effects</w:t>
      </w:r>
      <w:r w:rsidR="00C3389F">
        <w:rPr>
          <w:color w:val="222222"/>
        </w:rPr>
        <w:t xml:space="preserve"> </w:t>
      </w:r>
      <w:r w:rsidRPr="00425F23">
        <w:rPr>
          <w:color w:val="222222"/>
        </w:rPr>
        <w:t xml:space="preserve">using aggregate data. </w:t>
      </w:r>
      <w:r w:rsidR="00C3389F">
        <w:rPr>
          <w:color w:val="222222"/>
        </w:rPr>
        <w:t xml:space="preserve">These studies indicate that </w:t>
      </w:r>
      <w:r w:rsidRPr="00425F23">
        <w:rPr>
          <w:color w:val="222222"/>
        </w:rPr>
        <w:t xml:space="preserve">ridership reduction </w:t>
      </w:r>
      <w:r w:rsidR="00A77B6F">
        <w:rPr>
          <w:color w:val="222222"/>
        </w:rPr>
        <w:t>i</w:t>
      </w:r>
      <w:r w:rsidR="008F7F08" w:rsidRPr="00425F23">
        <w:rPr>
          <w:color w:val="222222"/>
        </w:rPr>
        <w:t xml:space="preserve">s </w:t>
      </w:r>
      <w:r w:rsidR="00A77B6F">
        <w:rPr>
          <w:color w:val="222222"/>
        </w:rPr>
        <w:t>highest</w:t>
      </w:r>
      <w:r w:rsidRPr="00425F23">
        <w:rPr>
          <w:color w:val="222222"/>
        </w:rPr>
        <w:t xml:space="preserve"> in areas with high average incomes, high employment rates, and high levels of </w:t>
      </w:r>
      <w:r w:rsidR="00A77B6F">
        <w:rPr>
          <w:color w:val="222222"/>
        </w:rPr>
        <w:t xml:space="preserve">formal </w:t>
      </w:r>
      <w:r w:rsidRPr="00425F23">
        <w:rPr>
          <w:color w:val="222222"/>
        </w:rPr>
        <w:t>educational attainment</w:t>
      </w:r>
      <w:r w:rsidR="00A77B6F">
        <w:rPr>
          <w:color w:val="222222"/>
        </w:rPr>
        <w:t>, while ridership reduction is lowest</w:t>
      </w:r>
      <w:r w:rsidRPr="00425F23">
        <w:rPr>
          <w:color w:val="222222"/>
        </w:rPr>
        <w:t xml:space="preserve"> i</w:t>
      </w:r>
      <w:r w:rsidR="00A77B6F">
        <w:rPr>
          <w:color w:val="222222"/>
        </w:rPr>
        <w:t xml:space="preserve">n </w:t>
      </w:r>
      <w:r w:rsidRPr="00425F23">
        <w:rPr>
          <w:color w:val="222222"/>
        </w:rPr>
        <w:t xml:space="preserve">areas with </w:t>
      </w:r>
      <w:r w:rsidR="008F7F08" w:rsidRPr="00425F23">
        <w:rPr>
          <w:color w:val="222222"/>
        </w:rPr>
        <w:t xml:space="preserve">a </w:t>
      </w:r>
      <w:r w:rsidRPr="00425F23">
        <w:rPr>
          <w:color w:val="222222"/>
        </w:rPr>
        <w:t xml:space="preserve">high percentage of low-income </w:t>
      </w:r>
      <w:r w:rsidR="00FA4F40">
        <w:rPr>
          <w:color w:val="222222"/>
        </w:rPr>
        <w:t xml:space="preserve">and Hispanic </w:t>
      </w:r>
      <w:r w:rsidRPr="00425F23">
        <w:rPr>
          <w:color w:val="222222"/>
        </w:rPr>
        <w:t xml:space="preserve">population </w:t>
      </w:r>
      <w:r w:rsidR="00FA4F40">
        <w:rPr>
          <w:color w:val="222222"/>
        </w:rPr>
        <w:t xml:space="preserve">groups </w:t>
      </w:r>
      <w:r w:rsidR="003C7F81">
        <w:rPr>
          <w:color w:val="222222"/>
        </w:rPr>
        <w:fldChar w:fldCharType="begin"/>
      </w:r>
      <w:r w:rsidR="005C565E">
        <w:rPr>
          <w:color w:val="222222"/>
        </w:rPr>
        <w:instrText xml:space="preserve"> ADDIN ZOTERO_ITEM CSL_CITATION {"citationID":"dIVK76l6","properties":{"formattedCitation":"(Jiao et al., 2023; Qi et al., 2023; Wilbur et al., 2023)","plainCitation":"(Jiao et al., 2023; Qi et al., 2023; Wilbur et al., 2023)","noteIndex":0},"citationItems":[{"id":100,"uris":["http://zotero.org/groups/5345474/items/25XMMDGC"],"itemData":{"id":100,"type":"article-journal","abstract":"The COVID-19 pandemic has disrupted day-to-day lives and infrastructure across the United States, including public transit systems, which saw precipitous declines in ridership beginning in March 2020. This study aimed to explore the disparities in ridership decline across census tracts in Austin, TX and whether demographic and spatial characteristics exist that are related to these declines. Transit ridership data from the Capital Metropolitan Transportation Authority were used in conjunction with American Community Survey data to understand the spatial distribution of ridership changes caused by the pandemic. Using a multivariate clustering analysis as well as geographically weighted regression models, the analysis indicated that areas of the city with older populations as well as higher percentages of Black and Hispanic populations were associated with less severe declines in ridership, whereas areas with higher unemployment saw steeper declines. The percentage of Hispanic residents appeared to affect ridership most clearly in the center of Austin. These findings support and expand on previous research that found that the impacts of the pandemic on transit ridership have emphasized the disparities in transit usage and dependence across the United States and within cities.","container-title":"Transportation Research Record","DOI":"10.1177/03611981231159906","ISSN":"0361-1981","issue":"4","language":"en","note":"publisher: SAGE Publications Inc","page":"287-297","source":"SAGE Journals","title":"Disparities in the Impacts of the COVID-19 Pandemic on Public Transit Ridership in Austin, Texas, U.S.A","URL":"https://doi.org/10.1177/03611981231159906","volume":"2677","author":[{"family":"Jiao","given":"Junfeng"},{"family":"Hansen","given":"Kent"},{"family":"Azimian","given":"Amin"}],"accessed":{"date-parts":[["2024",2,13]]},"issued":{"date-parts":[["2023",4,1]]}}},{"id":93,"uris":["http://zotero.org/groups/5345474/items/LG5KLZE7"],"itemData":{"id":93,"type":"article-journal","abstract":"In this paper, a national-wide study is conducted to investigate the impacts of COVID-19 on the public transit ridership in the top twenty metropolitan areas in the U.S. At first, COVID-19 composite index was developed to qualitatively measure the level of public fear toward COVID-19 in different metropolitan areas. After that, to analyze the impact of COVID-19 and some socioeconomic factors on transit ridership reduction during the COVID-19 pandemic, a random-effects panel data model was developed and the traditional correlation analysis was also conducted. According to the results of both analyses, it was found that the areas with higher median household income, a higher percentage of the population with a Bachelor’s degree or higher, higher employment rate, and a higher percentage of the Asian population are more likely to have more reductions in public transit ridership during the COVID-19 pandemic. On the other side, the areas with a higher percentage of the population in poverty, and a higher percentage of the Hispanic population are more likely to experience smaller reductions in public transit ridership.","container-title":"International Journal of Transportation Science and Technology","DOI":"10.1016/j.ijtst.2021.11.003","ISSN":"2046-0430","issue":"1","journalAbbreviation":"International Journal of Transportation Science and Technology","page":"34-45","source":"ScienceDirect","title":"Impacts of COVID-19 on public transit ridership","URL":"https://www.sciencedirect.com/science/article/pii/S204604302100085X","volume":"12","author":[{"family":"Qi","given":"Yi"},{"family":"Liu","given":"Jinli"},{"family":"Tao","given":"Tao"},{"family":"Zhao","given":"Qun"}],"accessed":{"date-parts":[["2024",2,13]]},"issued":{"date-parts":[["2023",3,1]]}}},{"id":91,"uris":["http://zotero.org/groups/5345474/items/ZTKUVJEL"],"itemData":{"id":91,"type":"article-journal","abstract":"COVID-19 has radically transformed urban travel behavior throughout the world. Agencies have had to provide adequate service while navigating a rapidly changing environment with reduced revenue. As COVID-19-related restrictions are lifted, transit agencies are concerned about their ability to adapt to changes in ridership behavior and public transit usage. To aid their becoming more adaptive to sudden or persistent shifts in ridership, we addressed three questions: To what degree has COVID-19 affected fixed-line public transit ridership and what is the relationship between reduced demand and -vehicle trips? How has COVID-19 changed ridership patterns and are they expected to persist after restrictions are lifted? Are there disparities in ridership changes across socioeconomic groups and mobility-impaired riders? Focusing on Nashville and Chattanooga, TN, ridership demand and vehicle trips were compared with anonymized mobile location data to study the relationship between mobility patterns and transit usage. Correlation analysis and multiple linear regression were used to investigate the relationship between socioeconomic indicators and changes in transit ridership, and an analysis of changes in paratransit demand before and during COVID-19. Ridership initially dropped by 66% and 65% over the first month of the pandemic for Nashville and Chattanooga, respectively. Cellular mobility patterns in Chattanooga indicated that foot traffic recovered to a greater degree than transit ridership between mid-April and the last week in June, 2020. Education-level had a statistically significant impact on changes in fixed-line bus transit, and the distribution of changes in demand for paratransit services were similar to those of fixed-line bus transit.","container-title":"Transportation Research Record","DOI":"10.1177/03611981231160531","ISSN":"0361-1981","issue":"4","language":"en","note":"publisher: SAGE Publications Inc","page":"531-546","source":"SAGE Journals","title":"Impact of COVID-19 on Public Transit Accessibility and Ridership","URL":"https://doi.org/10.1177/03611981231160531","volume":"2677","author":[{"family":"Wilbur","given":"Michael"},{"family":"Ayman","given":"Afiya"},{"family":"Sivagnanam","given":"Amutheezan"},{"family":"Ouyang","given":"Anna"},{"family":"Poon","given":"Vincent"},{"family":"Kabir","given":"Riyan"},{"family":"Vadali","given":"Abhiram"},{"family":"Pugliese","given":"Philip"},{"family":"Freudberg","given":"Daniel"},{"family":"Laszka","given":"Aron"},{"family":"Dubey","given":"Abhishek"}],"accessed":{"date-parts":[["2024",2,13]]},"issued":{"date-parts":[["2023",4,1]]}}}],"schema":"https://github.com/citation-style-language/schema/raw/master/csl-citation.json"} </w:instrText>
      </w:r>
      <w:r w:rsidR="003C7F81">
        <w:rPr>
          <w:color w:val="222222"/>
        </w:rPr>
        <w:fldChar w:fldCharType="separate"/>
      </w:r>
      <w:r w:rsidR="003C7F81">
        <w:rPr>
          <w:noProof/>
          <w:color w:val="222222"/>
        </w:rPr>
        <w:t>(Jiao et al., 2023; Qi et al., 2023; Wilbur et al., 2023)</w:t>
      </w:r>
      <w:r w:rsidR="003C7F81">
        <w:rPr>
          <w:color w:val="222222"/>
        </w:rPr>
        <w:fldChar w:fldCharType="end"/>
      </w:r>
      <w:r w:rsidR="00FA4F40">
        <w:rPr>
          <w:color w:val="222222"/>
        </w:rPr>
        <w:t>.</w:t>
      </w:r>
      <w:r w:rsidRPr="00425F23">
        <w:rPr>
          <w:color w:val="222222"/>
        </w:rPr>
        <w:t xml:space="preserve"> </w:t>
      </w:r>
      <w:r w:rsidR="00FA4F40">
        <w:rPr>
          <w:color w:val="222222"/>
        </w:rPr>
        <w:t xml:space="preserve">Other studies have shown that </w:t>
      </w:r>
      <w:r w:rsidRPr="00425F23">
        <w:rPr>
          <w:color w:val="222222"/>
        </w:rPr>
        <w:t xml:space="preserve">areas </w:t>
      </w:r>
      <w:r w:rsidR="00FA4F40">
        <w:rPr>
          <w:color w:val="222222"/>
        </w:rPr>
        <w:t xml:space="preserve">with high concentrations of </w:t>
      </w:r>
      <w:r w:rsidR="00046F58">
        <w:rPr>
          <w:color w:val="222222"/>
        </w:rPr>
        <w:t xml:space="preserve">physical </w:t>
      </w:r>
      <w:r w:rsidRPr="00425F23">
        <w:rPr>
          <w:color w:val="222222"/>
        </w:rPr>
        <w:t xml:space="preserve">retail </w:t>
      </w:r>
      <w:r w:rsidR="00FA4F40">
        <w:rPr>
          <w:color w:val="222222"/>
        </w:rPr>
        <w:t xml:space="preserve">stores and fewer residential essential workers have </w:t>
      </w:r>
      <w:r w:rsidRPr="00425F23">
        <w:rPr>
          <w:color w:val="222222"/>
        </w:rPr>
        <w:t xml:space="preserve">experienced </w:t>
      </w:r>
      <w:r w:rsidR="00FA4F40">
        <w:rPr>
          <w:color w:val="222222"/>
        </w:rPr>
        <w:t>higher</w:t>
      </w:r>
      <w:r w:rsidRPr="00425F23">
        <w:rPr>
          <w:color w:val="222222"/>
        </w:rPr>
        <w:t xml:space="preserve"> ridership dec</w:t>
      </w:r>
      <w:r w:rsidRPr="00DC6F5A">
        <w:rPr>
          <w:color w:val="222222"/>
        </w:rPr>
        <w:t>lines</w:t>
      </w:r>
      <w:r w:rsidR="00FA4F40" w:rsidRPr="00DC6F5A">
        <w:rPr>
          <w:color w:val="222222"/>
        </w:rPr>
        <w:t xml:space="preserve"> </w:t>
      </w:r>
      <w:r w:rsidRPr="00DC6F5A">
        <w:rPr>
          <w:color w:val="222222"/>
        </w:rPr>
        <w:fldChar w:fldCharType="begin"/>
      </w:r>
      <w:r w:rsidR="005C565E">
        <w:rPr>
          <w:color w:val="222222"/>
        </w:rPr>
        <w:instrText xml:space="preserve"> ADDIN ZOTERO_ITEM CSL_CITATION {"citationID":"a19chrqodp0","properties":{"formattedCitation":"(Hu and Chen, 2021)","plainCitation":"(Hu and Chen, 2021)","noteIndex":0},"citationItems":[{"id":153,"uris":["http://zotero.org/groups/5345474/items/8V69WSWA"],"itemData":{"id":153,"type":"article-journal","abstract":"The COVID-19 pandemic has led to a globally unprecedented decline in transit ridership. This paper leveraged the 20-years daily transit ridership data in Chicago to infer the impact of COVID-19 on ridership using the Bayesian structural time series model, controlling confounding effects of trend, seasonality, holiday, and weather. A partial least square regression was then employed to examine the relationships between the impact of ridership and various explanatory factors. Results suggested: (1) COVID-19 pandemic exerted significant effects on 95% of transit stations, leading to an average 72.4% drop in ridership. (2) Ridership declined more in regions with more commercial lands and higher percentages of white, educated, and high-income individuals. (3) Regions with more jobs in trade, transportation, and utility sectors presented smaller declines. (4) Regions with more COVID-19 cases/deaths presented smaller declines in transit ridership. Findings provide a timely understanding of the significantly reduced ridership during the pandemic and help transit agencies adjust services across different socioeconomic groups and space to better constrain virus transmission.","container-title":"Transportation Research Part D: Transport and Environment","DOI":"10.1016/j.trd.2020.102654","ISSN":"1361-9209","journalAbbreviation":"Transportation Research Part D: Transport and Environment","page":"102654","source":"ScienceDirect","title":"Who left riding transit? Examining socioeconomic disparities in the impact of COVID-19 on ridership","title-short":"Who left riding transit?","URL":"https://www.sciencedirect.com/science/article/pii/S1361920920308397","volume":"90","author":[{"family":"Hu","given":"Songhua"},{"family":"Chen","given":"Peng"}],"accessed":{"date-parts":[["2024",3,26]]},"issued":{"date-parts":[["2021",1,1]]}}}],"schema":"https://github.com/citation-style-language/schema/raw/master/csl-citation.json"} </w:instrText>
      </w:r>
      <w:r w:rsidRPr="00DC6F5A">
        <w:rPr>
          <w:color w:val="222222"/>
        </w:rPr>
        <w:fldChar w:fldCharType="separate"/>
      </w:r>
      <w:r w:rsidR="00DA14F1" w:rsidRPr="00DC6F5A">
        <w:t>(Hu and Chen, 2021)</w:t>
      </w:r>
      <w:r w:rsidRPr="00DC6F5A">
        <w:rPr>
          <w:color w:val="222222"/>
        </w:rPr>
        <w:fldChar w:fldCharType="end"/>
      </w:r>
      <w:r w:rsidRPr="00DC6F5A">
        <w:rPr>
          <w:color w:val="222222"/>
        </w:rPr>
        <w:t>.</w:t>
      </w:r>
      <w:r w:rsidRPr="00425F23">
        <w:rPr>
          <w:color w:val="222222"/>
        </w:rPr>
        <w:t xml:space="preserve"> </w:t>
      </w:r>
    </w:p>
    <w:p w14:paraId="1A609660" w14:textId="77777777" w:rsidR="00537EB8" w:rsidRPr="00425F23" w:rsidRDefault="00537EB8" w:rsidP="00C67E12">
      <w:pPr>
        <w:pStyle w:val="NormalWeb"/>
        <w:shd w:val="clear" w:color="auto" w:fill="FFFFFF"/>
        <w:spacing w:before="0" w:beforeAutospacing="0" w:after="0" w:afterAutospacing="0"/>
        <w:jc w:val="both"/>
        <w:rPr>
          <w:color w:val="222222"/>
        </w:rPr>
      </w:pPr>
    </w:p>
    <w:p w14:paraId="0675A30A" w14:textId="01303491" w:rsidR="00537EB8" w:rsidRPr="00425F23" w:rsidRDefault="00537EB8" w:rsidP="00C67E12">
      <w:pPr>
        <w:pStyle w:val="NormalWeb"/>
        <w:shd w:val="clear" w:color="auto" w:fill="FFFFFF"/>
        <w:spacing w:before="0" w:beforeAutospacing="0" w:after="0" w:afterAutospacing="0"/>
        <w:jc w:val="both"/>
        <w:rPr>
          <w:b/>
          <w:bCs/>
          <w:color w:val="222222"/>
        </w:rPr>
      </w:pPr>
      <w:r w:rsidRPr="00425F23">
        <w:rPr>
          <w:b/>
          <w:bCs/>
          <w:color w:val="222222"/>
        </w:rPr>
        <w:t xml:space="preserve">2.2 Individual Level </w:t>
      </w:r>
      <w:r w:rsidR="009F295D">
        <w:rPr>
          <w:b/>
          <w:bCs/>
          <w:color w:val="222222"/>
        </w:rPr>
        <w:t xml:space="preserve">Data Studies </w:t>
      </w:r>
      <w:r w:rsidR="004D72DF">
        <w:rPr>
          <w:b/>
          <w:bCs/>
          <w:color w:val="222222"/>
        </w:rPr>
        <w:t xml:space="preserve">of </w:t>
      </w:r>
      <w:r w:rsidR="004D72DF" w:rsidRPr="004D72DF">
        <w:rPr>
          <w:b/>
          <w:bCs/>
          <w:i/>
          <w:iCs/>
          <w:color w:val="222222"/>
        </w:rPr>
        <w:t>Current</w:t>
      </w:r>
      <w:r w:rsidR="004D72DF">
        <w:rPr>
          <w:b/>
          <w:bCs/>
          <w:color w:val="222222"/>
        </w:rPr>
        <w:t xml:space="preserve"> PT Attitudes </w:t>
      </w:r>
      <w:r w:rsidR="00E556C7">
        <w:rPr>
          <w:b/>
          <w:bCs/>
          <w:color w:val="222222"/>
        </w:rPr>
        <w:t xml:space="preserve">and </w:t>
      </w:r>
      <w:r w:rsidRPr="00425F23">
        <w:rPr>
          <w:b/>
          <w:bCs/>
          <w:color w:val="222222"/>
        </w:rPr>
        <w:t>Us</w:t>
      </w:r>
      <w:r w:rsidR="009F295D">
        <w:rPr>
          <w:b/>
          <w:bCs/>
          <w:color w:val="222222"/>
        </w:rPr>
        <w:t>e</w:t>
      </w:r>
      <w:r w:rsidR="00A613BF">
        <w:rPr>
          <w:b/>
          <w:bCs/>
          <w:color w:val="222222"/>
        </w:rPr>
        <w:t xml:space="preserve"> </w:t>
      </w:r>
      <w:r w:rsidR="004D72DF">
        <w:rPr>
          <w:b/>
          <w:bCs/>
          <w:color w:val="222222"/>
        </w:rPr>
        <w:t xml:space="preserve">Change </w:t>
      </w:r>
      <w:r w:rsidR="00A613BF">
        <w:rPr>
          <w:b/>
          <w:bCs/>
          <w:color w:val="222222"/>
        </w:rPr>
        <w:t>Trends</w:t>
      </w:r>
    </w:p>
    <w:p w14:paraId="69FC7904" w14:textId="5813F186" w:rsidR="00537EB8" w:rsidRPr="00425F23" w:rsidRDefault="00A613BF" w:rsidP="00C67E12">
      <w:pPr>
        <w:pStyle w:val="NormalWeb"/>
        <w:shd w:val="clear" w:color="auto" w:fill="FFFFFF"/>
        <w:spacing w:before="0" w:beforeAutospacing="0" w:after="0" w:afterAutospacing="0"/>
        <w:jc w:val="both"/>
        <w:rPr>
          <w:color w:val="222222"/>
        </w:rPr>
      </w:pPr>
      <w:r>
        <w:rPr>
          <w:color w:val="222222"/>
        </w:rPr>
        <w:t xml:space="preserve">As with aggregate data, most of the studies based on individual-level data </w:t>
      </w:r>
      <w:r w:rsidR="009C16B1">
        <w:rPr>
          <w:color w:val="222222"/>
        </w:rPr>
        <w:t>als</w:t>
      </w:r>
      <w:r>
        <w:rPr>
          <w:color w:val="222222"/>
        </w:rPr>
        <w:t xml:space="preserve">o have focused on overall trends in </w:t>
      </w:r>
      <w:r w:rsidR="007B3BC7">
        <w:rPr>
          <w:color w:val="222222"/>
        </w:rPr>
        <w:t xml:space="preserve">PT </w:t>
      </w:r>
      <w:r>
        <w:rPr>
          <w:color w:val="222222"/>
        </w:rPr>
        <w:t>attitudes/use through descriptive analys</w:t>
      </w:r>
      <w:r w:rsidR="009808D5">
        <w:rPr>
          <w:color w:val="222222"/>
        </w:rPr>
        <w:t>e</w:t>
      </w:r>
      <w:r>
        <w:rPr>
          <w:color w:val="222222"/>
        </w:rPr>
        <w:t xml:space="preserve">s, rather than examining heterogeneity across individuals per se. </w:t>
      </w:r>
      <w:r w:rsidR="003A06EC">
        <w:rPr>
          <w:color w:val="222222"/>
        </w:rPr>
        <w:t xml:space="preserve">For example, </w:t>
      </w:r>
      <w:r w:rsidR="009808D5">
        <w:rPr>
          <w:color w:val="222222"/>
        </w:rPr>
        <w:t xml:space="preserve">de Haas et al. </w:t>
      </w:r>
      <w:r w:rsidR="006858CB">
        <w:rPr>
          <w:color w:val="222222"/>
        </w:rPr>
        <w:fldChar w:fldCharType="begin"/>
      </w:r>
      <w:r w:rsidR="005C565E">
        <w:rPr>
          <w:color w:val="222222"/>
        </w:rPr>
        <w:instrText xml:space="preserve"> ADDIN ZOTERO_ITEM CSL_CITATION {"citationID":"kpYsfcI2","properties":{"formattedCitation":"(2020)","plainCitation":"(2020)","noteIndex":0},"citationItems":[{"id":116,"uris":["http://zotero.org/groups/5345474/items/DKQB8TWI"],"itemData":{"id":116,"type":"article-journal","abstract":"COVID-19 has massively affected the lives of people all over the world. This paper presents first insights in current and potential future effects of the virus and the Dutch government's ‘intelligent lockdown’ on people's activities and travel behaviour. Findings are based on a representative sample of about 2500 respondents from the Netherlands Mobility Panel (MPN). We show that approximately 80% of people reduced their activities outdoors, with a stronger decrease for older people. 44% of workers started or increased the amount of hours working from home and 30% have more remote meetings. Most of these workers report positive experiences. Students and school pupils, however, are mostly not happy with following education from home. Furthermore, the amount of trips and distance travelled dropped by 55% and 68% respectively when compared to the fall of 2019. So-called ‘roundtrips’ (e.g. a walking or cycling tour) gained in popularity. People are currently more positive towards the car and far more negative towards public transport. Changes in outdoor activities seem to be temporal, with over 90% of people who currently reduced their outdoor activities not expecting to continue this behaviour in the future after corona. However, 27% of home-workers expect to work from home more often in the future. In addition, 20% of people expect to cycle and walk more and 20% expect to fly less in the future. These findings show that the coronavirus crisis might result in structural behavioural changes, although future longitudinal analyses are needed to observe these possible structural effects.","container-title":"Transportation Research Interdisciplinary Perspectives","DOI":"10.1016/j.trip.2020.100150","ISSN":"2590-1982","journalAbbreviation":"Transportation Research Interdisciplinary Perspectives","page":"100150","source":"ScienceDirect","title":"How COVID-19 and the Dutch ‘intelligent lockdown’ change activities, work and travel behaviour: Evidence from longitudinal data in the Netherlands","title-short":"How COVID-19 and the Dutch ‘intelligent lockdown’ change activities, work and travel behaviour","URL":"https://www.sciencedirect.com/science/article/pii/S2590198220300610","volume":"6","author":[{"family":"Haas","given":"Mathijs","non-dropping-particle":"de"},{"family":"Faber","given":"Roel"},{"family":"Hamersma","given":"Marije"}],"accessed":{"date-parts":[["2024",2,21]]},"issued":{"date-parts":[["2020",7,1]]}},"label":"page","suppress-author":true}],"schema":"https://github.com/citation-style-language/schema/raw/master/csl-citation.json"} </w:instrText>
      </w:r>
      <w:r w:rsidR="006858CB">
        <w:rPr>
          <w:color w:val="222222"/>
        </w:rPr>
        <w:fldChar w:fldCharType="separate"/>
      </w:r>
      <w:r w:rsidR="006858CB" w:rsidRPr="006858CB">
        <w:t>(2020)</w:t>
      </w:r>
      <w:r w:rsidR="006858CB">
        <w:rPr>
          <w:color w:val="222222"/>
        </w:rPr>
        <w:fldChar w:fldCharType="end"/>
      </w:r>
      <w:r w:rsidR="009808D5">
        <w:rPr>
          <w:color w:val="222222"/>
        </w:rPr>
        <w:t xml:space="preserve"> and Li et al. </w:t>
      </w:r>
      <w:r w:rsidR="006858CB">
        <w:rPr>
          <w:color w:val="222222"/>
        </w:rPr>
        <w:fldChar w:fldCharType="begin"/>
      </w:r>
      <w:r w:rsidR="005C565E">
        <w:rPr>
          <w:color w:val="222222"/>
        </w:rPr>
        <w:instrText xml:space="preserve"> ADDIN ZOTERO_ITEM CSL_CITATION {"citationID":"5a2Lxkgq","properties":{"formattedCitation":"(2021)","plainCitation":"(2021)","noteIndex":0},"citationItems":[{"id":119,"uris":["http://zotero.org/groups/5345474/items/WMNNHJUB"],"itemData":{"id":119,"type":"article-journal","container-title":"Annals of Tourism Research","DOI":"10.1016/j.annals.2020.102964","ISSN":"0160-7383","journalAbbreviation":"Ann Tour Res","note":"PMID: 32836567\nPMCID: PMC7254008","page":"102964","source":"PubMed Central","title":"Coronavirus impacts on post-pandemic planned travel behaviours","URL":"https://www.ncbi.nlm.nih.gov/pmc/articles/PMC7254008/","volume":"86","author":[{"family":"Li","given":"Junxiong"},{"family":"Nguyen","given":"Thi Hong Hai"},{"family":"Coca-Stefaniak","given":"J. Andres"}],"accessed":{"date-parts":[["2024",2,21]]},"issued":{"date-parts":[["2021",1]]}},"label":"page","suppress-author":true}],"schema":"https://github.com/citation-style-language/schema/raw/master/csl-citation.json"} </w:instrText>
      </w:r>
      <w:r w:rsidR="006858CB">
        <w:rPr>
          <w:color w:val="222222"/>
        </w:rPr>
        <w:fldChar w:fldCharType="separate"/>
      </w:r>
      <w:r w:rsidR="006858CB" w:rsidRPr="006858CB">
        <w:t>(2021)</w:t>
      </w:r>
      <w:r w:rsidR="006858CB">
        <w:rPr>
          <w:color w:val="222222"/>
        </w:rPr>
        <w:fldChar w:fldCharType="end"/>
      </w:r>
      <w:r w:rsidR="003C7F81">
        <w:rPr>
          <w:color w:val="222222"/>
        </w:rPr>
        <w:t xml:space="preserve"> </w:t>
      </w:r>
      <w:r w:rsidR="009808D5">
        <w:rPr>
          <w:color w:val="222222"/>
        </w:rPr>
        <w:t>observe</w:t>
      </w:r>
      <w:r w:rsidR="004D72DF">
        <w:rPr>
          <w:color w:val="222222"/>
        </w:rPr>
        <w:t>d</w:t>
      </w:r>
      <w:r w:rsidR="009808D5">
        <w:rPr>
          <w:color w:val="222222"/>
        </w:rPr>
        <w:t xml:space="preserve"> that</w:t>
      </w:r>
      <w:r w:rsidR="004D72DF">
        <w:rPr>
          <w:color w:val="222222"/>
        </w:rPr>
        <w:t>, following the onset of the pandemic,</w:t>
      </w:r>
      <w:r w:rsidR="009808D5">
        <w:rPr>
          <w:color w:val="222222"/>
        </w:rPr>
        <w:t xml:space="preserve"> </w:t>
      </w:r>
      <w:r w:rsidR="00FA4F40">
        <w:rPr>
          <w:color w:val="222222"/>
        </w:rPr>
        <w:t>t</w:t>
      </w:r>
      <w:r w:rsidR="00537EB8" w:rsidRPr="00425F23">
        <w:rPr>
          <w:color w:val="222222"/>
        </w:rPr>
        <w:t xml:space="preserve">he decline in </w:t>
      </w:r>
      <w:r w:rsidR="007B3BC7">
        <w:rPr>
          <w:color w:val="222222"/>
        </w:rPr>
        <w:t xml:space="preserve">PT ridership </w:t>
      </w:r>
      <w:r w:rsidR="00537EB8" w:rsidRPr="00425F23">
        <w:rPr>
          <w:color w:val="222222"/>
        </w:rPr>
        <w:t>has coincided with an increasingly positive attitude toward private vehicle use compared with any form of shared mode</w:t>
      </w:r>
      <w:r w:rsidR="009808D5">
        <w:rPr>
          <w:color w:val="222222"/>
        </w:rPr>
        <w:t>.</w:t>
      </w:r>
      <w:r w:rsidR="00537EB8" w:rsidRPr="00425F23">
        <w:rPr>
          <w:color w:val="222222"/>
        </w:rPr>
        <w:t xml:space="preserve"> </w:t>
      </w:r>
      <w:r w:rsidR="009808D5">
        <w:rPr>
          <w:color w:val="222222"/>
        </w:rPr>
        <w:t xml:space="preserve">Similarly, </w:t>
      </w:r>
      <w:r w:rsidR="00537EB8" w:rsidRPr="00425F23">
        <w:rPr>
          <w:color w:val="222222"/>
        </w:rPr>
        <w:t xml:space="preserve">Hamad et al. </w:t>
      </w:r>
      <w:r w:rsidR="00537EB8" w:rsidRPr="00425F23">
        <w:rPr>
          <w:color w:val="222222"/>
        </w:rPr>
        <w:fldChar w:fldCharType="begin"/>
      </w:r>
      <w:r w:rsidR="005C565E">
        <w:rPr>
          <w:color w:val="222222"/>
        </w:rPr>
        <w:instrText xml:space="preserve"> ADDIN ZOTERO_ITEM CSL_CITATION {"citationID":"a1vilkj0u1n","properties":{"formattedCitation":"(2024)","plainCitation":"(2024)","noteIndex":0},"citationItems":[{"id":72,"uris":["http://zotero.org/groups/5345474/items/GVF6EJYZ"],"itemData":{"id":72,"type":"article-journal","abstract":"The unprecedented COVID-19 pandemic has caused significant short-term travel disruptions and profound changes in daily travel routines. Yet, the long-term impact on travel behavior and mobility remains unclear. The present study examines the enduring effects of COVID-19 on travel patterns in the United Arab Emirates (UAE) through a comprehensive survey assessing long-term impacts and participants' travel behavior changes during different stages of the pandemic. The survey covered travel modes, frequency, duration, and distance, unveiling a pandemic-driven shift towards increased personal vehicle usage due to public transportation concerns. Nevertheless, as the pandemic gradually recedes, individuals are slowly reverting to their pre-pandemic travel habits. Moreover, the results indicate that travel patterns vary depending on the distance traveled. Short-distance travel has largely returned to pre-pandemic levels, while medium-distance travel continues to lag. Intriguingly, post-pandemic levels of long-distance travel have exceeded the pre-pandemic figures, indicating a potential alteration in travel behaviors. These observed changes were substantiated by a paired t-test, demonstrating a significant difference across nearly all periods examined. In summary, this research sheds light on the long-term consequences of COVID-19 on travel behavior and mobility in the UAE. The survey data uncovers a noteworthy transformation in travel patterns during the pandemic, with subsequent gradual reversion to pre-pandemic norms. Notably, the findings suggest potential shifts in travel preferences across different distances, with long-distance travel surpassing pre-pandemic levels. These insights contribute to a deeper understanding of the lasting impacts of COVID-19 on transportation and travel choices.","container-title":"Transportation Research Interdisciplinary Perspectives","DOI":"10.1016/j.trip.2023.101008","ISSN":"2590-1982","journalAbbreviation":"Transportation Research Interdisciplinary Perspectives","page":"101008","source":"ScienceDirect","title":"Assessing the long-term impact of COVID-19 on travel behavior: The United Arab Emirates perspective","title-short":"Assessing the long-term impact of COVID-19 on travel behavior","URL":"https://www.sciencedirect.com/science/article/pii/S2590198223002555","volume":"23","author":[{"family":"Hamad","given":"Khaled"},{"family":"El Traboulsi","given":"Yahya"},{"family":"Shanableh","given":"Abdallah"},{"family":"Al-Ruzouq","given":"Rami"}],"accessed":{"date-parts":[["2024",2,13]]},"issued":{"date-parts":[["2024",1,1]]}},"label":"page","suppress-author":true}],"schema":"https://github.com/citation-style-language/schema/raw/master/csl-citation.json"} </w:instrText>
      </w:r>
      <w:r w:rsidR="00537EB8" w:rsidRPr="00425F23">
        <w:rPr>
          <w:color w:val="222222"/>
        </w:rPr>
        <w:fldChar w:fldCharType="separate"/>
      </w:r>
      <w:r w:rsidR="00537EB8" w:rsidRPr="00425F23">
        <w:t>(2024)</w:t>
      </w:r>
      <w:r w:rsidR="00537EB8" w:rsidRPr="00425F23">
        <w:rPr>
          <w:color w:val="222222"/>
        </w:rPr>
        <w:fldChar w:fldCharType="end"/>
      </w:r>
      <w:r w:rsidR="00537EB8" w:rsidRPr="00425F23">
        <w:rPr>
          <w:color w:val="222222"/>
        </w:rPr>
        <w:t xml:space="preserve"> </w:t>
      </w:r>
      <w:r w:rsidR="009808D5">
        <w:rPr>
          <w:color w:val="222222"/>
        </w:rPr>
        <w:t xml:space="preserve">indicate that increased </w:t>
      </w:r>
      <w:r w:rsidR="00537EB8" w:rsidRPr="00425F23">
        <w:rPr>
          <w:color w:val="222222"/>
        </w:rPr>
        <w:t xml:space="preserve">fears of </w:t>
      </w:r>
      <w:r w:rsidR="009808D5">
        <w:rPr>
          <w:color w:val="222222"/>
        </w:rPr>
        <w:t>health</w:t>
      </w:r>
      <w:r w:rsidR="00537EB8" w:rsidRPr="00425F23">
        <w:rPr>
          <w:color w:val="222222"/>
        </w:rPr>
        <w:t xml:space="preserve"> safety and comfort</w:t>
      </w:r>
      <w:r w:rsidR="009808D5">
        <w:rPr>
          <w:color w:val="222222"/>
        </w:rPr>
        <w:t xml:space="preserve"> on public transportation has led to </w:t>
      </w:r>
      <w:r w:rsidR="00537EB8" w:rsidRPr="00425F23">
        <w:rPr>
          <w:color w:val="222222"/>
        </w:rPr>
        <w:t>a</w:t>
      </w:r>
      <w:r w:rsidR="004D72DF">
        <w:rPr>
          <w:color w:val="222222"/>
        </w:rPr>
        <w:t xml:space="preserve"> shift away from non-private travel modes (including PT) and a concomitant</w:t>
      </w:r>
      <w:r w:rsidR="00537EB8" w:rsidRPr="00425F23">
        <w:rPr>
          <w:color w:val="222222"/>
        </w:rPr>
        <w:t xml:space="preserve"> growth in private car usage. </w:t>
      </w:r>
      <w:r w:rsidR="009808D5">
        <w:rPr>
          <w:color w:val="222222"/>
        </w:rPr>
        <w:t>The decline in</w:t>
      </w:r>
      <w:r w:rsidR="007B3BC7">
        <w:rPr>
          <w:color w:val="222222"/>
        </w:rPr>
        <w:t xml:space="preserve"> PT </w:t>
      </w:r>
      <w:r w:rsidR="009808D5">
        <w:rPr>
          <w:color w:val="222222"/>
        </w:rPr>
        <w:t xml:space="preserve">use has also been tied to </w:t>
      </w:r>
      <w:r w:rsidR="00537EB8" w:rsidRPr="00425F23">
        <w:rPr>
          <w:color w:val="222222"/>
        </w:rPr>
        <w:t>changes in commuting behavior</w:t>
      </w:r>
      <w:r w:rsidR="006B47EF">
        <w:rPr>
          <w:color w:val="222222"/>
        </w:rPr>
        <w:t xml:space="preserve"> since the pandemic</w:t>
      </w:r>
      <w:r w:rsidR="00537EB8" w:rsidRPr="00425F23">
        <w:rPr>
          <w:color w:val="222222"/>
        </w:rPr>
        <w:t>, as individual</w:t>
      </w:r>
      <w:r w:rsidR="003F610F" w:rsidRPr="00425F23">
        <w:rPr>
          <w:color w:val="222222"/>
        </w:rPr>
        <w:t>s</w:t>
      </w:r>
      <w:r w:rsidR="00537EB8" w:rsidRPr="00425F23">
        <w:rPr>
          <w:color w:val="222222"/>
        </w:rPr>
        <w:t xml:space="preserve"> working remotely </w:t>
      </w:r>
      <w:r w:rsidR="006B47EF">
        <w:rPr>
          <w:color w:val="222222"/>
        </w:rPr>
        <w:t xml:space="preserve">on one or more days </w:t>
      </w:r>
      <w:r w:rsidR="00537EB8" w:rsidRPr="00425F23">
        <w:rPr>
          <w:color w:val="222222"/>
        </w:rPr>
        <w:t xml:space="preserve">no longer </w:t>
      </w:r>
      <w:r w:rsidR="006B47EF">
        <w:rPr>
          <w:color w:val="222222"/>
        </w:rPr>
        <w:t xml:space="preserve">have to </w:t>
      </w:r>
      <w:r w:rsidR="00537EB8" w:rsidRPr="00425F23">
        <w:rPr>
          <w:color w:val="222222"/>
        </w:rPr>
        <w:t>commute</w:t>
      </w:r>
      <w:r w:rsidR="006B47EF">
        <w:rPr>
          <w:color w:val="222222"/>
        </w:rPr>
        <w:t xml:space="preserve"> on those days</w:t>
      </w:r>
      <w:r w:rsidR="00537EB8" w:rsidRPr="00425F23">
        <w:rPr>
          <w:color w:val="222222"/>
        </w:rPr>
        <w:t xml:space="preserve"> </w:t>
      </w:r>
      <w:r w:rsidR="00537EB8" w:rsidRPr="00425F23">
        <w:rPr>
          <w:color w:val="222222"/>
        </w:rPr>
        <w:fldChar w:fldCharType="begin"/>
      </w:r>
      <w:r w:rsidR="005C565E">
        <w:rPr>
          <w:color w:val="222222"/>
        </w:rPr>
        <w:instrText xml:space="preserve"> ADDIN ZOTERO_ITEM CSL_CITATION {"citationID":"a1s5knhu6ub","properties":{"formattedCitation":"(Anable, 2022)","plainCitation":"(Anable, 2022)","noteIndex":0},"citationItems":[{"id":127,"uris":["http://zotero.org/groups/5345474/items/GZ6TB3QH"],"itemData":{"id":127,"type":"article-journal","container-title":"CREDS","language":"en","source":"Zotero","title":"Less is more: Changing travel in a post-pandemic society","author":[{"family":"Anable","given":"Jillian"}],"issued":{"date-parts":[["2022"]]}}}],"schema":"https://github.com/citation-style-language/schema/raw/master/csl-citation.json"} </w:instrText>
      </w:r>
      <w:r w:rsidR="00537EB8" w:rsidRPr="00425F23">
        <w:rPr>
          <w:color w:val="222222"/>
        </w:rPr>
        <w:fldChar w:fldCharType="separate"/>
      </w:r>
      <w:r w:rsidR="00537EB8" w:rsidRPr="00425F23">
        <w:t>(</w:t>
      </w:r>
      <w:proofErr w:type="spellStart"/>
      <w:r w:rsidR="00537EB8" w:rsidRPr="00425F23">
        <w:t>Anable</w:t>
      </w:r>
      <w:proofErr w:type="spellEnd"/>
      <w:r w:rsidR="00892153">
        <w:t xml:space="preserve"> et al.</w:t>
      </w:r>
      <w:r w:rsidR="00537EB8" w:rsidRPr="00425F23">
        <w:t>, 2022)</w:t>
      </w:r>
      <w:r w:rsidR="00537EB8" w:rsidRPr="00425F23">
        <w:rPr>
          <w:color w:val="222222"/>
        </w:rPr>
        <w:fldChar w:fldCharType="end"/>
      </w:r>
      <w:r w:rsidR="00537EB8" w:rsidRPr="00425F23">
        <w:rPr>
          <w:color w:val="222222"/>
        </w:rPr>
        <w:t xml:space="preserve">. </w:t>
      </w:r>
      <w:r w:rsidR="007B3BC7">
        <w:rPr>
          <w:color w:val="222222"/>
        </w:rPr>
        <w:t xml:space="preserve">In fact, </w:t>
      </w:r>
      <w:r w:rsidR="00E940C8">
        <w:rPr>
          <w:color w:val="222222"/>
        </w:rPr>
        <w:t xml:space="preserve">about </w:t>
      </w:r>
      <w:r w:rsidR="00537EB8" w:rsidRPr="00425F23">
        <w:rPr>
          <w:color w:val="222222"/>
        </w:rPr>
        <w:t xml:space="preserve">half of the reduction in </w:t>
      </w:r>
      <w:r w:rsidR="004D72DF">
        <w:rPr>
          <w:color w:val="222222"/>
        </w:rPr>
        <w:t xml:space="preserve">PT </w:t>
      </w:r>
      <w:r w:rsidR="00537EB8" w:rsidRPr="00425F23">
        <w:rPr>
          <w:color w:val="222222"/>
        </w:rPr>
        <w:t>us</w:t>
      </w:r>
      <w:r w:rsidR="006B47EF">
        <w:rPr>
          <w:color w:val="222222"/>
        </w:rPr>
        <w:t xml:space="preserve">e </w:t>
      </w:r>
      <w:r w:rsidR="007B3BC7">
        <w:rPr>
          <w:color w:val="222222"/>
        </w:rPr>
        <w:t xml:space="preserve">has </w:t>
      </w:r>
      <w:r w:rsidR="006B47EF">
        <w:rPr>
          <w:color w:val="222222"/>
        </w:rPr>
        <w:t>be</w:t>
      </w:r>
      <w:r w:rsidR="007B3BC7">
        <w:rPr>
          <w:color w:val="222222"/>
        </w:rPr>
        <w:t xml:space="preserve">en </w:t>
      </w:r>
      <w:r w:rsidR="00E940C8">
        <w:rPr>
          <w:color w:val="222222"/>
        </w:rPr>
        <w:t xml:space="preserve">attributed to </w:t>
      </w:r>
      <w:r w:rsidR="007B3BC7">
        <w:rPr>
          <w:color w:val="222222"/>
        </w:rPr>
        <w:t xml:space="preserve">an increase in </w:t>
      </w:r>
      <w:r w:rsidR="006B47EF">
        <w:rPr>
          <w:color w:val="222222"/>
        </w:rPr>
        <w:t xml:space="preserve">telework </w:t>
      </w:r>
      <w:r w:rsidR="007B3BC7">
        <w:rPr>
          <w:color w:val="222222"/>
        </w:rPr>
        <w:t>share</w:t>
      </w:r>
      <w:r w:rsidR="006B47EF">
        <w:rPr>
          <w:color w:val="222222"/>
        </w:rPr>
        <w:t xml:space="preserve"> </w:t>
      </w:r>
      <w:r w:rsidR="00B42041" w:rsidRPr="00425F23">
        <w:rPr>
          <w:color w:val="222222"/>
        </w:rPr>
        <w:fldChar w:fldCharType="begin"/>
      </w:r>
      <w:r w:rsidR="005C565E">
        <w:rPr>
          <w:color w:val="222222"/>
        </w:rPr>
        <w:instrText xml:space="preserve"> ADDIN ZOTERO_ITEM CSL_CITATION {"citationID":"ApWWwnvJ","properties":{"formattedCitation":"(Kiko et al., 2024; Salon et al., 2021)","plainCitation":"(Kiko et al., 2024; Salon et al., 2021)","noteIndex":0},"citationItems":[{"id":228,"uris":["http://zotero.org/groups/5345474/items/E85T6QNN"],"itemData":{"id":228,"type":"article-journal","abstract":"This paper investigates how and to what extent changes in user behavior may mitigate the benefits of teleworking on commuting distance and time, a phenomenon often referred to as a “rebound effect.” The direct effect of teleworking is to reduce the number of commuting trips (work travel effect). This may trigger behavioral changes among transport users: teleworkers may carry out additional trips for other purposes (non-work travel effect), and may change their residential/job location, leading to longer commuting distances (residential location effect). In addition, the improvement in travel conditions consequent to the work travel effect might result in greater mobility by non-teleworkers (induced demand). Considering the Paris region as a case study, this paper applies a four-step travel demand model to evaluate several teleworking scenarios and quantify the rebound effects. We complete the analysis with an economic evaluation of the scenarios, focusing on mobility effects. The overall rebound effect is found to be substantial, cancelling out 62%–68% of the gains in travel distance and 74%–85% of travel time savings. Nonetheless, the social benefits of teleworking remain significant, amounting to 1.4% of the social cost of road transport in the region. This suggests that teleworking may be able to contribute significantly to a policy mix aimed at reducing travel demand.","container-title":"Transportation Research Record","DOI":"10.1177/03611981231182973","ISSN":"0361-1981","issue":"3","language":"en","note":"publisher: SAGE Publications Inc","page":"865-878","source":"SAGE Journals","title":"Evaluation of Direct and Indirect Effects of Teleworking on Mobility: The Case of Paris","title-short":"Evaluation of Direct and Indirect Effects of Teleworking on Mobility","URL":"https://doi.org/10.1177/03611981231182973","volume":"2678","author":[{"family":"Kiko","given":"Mwendwa"},{"family":"Coulombel","given":"Nicolas"},{"family":"Poulhès","given":"Alexis"},{"family":"Seregina","given":"Tatiana"},{"family":"Tremblin","given":"Guillaume"}],"accessed":{"date-parts":[["2024",5,10]]},"issued":{"date-parts":[["2024",3,1]]}}},{"id":70,"uris":["http://zotero.org/groups/5345474/items/LLBLY76P"],"itemData":{"id":70,"type":"article-journal","abstract":"Human behavior is notoriously difficult to change, but a disruption of the magnitude of the COVID-19 pandemic has the potential to bring about long-term behavioral changes. During the pandemic, people have been forced to experience new ways of interacting, working, learning, shopping, traveling, and eating meals. A critical question going forward is how these experiences have actually changed preferences and habits in ways that might persist after the pandemic ends. Many observers have suggested theories about what the future will bring, but concrete evidence has been lacking. We present evidence on how much US adults expect their own postpandemic choices to differ from their prepandemic lifestyles in the areas of telecommuting, restaurant patronage, air travel, online shopping, transit use, car commuting, uptake of walking and biking, and home location. The analysis is based on a nationally representative survey dataset collected between July and October 2020. Key findings include that the “new normal” will feature a doubling of telecommuting, reduced air travel, and improved quality of life for some.","container-title":"Proceedings of the National Academy of Sciences","DOI":"10.1073/pnas.2106499118","issue":"27","note":"publisher: Proceedings of the National Academy of Sciences","page":"e2106499118","source":"pnas.org (Atypon)","title":"The potential stickiness of pandemic-induced behavior changes in the United States","URL":"https://www.pnas.org/doi/full/10.1073/pnas.2106499118","volume":"118","author":[{"family":"Salon","given":"Deborah"},{"family":"Conway","given":"Matthew Wigginton"},{"family":"Capasso da Silva","given":"Denise"},{"family":"Chauhan","given":"Rishabh Singh"},{"family":"Derrible","given":"Sybil"},{"family":"Mohammadian","given":"Abolfazl (Kouros)"},{"family":"Khoeini","given":"Sara"},{"family":"Parker","given":"Nathan"},{"family":"Mirtich","given":"Laura"},{"family":"Shamshiripour","given":"Ali"},{"family":"Rahimi","given":"Ehsan"},{"family":"Pendyala","given":"Ram M."}],"accessed":{"date-parts":[["2024",2,12]]},"issued":{"date-parts":[["2021",7,6]]}}}],"schema":"https://github.com/citation-style-language/schema/raw/master/csl-citation.json"} </w:instrText>
      </w:r>
      <w:r w:rsidR="00B42041" w:rsidRPr="00425F23">
        <w:rPr>
          <w:color w:val="222222"/>
        </w:rPr>
        <w:fldChar w:fldCharType="separate"/>
      </w:r>
      <w:r w:rsidR="003C7F81">
        <w:rPr>
          <w:noProof/>
          <w:color w:val="222222"/>
        </w:rPr>
        <w:t>(Kiko et al., 2024; Salon et al., 2021)</w:t>
      </w:r>
      <w:r w:rsidR="00B42041" w:rsidRPr="00425F23">
        <w:rPr>
          <w:color w:val="222222"/>
        </w:rPr>
        <w:fldChar w:fldCharType="end"/>
      </w:r>
      <w:r w:rsidR="00B42041" w:rsidRPr="00425F23">
        <w:rPr>
          <w:color w:val="222222"/>
        </w:rPr>
        <w:t xml:space="preserve">. </w:t>
      </w:r>
      <w:r w:rsidR="006B47EF">
        <w:rPr>
          <w:color w:val="222222"/>
        </w:rPr>
        <w:lastRenderedPageBreak/>
        <w:t xml:space="preserve">At the same time, some studies </w:t>
      </w:r>
      <w:r w:rsidR="003C7F81">
        <w:rPr>
          <w:color w:val="222222"/>
        </w:rPr>
        <w:fldChar w:fldCharType="begin"/>
      </w:r>
      <w:r w:rsidR="005C565E">
        <w:rPr>
          <w:color w:val="222222"/>
        </w:rPr>
        <w:instrText xml:space="preserve"> ADDIN ZOTERO_ITEM CSL_CITATION {"citationID":"AMWAo6Xb","properties":{"formattedCitation":"(Anwar et al., 2023; Cusack, 2021; Gupta and Mukherjee, 2022)","plainCitation":"(Anwar et al., 2023; Cusack, 2021; Gupta and Mukherjee, 2022)","noteIndex":0},"citationItems":[{"id":159,"uris":["http://zotero.org/groups/5345474/items/N86N23U7"],"itemData":{"id":159,"type":"article-journal","abstract":"Irrefutable evidence attributes environmental challenges, such as air and noise pollution, to unsustainable transportation, especially in urban settings. In this context, urban public transport is a sustainable mobility system with ecological benefits. However, limited research focuses on understanding the factors that promote urban public transport adoption in the face of disruptive events, such as the COVID-19 pandemic. This study integrates the push-pull-mooring (PPM) model and institutional theory to examine urban commuters' intentions to switch to urban public transport in the post-COVID-19 era. This study is the first to investigate the trade-offs consumers perceive between green actions and personal health protection in the COVID-19 context. Our results indicate that regulative and normative environments, public transport's economic viability and commuters’ pro-environmental concerns and identities significantly influence their intentions to switch to public transportation. Furthermore, hygiene concerns and choice uncertainty partially moderate the tested associations. The study thus provides unique insights into the nuances of individual decision-making regarding public transport use. Leveraging our findings, we present implications for theory and practice. We also offer a possible framework for classifying consumers of green urban public transport, which can be used to create targeted communication to encourage commuters to switch to routine public transport use for sustainability and environmental protection.","container-title":"Journal of Business Research","DOI":"10.1016/j.jbusres.2022.113442","ISSN":"0148-2963","journalAbbreviation":"Journal of Business Research","page":"113442","source":"ScienceDirect","title":"Unconventional green transport innovations in the post-COVID-19 era. A trade-off between green actions and personal health protection","URL":"https://www.sciencedirect.com/science/article/pii/S0148296322009079","volume":"155","author":[{"family":"Anwar","given":"Muhammad Azfar"},{"family":"Dhir","given":"Amandeep"},{"family":"Jabeen","given":"Fauzia"},{"family":"Zhang","given":"Qingyu"},{"family":"Siddiquei","given":"Ahmad Nabeel"}],"accessed":{"date-parts":[["2024",3,27]]},"issued":{"date-parts":[["2023",1,1]]}}},{"id":160,"uris":["http://zotero.org/groups/5345474/items/HVTQ2V3P"],"itemData":{"id":160,"type":"article-journal","abstract":"Objective\nPhysical inactivity is a major public health concern. Though active transportation through bicycling and walking can increase physical activity and thereby positively affect health, factors that influence people's decisions to commute using active transportation modes remain underexplored and often fail to capture equity-related barriers. Increases in active transportation during the COVID-19 pandemic call for a better understanding of these influences. This study examines the commute mode choices of essential workers in Philadelphia, Pennsylvania, USA to explore the extent to which active transportation to work is explained by individual, social, and environmental factors and whether active transportation choices reflect inequalities.\nMethods\nDrawing on the theory of planned behavior and the social-ecological model, this study utilizes data from an online survey (N = 213) completed between June and August 2020. Bivariate analyses compare respondents who commuted using active transportation modes to those who did not using chi-square and ANOVA tests. A series of logistic regression models using forward stepwise selection, controlling for demographic characteristics and commute distance, identify salient individual, social, and environmental factors associated with active transportation.\nResults\nNearly half of respondents changed their commute mode during the pandemic, most often to limit exposure to COVID-19. The full model, accounting for 54% of variation in active transportation commuting, indicated significantly lower odds of active transportation use among non-white (Odds Ratio [OR]: 0.155) respondents and those who reported time constraints (OR: 0.450), concerns about safety from traffic (OR: 0.482), and greater satisfaction with community support for bicycling and pedestrian issues (OR: 0.551) and significantly higher odds among those who reported safety concerns around germs (OR: 1.580).\nConclusions\nStructural and social investments that make bicycling and walking safer commuting alternatives during COVID-19 could protect essential works and contribute to sustained behavior change. Community engagement is essential for implementation efforts.","container-title":"Journal of Transport &amp; Health","DOI":"10.1016/j.jth.2021.101089","ISSN":"2214-1405","journalAbbreviation":"Journal of Transport &amp; Health","page":"101089","source":"ScienceDirect","title":"Individual, social, and environmental factors associated with active transportation commuting during the COVID-19 pandemic","URL":"https://www.sciencedirect.com/science/article/pii/S2214140521001195","volume":"22","author":[{"family":"Cusack","given":"Meagan"}],"accessed":{"date-parts":[["2024",3,27]]},"issued":{"date-parts":[["2021",9,1]]}}},{"id":128,"uris":["http://zotero.org/groups/5345474/items/KSYXASAN"],"itemData":{"id":128,"type":"article-journal","abstract":"Purpose Short-term changes in consumers' shopping behaviour due to the Covid-19 pandemic have been studied, but not the long-term effects. This study fills this gap by exploring the long-term changes in consumers' retail shopping behaviour, due to their experiences of the Covid-19 pandemic. Design/methodology/approach Qualitative data were collected from one hundred fifty-nine respondents, and grounded theory approach was applied for interpretation. Gioia thematic analysis method, open coding, and axial coding were used for analysis. Findings Individuals who positively approached their experiences during the Covid-19 demonstrated increased pro-sustainable and pro-environmental self-identity, resulting in sustainable consumption and a shift to online shopping. Individuals having overpowering negative experiences demonstrated heightened fear of missing out (FOMO), loss aversion, and rumination. While shopping, they demonstrated herd behaviour and shifted to online shopping. Research limitations/implications This study highlights emotional and psychological mechanisms influencing long-term changes in consumer shopping preferences post Covid-19 pandemic. The generalizability of the findings is limited due to the study's exploratory nature and the sample size. Originality/value This study contributes to shopping behaviour literature by uncovering novel constructs of self-identity, loss aversion, FOMO, and rumination as antecedents to long-term shopping behaviour changes post-Covid-19. It provides a new conceptual model of consumers' shopping behaviour, which may be empirically validated.","container-title":"International Journal of Retail &amp; Distribution Management","DOI":"10.1108/IJRDM-04-2022-0111","ISSN":"0959-0552","issue":"12","note":"publisher: Emerald Publishing Limited","page":"1518-1534","source":"Emerald Insight","title":"Long-term changes in consumers' shopping behavior post-pandemic: an exploratory study","title-short":"Long-term changes in consumers' shopping behavior post-pandemic","URL":"https://doi.org/10.1108/IJRDM-04-2022-0111","volume":"50","author":[{"family":"Gupta","given":"Astha Sanjeev"},{"family":"Mukherjee","given":"Jaydeep"}],"accessed":{"date-parts":[["2024",2,21]]},"issued":{"date-parts":[["2022",1,1]]}}}],"schema":"https://github.com/citation-style-language/schema/raw/master/csl-citation.json"} </w:instrText>
      </w:r>
      <w:r w:rsidR="003C7F81">
        <w:rPr>
          <w:color w:val="222222"/>
        </w:rPr>
        <w:fldChar w:fldCharType="separate"/>
      </w:r>
      <w:r w:rsidR="003C7F81">
        <w:rPr>
          <w:noProof/>
          <w:color w:val="222222"/>
        </w:rPr>
        <w:t>(Anwar et al., 2023; Cusack, 2021; Gupta and Mukherjee, 2022)</w:t>
      </w:r>
      <w:r w:rsidR="003C7F81">
        <w:rPr>
          <w:color w:val="222222"/>
        </w:rPr>
        <w:fldChar w:fldCharType="end"/>
      </w:r>
      <w:r w:rsidR="006B47EF">
        <w:rPr>
          <w:color w:val="222222"/>
        </w:rPr>
        <w:t xml:space="preserve"> </w:t>
      </w:r>
      <w:r w:rsidR="00537EB8" w:rsidRPr="00425F23">
        <w:rPr>
          <w:color w:val="222222"/>
        </w:rPr>
        <w:t>suggest</w:t>
      </w:r>
      <w:r w:rsidR="006B47EF">
        <w:rPr>
          <w:color w:val="222222"/>
        </w:rPr>
        <w:t xml:space="preserve"> </w:t>
      </w:r>
      <w:r w:rsidR="00537EB8" w:rsidRPr="00425F23">
        <w:rPr>
          <w:color w:val="222222"/>
        </w:rPr>
        <w:t xml:space="preserve">that </w:t>
      </w:r>
      <w:r w:rsidR="007E591F">
        <w:rPr>
          <w:color w:val="222222"/>
        </w:rPr>
        <w:t xml:space="preserve">individuals </w:t>
      </w:r>
      <w:r w:rsidR="00070B62">
        <w:rPr>
          <w:color w:val="222222"/>
        </w:rPr>
        <w:t xml:space="preserve">with </w:t>
      </w:r>
      <w:r w:rsidR="007E591F">
        <w:rPr>
          <w:color w:val="222222"/>
        </w:rPr>
        <w:t>pro-sustainable and pro-environmental self-identit</w:t>
      </w:r>
      <w:r w:rsidR="000E5267">
        <w:rPr>
          <w:color w:val="222222"/>
        </w:rPr>
        <w:t>ies</w:t>
      </w:r>
      <w:r w:rsidR="00070B62">
        <w:rPr>
          <w:color w:val="222222"/>
        </w:rPr>
        <w:t>, who also</w:t>
      </w:r>
      <w:r w:rsidR="00537EB8" w:rsidRPr="00425F23">
        <w:rPr>
          <w:color w:val="222222"/>
        </w:rPr>
        <w:t xml:space="preserve"> </w:t>
      </w:r>
      <w:r w:rsidR="006B47EF">
        <w:rPr>
          <w:color w:val="222222"/>
        </w:rPr>
        <w:t xml:space="preserve">were better </w:t>
      </w:r>
      <w:r w:rsidR="003F610F" w:rsidRPr="00425F23">
        <w:rPr>
          <w:color w:val="222222"/>
        </w:rPr>
        <w:t xml:space="preserve">able to </w:t>
      </w:r>
      <w:r w:rsidR="007E591F">
        <w:rPr>
          <w:color w:val="222222"/>
        </w:rPr>
        <w:t xml:space="preserve">adapt </w:t>
      </w:r>
      <w:r w:rsidR="003F610F" w:rsidRPr="00425F23">
        <w:rPr>
          <w:color w:val="222222"/>
        </w:rPr>
        <w:t>to remote activities and pandemic lockdown</w:t>
      </w:r>
      <w:r w:rsidR="00070B62">
        <w:rPr>
          <w:color w:val="222222"/>
        </w:rPr>
        <w:t xml:space="preserve"> restrictions, have been further drawn </w:t>
      </w:r>
      <w:r w:rsidR="00537EB8" w:rsidRPr="00425F23">
        <w:rPr>
          <w:color w:val="222222"/>
        </w:rPr>
        <w:t xml:space="preserve">toward sustainable consumption behaviors, </w:t>
      </w:r>
      <w:r w:rsidR="00070B62">
        <w:rPr>
          <w:color w:val="222222"/>
        </w:rPr>
        <w:t xml:space="preserve">including holding </w:t>
      </w:r>
      <w:r w:rsidR="00537EB8" w:rsidRPr="00425F23">
        <w:rPr>
          <w:color w:val="222222"/>
        </w:rPr>
        <w:t>a more positive view of public trans</w:t>
      </w:r>
      <w:r w:rsidR="00070B62">
        <w:rPr>
          <w:color w:val="222222"/>
        </w:rPr>
        <w:t xml:space="preserve">portation than </w:t>
      </w:r>
      <w:r w:rsidR="004D72DF">
        <w:rPr>
          <w:color w:val="222222"/>
        </w:rPr>
        <w:t>before the pandemic</w:t>
      </w:r>
      <w:r w:rsidR="00537EB8" w:rsidRPr="00425F23">
        <w:rPr>
          <w:color w:val="222222"/>
        </w:rPr>
        <w:t xml:space="preserve">. </w:t>
      </w:r>
      <w:r w:rsidR="00077F94">
        <w:rPr>
          <w:color w:val="222222"/>
        </w:rPr>
        <w:t>While</w:t>
      </w:r>
      <w:r w:rsidR="00537EB8" w:rsidRPr="00425F23">
        <w:rPr>
          <w:color w:val="222222"/>
        </w:rPr>
        <w:t xml:space="preserve"> these changing </w:t>
      </w:r>
      <w:r w:rsidR="007B3BC7">
        <w:rPr>
          <w:color w:val="222222"/>
        </w:rPr>
        <w:t xml:space="preserve">positive </w:t>
      </w:r>
      <w:r w:rsidR="00537EB8" w:rsidRPr="00425F23">
        <w:rPr>
          <w:color w:val="222222"/>
        </w:rPr>
        <w:t xml:space="preserve">views have not </w:t>
      </w:r>
      <w:r w:rsidR="007B3BC7">
        <w:rPr>
          <w:color w:val="222222"/>
        </w:rPr>
        <w:t xml:space="preserve">yet </w:t>
      </w:r>
      <w:r w:rsidR="00070B62">
        <w:rPr>
          <w:color w:val="222222"/>
        </w:rPr>
        <w:t xml:space="preserve">necessarily </w:t>
      </w:r>
      <w:r w:rsidR="007B3BC7">
        <w:rPr>
          <w:color w:val="222222"/>
        </w:rPr>
        <w:t xml:space="preserve">translated to increased PT use, in part due to lingering pandemic-induced lifestyle changes favoring </w:t>
      </w:r>
      <w:r w:rsidR="00070B62">
        <w:rPr>
          <w:color w:val="222222"/>
        </w:rPr>
        <w:t xml:space="preserve">personal vehicle use, </w:t>
      </w:r>
      <w:r w:rsidR="00077F94">
        <w:rPr>
          <w:color w:val="222222"/>
        </w:rPr>
        <w:t xml:space="preserve">they </w:t>
      </w:r>
      <w:r w:rsidR="00070B62">
        <w:rPr>
          <w:color w:val="222222"/>
        </w:rPr>
        <w:t xml:space="preserve">do bring some optimism for the cause of increasing </w:t>
      </w:r>
      <w:r w:rsidR="007B3BC7">
        <w:rPr>
          <w:color w:val="222222"/>
        </w:rPr>
        <w:t>PT</w:t>
      </w:r>
      <w:r w:rsidR="00070B62">
        <w:rPr>
          <w:color w:val="222222"/>
        </w:rPr>
        <w:t xml:space="preserve"> ridership</w:t>
      </w:r>
      <w:r w:rsidR="00537EB8" w:rsidRPr="00425F23">
        <w:rPr>
          <w:color w:val="222222"/>
        </w:rPr>
        <w:t xml:space="preserve">. </w:t>
      </w:r>
    </w:p>
    <w:p w14:paraId="15BB8C1C" w14:textId="11451143" w:rsidR="00537EB8" w:rsidRPr="00425F23" w:rsidRDefault="00070B62" w:rsidP="00C67E12">
      <w:pPr>
        <w:pStyle w:val="NormalWeb"/>
        <w:shd w:val="clear" w:color="auto" w:fill="FFFFFF"/>
        <w:spacing w:before="0" w:beforeAutospacing="0" w:after="0" w:afterAutospacing="0"/>
        <w:ind w:firstLine="720"/>
        <w:jc w:val="both"/>
        <w:rPr>
          <w:color w:val="222222"/>
        </w:rPr>
      </w:pPr>
      <w:r>
        <w:rPr>
          <w:color w:val="222222"/>
        </w:rPr>
        <w:t xml:space="preserve">Only one study that we are aware of has focused on heterogeneity across individuals in </w:t>
      </w:r>
      <w:r w:rsidR="00FC2570">
        <w:rPr>
          <w:color w:val="222222"/>
        </w:rPr>
        <w:t xml:space="preserve">the effects of the pandemic on </w:t>
      </w:r>
      <w:r w:rsidR="004D72DF">
        <w:rPr>
          <w:color w:val="222222"/>
        </w:rPr>
        <w:t>PT</w:t>
      </w:r>
      <w:r w:rsidR="00FC2570">
        <w:rPr>
          <w:color w:val="222222"/>
        </w:rPr>
        <w:t xml:space="preserve"> use. </w:t>
      </w:r>
      <w:r w:rsidR="00537EB8" w:rsidRPr="00425F23">
        <w:rPr>
          <w:color w:val="222222"/>
        </w:rPr>
        <w:t>He et al</w:t>
      </w:r>
      <w:r w:rsidR="005A2548">
        <w:rPr>
          <w:color w:val="222222"/>
        </w:rPr>
        <w:t>.</w:t>
      </w:r>
      <w:r w:rsidR="00537EB8" w:rsidRPr="00425F23">
        <w:rPr>
          <w:color w:val="222222"/>
        </w:rPr>
        <w:t xml:space="preserve"> (2022) </w:t>
      </w:r>
      <w:r w:rsidR="00BB7144">
        <w:rPr>
          <w:color w:val="222222"/>
        </w:rPr>
        <w:t>examined</w:t>
      </w:r>
      <w:r w:rsidR="00537EB8" w:rsidRPr="00425F23">
        <w:rPr>
          <w:color w:val="222222"/>
        </w:rPr>
        <w:t xml:space="preserve"> the pandemic impact on </w:t>
      </w:r>
      <w:r w:rsidR="009C16B1">
        <w:rPr>
          <w:color w:val="222222"/>
        </w:rPr>
        <w:t>relatively mobility-constrained</w:t>
      </w:r>
      <w:r w:rsidR="00537EB8" w:rsidRPr="00425F23">
        <w:rPr>
          <w:color w:val="222222"/>
        </w:rPr>
        <w:t xml:space="preserve"> </w:t>
      </w:r>
      <w:r w:rsidR="009C16B1">
        <w:rPr>
          <w:color w:val="222222"/>
        </w:rPr>
        <w:t>individuals</w:t>
      </w:r>
      <w:r w:rsidR="00BB7144">
        <w:rPr>
          <w:color w:val="222222"/>
        </w:rPr>
        <w:t>,</w:t>
      </w:r>
      <w:r w:rsidR="005E2553">
        <w:rPr>
          <w:color w:val="222222"/>
        </w:rPr>
        <w:t xml:space="preserve"> </w:t>
      </w:r>
      <w:r w:rsidR="00537EB8" w:rsidRPr="00425F23">
        <w:rPr>
          <w:color w:val="222222"/>
        </w:rPr>
        <w:t xml:space="preserve">showing that transit riders who do not have access to a vehicle and are below twice </w:t>
      </w:r>
      <w:r w:rsidR="00BB7144">
        <w:rPr>
          <w:color w:val="222222"/>
        </w:rPr>
        <w:t xml:space="preserve">the </w:t>
      </w:r>
      <w:r w:rsidR="00537EB8" w:rsidRPr="00425F23">
        <w:rPr>
          <w:color w:val="222222"/>
        </w:rPr>
        <w:t xml:space="preserve">poverty threshold </w:t>
      </w:r>
      <w:r w:rsidR="004D72DF">
        <w:rPr>
          <w:color w:val="222222"/>
        </w:rPr>
        <w:t xml:space="preserve">(based on annual household income) </w:t>
      </w:r>
      <w:r w:rsidR="00537EB8" w:rsidRPr="00425F23">
        <w:rPr>
          <w:color w:val="222222"/>
        </w:rPr>
        <w:t>were less likely to reduce their</w:t>
      </w:r>
      <w:r w:rsidR="004D72DF">
        <w:rPr>
          <w:color w:val="222222"/>
        </w:rPr>
        <w:t xml:space="preserve"> post-COVID PT use</w:t>
      </w:r>
      <w:r w:rsidR="00537EB8" w:rsidRPr="00425F23">
        <w:rPr>
          <w:color w:val="222222"/>
        </w:rPr>
        <w:t xml:space="preserve">. </w:t>
      </w:r>
      <w:r w:rsidR="00FC2570">
        <w:rPr>
          <w:color w:val="222222"/>
        </w:rPr>
        <w:t>In contrast</w:t>
      </w:r>
      <w:r w:rsidR="00537EB8" w:rsidRPr="00425F23">
        <w:rPr>
          <w:color w:val="222222"/>
        </w:rPr>
        <w:t>, those whose income</w:t>
      </w:r>
      <w:r w:rsidR="004D72DF">
        <w:rPr>
          <w:color w:val="222222"/>
        </w:rPr>
        <w:t>s</w:t>
      </w:r>
      <w:r w:rsidR="00537EB8" w:rsidRPr="00425F23">
        <w:rPr>
          <w:color w:val="222222"/>
        </w:rPr>
        <w:t xml:space="preserve"> w</w:t>
      </w:r>
      <w:r w:rsidR="004D72DF">
        <w:rPr>
          <w:color w:val="222222"/>
        </w:rPr>
        <w:t>ere</w:t>
      </w:r>
      <w:r w:rsidR="00537EB8" w:rsidRPr="00425F23">
        <w:rPr>
          <w:color w:val="222222"/>
        </w:rPr>
        <w:t xml:space="preserve"> adversely affected by the pandemic were </w:t>
      </w:r>
      <w:r w:rsidR="004D72DF">
        <w:rPr>
          <w:color w:val="222222"/>
        </w:rPr>
        <w:t xml:space="preserve">more </w:t>
      </w:r>
      <w:r w:rsidR="00537EB8" w:rsidRPr="00425F23">
        <w:rPr>
          <w:color w:val="222222"/>
        </w:rPr>
        <w:t xml:space="preserve">likely to reduce their </w:t>
      </w:r>
      <w:r w:rsidR="00D85525">
        <w:rPr>
          <w:color w:val="222222"/>
        </w:rPr>
        <w:t xml:space="preserve">PT use, </w:t>
      </w:r>
      <w:r w:rsidR="00537EB8" w:rsidRPr="00425F23">
        <w:rPr>
          <w:color w:val="222222"/>
        </w:rPr>
        <w:t>cit</w:t>
      </w:r>
      <w:r w:rsidR="00D85525">
        <w:rPr>
          <w:color w:val="222222"/>
        </w:rPr>
        <w:t>ing</w:t>
      </w:r>
      <w:r w:rsidR="00537EB8" w:rsidRPr="00425F23">
        <w:rPr>
          <w:color w:val="222222"/>
        </w:rPr>
        <w:t xml:space="preserve"> the expense of transit as an important reason. Similarly, </w:t>
      </w:r>
      <w:r w:rsidR="00D85525">
        <w:rPr>
          <w:color w:val="222222"/>
        </w:rPr>
        <w:t xml:space="preserve">women </w:t>
      </w:r>
      <w:r w:rsidR="00537EB8" w:rsidRPr="00425F23">
        <w:rPr>
          <w:color w:val="222222"/>
        </w:rPr>
        <w:t xml:space="preserve">and Hispanic </w:t>
      </w:r>
      <w:r w:rsidR="00FC2570">
        <w:rPr>
          <w:color w:val="222222"/>
        </w:rPr>
        <w:t xml:space="preserve">non-white </w:t>
      </w:r>
      <w:r w:rsidR="00537EB8" w:rsidRPr="00425F23">
        <w:rPr>
          <w:color w:val="222222"/>
        </w:rPr>
        <w:t xml:space="preserve">riders were less likely to use </w:t>
      </w:r>
      <w:r w:rsidR="00FC2570">
        <w:rPr>
          <w:color w:val="222222"/>
        </w:rPr>
        <w:t>public transportation post-COVID</w:t>
      </w:r>
      <w:r w:rsidR="00537EB8" w:rsidRPr="00425F23">
        <w:rPr>
          <w:color w:val="222222"/>
        </w:rPr>
        <w:t xml:space="preserve">, with </w:t>
      </w:r>
      <w:r w:rsidR="00FC2570">
        <w:rPr>
          <w:color w:val="222222"/>
        </w:rPr>
        <w:t>the</w:t>
      </w:r>
      <w:r w:rsidR="00D85525">
        <w:rPr>
          <w:color w:val="222222"/>
        </w:rPr>
        <w:t xml:space="preserve"> latter group of</w:t>
      </w:r>
      <w:r w:rsidR="00FC2570">
        <w:rPr>
          <w:color w:val="222222"/>
        </w:rPr>
        <w:t xml:space="preserve"> individuals </w:t>
      </w:r>
      <w:r w:rsidR="00537EB8" w:rsidRPr="00425F23">
        <w:rPr>
          <w:color w:val="222222"/>
        </w:rPr>
        <w:t>often citing fear of isolation and vulnerability in interactions with police</w:t>
      </w:r>
      <w:r w:rsidR="00FC2570">
        <w:rPr>
          <w:color w:val="222222"/>
        </w:rPr>
        <w:t xml:space="preserve"> as reasons for their reduced transit use</w:t>
      </w:r>
      <w:r w:rsidR="00DA7F25" w:rsidRPr="00425F23">
        <w:rPr>
          <w:color w:val="222222"/>
        </w:rPr>
        <w:t>.</w:t>
      </w:r>
      <w:r w:rsidR="00537EB8" w:rsidRPr="00425F23">
        <w:rPr>
          <w:color w:val="222222"/>
        </w:rPr>
        <w:t xml:space="preserve"> </w:t>
      </w:r>
    </w:p>
    <w:p w14:paraId="531564E0" w14:textId="77777777" w:rsidR="00FC2570" w:rsidRPr="00425F23" w:rsidRDefault="00FC2570" w:rsidP="00C67E12">
      <w:pPr>
        <w:pStyle w:val="NormalWeb"/>
        <w:shd w:val="clear" w:color="auto" w:fill="FFFFFF"/>
        <w:spacing w:before="0" w:beforeAutospacing="0" w:after="0" w:afterAutospacing="0"/>
        <w:rPr>
          <w:color w:val="222222"/>
        </w:rPr>
      </w:pPr>
    </w:p>
    <w:p w14:paraId="7067867F" w14:textId="76A44449" w:rsidR="00537EB8" w:rsidRPr="00425F23" w:rsidRDefault="00537EB8" w:rsidP="00C67E12">
      <w:pPr>
        <w:pStyle w:val="NormalWeb"/>
        <w:shd w:val="clear" w:color="auto" w:fill="FFFFFF"/>
        <w:spacing w:before="0" w:beforeAutospacing="0" w:after="0" w:afterAutospacing="0"/>
        <w:rPr>
          <w:b/>
          <w:bCs/>
          <w:color w:val="222222"/>
        </w:rPr>
      </w:pPr>
      <w:r w:rsidRPr="00425F23">
        <w:rPr>
          <w:b/>
          <w:bCs/>
          <w:color w:val="222222"/>
        </w:rPr>
        <w:t xml:space="preserve">2.3 </w:t>
      </w:r>
      <w:r w:rsidR="00D85525" w:rsidRPr="00D85525">
        <w:rPr>
          <w:b/>
          <w:bCs/>
          <w:color w:val="222222"/>
        </w:rPr>
        <w:t xml:space="preserve">Individual-Level Stated </w:t>
      </w:r>
      <w:r w:rsidR="00D85525" w:rsidRPr="00D85525">
        <w:rPr>
          <w:b/>
          <w:bCs/>
          <w:i/>
          <w:iCs/>
          <w:color w:val="222222"/>
        </w:rPr>
        <w:t>Future</w:t>
      </w:r>
      <w:r w:rsidR="00D85525" w:rsidRPr="00D85525">
        <w:rPr>
          <w:b/>
          <w:bCs/>
          <w:color w:val="222222"/>
        </w:rPr>
        <w:t xml:space="preserve"> PT Use Assessments based on Intention/Perceptions</w:t>
      </w:r>
    </w:p>
    <w:p w14:paraId="48C1FB68" w14:textId="21B3F562" w:rsidR="00201E04" w:rsidRPr="00425F23" w:rsidRDefault="00537EB8" w:rsidP="00C67E12">
      <w:pPr>
        <w:pStyle w:val="NormalWeb"/>
        <w:shd w:val="clear" w:color="auto" w:fill="FFFFFF"/>
        <w:spacing w:before="0" w:beforeAutospacing="0" w:after="0" w:afterAutospacing="0"/>
        <w:jc w:val="both"/>
        <w:rPr>
          <w:color w:val="222222"/>
        </w:rPr>
      </w:pPr>
      <w:r w:rsidRPr="00425F23">
        <w:rPr>
          <w:color w:val="222222"/>
        </w:rPr>
        <w:t xml:space="preserve">While </w:t>
      </w:r>
      <w:r w:rsidR="00FC2570">
        <w:rPr>
          <w:color w:val="222222"/>
        </w:rPr>
        <w:t xml:space="preserve">there has been </w:t>
      </w:r>
      <w:r w:rsidRPr="00425F23">
        <w:rPr>
          <w:color w:val="222222"/>
        </w:rPr>
        <w:t xml:space="preserve">research </w:t>
      </w:r>
      <w:r w:rsidR="00FC2570">
        <w:rPr>
          <w:color w:val="222222"/>
        </w:rPr>
        <w:t xml:space="preserve">to </w:t>
      </w:r>
      <w:r w:rsidRPr="00425F23">
        <w:rPr>
          <w:color w:val="222222"/>
        </w:rPr>
        <w:t xml:space="preserve">uncover the </w:t>
      </w:r>
      <w:r w:rsidR="00766DED" w:rsidRPr="00425F23">
        <w:rPr>
          <w:color w:val="222222"/>
        </w:rPr>
        <w:t xml:space="preserve">immediate </w:t>
      </w:r>
      <w:r w:rsidR="007310EF" w:rsidRPr="00425F23">
        <w:rPr>
          <w:color w:val="222222"/>
        </w:rPr>
        <w:t>consequences of</w:t>
      </w:r>
      <w:r w:rsidRPr="00425F23">
        <w:rPr>
          <w:color w:val="222222"/>
        </w:rPr>
        <w:t xml:space="preserve"> the pandemic, </w:t>
      </w:r>
      <w:r w:rsidR="00FC2570">
        <w:rPr>
          <w:color w:val="222222"/>
        </w:rPr>
        <w:t xml:space="preserve">as just discussed, </w:t>
      </w:r>
      <w:r w:rsidRPr="00425F23">
        <w:rPr>
          <w:color w:val="222222"/>
        </w:rPr>
        <w:t xml:space="preserve">there are still </w:t>
      </w:r>
      <w:r w:rsidR="00302074" w:rsidRPr="00425F23">
        <w:rPr>
          <w:color w:val="222222"/>
        </w:rPr>
        <w:t xml:space="preserve">lingering </w:t>
      </w:r>
      <w:r w:rsidRPr="00425F23">
        <w:rPr>
          <w:color w:val="222222"/>
        </w:rPr>
        <w:t xml:space="preserve">questions </w:t>
      </w:r>
      <w:r w:rsidR="00302074" w:rsidRPr="00425F23">
        <w:rPr>
          <w:color w:val="222222"/>
        </w:rPr>
        <w:t xml:space="preserve">regarding </w:t>
      </w:r>
      <w:r w:rsidR="00FC2570">
        <w:rPr>
          <w:color w:val="222222"/>
        </w:rPr>
        <w:t xml:space="preserve">the pandemic’s </w:t>
      </w:r>
      <w:r w:rsidR="00302074" w:rsidRPr="00425F23">
        <w:rPr>
          <w:color w:val="222222"/>
        </w:rPr>
        <w:t>enduring effects</w:t>
      </w:r>
      <w:r w:rsidR="00FC2570">
        <w:rPr>
          <w:color w:val="222222"/>
        </w:rPr>
        <w:t xml:space="preserve"> on </w:t>
      </w:r>
      <w:r w:rsidR="00D12B64">
        <w:rPr>
          <w:color w:val="222222"/>
        </w:rPr>
        <w:t>PT use</w:t>
      </w:r>
      <w:r w:rsidR="00766DED" w:rsidRPr="00425F23">
        <w:rPr>
          <w:color w:val="222222"/>
        </w:rPr>
        <w:t xml:space="preserve">. </w:t>
      </w:r>
      <w:r w:rsidR="00FC2570">
        <w:rPr>
          <w:color w:val="222222"/>
        </w:rPr>
        <w:t xml:space="preserve">Some studies </w:t>
      </w:r>
      <w:r w:rsidR="00655782">
        <w:rPr>
          <w:color w:val="222222"/>
        </w:rPr>
        <w:t>elicit information about</w:t>
      </w:r>
      <w:r w:rsidR="00FC2570">
        <w:rPr>
          <w:color w:val="222222"/>
        </w:rPr>
        <w:t xml:space="preserve"> </w:t>
      </w:r>
      <w:r w:rsidRPr="00425F23">
        <w:rPr>
          <w:color w:val="222222"/>
        </w:rPr>
        <w:t xml:space="preserve">future </w:t>
      </w:r>
      <w:r w:rsidR="00D12B64">
        <w:rPr>
          <w:color w:val="222222"/>
        </w:rPr>
        <w:t xml:space="preserve">PT use </w:t>
      </w:r>
      <w:r w:rsidRPr="00425F23">
        <w:rPr>
          <w:color w:val="222222"/>
        </w:rPr>
        <w:t>through stated intention</w:t>
      </w:r>
      <w:r w:rsidR="00BB7144">
        <w:rPr>
          <w:color w:val="222222"/>
        </w:rPr>
        <w:t>s</w:t>
      </w:r>
      <w:r w:rsidR="00D12B64">
        <w:rPr>
          <w:color w:val="222222"/>
        </w:rPr>
        <w:t>/perceptions</w:t>
      </w:r>
      <w:r w:rsidR="00201E04">
        <w:rPr>
          <w:color w:val="222222"/>
        </w:rPr>
        <w:t xml:space="preserve">. </w:t>
      </w:r>
      <w:r w:rsidR="00201E04" w:rsidRPr="00425F23">
        <w:rPr>
          <w:color w:val="222222"/>
        </w:rPr>
        <w:t xml:space="preserve">For </w:t>
      </w:r>
      <w:r w:rsidR="00201E04">
        <w:rPr>
          <w:color w:val="222222"/>
        </w:rPr>
        <w:t>example</w:t>
      </w:r>
      <w:r w:rsidR="00201E04" w:rsidRPr="00425F23">
        <w:rPr>
          <w:color w:val="222222"/>
        </w:rPr>
        <w:t xml:space="preserve">, Zhao and Gao </w:t>
      </w:r>
      <w:r w:rsidR="00201E04" w:rsidRPr="00425F23">
        <w:rPr>
          <w:color w:val="222222"/>
        </w:rPr>
        <w:fldChar w:fldCharType="begin"/>
      </w:r>
      <w:r w:rsidR="005C565E">
        <w:rPr>
          <w:color w:val="222222"/>
        </w:rPr>
        <w:instrText xml:space="preserve"> ADDIN ZOTERO_ITEM CSL_CITATION {"citationID":"a1552vnqkq6","properties":{"formattedCitation":"(2022)","plainCitation":"(2022)","noteIndex":0},"citationItems":[{"id":26,"uris":["http://zotero.org/groups/5345474/items/957HAWYA"],"itemData":{"id":26,"type":"article-journal","abstract":"It is widely reported that the COVID-19 pandemic has reduced ridership and brought severe challenges to urban public transit systems in many countries. The impact of the COVID-19 pandemic on individual people’s choice of public transit may continue for a while after the peak of the crisis. However, there is insufficient detailed knowledge of how individuals respond in the post-pandemic context and make choices on public transit travel. This paper contributes fresh evidence for this by looking at Beijing as a case. The theoretical framework of the Theory of Planned Behavior is used to model individuals’ public transit travel choice-making processes along with three additional constructs representing the impact of the pandemic and the nature of urban mobility behaviors, namely perceived knowledge of COVID-19, the psychological risks of COVID-19, and travel habits. Structural equation modeling is used in model estimation. We point out that there may be potential differences between the effects and meanings of model constructs in the post-pandemic context and in normal daily context. Interestingly, despite the higher psychological risk’s negative effects, higher perceived knowledge of COVID-19 has significantly positive effects on people’s decision-making processes. A strong pre-pandemic personal habit of traveling by public transit has significant and positive effects on post-pandemic intention and perceived behavioral control. Group comparisons show that “captive” transit users have higher psychological risk of COVID-19 than “choice” transit users, yet their transit use decisions are less influenced by it. Based on the modeling results, more behavioral experiments are needed to further inform efficient policy-making.","container-title":"Travel Behaviour and Society","DOI":"10.1016/j.tbs.2022.04.002","ISSN":"2214-367X","journalAbbreviation":"Travel Behaviour and Society","page":"181-195","source":"ScienceDirect","title":"Public transit travel choice in the post COVID-19 pandemic era: An application of the extended Theory of Planned behavior","title-short":"Public transit travel choice in the post COVID-19 pandemic era","URL":"https://www.sciencedirect.com/science/article/pii/S2214367X22000357","volume":"28","author":[{"family":"Zhao","given":"Pengjun"},{"family":"Gao","given":"Yukun"}],"accessed":{"date-parts":[["2024",1,10]]},"issued":{"date-parts":[["2022",7,1]]}},"label":"page","suppress-author":true}],"schema":"https://github.com/citation-style-language/schema/raw/master/csl-citation.json"} </w:instrText>
      </w:r>
      <w:r w:rsidR="00201E04" w:rsidRPr="00425F23">
        <w:rPr>
          <w:color w:val="222222"/>
        </w:rPr>
        <w:fldChar w:fldCharType="separate"/>
      </w:r>
      <w:r w:rsidR="00201E04" w:rsidRPr="00425F23">
        <w:t>(2022)</w:t>
      </w:r>
      <w:r w:rsidR="00201E04" w:rsidRPr="00425F23">
        <w:rPr>
          <w:color w:val="222222"/>
        </w:rPr>
        <w:fldChar w:fldCharType="end"/>
      </w:r>
      <w:r w:rsidR="00201E04" w:rsidRPr="00425F23">
        <w:rPr>
          <w:color w:val="222222"/>
        </w:rPr>
        <w:t xml:space="preserve"> examined post-pandemic </w:t>
      </w:r>
      <w:r w:rsidR="00D85525">
        <w:rPr>
          <w:color w:val="222222"/>
        </w:rPr>
        <w:t xml:space="preserve">PT </w:t>
      </w:r>
      <w:r w:rsidR="00201E04" w:rsidRPr="00425F23">
        <w:rPr>
          <w:color w:val="222222"/>
        </w:rPr>
        <w:t xml:space="preserve">use intentions using the Theory of Planned Behavior, </w:t>
      </w:r>
      <w:r w:rsidR="00201E04">
        <w:rPr>
          <w:color w:val="222222"/>
        </w:rPr>
        <w:t>revealing</w:t>
      </w:r>
      <w:r w:rsidR="00201E04" w:rsidRPr="00425F23">
        <w:rPr>
          <w:color w:val="222222"/>
        </w:rPr>
        <w:t xml:space="preserve"> that </w:t>
      </w:r>
      <w:r w:rsidR="00201E04">
        <w:rPr>
          <w:color w:val="222222"/>
        </w:rPr>
        <w:t xml:space="preserve">future </w:t>
      </w:r>
      <w:r w:rsidR="00201E04" w:rsidRPr="00425F23">
        <w:rPr>
          <w:color w:val="222222"/>
        </w:rPr>
        <w:t xml:space="preserve">public </w:t>
      </w:r>
      <w:r w:rsidR="00201E04">
        <w:rPr>
          <w:color w:val="222222"/>
        </w:rPr>
        <w:t xml:space="preserve">transportation use </w:t>
      </w:r>
      <w:r w:rsidR="00201E04" w:rsidRPr="00425F23">
        <w:rPr>
          <w:color w:val="222222"/>
        </w:rPr>
        <w:t xml:space="preserve">intentions are impacted by an individual’s perceived knowledge and psychological risk of the pandemic, as well as their pre-pandemic public transit travel habits. </w:t>
      </w:r>
      <w:r w:rsidR="007B43B7">
        <w:rPr>
          <w:color w:val="222222"/>
        </w:rPr>
        <w:t xml:space="preserve">In addition to COVID risk perceptions and pre-pandemic PT use, </w:t>
      </w:r>
      <w:r w:rsidR="00201E04" w:rsidRPr="003D214A">
        <w:rPr>
          <w:color w:val="222222"/>
        </w:rPr>
        <w:t xml:space="preserve">Downey et al. (2022) </w:t>
      </w:r>
      <w:r w:rsidR="007B43B7">
        <w:rPr>
          <w:color w:val="222222"/>
        </w:rPr>
        <w:t xml:space="preserve">examined </w:t>
      </w:r>
      <w:r w:rsidR="001F4585">
        <w:rPr>
          <w:color w:val="222222"/>
        </w:rPr>
        <w:t>the effect</w:t>
      </w:r>
      <w:r w:rsidR="00316E61">
        <w:rPr>
          <w:color w:val="222222"/>
        </w:rPr>
        <w:t>s</w:t>
      </w:r>
      <w:r w:rsidR="001F4585">
        <w:rPr>
          <w:color w:val="222222"/>
        </w:rPr>
        <w:t xml:space="preserve"> of other demographic/employment factors </w:t>
      </w:r>
      <w:r w:rsidR="004678CD">
        <w:rPr>
          <w:color w:val="222222"/>
        </w:rPr>
        <w:t xml:space="preserve">and </w:t>
      </w:r>
      <w:r w:rsidR="00D85525" w:rsidRPr="003D214A">
        <w:rPr>
          <w:color w:val="222222"/>
        </w:rPr>
        <w:t>the media platform through which individuals obtain</w:t>
      </w:r>
      <w:r w:rsidR="004678CD">
        <w:rPr>
          <w:color w:val="222222"/>
        </w:rPr>
        <w:t>ed</w:t>
      </w:r>
      <w:r w:rsidR="00D85525" w:rsidRPr="003D214A">
        <w:rPr>
          <w:color w:val="222222"/>
        </w:rPr>
        <w:t xml:space="preserve"> data about the pandemic</w:t>
      </w:r>
      <w:r w:rsidR="00D0142A">
        <w:rPr>
          <w:color w:val="222222"/>
        </w:rPr>
        <w:t xml:space="preserve">. </w:t>
      </w:r>
      <w:r w:rsidR="00EC472A" w:rsidRPr="003D214A">
        <w:rPr>
          <w:color w:val="222222"/>
        </w:rPr>
        <w:t>They observed that</w:t>
      </w:r>
      <w:r w:rsidR="001F4585">
        <w:rPr>
          <w:color w:val="222222"/>
        </w:rPr>
        <w:t xml:space="preserve">, while unemployed individuals, in general, expressed less of an intent for future PT use relative to employed individuals, those unemployed because of </w:t>
      </w:r>
      <w:r w:rsidR="00EC472A" w:rsidRPr="003D214A">
        <w:rPr>
          <w:color w:val="222222"/>
        </w:rPr>
        <w:t xml:space="preserve">long-term illness or disabilities </w:t>
      </w:r>
      <w:r w:rsidR="001F4585">
        <w:rPr>
          <w:color w:val="222222"/>
        </w:rPr>
        <w:t xml:space="preserve">expressed the </w:t>
      </w:r>
      <w:r w:rsidR="00EC472A" w:rsidRPr="003D214A">
        <w:rPr>
          <w:color w:val="222222"/>
        </w:rPr>
        <w:t>highe</w:t>
      </w:r>
      <w:r w:rsidR="001F4585">
        <w:rPr>
          <w:color w:val="222222"/>
        </w:rPr>
        <w:t xml:space="preserve">st </w:t>
      </w:r>
      <w:r w:rsidR="00EC472A" w:rsidRPr="003D214A">
        <w:rPr>
          <w:color w:val="222222"/>
        </w:rPr>
        <w:t xml:space="preserve">future public transportation use </w:t>
      </w:r>
      <w:r w:rsidR="00A740E0" w:rsidRPr="003D214A">
        <w:rPr>
          <w:color w:val="222222"/>
        </w:rPr>
        <w:t>intention</w:t>
      </w:r>
      <w:r w:rsidR="001F4585">
        <w:rPr>
          <w:color w:val="222222"/>
        </w:rPr>
        <w:t xml:space="preserve">. </w:t>
      </w:r>
      <w:r w:rsidR="000A5007">
        <w:rPr>
          <w:color w:val="222222"/>
        </w:rPr>
        <w:t xml:space="preserve">Downey et al. (2022) </w:t>
      </w:r>
      <w:r w:rsidR="00EC472A" w:rsidRPr="003D214A">
        <w:rPr>
          <w:color w:val="222222"/>
        </w:rPr>
        <w:t xml:space="preserve">attributed this to </w:t>
      </w:r>
      <w:r w:rsidR="00C968AB" w:rsidRPr="003D214A">
        <w:rPr>
          <w:color w:val="222222"/>
        </w:rPr>
        <w:t xml:space="preserve">the possibility </w:t>
      </w:r>
      <w:r w:rsidR="001F4585">
        <w:rPr>
          <w:color w:val="222222"/>
        </w:rPr>
        <w:t xml:space="preserve">that health-affected individuals may perceive </w:t>
      </w:r>
      <w:r w:rsidR="00BE48F6" w:rsidRPr="003D214A">
        <w:rPr>
          <w:color w:val="222222"/>
        </w:rPr>
        <w:t xml:space="preserve">fewer viable post-pandemic </w:t>
      </w:r>
      <w:r w:rsidR="001F4585">
        <w:rPr>
          <w:color w:val="222222"/>
        </w:rPr>
        <w:t xml:space="preserve">private </w:t>
      </w:r>
      <w:r w:rsidR="00BE48F6" w:rsidRPr="003D214A">
        <w:rPr>
          <w:color w:val="222222"/>
        </w:rPr>
        <w:t>mobility options</w:t>
      </w:r>
      <w:r w:rsidR="00EC472A" w:rsidRPr="003D214A">
        <w:rPr>
          <w:color w:val="222222"/>
        </w:rPr>
        <w:t xml:space="preserve">. </w:t>
      </w:r>
      <w:r w:rsidR="001F4585">
        <w:rPr>
          <w:color w:val="222222"/>
        </w:rPr>
        <w:t>Further</w:t>
      </w:r>
      <w:r w:rsidR="00EC472A" w:rsidRPr="003D214A">
        <w:rPr>
          <w:color w:val="222222"/>
        </w:rPr>
        <w:t xml:space="preserve">, </w:t>
      </w:r>
      <w:r w:rsidR="000A5007">
        <w:rPr>
          <w:color w:val="222222"/>
        </w:rPr>
        <w:t xml:space="preserve">they </w:t>
      </w:r>
      <w:r w:rsidR="00B5076C" w:rsidRPr="003D214A">
        <w:rPr>
          <w:color w:val="222222"/>
        </w:rPr>
        <w:t xml:space="preserve">observed </w:t>
      </w:r>
      <w:r w:rsidR="00201E04" w:rsidRPr="003D214A">
        <w:rPr>
          <w:color w:val="222222"/>
        </w:rPr>
        <w:t xml:space="preserve">that </w:t>
      </w:r>
      <w:r w:rsidR="00B57EBA" w:rsidRPr="003D214A">
        <w:rPr>
          <w:color w:val="222222"/>
        </w:rPr>
        <w:t>those</w:t>
      </w:r>
      <w:r w:rsidR="001B2407" w:rsidRPr="003D214A">
        <w:rPr>
          <w:color w:val="222222"/>
        </w:rPr>
        <w:t xml:space="preserve"> </w:t>
      </w:r>
      <w:r w:rsidR="00201E04" w:rsidRPr="003D214A">
        <w:rPr>
          <w:color w:val="222222"/>
        </w:rPr>
        <w:t xml:space="preserve">who used </w:t>
      </w:r>
      <w:r w:rsidR="00D85525" w:rsidRPr="003D214A">
        <w:rPr>
          <w:color w:val="222222"/>
        </w:rPr>
        <w:t xml:space="preserve">digital news platforms (such as </w:t>
      </w:r>
      <w:r w:rsidR="00201E04" w:rsidRPr="003D214A">
        <w:rPr>
          <w:color w:val="222222"/>
        </w:rPr>
        <w:t xml:space="preserve">websites or </w:t>
      </w:r>
      <w:r w:rsidR="001B2407" w:rsidRPr="003D214A">
        <w:rPr>
          <w:color w:val="222222"/>
        </w:rPr>
        <w:t>social media</w:t>
      </w:r>
      <w:r w:rsidR="00D85525" w:rsidRPr="003D214A">
        <w:rPr>
          <w:color w:val="222222"/>
        </w:rPr>
        <w:t xml:space="preserve">) rather than conventional news platforms (such as papers, TV, and radio) </w:t>
      </w:r>
      <w:r w:rsidR="00B5076C" w:rsidRPr="003D214A">
        <w:rPr>
          <w:color w:val="222222"/>
        </w:rPr>
        <w:t xml:space="preserve">had </w:t>
      </w:r>
      <w:r w:rsidR="00D92076">
        <w:rPr>
          <w:color w:val="222222"/>
        </w:rPr>
        <w:t>lower</w:t>
      </w:r>
      <w:r w:rsidR="00D92076" w:rsidRPr="003D214A">
        <w:rPr>
          <w:color w:val="222222"/>
        </w:rPr>
        <w:t xml:space="preserve"> </w:t>
      </w:r>
      <w:r w:rsidR="00B5076C" w:rsidRPr="003D214A">
        <w:rPr>
          <w:color w:val="222222"/>
        </w:rPr>
        <w:t>future</w:t>
      </w:r>
      <w:r w:rsidR="00FC3E8C" w:rsidRPr="003D214A">
        <w:rPr>
          <w:color w:val="222222"/>
        </w:rPr>
        <w:t xml:space="preserve"> </w:t>
      </w:r>
      <w:r w:rsidR="00083010" w:rsidRPr="003D214A">
        <w:rPr>
          <w:color w:val="222222"/>
        </w:rPr>
        <w:t>public transporta</w:t>
      </w:r>
      <w:r w:rsidR="00083010">
        <w:rPr>
          <w:color w:val="222222"/>
        </w:rPr>
        <w:t xml:space="preserve">tion </w:t>
      </w:r>
      <w:r w:rsidR="00FC3E8C">
        <w:rPr>
          <w:color w:val="222222"/>
        </w:rPr>
        <w:t>use intentions</w:t>
      </w:r>
      <w:r w:rsidR="00D85525">
        <w:rPr>
          <w:color w:val="222222"/>
        </w:rPr>
        <w:t xml:space="preserve">, </w:t>
      </w:r>
      <w:r w:rsidR="00316E61">
        <w:rPr>
          <w:color w:val="222222"/>
        </w:rPr>
        <w:t xml:space="preserve">ascribing </w:t>
      </w:r>
      <w:r w:rsidR="00C84E6E">
        <w:rPr>
          <w:color w:val="222222"/>
        </w:rPr>
        <w:t xml:space="preserve">this to </w:t>
      </w:r>
      <w:r w:rsidR="00F73DD5">
        <w:rPr>
          <w:color w:val="222222"/>
        </w:rPr>
        <w:t xml:space="preserve">the more rapid spread of </w:t>
      </w:r>
      <w:r w:rsidR="005448E9">
        <w:rPr>
          <w:color w:val="222222"/>
        </w:rPr>
        <w:t xml:space="preserve">pandemic-related </w:t>
      </w:r>
      <w:r w:rsidR="00F73DD5">
        <w:rPr>
          <w:color w:val="222222"/>
        </w:rPr>
        <w:t xml:space="preserve">information through these digital sources and highlighting the potential of targeted </w:t>
      </w:r>
      <w:r w:rsidR="00517593">
        <w:rPr>
          <w:color w:val="222222"/>
        </w:rPr>
        <w:t>publicity campaigns</w:t>
      </w:r>
      <w:r w:rsidR="00D85525">
        <w:rPr>
          <w:color w:val="222222"/>
        </w:rPr>
        <w:t>.</w:t>
      </w:r>
      <w:r w:rsidR="00201E04" w:rsidRPr="00425F23">
        <w:rPr>
          <w:color w:val="222222"/>
        </w:rPr>
        <w:t xml:space="preserve"> </w:t>
      </w:r>
      <w:r w:rsidR="00D85525">
        <w:rPr>
          <w:color w:val="222222"/>
        </w:rPr>
        <w:t xml:space="preserve">Unlike Zhao and Gao </w:t>
      </w:r>
      <w:r w:rsidR="007810DE">
        <w:rPr>
          <w:color w:val="222222"/>
        </w:rPr>
        <w:t xml:space="preserve">(2022) </w:t>
      </w:r>
      <w:r w:rsidR="00D85525">
        <w:rPr>
          <w:color w:val="222222"/>
        </w:rPr>
        <w:t>and Downey et al. (2022)</w:t>
      </w:r>
      <w:r w:rsidR="007810DE">
        <w:rPr>
          <w:color w:val="222222"/>
        </w:rPr>
        <w:t xml:space="preserve"> who used intention data</w:t>
      </w:r>
      <w:r w:rsidR="003C7F81">
        <w:rPr>
          <w:color w:val="222222"/>
        </w:rPr>
        <w:t xml:space="preserve"> </w:t>
      </w:r>
      <w:r w:rsidR="003C7F81">
        <w:rPr>
          <w:noProof/>
          <w:color w:val="222222"/>
        </w:rPr>
        <w:t>Bandyopadhyaya and Bandyopadhyaya</w:t>
      </w:r>
      <w:r w:rsidR="006858CB">
        <w:rPr>
          <w:noProof/>
          <w:color w:val="222222"/>
        </w:rPr>
        <w:t xml:space="preserve"> </w:t>
      </w:r>
      <w:r w:rsidR="006858CB">
        <w:rPr>
          <w:noProof/>
          <w:color w:val="222222"/>
        </w:rPr>
        <w:fldChar w:fldCharType="begin"/>
      </w:r>
      <w:r w:rsidR="005C565E">
        <w:rPr>
          <w:noProof/>
          <w:color w:val="222222"/>
        </w:rPr>
        <w:instrText xml:space="preserve"> ADDIN ZOTERO_ITEM CSL_CITATION {"citationID":"n2IK8qk1","properties":{"formattedCitation":"(2022)","plainCitation":"(2022)","noteIndex":0},"citationItems":[{"id":109,"uris":["http://zotero.org/groups/5345474/items/7AU8UGZW"],"itemData":{"id":109,"type":"article-journal","abstract":"Use of public transportation by regular commuters can help to reduce congestion and pollution in cities. Improving public transportation facilties may not be sufficient to improve its use and understanding the factors that determine use intention may help to improve public transport use specially for young adults who travel for work regularly. The current work aims to systematically assess public transport use intention for regular commuters below the age of 45 years, who may continue using or switch to public transport when facilities improve in Indian context post Covid-19 outbreak using a modified Theory of Planned Behavior framework. The work considers public transport improvement from two aspects, first, improvement in availability, which ensures less crowding, so that peoples’ perceived safety improves from social distancing perspective and second, reduced travel times. It could be observed from this study that out of the demographic variables annual family income and education significantly affected use intentions but not family size and gender. It was observed in Indian context that social norms significantly affected public transport use intentions, but not an individual’s attitude indicating that individuals are more concerned about social mandates over their personal preferences. Also, a person who has traveled in public transport mode in recent past was observed to have greater intent to continue using public transport than those who did not. Interestingly, people with higher income and education levels showed greater intent of public transport use. The observations from this study may be used for designing focused interventions to improve public transport use intentions in developing countries like India.","container-title":"Case Studies on Transport Policy","DOI":"10.1016/j.cstp.2022.09.002","ISSN":"2213-624X","issue":"4","journalAbbreviation":"Case Studies on Transport Policy","page":"2044-2052","source":"ScienceDirect","title":"Understanding public transport use intention post Covid-19 outbreak using modified theory of planned behavior: Case study from developing country perspective","title-short":"Understanding public transport use intention post Covid-19 outbreak using modified theory of planned behavior","URL":"https://www.sciencedirect.com/science/article/pii/S2213624X22001717","volume":"10","author":[{"family":"Bandyopadhyaya","given":"Vijaya"},{"family":"Bandyopadhyaya","given":"Ranja"}],"accessed":{"date-parts":[["2024",2,13]]},"issued":{"date-parts":[["2022",12,1]]}},"label":"page","suppress-author":true}],"schema":"https://github.com/citation-style-language/schema/raw/master/csl-citation.json"} </w:instrText>
      </w:r>
      <w:r w:rsidR="006858CB">
        <w:rPr>
          <w:noProof/>
          <w:color w:val="222222"/>
        </w:rPr>
        <w:fldChar w:fldCharType="separate"/>
      </w:r>
      <w:r w:rsidR="006858CB" w:rsidRPr="006858CB">
        <w:t>(2022)</w:t>
      </w:r>
      <w:r w:rsidR="006858CB">
        <w:rPr>
          <w:noProof/>
          <w:color w:val="222222"/>
        </w:rPr>
        <w:fldChar w:fldCharType="end"/>
      </w:r>
      <w:r w:rsidR="003C7F81">
        <w:rPr>
          <w:color w:val="222222"/>
        </w:rPr>
        <w:t xml:space="preserve"> </w:t>
      </w:r>
      <w:r w:rsidR="00A4134B">
        <w:rPr>
          <w:color w:val="222222"/>
        </w:rPr>
        <w:t xml:space="preserve">examined </w:t>
      </w:r>
      <w:r w:rsidR="00D12B64">
        <w:rPr>
          <w:color w:val="222222"/>
        </w:rPr>
        <w:t xml:space="preserve">PT perceptions </w:t>
      </w:r>
      <w:r w:rsidR="00F549DF">
        <w:rPr>
          <w:color w:val="222222"/>
        </w:rPr>
        <w:t xml:space="preserve">in </w:t>
      </w:r>
      <w:r w:rsidR="00D12B64">
        <w:rPr>
          <w:color w:val="222222"/>
        </w:rPr>
        <w:t xml:space="preserve">a </w:t>
      </w:r>
      <w:r w:rsidR="00F549DF">
        <w:rPr>
          <w:color w:val="222222"/>
        </w:rPr>
        <w:t>post-COVID world</w:t>
      </w:r>
      <w:r w:rsidR="00A4134B">
        <w:rPr>
          <w:color w:val="222222"/>
        </w:rPr>
        <w:t xml:space="preserve">, showing </w:t>
      </w:r>
      <w:r w:rsidR="00D12B64">
        <w:rPr>
          <w:color w:val="222222"/>
        </w:rPr>
        <w:t xml:space="preserve">that </w:t>
      </w:r>
      <w:r w:rsidR="00F549DF" w:rsidRPr="00425F23">
        <w:rPr>
          <w:color w:val="222222"/>
        </w:rPr>
        <w:t xml:space="preserve">perceptions of </w:t>
      </w:r>
      <w:r w:rsidR="00A4134B">
        <w:rPr>
          <w:color w:val="222222"/>
        </w:rPr>
        <w:t xml:space="preserve">transit travel </w:t>
      </w:r>
      <w:r w:rsidR="00F549DF" w:rsidRPr="00425F23">
        <w:rPr>
          <w:color w:val="222222"/>
        </w:rPr>
        <w:t>comfort, convenience, and safety (especially in relation to social distancing)</w:t>
      </w:r>
      <w:r w:rsidR="00D12B64">
        <w:rPr>
          <w:color w:val="222222"/>
        </w:rPr>
        <w:t xml:space="preserve"> are important considerations</w:t>
      </w:r>
      <w:r w:rsidR="00A4134B">
        <w:rPr>
          <w:color w:val="222222"/>
        </w:rPr>
        <w:t xml:space="preserve">. </w:t>
      </w:r>
      <w:r w:rsidR="00201E04" w:rsidRPr="003D214A">
        <w:rPr>
          <w:color w:val="222222"/>
        </w:rPr>
        <w:t xml:space="preserve">Finally, </w:t>
      </w:r>
      <w:proofErr w:type="spellStart"/>
      <w:r w:rsidR="00201E04" w:rsidRPr="003D214A">
        <w:rPr>
          <w:color w:val="222222"/>
        </w:rPr>
        <w:t>Tsavdari</w:t>
      </w:r>
      <w:proofErr w:type="spellEnd"/>
      <w:r w:rsidR="00201E04" w:rsidRPr="00425F23">
        <w:rPr>
          <w:color w:val="222222"/>
        </w:rPr>
        <w:t xml:space="preserve"> et al. </w:t>
      </w:r>
      <w:r w:rsidR="00201E04" w:rsidRPr="00425F23">
        <w:rPr>
          <w:color w:val="222222"/>
        </w:rPr>
        <w:fldChar w:fldCharType="begin"/>
      </w:r>
      <w:r w:rsidR="005C565E">
        <w:rPr>
          <w:color w:val="222222"/>
        </w:rPr>
        <w:instrText xml:space="preserve"> ADDIN ZOTERO_ITEM CSL_CITATION {"citationID":"a26rtmklh8p","properties":{"formattedCitation":"(2022)","plainCitation":"(2022)","noteIndex":0},"citationItems":[{"id":163,"uris":["http://zotero.org/groups/5345474/items/XF98MRZD"],"itemData":{"id":163,"type":"article-journal","abstract":"This paper investigates how the travel behavior relating to Public Transport (PT) changed during the COVID-19 pandemic, and which are the expectations about the extent of PT use post-pandemic. A revealed preferences questionnaire survey was distributed within an academic community in the city of Thessaloniki, Greece. To understand the factors potentially determining the future PT use, hierarchical ordered probit and bivariate ordered probit models were estimated. Results showed that the frequent PT users reduced by almost 75% during the pandemic. More than 29% of the local academic community members are reluctant to resume PT use at pre-pandemic levels. Non-captive users, teleworkers and those being unsatisfied with cleanliness and safety are less willing to travelling by PT post-pandemic. Female and under-stress passengers were found to particularly appreciate the use of facemasks and the increased service frequencies as post-pandemic policy measures. The study findings can inform the recovery strategies of transport authorities in order to retain the PT ridership at levels that will not threat the long-term viability of service provision. Future research may complement these findings by examining other population segments, such as the commuters and the elderly, under more advanced modelling techniques to account for additional unobserved behavioral patterns.","container-title":"Social Sciences","DOI":"10.3390/socsci11090400","ISSN":"2076-0760","issue":"9","language":"en","license":"http://creativecommons.org/licenses/by/3.0/","note":"number: 9\npublisher: Multidisciplinary Digital Publishing Institute","page":"400","source":"www.mdpi.com","title":"The Anticipated Use of Public Transport in the Post-Pandemic Era: Insights from an Academic Community in Thessaloniki, Greece","title-short":"The Anticipated Use of Public Transport in the Post-Pandemic Era","URL":"https://www.mdpi.com/2076-0760/11/9/400","volume":"11","author":[{"family":"Tsavdari","given":"Despoina"},{"family":"Klimi","given":"Vasileia"},{"family":"Georgiadis","given":"Georgios"},{"family":"Fountas","given":"Grigorios"},{"family":"Basbas","given":"Socrates"}],"accessed":{"date-parts":[["2024",3,27]]},"issued":{"date-parts":[["2022",9]]}},"label":"page","suppress-author":true}],"schema":"https://github.com/citation-style-language/schema/raw/master/csl-citation.json"} </w:instrText>
      </w:r>
      <w:r w:rsidR="00201E04" w:rsidRPr="00425F23">
        <w:rPr>
          <w:color w:val="222222"/>
        </w:rPr>
        <w:fldChar w:fldCharType="separate"/>
      </w:r>
      <w:r w:rsidR="00201E04" w:rsidRPr="00425F23">
        <w:t>(2022)</w:t>
      </w:r>
      <w:r w:rsidR="00201E04" w:rsidRPr="00425F23">
        <w:rPr>
          <w:color w:val="222222"/>
        </w:rPr>
        <w:fldChar w:fldCharType="end"/>
      </w:r>
      <w:r w:rsidR="00201E04" w:rsidRPr="00425F23">
        <w:rPr>
          <w:color w:val="222222"/>
        </w:rPr>
        <w:t xml:space="preserve"> is the only study we are aware of that examines future public transit use intentions based on </w:t>
      </w:r>
      <w:r w:rsidR="007810DE">
        <w:rPr>
          <w:color w:val="222222"/>
        </w:rPr>
        <w:t xml:space="preserve">PT use </w:t>
      </w:r>
      <w:r w:rsidR="00201E04" w:rsidRPr="00425F23">
        <w:rPr>
          <w:color w:val="222222"/>
        </w:rPr>
        <w:t xml:space="preserve">changes </w:t>
      </w:r>
      <w:r w:rsidR="004C5DF3">
        <w:rPr>
          <w:color w:val="222222"/>
        </w:rPr>
        <w:t>during</w:t>
      </w:r>
      <w:r w:rsidR="00201E04" w:rsidRPr="00425F23">
        <w:rPr>
          <w:color w:val="222222"/>
        </w:rPr>
        <w:t xml:space="preserve"> the pandemic</w:t>
      </w:r>
      <w:r w:rsidR="004C5DF3">
        <w:rPr>
          <w:color w:val="222222"/>
        </w:rPr>
        <w:t>.</w:t>
      </w:r>
      <w:r w:rsidR="00E2689E">
        <w:rPr>
          <w:color w:val="222222"/>
        </w:rPr>
        <w:t xml:space="preserve"> </w:t>
      </w:r>
      <w:r w:rsidR="00201E04" w:rsidRPr="00425F23">
        <w:rPr>
          <w:color w:val="222222"/>
        </w:rPr>
        <w:t>They f</w:t>
      </w:r>
      <w:r w:rsidR="007810DE">
        <w:rPr>
          <w:color w:val="222222"/>
        </w:rPr>
        <w:t>ound</w:t>
      </w:r>
      <w:r w:rsidR="00201E04" w:rsidRPr="00425F23">
        <w:rPr>
          <w:color w:val="222222"/>
        </w:rPr>
        <w:t xml:space="preserve"> that</w:t>
      </w:r>
      <w:r w:rsidR="007810DE">
        <w:rPr>
          <w:color w:val="222222"/>
        </w:rPr>
        <w:t>, compared to those who continued using PT (even if only occasionally),</w:t>
      </w:r>
      <w:r w:rsidR="00201E04" w:rsidRPr="00425F23">
        <w:rPr>
          <w:color w:val="222222"/>
        </w:rPr>
        <w:t xml:space="preserve"> individuals who </w:t>
      </w:r>
      <w:r w:rsidR="007810DE">
        <w:rPr>
          <w:color w:val="222222"/>
        </w:rPr>
        <w:t xml:space="preserve">completely </w:t>
      </w:r>
      <w:r w:rsidR="00201E04" w:rsidRPr="00425F23">
        <w:rPr>
          <w:color w:val="222222"/>
        </w:rPr>
        <w:t xml:space="preserve">shifted away from </w:t>
      </w:r>
      <w:r w:rsidR="00D12B64">
        <w:rPr>
          <w:color w:val="222222"/>
        </w:rPr>
        <w:t xml:space="preserve">PT </w:t>
      </w:r>
      <w:r w:rsidR="007810DE">
        <w:rPr>
          <w:color w:val="222222"/>
        </w:rPr>
        <w:t xml:space="preserve">after the onset of </w:t>
      </w:r>
      <w:r w:rsidR="00D12B64">
        <w:rPr>
          <w:color w:val="222222"/>
        </w:rPr>
        <w:t xml:space="preserve">the pandemic </w:t>
      </w:r>
      <w:r w:rsidR="007810DE">
        <w:rPr>
          <w:color w:val="222222"/>
        </w:rPr>
        <w:t>were much less likely to express any intention of</w:t>
      </w:r>
      <w:r w:rsidR="004F1752">
        <w:rPr>
          <w:color w:val="222222"/>
        </w:rPr>
        <w:t xml:space="preserve"> a future</w:t>
      </w:r>
      <w:r w:rsidR="007810DE">
        <w:rPr>
          <w:color w:val="222222"/>
        </w:rPr>
        <w:t xml:space="preserve"> return to PT</w:t>
      </w:r>
      <w:r w:rsidR="007529DD">
        <w:rPr>
          <w:color w:val="222222"/>
        </w:rPr>
        <w:t>.</w:t>
      </w:r>
    </w:p>
    <w:p w14:paraId="301FC52F" w14:textId="77777777" w:rsidR="00537EB8" w:rsidRPr="00425F23" w:rsidRDefault="00537EB8" w:rsidP="00C67E12">
      <w:pPr>
        <w:pStyle w:val="NormalWeb"/>
        <w:shd w:val="clear" w:color="auto" w:fill="FFFFFF"/>
        <w:spacing w:before="0" w:beforeAutospacing="0" w:after="0" w:afterAutospacing="0"/>
        <w:jc w:val="both"/>
        <w:rPr>
          <w:color w:val="222222"/>
        </w:rPr>
      </w:pPr>
    </w:p>
    <w:p w14:paraId="4DDC6235" w14:textId="77777777" w:rsidR="00537EB8" w:rsidRPr="00425F23" w:rsidRDefault="00537EB8" w:rsidP="00C67E12">
      <w:pPr>
        <w:pStyle w:val="NormalWeb"/>
        <w:keepNext/>
        <w:keepLines/>
        <w:shd w:val="clear" w:color="auto" w:fill="FFFFFF"/>
        <w:contextualSpacing/>
        <w:jc w:val="both"/>
        <w:rPr>
          <w:b/>
          <w:bCs/>
          <w:color w:val="222222"/>
        </w:rPr>
      </w:pPr>
      <w:r w:rsidRPr="00425F23">
        <w:rPr>
          <w:b/>
          <w:bCs/>
          <w:color w:val="222222"/>
        </w:rPr>
        <w:lastRenderedPageBreak/>
        <w:t>2.4 Paper Contribution</w:t>
      </w:r>
    </w:p>
    <w:p w14:paraId="1AB065B2" w14:textId="12B8F982" w:rsidR="00537EB8" w:rsidRPr="00425F23" w:rsidRDefault="00537EB8" w:rsidP="00C67E12">
      <w:pPr>
        <w:pStyle w:val="NormalWeb"/>
        <w:keepNext/>
        <w:keepLines/>
        <w:shd w:val="clear" w:color="auto" w:fill="FFFFFF"/>
        <w:contextualSpacing/>
        <w:jc w:val="both"/>
        <w:rPr>
          <w:color w:val="222222"/>
        </w:rPr>
      </w:pPr>
      <w:r w:rsidRPr="00425F23">
        <w:rPr>
          <w:color w:val="222222"/>
        </w:rPr>
        <w:t xml:space="preserve">This paper contributes to the public transportation literature </w:t>
      </w:r>
      <w:r w:rsidR="007810DE">
        <w:rPr>
          <w:color w:val="222222"/>
        </w:rPr>
        <w:t xml:space="preserve">above </w:t>
      </w:r>
      <w:r w:rsidRPr="00425F23">
        <w:rPr>
          <w:color w:val="222222"/>
        </w:rPr>
        <w:t xml:space="preserve">in several ways. </w:t>
      </w:r>
      <w:r w:rsidRPr="00425F23">
        <w:rPr>
          <w:color w:val="222222"/>
          <w:u w:val="single"/>
        </w:rPr>
        <w:t>First</w:t>
      </w:r>
      <w:r w:rsidRPr="00425F23">
        <w:rPr>
          <w:color w:val="222222"/>
        </w:rPr>
        <w:t xml:space="preserve">, </w:t>
      </w:r>
      <w:r w:rsidR="00C46191" w:rsidRPr="00425F23">
        <w:rPr>
          <w:color w:val="222222"/>
        </w:rPr>
        <w:t>we go beyond a point-in-time view of public tra</w:t>
      </w:r>
      <w:r w:rsidR="00F549DF">
        <w:rPr>
          <w:color w:val="222222"/>
        </w:rPr>
        <w:t>nsportation</w:t>
      </w:r>
      <w:r w:rsidR="00C46191" w:rsidRPr="00425F23">
        <w:rPr>
          <w:color w:val="222222"/>
        </w:rPr>
        <w:t xml:space="preserve"> use or a single future use intention. Specifically, </w:t>
      </w:r>
      <w:r w:rsidR="00F549DF">
        <w:rPr>
          <w:color w:val="222222"/>
        </w:rPr>
        <w:t xml:space="preserve">we </w:t>
      </w:r>
      <w:r w:rsidR="00D00043">
        <w:rPr>
          <w:color w:val="222222"/>
        </w:rPr>
        <w:t xml:space="preserve">use a U.S. national sample of individual-level data to </w:t>
      </w:r>
      <w:r w:rsidR="00F549DF">
        <w:rPr>
          <w:color w:val="222222"/>
        </w:rPr>
        <w:t xml:space="preserve">investigate </w:t>
      </w:r>
      <w:r w:rsidR="00C46191" w:rsidRPr="00425F23">
        <w:rPr>
          <w:color w:val="222222"/>
        </w:rPr>
        <w:t xml:space="preserve">both </w:t>
      </w:r>
      <w:r w:rsidR="00261344">
        <w:rPr>
          <w:color w:val="222222"/>
        </w:rPr>
        <w:t xml:space="preserve">reported </w:t>
      </w:r>
      <w:r w:rsidR="007810DE">
        <w:rPr>
          <w:color w:val="222222"/>
        </w:rPr>
        <w:t xml:space="preserve">PT </w:t>
      </w:r>
      <w:r w:rsidR="00261344">
        <w:rPr>
          <w:color w:val="222222"/>
        </w:rPr>
        <w:t xml:space="preserve">use change through the pandemic and </w:t>
      </w:r>
      <w:r w:rsidR="00D00043">
        <w:rPr>
          <w:color w:val="222222"/>
        </w:rPr>
        <w:t>the expected permanence (or not) of this change</w:t>
      </w:r>
      <w:r w:rsidR="008850A8">
        <w:rPr>
          <w:color w:val="222222"/>
        </w:rPr>
        <w:t xml:space="preserve"> (the use change and the expected permanence constitute the two outcomes in our study)</w:t>
      </w:r>
      <w:r w:rsidRPr="00425F23">
        <w:rPr>
          <w:color w:val="222222"/>
        </w:rPr>
        <w:t xml:space="preserve">. While many previous studies have used aggregate </w:t>
      </w:r>
      <w:r w:rsidR="007810DE">
        <w:rPr>
          <w:color w:val="222222"/>
        </w:rPr>
        <w:t xml:space="preserve">use change </w:t>
      </w:r>
      <w:r w:rsidRPr="00425F23">
        <w:rPr>
          <w:color w:val="222222"/>
        </w:rPr>
        <w:t xml:space="preserve">trends or stated </w:t>
      </w:r>
      <w:r w:rsidR="008850A8">
        <w:rPr>
          <w:color w:val="222222"/>
        </w:rPr>
        <w:t>perceptions/</w:t>
      </w:r>
      <w:r w:rsidRPr="00425F23">
        <w:rPr>
          <w:color w:val="222222"/>
        </w:rPr>
        <w:t>intentions</w:t>
      </w:r>
      <w:r w:rsidR="007810DE">
        <w:rPr>
          <w:color w:val="222222"/>
        </w:rPr>
        <w:t xml:space="preserve"> of future PT use</w:t>
      </w:r>
      <w:r w:rsidRPr="00425F23">
        <w:rPr>
          <w:color w:val="222222"/>
        </w:rPr>
        <w:t xml:space="preserve">, we identify </w:t>
      </w:r>
      <w:r w:rsidR="00C46191" w:rsidRPr="00425F23">
        <w:rPr>
          <w:color w:val="222222"/>
        </w:rPr>
        <w:t xml:space="preserve">those </w:t>
      </w:r>
      <w:r w:rsidRPr="00425F23">
        <w:rPr>
          <w:color w:val="222222"/>
        </w:rPr>
        <w:t xml:space="preserve">individuals who are most likely to return to their previous levels of </w:t>
      </w:r>
      <w:r w:rsidR="00D00043">
        <w:rPr>
          <w:color w:val="222222"/>
        </w:rPr>
        <w:t xml:space="preserve">public transportation </w:t>
      </w:r>
      <w:r w:rsidRPr="00425F23">
        <w:rPr>
          <w:color w:val="222222"/>
        </w:rPr>
        <w:t xml:space="preserve">ridership and identify strategies to encourage </w:t>
      </w:r>
      <w:r w:rsidR="00D00043">
        <w:rPr>
          <w:color w:val="222222"/>
        </w:rPr>
        <w:t xml:space="preserve">such </w:t>
      </w:r>
      <w:r w:rsidR="000F3B76">
        <w:rPr>
          <w:color w:val="222222"/>
        </w:rPr>
        <w:t xml:space="preserve">a </w:t>
      </w:r>
      <w:r w:rsidRPr="00425F23">
        <w:rPr>
          <w:color w:val="222222"/>
        </w:rPr>
        <w:t>return.</w:t>
      </w:r>
      <w:r w:rsidR="00A74293" w:rsidRPr="00425F23">
        <w:rPr>
          <w:color w:val="222222"/>
        </w:rPr>
        <w:t xml:space="preserve"> </w:t>
      </w:r>
      <w:r w:rsidR="008850A8">
        <w:rPr>
          <w:color w:val="222222"/>
          <w:u w:val="single"/>
        </w:rPr>
        <w:t>Second</w:t>
      </w:r>
      <w:r w:rsidRPr="00425F23">
        <w:rPr>
          <w:color w:val="222222"/>
        </w:rPr>
        <w:t xml:space="preserve">, we model </w:t>
      </w:r>
      <w:r w:rsidR="008850A8">
        <w:rPr>
          <w:color w:val="222222"/>
        </w:rPr>
        <w:t>the two</w:t>
      </w:r>
      <w:r w:rsidRPr="00425F23">
        <w:rPr>
          <w:color w:val="222222"/>
        </w:rPr>
        <w:t xml:space="preserve"> outcomes </w:t>
      </w:r>
      <w:r w:rsidR="008850A8">
        <w:rPr>
          <w:color w:val="222222"/>
        </w:rPr>
        <w:t xml:space="preserve">of interest as a function of </w:t>
      </w:r>
      <w:r w:rsidRPr="00425F23">
        <w:rPr>
          <w:color w:val="222222"/>
        </w:rPr>
        <w:t xml:space="preserve">a comprehensive set of </w:t>
      </w:r>
      <w:proofErr w:type="gramStart"/>
      <w:r w:rsidRPr="00425F23">
        <w:rPr>
          <w:color w:val="222222"/>
        </w:rPr>
        <w:t>individual</w:t>
      </w:r>
      <w:proofErr w:type="gramEnd"/>
      <w:r w:rsidRPr="00425F23">
        <w:rPr>
          <w:color w:val="222222"/>
        </w:rPr>
        <w:t xml:space="preserve">- and household-level characteristics </w:t>
      </w:r>
      <w:r w:rsidR="000F3B76">
        <w:rPr>
          <w:color w:val="222222"/>
        </w:rPr>
        <w:t xml:space="preserve">to capture </w:t>
      </w:r>
      <w:r w:rsidRPr="00425F23">
        <w:rPr>
          <w:color w:val="222222"/>
        </w:rPr>
        <w:t xml:space="preserve">the heterogeneity in </w:t>
      </w:r>
      <w:r w:rsidR="00BF5788">
        <w:rPr>
          <w:color w:val="222222"/>
        </w:rPr>
        <w:t>PT use int</w:t>
      </w:r>
      <w:r w:rsidR="004651D5">
        <w:rPr>
          <w:color w:val="222222"/>
        </w:rPr>
        <w:t>entions</w:t>
      </w:r>
      <w:r w:rsidR="00BF5788">
        <w:rPr>
          <w:color w:val="222222"/>
        </w:rPr>
        <w:t xml:space="preserve">, which is important </w:t>
      </w:r>
      <w:r w:rsidRPr="00425F23">
        <w:rPr>
          <w:color w:val="222222"/>
        </w:rPr>
        <w:t>for developing effective future investment strategies t</w:t>
      </w:r>
      <w:r w:rsidR="004651D5">
        <w:rPr>
          <w:color w:val="222222"/>
        </w:rPr>
        <w:t xml:space="preserve">o promote ridership </w:t>
      </w:r>
      <w:r w:rsidRPr="00425F23">
        <w:rPr>
          <w:color w:val="222222"/>
        </w:rPr>
        <w:t xml:space="preserve">and </w:t>
      </w:r>
      <w:r w:rsidR="004651D5">
        <w:rPr>
          <w:color w:val="222222"/>
        </w:rPr>
        <w:t xml:space="preserve">service </w:t>
      </w:r>
      <w:r w:rsidRPr="00425F23">
        <w:rPr>
          <w:color w:val="222222"/>
        </w:rPr>
        <w:t>equity.</w:t>
      </w:r>
      <w:r w:rsidR="008F7F08" w:rsidRPr="00425F23">
        <w:rPr>
          <w:color w:val="222222"/>
        </w:rPr>
        <w:t xml:space="preserve"> </w:t>
      </w:r>
      <w:r w:rsidR="00BF5788">
        <w:rPr>
          <w:color w:val="222222"/>
        </w:rPr>
        <w:t xml:space="preserve">For instance, we investigate </w:t>
      </w:r>
      <w:r w:rsidR="004651D5">
        <w:rPr>
          <w:color w:val="222222"/>
        </w:rPr>
        <w:t xml:space="preserve">the </w:t>
      </w:r>
      <w:r w:rsidR="00BF5788">
        <w:rPr>
          <w:color w:val="222222"/>
        </w:rPr>
        <w:t xml:space="preserve">differential impacts of the pandemic </w:t>
      </w:r>
      <w:r w:rsidR="00D85696">
        <w:rPr>
          <w:color w:val="222222"/>
        </w:rPr>
        <w:t xml:space="preserve">by race, gender, and </w:t>
      </w:r>
      <w:r w:rsidR="008F7F08" w:rsidRPr="00425F23">
        <w:rPr>
          <w:color w:val="222222"/>
        </w:rPr>
        <w:t>income group</w:t>
      </w:r>
      <w:r w:rsidR="00D85696">
        <w:rPr>
          <w:color w:val="222222"/>
        </w:rPr>
        <w:t>ings.</w:t>
      </w:r>
      <w:r w:rsidR="008F7F08" w:rsidRPr="00425F23">
        <w:rPr>
          <w:color w:val="222222"/>
        </w:rPr>
        <w:t xml:space="preserve"> </w:t>
      </w:r>
      <w:r w:rsidR="00BF5788">
        <w:rPr>
          <w:color w:val="222222"/>
        </w:rPr>
        <w:t xml:space="preserve">Such differential impacts </w:t>
      </w:r>
      <w:r w:rsidR="00A923F1">
        <w:rPr>
          <w:color w:val="222222"/>
        </w:rPr>
        <w:t xml:space="preserve">of the pandemic </w:t>
      </w:r>
      <w:r w:rsidR="00BF5788">
        <w:rPr>
          <w:color w:val="222222"/>
        </w:rPr>
        <w:t>have been shown in some earlier studies</w:t>
      </w:r>
      <w:r w:rsidR="0080053D" w:rsidRPr="00425F23">
        <w:rPr>
          <w:color w:val="222222"/>
        </w:rPr>
        <w:t xml:space="preserve"> </w:t>
      </w:r>
      <w:r w:rsidR="0080053D" w:rsidRPr="00425F23">
        <w:rPr>
          <w:color w:val="222222"/>
        </w:rPr>
        <w:fldChar w:fldCharType="begin"/>
      </w:r>
      <w:r w:rsidR="005C565E">
        <w:rPr>
          <w:color w:val="222222"/>
        </w:rPr>
        <w:instrText xml:space="preserve"> ADDIN ZOTERO_ITEM CSL_CITATION {"citationID":"F1T3CQP0","properties":{"formattedCitation":"(Giuliano, 2005; Paulley et al., 2006; Zhao and Gao, 2022)","plainCitation":"(Giuliano, 2005; Paulley et al., 2006; Zhao and Gao, 2022)","dontUpdate":true,"noteIndex":0},"citationItems":[{"id":26,"uris":["http://zotero.org/groups/5345474/items/957HAWYA"],"itemData":{"id":26,"type":"article-journal","abstract":"It is widely reported that the COVID-19 pandemic has reduced ridership and brought severe challenges to urban public transit systems in many countries. The impact of the COVID-19 pandemic on individual people’s choice of public transit may continue for a while after the peak of the crisis. However, there is insufficient detailed knowledge of how individuals respond in the post-pandemic context and make choices on public transit travel. This paper contributes fresh evidence for this by looking at Beijing as a case. The theoretical framework of the Theory of Planned Behavior is used to model individuals’ public transit travel choice-making processes along with three additional constructs representing the impact of the pandemic and the nature of urban mobility behaviors, namely perceived knowledge of COVID-19, the psychological risks of COVID-19, and travel habits. Structural equation modeling is used in model estimation. We point out that there may be potential differences between the effects and meanings of model constructs in the post-pandemic context and in normal daily context. Interestingly, despite the higher psychological risk’s negative effects, higher perceived knowledge of COVID-19 has significantly positive effects on people’s decision-making processes. A strong pre-pandemic personal habit of traveling by public transit has significant and positive effects on post-pandemic intention and perceived behavioral control. Group comparisons show that “captive” transit users have higher psychological risk of COVID-19 than “choice” transit users, yet their transit use decisions are less influenced by it. Based on the modeling results, more behavioral experiments are needed to further inform efficient policy-making.","container-title":"Travel Behaviour and Society","DOI":"10.1016/j.tbs.2022.04.002","ISSN":"2214-367X","journalAbbreviation":"Travel Behaviour and Society","page":"181-195","source":"ScienceDirect","title":"Public transit travel choice in the post COVID-19 pandemic era: An application of the extended Theory of Planned behavior","title-short":"Public transit travel choice in the post COVID-19 pandemic era","URL":"https://www.sciencedirect.com/science/article/pii/S2214367X22000357","volume":"28","author":[{"family":"Zhao","given":"Pengjun"},{"family":"Gao","given":"Yukun"}],"accessed":{"date-parts":[["2024",1,10]]},"issued":{"date-parts":[["2022",7,1]]}}},{"id":189,"uris":["http://zotero.org/groups/5345474/items/KMEJYMU9"],"itemData":{"id":189,"type":"webpage","abstract":"A fundamental justification for transit subsidies in the United States is toprovide a basic level of mobility to all persons, especially the transporta-tion disadvantaged: those who are either unwilling or unable to drive orwho do not have access to a car. Yet even among the disadvantaged, mosttravel is by private vehicle. This paper examines the role of transit in thedaily travel patterns of low-income households. Public transit is used foronly a small portion of travel, and those who use transit regularly havethe lowest level of mobility among all population segments. Attitudinaldata indicate dissatisfaction with public transit, suggesting that currenttrends are likely to continue. Retaining existing markets by improvingservice frequency and quality in high-demand markets, exploring moreeffective ways of providing transit in low-demand markets, and expand-ing transit to serve off-peak and off-direction commutes would maketransit a more attractive option for everyone.","container-title":"Sage Journals","language":"en","note":"DOI: 10.1177/0361198105192700108","title":"Low Income, Public Transit, and Mobility","URL":"https://journals.sagepub.com/doi/epdf/10.1177/0361198105192700108","author":[{"family":"Giuliano","given":"Genevieve"}],"accessed":{"date-parts":[["2024",4,26]]},"issued":{"date-parts":[["2005"]]}}},{"id":113,"uris":["http://zotero.org/groups/5345474/items/54A4JMW3"],"itemData":{"id":113,"type":"article-journal","abstract":"This paper reports on key findings from a collaborative study whose objective was to produce an up-to-date guidance manual on the factors affecting the demand for public transport for use by public transport operators and planning authorities, and for academics and other researchers. Whilst a wide range of factors was examined in the study, the paper concentrates on the findings regarding the influence of fares, quality of service and income and car ownership. The results are a distillation and synthesis of identified published and unpublished information on the factors affecting public transport demand. The context is principally that of urban surface transport in Great Britain, but extensive use was made in the study of international sources and examples.","collection-title":"Innovation and Integration in Urban Transport Policy","container-title":"Transport Policy","DOI":"10.1016/j.tranpol.2005.12.004","ISSN":"0967-070X","issue":"4","journalAbbreviation":"Transport Policy","page":"295-306","source":"ScienceDirect","title":"The demand for public transport: The effects of fares, quality of service, income and car ownership","title-short":"The demand for public transport","URL":"https://www.sciencedirect.com/science/article/pii/S0967070X05001587","volume":"13","author":[{"family":"Paulley","given":"Neil"},{"family":"Balcombe","given":"Richard"},{"family":"Mackett","given":"Roger"},{"family":"Titheridge","given":"Helena"},{"family":"Preston","given":"John"},{"family":"Wardman","given":"Mark"},{"family":"Shires","given":"Jeremy"},{"family":"White","given":"Peter"}],"accessed":{"date-parts":[["2024",2,20]]},"issued":{"date-parts":[["2006",7,1]]}}}],"schema":"https://github.com/citation-style-language/schema/raw/master/csl-citation.json"} </w:instrText>
      </w:r>
      <w:r w:rsidR="0080053D" w:rsidRPr="00425F23">
        <w:rPr>
          <w:color w:val="222222"/>
        </w:rPr>
        <w:fldChar w:fldCharType="separate"/>
      </w:r>
      <w:r w:rsidR="00B13CD5" w:rsidRPr="00425F23">
        <w:rPr>
          <w:noProof/>
          <w:color w:val="222222"/>
        </w:rPr>
        <w:t>(</w:t>
      </w:r>
      <w:r w:rsidR="00C46191" w:rsidRPr="00425F23">
        <w:rPr>
          <w:noProof/>
          <w:color w:val="222222"/>
        </w:rPr>
        <w:t xml:space="preserve">see, for example, </w:t>
      </w:r>
      <w:r w:rsidR="00B13CD5" w:rsidRPr="00425F23">
        <w:rPr>
          <w:noProof/>
          <w:color w:val="222222"/>
        </w:rPr>
        <w:t>Giuliano, 2005; Paulley et al., 2006; Zhao and Gao, 2022)</w:t>
      </w:r>
      <w:r w:rsidR="0080053D" w:rsidRPr="00425F23">
        <w:rPr>
          <w:color w:val="222222"/>
        </w:rPr>
        <w:fldChar w:fldCharType="end"/>
      </w:r>
      <w:r w:rsidR="00BF5788">
        <w:rPr>
          <w:color w:val="222222"/>
        </w:rPr>
        <w:t xml:space="preserve">, but we probe further into </w:t>
      </w:r>
      <w:r w:rsidR="00C712C9">
        <w:rPr>
          <w:color w:val="222222"/>
        </w:rPr>
        <w:t xml:space="preserve">the permanency or </w:t>
      </w:r>
      <w:r w:rsidR="00C27017">
        <w:rPr>
          <w:color w:val="222222"/>
        </w:rPr>
        <w:t xml:space="preserve">transitory </w:t>
      </w:r>
      <w:r w:rsidR="00C712C9">
        <w:rPr>
          <w:color w:val="222222"/>
        </w:rPr>
        <w:t>nature of such impacts.</w:t>
      </w:r>
      <w:r w:rsidR="0080053D" w:rsidRPr="00425F23">
        <w:rPr>
          <w:color w:val="222222"/>
        </w:rPr>
        <w:t xml:space="preserve"> </w:t>
      </w:r>
      <w:r w:rsidR="006A063E" w:rsidRPr="00425F23">
        <w:rPr>
          <w:color w:val="222222"/>
          <w:u w:val="single"/>
        </w:rPr>
        <w:t>Finally,</w:t>
      </w:r>
      <w:r w:rsidR="006A063E" w:rsidRPr="00425F23">
        <w:rPr>
          <w:color w:val="222222"/>
        </w:rPr>
        <w:t xml:space="preserve"> we use a joint model </w:t>
      </w:r>
      <w:r w:rsidR="006A063E">
        <w:rPr>
          <w:color w:val="222222"/>
        </w:rPr>
        <w:t>to account for</w:t>
      </w:r>
      <w:r w:rsidR="006A063E" w:rsidRPr="00425F23">
        <w:rPr>
          <w:color w:val="222222"/>
        </w:rPr>
        <w:t xml:space="preserve"> unobserved correlation effects between the </w:t>
      </w:r>
      <w:r w:rsidR="006A063E">
        <w:rPr>
          <w:color w:val="222222"/>
        </w:rPr>
        <w:t xml:space="preserve">two </w:t>
      </w:r>
      <w:r w:rsidR="006A063E" w:rsidRPr="00425F23">
        <w:rPr>
          <w:color w:val="222222"/>
        </w:rPr>
        <w:t xml:space="preserve">outcomes, accounting for potential unobserved factors that could influence </w:t>
      </w:r>
      <w:r w:rsidR="006A063E">
        <w:rPr>
          <w:color w:val="222222"/>
        </w:rPr>
        <w:t xml:space="preserve">PT use </w:t>
      </w:r>
      <w:r w:rsidR="006A063E" w:rsidRPr="00425F23">
        <w:rPr>
          <w:color w:val="222222"/>
        </w:rPr>
        <w:t xml:space="preserve">changes during the pandemic and </w:t>
      </w:r>
      <w:r w:rsidR="006A063E">
        <w:rPr>
          <w:color w:val="222222"/>
        </w:rPr>
        <w:t>the stated permanence of the changes</w:t>
      </w:r>
      <w:r w:rsidR="006A063E" w:rsidRPr="00425F23">
        <w:rPr>
          <w:color w:val="222222"/>
        </w:rPr>
        <w:t xml:space="preserve">. For instance, </w:t>
      </w:r>
      <w:r w:rsidR="006A063E">
        <w:rPr>
          <w:color w:val="222222"/>
        </w:rPr>
        <w:t>an individual with an elevated</w:t>
      </w:r>
      <w:r w:rsidR="006A063E" w:rsidRPr="00425F23">
        <w:rPr>
          <w:color w:val="222222"/>
        </w:rPr>
        <w:t xml:space="preserve"> </w:t>
      </w:r>
      <w:r w:rsidR="006A063E">
        <w:rPr>
          <w:color w:val="222222"/>
        </w:rPr>
        <w:t xml:space="preserve">health </w:t>
      </w:r>
      <w:r w:rsidR="006A063E" w:rsidRPr="00425F23">
        <w:rPr>
          <w:color w:val="222222"/>
        </w:rPr>
        <w:t xml:space="preserve">safety </w:t>
      </w:r>
      <w:r w:rsidR="006A063E">
        <w:rPr>
          <w:color w:val="222222"/>
        </w:rPr>
        <w:t xml:space="preserve">sensitivity (an unobserved variable) might be more inclined to both reduce their PT use after the pandemic and perceive those changes as permanent. Such common unobserved effects influencing both outcomes result in a sample selection problem. That is, if we model the two outcomes independently, the effects estimated for the permanency of a PT use change cannot be extrapolated to a random individual in the population (who may not be health safety sensitive) but changes PT use for other reasons. However, by estimating the two dimensions jointly, the resulting estimates for the permanency/non-permanency effect applies to any individual in the population. This allows for policies that can be designed to “move the needle” toward a temporary change for </w:t>
      </w:r>
      <w:r w:rsidR="006A063E" w:rsidRPr="00F5080F">
        <w:rPr>
          <w:color w:val="222222"/>
          <w:u w:val="single"/>
        </w:rPr>
        <w:t>any</w:t>
      </w:r>
      <w:r w:rsidR="006A063E">
        <w:rPr>
          <w:color w:val="222222"/>
        </w:rPr>
        <w:t xml:space="preserve"> individual in the population who might change PT use, as discussed in Section 5. </w:t>
      </w:r>
    </w:p>
    <w:p w14:paraId="08B1B335" w14:textId="77777777" w:rsidR="00C3389F" w:rsidRPr="00425F23" w:rsidRDefault="00C3389F" w:rsidP="00C67E12">
      <w:pPr>
        <w:pStyle w:val="NormalWeb"/>
        <w:shd w:val="clear" w:color="auto" w:fill="FFFFFF"/>
        <w:contextualSpacing/>
        <w:jc w:val="both"/>
        <w:rPr>
          <w:b/>
          <w:bCs/>
          <w:color w:val="222222"/>
        </w:rPr>
      </w:pPr>
    </w:p>
    <w:p w14:paraId="2DE2FE89" w14:textId="37690D4F" w:rsidR="00425F23" w:rsidRPr="00425F23" w:rsidRDefault="00537EB8" w:rsidP="00C67E12">
      <w:pPr>
        <w:pStyle w:val="NormalWeb"/>
        <w:shd w:val="clear" w:color="auto" w:fill="FFFFFF"/>
        <w:contextualSpacing/>
        <w:rPr>
          <w:b/>
          <w:bCs/>
          <w:color w:val="222222"/>
        </w:rPr>
      </w:pPr>
      <w:r w:rsidRPr="00425F23">
        <w:rPr>
          <w:b/>
          <w:bCs/>
          <w:color w:val="222222"/>
        </w:rPr>
        <w:t>3. METHODOLOGY AND SAMPLE DESCRIPTION</w:t>
      </w:r>
    </w:p>
    <w:p w14:paraId="37C476C4" w14:textId="6012F7EF" w:rsidR="00537EB8" w:rsidRPr="00425F23" w:rsidRDefault="00537EB8" w:rsidP="00C67E12">
      <w:pPr>
        <w:pStyle w:val="NormalWeb"/>
        <w:shd w:val="clear" w:color="auto" w:fill="FFFFFF"/>
        <w:contextualSpacing/>
        <w:rPr>
          <w:b/>
          <w:bCs/>
          <w:color w:val="222222"/>
        </w:rPr>
      </w:pPr>
      <w:r w:rsidRPr="00425F23">
        <w:rPr>
          <w:b/>
          <w:bCs/>
          <w:color w:val="222222"/>
        </w:rPr>
        <w:t>3.1 Data Description</w:t>
      </w:r>
      <w:r w:rsidRPr="00425F23" w:rsidDel="00547B34">
        <w:rPr>
          <w:b/>
          <w:bCs/>
          <w:color w:val="222222"/>
        </w:rPr>
        <w:t xml:space="preserve"> </w:t>
      </w:r>
    </w:p>
    <w:p w14:paraId="6EE97ADA" w14:textId="4AED6891" w:rsidR="00C66A15" w:rsidRPr="00425F23" w:rsidRDefault="00537EB8" w:rsidP="00C67E12">
      <w:pPr>
        <w:pStyle w:val="NormalWeb"/>
        <w:shd w:val="clear" w:color="auto" w:fill="FFFFFF"/>
        <w:contextualSpacing/>
        <w:jc w:val="both"/>
        <w:rPr>
          <w:color w:val="222222"/>
        </w:rPr>
      </w:pPr>
      <w:r w:rsidRPr="00425F23">
        <w:t>The primary data source for this study is the 2022</w:t>
      </w:r>
      <w:r w:rsidR="00FE727D">
        <w:t>-2023</w:t>
      </w:r>
      <w:r w:rsidRPr="00425F23">
        <w:t xml:space="preserve"> NextGen </w:t>
      </w:r>
      <w:r w:rsidR="00D867E0">
        <w:t xml:space="preserve">U.S. </w:t>
      </w:r>
      <w:r w:rsidRPr="00425F23">
        <w:t>National Household Travel Survey (NHTS)</w:t>
      </w:r>
      <w:r w:rsidR="00FE727D">
        <w:t>,</w:t>
      </w:r>
      <w:r w:rsidRPr="00425F23">
        <w:t xml:space="preserve"> administered by the US Department of Transportation. The NHTS was conducted during the period </w:t>
      </w:r>
      <w:r w:rsidR="00D867E0">
        <w:t>from</w:t>
      </w:r>
      <w:r w:rsidRPr="00425F23">
        <w:t xml:space="preserve"> January 2022 to January 2023</w:t>
      </w:r>
      <w:r w:rsidR="00F461BD">
        <w:t>,</w:t>
      </w:r>
      <w:r w:rsidR="00D867E0">
        <w:t xml:space="preserve"> based on a</w:t>
      </w:r>
      <w:r w:rsidR="00C66A15">
        <w:t>n address-based sampling frame</w:t>
      </w:r>
      <w:r w:rsidR="006D2090">
        <w:t>work</w:t>
      </w:r>
      <w:r w:rsidR="00C66A15">
        <w:t xml:space="preserve"> provided by Marketing Systems Group. </w:t>
      </w:r>
      <w:r w:rsidR="00C66A15" w:rsidRPr="00425F23">
        <w:t xml:space="preserve">Notably, this survey included questions </w:t>
      </w:r>
      <w:r w:rsidR="001E4FEF">
        <w:t>focused on assessing the</w:t>
      </w:r>
      <w:r w:rsidR="00C66A15" w:rsidRPr="00425F23">
        <w:t xml:space="preserve"> short and long-term impact</w:t>
      </w:r>
      <w:r w:rsidR="00C66A15">
        <w:t>s</w:t>
      </w:r>
      <w:r w:rsidR="001E4FEF">
        <w:t xml:space="preserve"> of the COVID-19 pandemic</w:t>
      </w:r>
      <w:r w:rsidR="00C66A15" w:rsidRPr="00425F23">
        <w:t xml:space="preserve"> on individual </w:t>
      </w:r>
      <w:r w:rsidR="00A923F1">
        <w:t xml:space="preserve">PT </w:t>
      </w:r>
      <w:r w:rsidR="00C66A15">
        <w:t xml:space="preserve">use </w:t>
      </w:r>
      <w:r w:rsidR="00C66A15" w:rsidRPr="00425F23">
        <w:fldChar w:fldCharType="begin"/>
      </w:r>
      <w:r w:rsidR="005C565E">
        <w:instrText xml:space="preserve"> ADDIN ZOTERO_ITEM CSL_CITATION {"citationID":"abb23808so","properties":{"formattedCitation":"(Federal Highway Administration, 2023)","plainCitation":"(Federal Highway Administration, 2023)","noteIndex":0},"citationItems":[{"id":161,"uris":["http://zotero.org/groups/5345474/items/DCAW7MJ6"],"itemData":{"id":161,"type":"dataset","DOI":"https://nhts.ornl.gov","publisher":"U.S. Department of Transportation, Washington, DC","title":"2022 NextGen National Household Travel Survey","author":[{"family":"Federal Highway Administration","given":""}],"issued":{"date-parts":[["2023",10]]}}}],"schema":"https://github.com/citation-style-language/schema/raw/master/csl-citation.json"} </w:instrText>
      </w:r>
      <w:r w:rsidR="00C66A15" w:rsidRPr="00425F23">
        <w:fldChar w:fldCharType="separate"/>
      </w:r>
      <w:r w:rsidR="00C66A15" w:rsidRPr="00425F23">
        <w:t>(Federal Highway Administration, 2023)</w:t>
      </w:r>
      <w:r w:rsidR="00C66A15" w:rsidRPr="00425F23">
        <w:fldChar w:fldCharType="end"/>
      </w:r>
      <w:r w:rsidR="00C66A15" w:rsidRPr="00425F23">
        <w:t>. The NHTS collected data from a total of 16,997 respondents across 7,893 households. Of the 16,997 respondents, 7,076 adult</w:t>
      </w:r>
      <w:r w:rsidR="00FE727D">
        <w:t>s</w:t>
      </w:r>
      <w:r w:rsidR="00324D7E">
        <w:t xml:space="preserve"> (all participants under the age of 18 were excluded)</w:t>
      </w:r>
      <w:r w:rsidR="00FE727D">
        <w:t xml:space="preserve"> </w:t>
      </w:r>
      <w:r w:rsidR="00324D7E">
        <w:t>were included in the sample</w:t>
      </w:r>
      <w:r w:rsidR="00316E61">
        <w:t xml:space="preserve">. These individuals </w:t>
      </w:r>
      <w:r w:rsidR="00FE727D">
        <w:t xml:space="preserve">had </w:t>
      </w:r>
      <w:r w:rsidR="00316E61">
        <w:t xml:space="preserve">(a) </w:t>
      </w:r>
      <w:r w:rsidR="00B6138C">
        <w:t>some experience with using</w:t>
      </w:r>
      <w:r w:rsidR="00C66A15" w:rsidRPr="00425F23">
        <w:t xml:space="preserve"> </w:t>
      </w:r>
      <w:r w:rsidR="00FE727D">
        <w:t>PT</w:t>
      </w:r>
      <w:r w:rsidR="00C66A15" w:rsidRPr="00425F23">
        <w:t xml:space="preserve"> </w:t>
      </w:r>
      <w:r w:rsidR="00FE727D">
        <w:t>before COVID</w:t>
      </w:r>
      <w:r w:rsidR="00E121D8">
        <w:t xml:space="preserve">, </w:t>
      </w:r>
      <w:r w:rsidR="00316E61">
        <w:t xml:space="preserve">(b) </w:t>
      </w:r>
      <w:r w:rsidR="00FE727D">
        <w:t xml:space="preserve">provided </w:t>
      </w:r>
      <w:r w:rsidR="00C66A15" w:rsidRPr="00425F23">
        <w:t xml:space="preserve">their change </w:t>
      </w:r>
      <w:r w:rsidR="00316E61">
        <w:t xml:space="preserve">(or not) </w:t>
      </w:r>
      <w:r w:rsidR="00C66A15" w:rsidRPr="00425F23">
        <w:t xml:space="preserve">in </w:t>
      </w:r>
      <w:r w:rsidR="00FE727D">
        <w:t xml:space="preserve">PT </w:t>
      </w:r>
      <w:r w:rsidR="00C66A15" w:rsidRPr="00425F23">
        <w:t>us</w:t>
      </w:r>
      <w:r w:rsidR="00FE727D">
        <w:t>e</w:t>
      </w:r>
      <w:r w:rsidR="00C66A15" w:rsidRPr="00425F23">
        <w:t xml:space="preserve"> and </w:t>
      </w:r>
      <w:r w:rsidR="00316E61">
        <w:t xml:space="preserve">their view of the </w:t>
      </w:r>
      <w:r w:rsidR="00F47FD8">
        <w:t xml:space="preserve">permanence </w:t>
      </w:r>
      <w:r w:rsidR="00A9044E">
        <w:t xml:space="preserve">of </w:t>
      </w:r>
      <w:r w:rsidR="00316E61">
        <w:t xml:space="preserve">any </w:t>
      </w:r>
      <w:r w:rsidR="00A9044E">
        <w:t>change</w:t>
      </w:r>
      <w:r w:rsidR="00F47FD8">
        <w:t xml:space="preserve">, and </w:t>
      </w:r>
      <w:r w:rsidR="00316E61">
        <w:t>(c) responded to</w:t>
      </w:r>
      <w:r w:rsidR="00F47FD8">
        <w:t xml:space="preserve"> </w:t>
      </w:r>
      <w:r w:rsidR="00316E61">
        <w:t xml:space="preserve">all the </w:t>
      </w:r>
      <w:r w:rsidR="00F47FD8">
        <w:t xml:space="preserve">demographic </w:t>
      </w:r>
      <w:r w:rsidR="00316E61">
        <w:t>details sought in the survey</w:t>
      </w:r>
      <w:r w:rsidR="006D2090">
        <w:t>.</w:t>
      </w:r>
      <w:r w:rsidR="00A9044E">
        <w:t xml:space="preserve"> </w:t>
      </w:r>
    </w:p>
    <w:p w14:paraId="1A9AB908" w14:textId="08E863BE" w:rsidR="00537EB8" w:rsidRPr="00425F23" w:rsidRDefault="006D2090" w:rsidP="00C67E12">
      <w:pPr>
        <w:pStyle w:val="NormalWeb"/>
        <w:shd w:val="clear" w:color="auto" w:fill="FFFFFF"/>
        <w:spacing w:before="0" w:beforeAutospacing="0" w:after="0" w:afterAutospacing="0"/>
        <w:jc w:val="both"/>
        <w:rPr>
          <w:b/>
          <w:bCs/>
          <w:color w:val="222222"/>
        </w:rPr>
      </w:pPr>
      <w:r>
        <w:rPr>
          <w:b/>
          <w:bCs/>
          <w:color w:val="222222"/>
        </w:rPr>
        <w:t xml:space="preserve"> </w:t>
      </w:r>
    </w:p>
    <w:p w14:paraId="3CB91F21" w14:textId="780CDF1E" w:rsidR="00537EB8" w:rsidRPr="00425F23" w:rsidRDefault="00537EB8" w:rsidP="00C67E12">
      <w:pPr>
        <w:pStyle w:val="NormalWeb"/>
        <w:shd w:val="clear" w:color="auto" w:fill="FFFFFF"/>
        <w:spacing w:before="0" w:beforeAutospacing="0" w:after="0" w:afterAutospacing="0"/>
        <w:jc w:val="both"/>
        <w:rPr>
          <w:b/>
          <w:bCs/>
          <w:color w:val="222222"/>
        </w:rPr>
      </w:pPr>
      <w:r w:rsidRPr="00425F23">
        <w:rPr>
          <w:b/>
          <w:bCs/>
          <w:color w:val="222222"/>
        </w:rPr>
        <w:t xml:space="preserve">3.1.1 </w:t>
      </w:r>
      <w:r w:rsidR="00A9044E">
        <w:rPr>
          <w:b/>
          <w:bCs/>
          <w:color w:val="222222"/>
        </w:rPr>
        <w:t xml:space="preserve">Endogenous </w:t>
      </w:r>
      <w:r w:rsidRPr="00425F23">
        <w:rPr>
          <w:b/>
          <w:bCs/>
          <w:color w:val="222222"/>
        </w:rPr>
        <w:t>Outcome</w:t>
      </w:r>
      <w:r w:rsidR="00A9044E">
        <w:rPr>
          <w:b/>
          <w:bCs/>
          <w:color w:val="222222"/>
        </w:rPr>
        <w:t>s</w:t>
      </w:r>
    </w:p>
    <w:p w14:paraId="0E41155B" w14:textId="6D33A365" w:rsidR="00537EB8" w:rsidRPr="00425F23" w:rsidRDefault="00A9044E" w:rsidP="00C67E12">
      <w:pPr>
        <w:pStyle w:val="NormalWeb"/>
        <w:shd w:val="clear" w:color="auto" w:fill="FFFFFF"/>
        <w:spacing w:before="0" w:beforeAutospacing="0" w:after="0" w:afterAutospacing="0"/>
        <w:jc w:val="both"/>
        <w:rPr>
          <w:color w:val="222222"/>
        </w:rPr>
      </w:pPr>
      <w:r>
        <w:rPr>
          <w:color w:val="222222"/>
        </w:rPr>
        <w:t xml:space="preserve">As already indicated, there are two endogenous outcomes in this study. </w:t>
      </w:r>
      <w:r w:rsidR="00C01B70" w:rsidRPr="00425F23">
        <w:rPr>
          <w:color w:val="222222"/>
        </w:rPr>
        <w:t>First, respondents were asked about the</w:t>
      </w:r>
      <w:r w:rsidR="00A923F1">
        <w:rPr>
          <w:color w:val="222222"/>
        </w:rPr>
        <w:t>ir</w:t>
      </w:r>
      <w:r w:rsidR="00C01B70" w:rsidRPr="00425F23">
        <w:rPr>
          <w:color w:val="222222"/>
        </w:rPr>
        <w:t xml:space="preserve"> </w:t>
      </w:r>
      <w:r w:rsidR="00324D7E">
        <w:rPr>
          <w:color w:val="222222"/>
        </w:rPr>
        <w:t xml:space="preserve">change in </w:t>
      </w:r>
      <w:r w:rsidR="00A923F1">
        <w:rPr>
          <w:color w:val="222222"/>
        </w:rPr>
        <w:t xml:space="preserve">PT use </w:t>
      </w:r>
      <w:r w:rsidR="00C01B70" w:rsidRPr="00425F23">
        <w:rPr>
          <w:color w:val="222222"/>
        </w:rPr>
        <w:t xml:space="preserve">since the onset of the pandemic. Respondents could indicate </w:t>
      </w:r>
      <w:r w:rsidR="00C01B70" w:rsidRPr="00425F23">
        <w:rPr>
          <w:color w:val="222222"/>
        </w:rPr>
        <w:lastRenderedPageBreak/>
        <w:t xml:space="preserve">that they </w:t>
      </w:r>
      <w:r w:rsidR="00537EB8" w:rsidRPr="00425F23">
        <w:rPr>
          <w:color w:val="222222"/>
        </w:rPr>
        <w:t xml:space="preserve">increased </w:t>
      </w:r>
      <w:r w:rsidR="00A923F1">
        <w:rPr>
          <w:color w:val="222222"/>
        </w:rPr>
        <w:t xml:space="preserve">PT </w:t>
      </w:r>
      <w:r w:rsidR="00537EB8" w:rsidRPr="00425F23">
        <w:rPr>
          <w:color w:val="222222"/>
        </w:rPr>
        <w:t>us</w:t>
      </w:r>
      <w:r w:rsidR="00A923F1">
        <w:rPr>
          <w:color w:val="222222"/>
        </w:rPr>
        <w:t>e</w:t>
      </w:r>
      <w:r w:rsidR="00537EB8" w:rsidRPr="00425F23">
        <w:rPr>
          <w:color w:val="222222"/>
        </w:rPr>
        <w:t xml:space="preserve"> (“Do more often than before”), maintained pre-pandemic us</w:t>
      </w:r>
      <w:r w:rsidR="00A923F1">
        <w:rPr>
          <w:color w:val="222222"/>
        </w:rPr>
        <w:t>e</w:t>
      </w:r>
      <w:r w:rsidR="00537EB8" w:rsidRPr="00425F23">
        <w:rPr>
          <w:color w:val="222222"/>
        </w:rPr>
        <w:t xml:space="preserve"> levels (“Do the same as before”), </w:t>
      </w:r>
      <w:r w:rsidR="00C01B70" w:rsidRPr="00425F23">
        <w:rPr>
          <w:color w:val="222222"/>
        </w:rPr>
        <w:t xml:space="preserve">or </w:t>
      </w:r>
      <w:r w:rsidR="00537EB8" w:rsidRPr="00425F23">
        <w:rPr>
          <w:color w:val="222222"/>
        </w:rPr>
        <w:t xml:space="preserve">decreased </w:t>
      </w:r>
      <w:r w:rsidR="00A923F1">
        <w:rPr>
          <w:color w:val="222222"/>
        </w:rPr>
        <w:t xml:space="preserve">PT </w:t>
      </w:r>
      <w:r w:rsidR="00537EB8" w:rsidRPr="00425F23">
        <w:rPr>
          <w:color w:val="222222"/>
        </w:rPr>
        <w:t>us</w:t>
      </w:r>
      <w:r w:rsidR="00A923F1">
        <w:rPr>
          <w:color w:val="222222"/>
        </w:rPr>
        <w:t>e</w:t>
      </w:r>
      <w:r w:rsidR="00537EB8" w:rsidRPr="00425F23">
        <w:rPr>
          <w:color w:val="222222"/>
        </w:rPr>
        <w:t xml:space="preserve"> (“Do less often than before”). Second, the survey asked respondents</w:t>
      </w:r>
      <w:r w:rsidR="00C01B70" w:rsidRPr="00425F23">
        <w:rPr>
          <w:color w:val="222222"/>
        </w:rPr>
        <w:t xml:space="preserve"> who used </w:t>
      </w:r>
      <w:r>
        <w:rPr>
          <w:color w:val="222222"/>
        </w:rPr>
        <w:t xml:space="preserve">PT </w:t>
      </w:r>
      <w:r w:rsidR="00BB6C9E">
        <w:rPr>
          <w:color w:val="222222"/>
        </w:rPr>
        <w:t xml:space="preserve">either </w:t>
      </w:r>
      <w:r w:rsidR="00C01B70" w:rsidRPr="00425F23">
        <w:rPr>
          <w:color w:val="222222"/>
        </w:rPr>
        <w:t xml:space="preserve">more or less than they had before the pandemic </w:t>
      </w:r>
      <w:r w:rsidR="00537EB8" w:rsidRPr="00425F23">
        <w:rPr>
          <w:color w:val="222222"/>
        </w:rPr>
        <w:t xml:space="preserve">whether </w:t>
      </w:r>
      <w:r w:rsidR="00C01B70" w:rsidRPr="00425F23">
        <w:rPr>
          <w:color w:val="222222"/>
        </w:rPr>
        <w:t>they thought this change was</w:t>
      </w:r>
      <w:r w:rsidR="00537EB8" w:rsidRPr="00425F23">
        <w:rPr>
          <w:color w:val="222222"/>
        </w:rPr>
        <w:t xml:space="preserve"> permanent</w:t>
      </w:r>
      <w:r>
        <w:rPr>
          <w:color w:val="222222"/>
        </w:rPr>
        <w:t xml:space="preserve"> or temporary</w:t>
      </w:r>
      <w:r w:rsidR="00537EB8" w:rsidRPr="00425F23">
        <w:rPr>
          <w:color w:val="222222"/>
        </w:rPr>
        <w:t xml:space="preserve">. </w:t>
      </w:r>
    </w:p>
    <w:p w14:paraId="23CAA793" w14:textId="228935B0" w:rsidR="00AC7B79" w:rsidRDefault="002B5819" w:rsidP="00C67E12">
      <w:pPr>
        <w:ind w:firstLine="720"/>
        <w:jc w:val="both"/>
        <w:rPr>
          <w:color w:val="222222"/>
        </w:rPr>
      </w:pPr>
      <w:r w:rsidRPr="00425F23">
        <w:rPr>
          <w:color w:val="222222"/>
        </w:rPr>
        <w:t>Descriptive statistics for these outcome variables are shown in Table 1</w:t>
      </w:r>
      <w:r w:rsidR="007D10AA" w:rsidRPr="00425F23">
        <w:rPr>
          <w:color w:val="222222"/>
        </w:rPr>
        <w:t>, providing</w:t>
      </w:r>
      <w:r w:rsidR="00F744F7" w:rsidRPr="00425F23">
        <w:rPr>
          <w:color w:val="222222"/>
        </w:rPr>
        <w:t xml:space="preserve"> </w:t>
      </w:r>
      <w:r w:rsidRPr="00425F23">
        <w:rPr>
          <w:color w:val="222222"/>
        </w:rPr>
        <w:t xml:space="preserve">aggregate </w:t>
      </w:r>
      <w:r w:rsidR="00537EB8" w:rsidRPr="00425F23">
        <w:rPr>
          <w:color w:val="222222"/>
        </w:rPr>
        <w:t xml:space="preserve">information </w:t>
      </w:r>
      <w:r w:rsidRPr="00425F23">
        <w:rPr>
          <w:color w:val="222222"/>
        </w:rPr>
        <w:t xml:space="preserve">about </w:t>
      </w:r>
      <w:r w:rsidR="00537EB8" w:rsidRPr="00425F23">
        <w:rPr>
          <w:color w:val="222222"/>
        </w:rPr>
        <w:t>short-term adjustments</w:t>
      </w:r>
      <w:r w:rsidRPr="00425F23">
        <w:rPr>
          <w:color w:val="222222"/>
        </w:rPr>
        <w:t xml:space="preserve"> in public transit use</w:t>
      </w:r>
      <w:r w:rsidR="00537EB8" w:rsidRPr="00425F23">
        <w:rPr>
          <w:color w:val="222222"/>
        </w:rPr>
        <w:t xml:space="preserve"> and potential long-term implications for </w:t>
      </w:r>
      <w:r w:rsidR="00FE7557">
        <w:rPr>
          <w:color w:val="222222"/>
        </w:rPr>
        <w:t>PT use</w:t>
      </w:r>
      <w:r w:rsidR="00537EB8" w:rsidRPr="00425F23">
        <w:rPr>
          <w:color w:val="222222"/>
        </w:rPr>
        <w:t xml:space="preserve">. </w:t>
      </w:r>
      <w:r w:rsidR="00F744F7" w:rsidRPr="00425F23">
        <w:rPr>
          <w:color w:val="222222"/>
        </w:rPr>
        <w:t xml:space="preserve">In this data sample, </w:t>
      </w:r>
      <w:r w:rsidR="00645261" w:rsidRPr="00425F23">
        <w:rPr>
          <w:color w:val="222222"/>
        </w:rPr>
        <w:t xml:space="preserve">only a </w:t>
      </w:r>
      <w:r w:rsidR="007D10AA" w:rsidRPr="00425F23">
        <w:rPr>
          <w:color w:val="222222"/>
        </w:rPr>
        <w:t>small portion (4.6</w:t>
      </w:r>
      <w:r w:rsidR="006A063E">
        <w:rPr>
          <w:color w:val="222222"/>
        </w:rPr>
        <w:t>3</w:t>
      </w:r>
      <w:r w:rsidR="007D10AA" w:rsidRPr="00425F23">
        <w:rPr>
          <w:color w:val="222222"/>
        </w:rPr>
        <w:t xml:space="preserve">%) of responders indicated </w:t>
      </w:r>
      <w:r w:rsidR="00645261" w:rsidRPr="00425F23">
        <w:rPr>
          <w:color w:val="222222"/>
        </w:rPr>
        <w:t xml:space="preserve">an increase in usage compared to before the pandemic, </w:t>
      </w:r>
      <w:r w:rsidR="00C46191" w:rsidRPr="00425F23">
        <w:rPr>
          <w:color w:val="222222"/>
        </w:rPr>
        <w:t xml:space="preserve">an unsurprising result given the challenges in </w:t>
      </w:r>
      <w:r w:rsidR="00FE7557">
        <w:rPr>
          <w:color w:val="222222"/>
        </w:rPr>
        <w:t xml:space="preserve">PT </w:t>
      </w:r>
      <w:r w:rsidR="00C46191" w:rsidRPr="00425F23">
        <w:rPr>
          <w:color w:val="222222"/>
        </w:rPr>
        <w:t xml:space="preserve">use </w:t>
      </w:r>
      <w:r w:rsidR="00FE7557">
        <w:rPr>
          <w:color w:val="222222"/>
        </w:rPr>
        <w:t xml:space="preserve">in the immediate aftermath of the onset of </w:t>
      </w:r>
      <w:r w:rsidR="00C46191" w:rsidRPr="00425F23">
        <w:rPr>
          <w:color w:val="222222"/>
        </w:rPr>
        <w:t>the pandemic</w:t>
      </w:r>
      <w:r w:rsidR="007D10AA" w:rsidRPr="00425F23">
        <w:rPr>
          <w:color w:val="222222"/>
        </w:rPr>
        <w:t>.</w:t>
      </w:r>
      <w:r w:rsidR="00645261" w:rsidRPr="00425F23">
        <w:rPr>
          <w:color w:val="222222"/>
        </w:rPr>
        <w:t xml:space="preserve"> In addition,</w:t>
      </w:r>
      <w:r w:rsidR="007D10AA" w:rsidRPr="00425F23">
        <w:rPr>
          <w:color w:val="222222"/>
        </w:rPr>
        <w:t xml:space="preserve"> </w:t>
      </w:r>
      <w:r w:rsidR="00FE7557">
        <w:rPr>
          <w:color w:val="222222"/>
        </w:rPr>
        <w:t xml:space="preserve">more than half of all respondents </w:t>
      </w:r>
      <w:r w:rsidR="00F744F7" w:rsidRPr="00425F23">
        <w:rPr>
          <w:color w:val="222222"/>
        </w:rPr>
        <w:t>reported using public transit the same as before the pandemic</w:t>
      </w:r>
      <w:r w:rsidR="0008338C" w:rsidRPr="00425F23">
        <w:rPr>
          <w:color w:val="222222"/>
        </w:rPr>
        <w:t>.</w:t>
      </w:r>
      <w:r w:rsidR="009062A1" w:rsidRPr="00425F23">
        <w:rPr>
          <w:color w:val="222222"/>
        </w:rPr>
        <w:t xml:space="preserve"> </w:t>
      </w:r>
      <w:r w:rsidR="0008338C" w:rsidRPr="00425F23">
        <w:rPr>
          <w:color w:val="222222"/>
        </w:rPr>
        <w:t xml:space="preserve">These </w:t>
      </w:r>
      <w:r w:rsidR="00FE7557">
        <w:rPr>
          <w:color w:val="222222"/>
        </w:rPr>
        <w:t xml:space="preserve">respondents </w:t>
      </w:r>
      <w:r w:rsidR="0008338C" w:rsidRPr="00425F23">
        <w:rPr>
          <w:color w:val="222222"/>
        </w:rPr>
        <w:t xml:space="preserve">may represent individuals who had fewer safety concerns during the </w:t>
      </w:r>
      <w:r w:rsidR="006D2090" w:rsidRPr="00425F23">
        <w:rPr>
          <w:color w:val="222222"/>
        </w:rPr>
        <w:t>pandemic or</w:t>
      </w:r>
      <w:r w:rsidR="0008338C" w:rsidRPr="00425F23">
        <w:rPr>
          <w:color w:val="222222"/>
        </w:rPr>
        <w:t xml:space="preserve"> may be</w:t>
      </w:r>
      <w:r w:rsidR="00C07D27" w:rsidRPr="00425F23">
        <w:rPr>
          <w:color w:val="222222"/>
        </w:rPr>
        <w:t xml:space="preserve"> “captive” riders who are unable to afford private </w:t>
      </w:r>
      <w:r w:rsidR="006D2090" w:rsidRPr="00425F23">
        <w:rPr>
          <w:color w:val="222222"/>
        </w:rPr>
        <w:t>vehicles</w:t>
      </w:r>
      <w:r w:rsidR="006D2090">
        <w:rPr>
          <w:color w:val="222222"/>
        </w:rPr>
        <w:t xml:space="preserve"> or</w:t>
      </w:r>
      <w:r w:rsidR="0008338C" w:rsidRPr="00425F23">
        <w:rPr>
          <w:color w:val="222222"/>
        </w:rPr>
        <w:t xml:space="preserve"> have other significant</w:t>
      </w:r>
      <w:r w:rsidR="00FE7557">
        <w:rPr>
          <w:color w:val="222222"/>
        </w:rPr>
        <w:t xml:space="preserve"> mobility</w:t>
      </w:r>
      <w:r w:rsidR="0008338C" w:rsidRPr="00425F23">
        <w:rPr>
          <w:color w:val="222222"/>
        </w:rPr>
        <w:t xml:space="preserve"> constraints</w:t>
      </w:r>
      <w:r w:rsidR="00FE7557">
        <w:rPr>
          <w:color w:val="222222"/>
        </w:rPr>
        <w:t xml:space="preserve"> preventing private vehicle use</w:t>
      </w:r>
      <w:r w:rsidR="00F744F7" w:rsidRPr="00425F23">
        <w:rPr>
          <w:color w:val="222222"/>
        </w:rPr>
        <w:t>.</w:t>
      </w:r>
      <w:r w:rsidR="00645261" w:rsidRPr="00425F23">
        <w:rPr>
          <w:color w:val="222222"/>
        </w:rPr>
        <w:t xml:space="preserve"> </w:t>
      </w:r>
      <w:r w:rsidR="0008338C" w:rsidRPr="00425F23">
        <w:rPr>
          <w:color w:val="222222"/>
        </w:rPr>
        <w:t>Finally</w:t>
      </w:r>
      <w:r w:rsidR="00F744F7" w:rsidRPr="00425F23">
        <w:rPr>
          <w:color w:val="222222"/>
        </w:rPr>
        <w:t>, 42</w:t>
      </w:r>
      <w:r w:rsidR="005F07F5" w:rsidRPr="00425F23">
        <w:rPr>
          <w:color w:val="222222"/>
        </w:rPr>
        <w:t>.20</w:t>
      </w:r>
      <w:r w:rsidR="00F744F7" w:rsidRPr="00425F23">
        <w:rPr>
          <w:color w:val="222222"/>
        </w:rPr>
        <w:t xml:space="preserve">% of the total sample indicated they </w:t>
      </w:r>
      <w:r w:rsidR="00FE7557">
        <w:rPr>
          <w:color w:val="222222"/>
        </w:rPr>
        <w:t>had reduced PT use</w:t>
      </w:r>
      <w:r w:rsidR="00F744F7" w:rsidRPr="00425F23">
        <w:rPr>
          <w:color w:val="222222"/>
        </w:rPr>
        <w:t xml:space="preserve">. </w:t>
      </w:r>
      <w:r w:rsidR="0008338C" w:rsidRPr="00425F23">
        <w:rPr>
          <w:color w:val="222222"/>
        </w:rPr>
        <w:t>R</w:t>
      </w:r>
      <w:r w:rsidR="005F07F5" w:rsidRPr="00425F23">
        <w:rPr>
          <w:color w:val="222222"/>
        </w:rPr>
        <w:t>egard</w:t>
      </w:r>
      <w:r w:rsidR="0008338C" w:rsidRPr="00425F23">
        <w:rPr>
          <w:color w:val="222222"/>
        </w:rPr>
        <w:t>ing the permanence of change,</w:t>
      </w:r>
      <w:r w:rsidR="005F07F5" w:rsidRPr="00425F23">
        <w:rPr>
          <w:color w:val="222222"/>
        </w:rPr>
        <w:t xml:space="preserve"> </w:t>
      </w:r>
      <w:r w:rsidR="001072FF">
        <w:rPr>
          <w:color w:val="222222"/>
        </w:rPr>
        <w:t xml:space="preserve">a majority of </w:t>
      </w:r>
      <w:r w:rsidR="0008338C" w:rsidRPr="00425F23">
        <w:rPr>
          <w:color w:val="222222"/>
        </w:rPr>
        <w:t xml:space="preserve">riders </w:t>
      </w:r>
      <w:r w:rsidR="001072FF">
        <w:rPr>
          <w:color w:val="222222"/>
        </w:rPr>
        <w:t>indicated</w:t>
      </w:r>
      <w:r w:rsidR="0008338C" w:rsidRPr="00425F23">
        <w:rPr>
          <w:color w:val="222222"/>
        </w:rPr>
        <w:t xml:space="preserve"> that </w:t>
      </w:r>
      <w:r w:rsidR="00FE7557">
        <w:rPr>
          <w:color w:val="222222"/>
        </w:rPr>
        <w:t xml:space="preserve">the change was permanent </w:t>
      </w:r>
      <w:r w:rsidR="0008338C" w:rsidRPr="00425F23">
        <w:rPr>
          <w:color w:val="222222"/>
        </w:rPr>
        <w:t xml:space="preserve">rather than temporary (73.48% </w:t>
      </w:r>
      <w:r w:rsidR="00FE7557">
        <w:rPr>
          <w:color w:val="222222"/>
        </w:rPr>
        <w:t xml:space="preserve">for </w:t>
      </w:r>
      <w:r w:rsidR="0008338C" w:rsidRPr="00425F23">
        <w:rPr>
          <w:color w:val="222222"/>
        </w:rPr>
        <w:t>those who said they ride more often</w:t>
      </w:r>
      <w:r w:rsidR="001072FF">
        <w:rPr>
          <w:color w:val="222222"/>
        </w:rPr>
        <w:t>,</w:t>
      </w:r>
      <w:r w:rsidR="0008338C" w:rsidRPr="00425F23">
        <w:rPr>
          <w:color w:val="222222"/>
        </w:rPr>
        <w:t xml:space="preserve"> and 62.46% of those who ride less often). </w:t>
      </w:r>
      <w:r w:rsidR="00F744F7" w:rsidRPr="00425F23">
        <w:rPr>
          <w:color w:val="222222"/>
        </w:rPr>
        <w:t xml:space="preserve">At an aggregate level, these statistics </w:t>
      </w:r>
      <w:r w:rsidR="0008338C" w:rsidRPr="00425F23">
        <w:rPr>
          <w:color w:val="222222"/>
        </w:rPr>
        <w:t>suggest that there ha</w:t>
      </w:r>
      <w:r w:rsidR="009D0D25" w:rsidRPr="00425F23">
        <w:rPr>
          <w:color w:val="222222"/>
        </w:rPr>
        <w:t>ve</w:t>
      </w:r>
      <w:r w:rsidR="0008338C" w:rsidRPr="00425F23">
        <w:rPr>
          <w:color w:val="222222"/>
        </w:rPr>
        <w:t xml:space="preserve"> been significant declines </w:t>
      </w:r>
      <w:r w:rsidR="00FE7557">
        <w:rPr>
          <w:color w:val="222222"/>
        </w:rPr>
        <w:t xml:space="preserve">in PT </w:t>
      </w:r>
      <w:r w:rsidR="0008338C" w:rsidRPr="00425F23">
        <w:rPr>
          <w:color w:val="222222"/>
        </w:rPr>
        <w:t>usage</w:t>
      </w:r>
      <w:r w:rsidR="001072FF">
        <w:rPr>
          <w:color w:val="222222"/>
        </w:rPr>
        <w:t xml:space="preserve">, which </w:t>
      </w:r>
      <w:r w:rsidR="0008338C" w:rsidRPr="00425F23">
        <w:rPr>
          <w:color w:val="222222"/>
        </w:rPr>
        <w:t xml:space="preserve">may </w:t>
      </w:r>
      <w:r w:rsidR="001072FF">
        <w:rPr>
          <w:color w:val="222222"/>
        </w:rPr>
        <w:t xml:space="preserve">also </w:t>
      </w:r>
      <w:r w:rsidR="0008338C" w:rsidRPr="00425F23">
        <w:rPr>
          <w:color w:val="222222"/>
        </w:rPr>
        <w:t>be permanent for many individuals. However, th</w:t>
      </w:r>
      <w:r w:rsidR="001072FF">
        <w:rPr>
          <w:color w:val="222222"/>
        </w:rPr>
        <w:t>ere is</w:t>
      </w:r>
      <w:r w:rsidR="00F744F7" w:rsidRPr="00425F23">
        <w:rPr>
          <w:color w:val="222222"/>
        </w:rPr>
        <w:t xml:space="preserve"> a significant </w:t>
      </w:r>
      <w:r w:rsidR="001072FF">
        <w:rPr>
          <w:color w:val="222222"/>
        </w:rPr>
        <w:t xml:space="preserve">percentage </w:t>
      </w:r>
      <w:r w:rsidR="00F744F7" w:rsidRPr="00425F23">
        <w:rPr>
          <w:color w:val="222222"/>
        </w:rPr>
        <w:t xml:space="preserve">of individuals who </w:t>
      </w:r>
      <w:r w:rsidR="001072FF">
        <w:rPr>
          <w:color w:val="222222"/>
        </w:rPr>
        <w:t xml:space="preserve">appear to leave the possibility open to returning </w:t>
      </w:r>
      <w:r w:rsidR="00F744F7" w:rsidRPr="00425F23">
        <w:rPr>
          <w:color w:val="222222"/>
        </w:rPr>
        <w:t xml:space="preserve">to </w:t>
      </w:r>
      <w:r w:rsidR="0008338C" w:rsidRPr="00425F23">
        <w:rPr>
          <w:color w:val="222222"/>
        </w:rPr>
        <w:t>a higher</w:t>
      </w:r>
      <w:r w:rsidR="00F744F7" w:rsidRPr="00425F23">
        <w:rPr>
          <w:color w:val="222222"/>
        </w:rPr>
        <w:t xml:space="preserve"> level of </w:t>
      </w:r>
      <w:r w:rsidR="001072FF">
        <w:rPr>
          <w:color w:val="222222"/>
        </w:rPr>
        <w:t xml:space="preserve">PT </w:t>
      </w:r>
      <w:r w:rsidR="00F744F7" w:rsidRPr="00425F23">
        <w:rPr>
          <w:color w:val="222222"/>
        </w:rPr>
        <w:t>use</w:t>
      </w:r>
      <w:r w:rsidR="0008338C" w:rsidRPr="00425F23">
        <w:rPr>
          <w:color w:val="222222"/>
        </w:rPr>
        <w:t xml:space="preserve">. </w:t>
      </w:r>
      <w:r w:rsidR="00AC7B79">
        <w:rPr>
          <w:color w:val="222222"/>
        </w:rPr>
        <w:t>These expectations are not only influenced by individuals’ anticipated lifestyle changes, but also to their predictions on how PT transit service provisions will evolve in the post-pandemic era. Thus, some individuals who suspended their use of PT during the pandemic due to service cuts may indicate this shift as permanent if they believe services will not be fully restored. Others may expect the services to return but do not anticipate resuming their own use of these services, based on altered routines or preferences.</w:t>
      </w:r>
    </w:p>
    <w:p w14:paraId="138B50EF" w14:textId="77777777" w:rsidR="00751692" w:rsidRDefault="00751692" w:rsidP="00751692">
      <w:pPr>
        <w:pStyle w:val="NormalWeb"/>
        <w:shd w:val="clear" w:color="auto" w:fill="FFFFFF"/>
        <w:spacing w:before="0" w:beforeAutospacing="0" w:after="0" w:afterAutospacing="0" w:line="235" w:lineRule="atLeast"/>
        <w:jc w:val="both"/>
        <w:rPr>
          <w:color w:val="222222"/>
        </w:rPr>
      </w:pPr>
    </w:p>
    <w:p w14:paraId="12CD739F" w14:textId="6F7299F3" w:rsidR="00751692" w:rsidRDefault="00751692" w:rsidP="00751692">
      <w:pPr>
        <w:pStyle w:val="NormalWeb"/>
        <w:shd w:val="clear" w:color="auto" w:fill="FFFFFF"/>
        <w:spacing w:before="0" w:beforeAutospacing="0" w:after="120" w:afterAutospacing="0" w:line="235" w:lineRule="atLeast"/>
        <w:jc w:val="both"/>
        <w:rPr>
          <w:color w:val="222222"/>
        </w:rPr>
      </w:pPr>
      <w:r w:rsidRPr="000A78C6">
        <w:rPr>
          <w:b/>
          <w:bCs/>
          <w:color w:val="000000"/>
        </w:rPr>
        <w:t>Table 1 - Descriptive Statistics of Outcome Variables</w:t>
      </w:r>
    </w:p>
    <w:tbl>
      <w:tblPr>
        <w:tblStyle w:val="TableGrid"/>
        <w:tblW w:w="8496" w:type="dxa"/>
        <w:tblLook w:val="04A0" w:firstRow="1" w:lastRow="0" w:firstColumn="1" w:lastColumn="0" w:noHBand="0" w:noVBand="1"/>
      </w:tblPr>
      <w:tblGrid>
        <w:gridCol w:w="2880"/>
        <w:gridCol w:w="1872"/>
        <w:gridCol w:w="1872"/>
        <w:gridCol w:w="1872"/>
      </w:tblGrid>
      <w:tr w:rsidR="00751692" w14:paraId="70BB5AFA" w14:textId="77777777" w:rsidTr="006F2CB1">
        <w:tc>
          <w:tcPr>
            <w:tcW w:w="2880" w:type="dxa"/>
          </w:tcPr>
          <w:p w14:paraId="2509E91A" w14:textId="77777777" w:rsidR="00751692" w:rsidRDefault="00751692" w:rsidP="00751692">
            <w:pPr>
              <w:pStyle w:val="NormalWeb"/>
              <w:spacing w:before="0" w:beforeAutospacing="0" w:after="0" w:afterAutospacing="0" w:line="235" w:lineRule="atLeast"/>
              <w:jc w:val="both"/>
              <w:rPr>
                <w:color w:val="222222"/>
              </w:rPr>
            </w:pPr>
          </w:p>
        </w:tc>
        <w:tc>
          <w:tcPr>
            <w:tcW w:w="1872" w:type="dxa"/>
            <w:vAlign w:val="center"/>
          </w:tcPr>
          <w:p w14:paraId="08404D5C" w14:textId="71D2F618" w:rsidR="00751692" w:rsidRDefault="00751692" w:rsidP="00751692">
            <w:pPr>
              <w:pStyle w:val="NormalWeb"/>
              <w:spacing w:before="0" w:beforeAutospacing="0" w:after="0" w:afterAutospacing="0" w:line="235" w:lineRule="atLeast"/>
              <w:jc w:val="center"/>
              <w:rPr>
                <w:color w:val="222222"/>
              </w:rPr>
            </w:pPr>
            <w:r w:rsidRPr="00425F23">
              <w:rPr>
                <w:b/>
                <w:bCs/>
                <w:color w:val="000000"/>
                <w:sz w:val="21"/>
                <w:szCs w:val="21"/>
              </w:rPr>
              <w:t>Total (%)</w:t>
            </w:r>
          </w:p>
        </w:tc>
        <w:tc>
          <w:tcPr>
            <w:tcW w:w="1872" w:type="dxa"/>
            <w:vAlign w:val="center"/>
          </w:tcPr>
          <w:p w14:paraId="25E47DC4" w14:textId="4537EFBA" w:rsidR="00751692" w:rsidRDefault="00751692" w:rsidP="00751692">
            <w:pPr>
              <w:pStyle w:val="NormalWeb"/>
              <w:spacing w:before="0" w:beforeAutospacing="0" w:after="0" w:afterAutospacing="0" w:line="235" w:lineRule="atLeast"/>
              <w:jc w:val="center"/>
              <w:rPr>
                <w:color w:val="222222"/>
              </w:rPr>
            </w:pPr>
            <w:r w:rsidRPr="00425F23">
              <w:rPr>
                <w:b/>
                <w:bCs/>
                <w:color w:val="000000"/>
                <w:sz w:val="21"/>
                <w:szCs w:val="21"/>
              </w:rPr>
              <w:t>Temporary</w:t>
            </w:r>
          </w:p>
        </w:tc>
        <w:tc>
          <w:tcPr>
            <w:tcW w:w="1872" w:type="dxa"/>
            <w:vAlign w:val="center"/>
          </w:tcPr>
          <w:p w14:paraId="49B99CA6" w14:textId="0DF499E6" w:rsidR="00751692" w:rsidRDefault="00751692" w:rsidP="00751692">
            <w:pPr>
              <w:pStyle w:val="NormalWeb"/>
              <w:spacing w:before="0" w:beforeAutospacing="0" w:after="0" w:afterAutospacing="0" w:line="235" w:lineRule="atLeast"/>
              <w:jc w:val="center"/>
              <w:rPr>
                <w:color w:val="222222"/>
              </w:rPr>
            </w:pPr>
            <w:r w:rsidRPr="00425F23">
              <w:rPr>
                <w:b/>
                <w:bCs/>
                <w:color w:val="000000"/>
                <w:sz w:val="21"/>
                <w:szCs w:val="21"/>
              </w:rPr>
              <w:t>Permanent</w:t>
            </w:r>
          </w:p>
        </w:tc>
      </w:tr>
      <w:tr w:rsidR="00751692" w14:paraId="0BCA107B" w14:textId="77777777" w:rsidTr="007D0895">
        <w:trPr>
          <w:trHeight w:val="720"/>
        </w:trPr>
        <w:tc>
          <w:tcPr>
            <w:tcW w:w="2880" w:type="dxa"/>
            <w:vAlign w:val="center"/>
          </w:tcPr>
          <w:p w14:paraId="5E9E1E62" w14:textId="29D98BB8" w:rsidR="00751692" w:rsidRDefault="00751692" w:rsidP="00751692">
            <w:pPr>
              <w:pStyle w:val="NormalWeb"/>
              <w:spacing w:before="0" w:beforeAutospacing="0" w:after="0" w:afterAutospacing="0" w:line="235" w:lineRule="atLeast"/>
              <w:rPr>
                <w:color w:val="222222"/>
              </w:rPr>
            </w:pPr>
            <w:r w:rsidRPr="00425F23">
              <w:rPr>
                <w:b/>
                <w:bCs/>
                <w:color w:val="000000"/>
                <w:sz w:val="21"/>
                <w:szCs w:val="21"/>
              </w:rPr>
              <w:t>Use public transit more often than before COVID</w:t>
            </w:r>
          </w:p>
        </w:tc>
        <w:tc>
          <w:tcPr>
            <w:tcW w:w="1872" w:type="dxa"/>
            <w:vAlign w:val="center"/>
          </w:tcPr>
          <w:p w14:paraId="73006F4A" w14:textId="5EE681EC" w:rsidR="00751692" w:rsidRDefault="00751692" w:rsidP="00751692">
            <w:pPr>
              <w:pStyle w:val="NormalWeb"/>
              <w:spacing w:before="0" w:beforeAutospacing="0" w:after="0" w:afterAutospacing="0" w:line="235" w:lineRule="atLeast"/>
              <w:jc w:val="center"/>
              <w:rPr>
                <w:color w:val="222222"/>
              </w:rPr>
            </w:pPr>
            <w:r w:rsidRPr="00425F23">
              <w:rPr>
                <w:color w:val="000000"/>
                <w:sz w:val="21"/>
                <w:szCs w:val="21"/>
              </w:rPr>
              <w:t>328</w:t>
            </w:r>
            <w:r w:rsidRPr="00425F23">
              <w:rPr>
                <w:color w:val="000000"/>
                <w:sz w:val="21"/>
                <w:szCs w:val="21"/>
              </w:rPr>
              <w:br/>
            </w:r>
            <w:r>
              <w:rPr>
                <w:color w:val="000000"/>
                <w:sz w:val="21"/>
                <w:szCs w:val="21"/>
              </w:rPr>
              <w:t xml:space="preserve">  </w:t>
            </w:r>
            <w:r w:rsidRPr="00425F23">
              <w:rPr>
                <w:color w:val="000000"/>
                <w:sz w:val="21"/>
                <w:szCs w:val="21"/>
              </w:rPr>
              <w:t>4.6</w:t>
            </w:r>
            <w:r>
              <w:rPr>
                <w:color w:val="000000"/>
                <w:sz w:val="21"/>
                <w:szCs w:val="21"/>
              </w:rPr>
              <w:t>3</w:t>
            </w:r>
            <w:r w:rsidRPr="00425F23">
              <w:rPr>
                <w:color w:val="000000"/>
                <w:sz w:val="21"/>
                <w:szCs w:val="21"/>
              </w:rPr>
              <w:t>%</w:t>
            </w:r>
          </w:p>
        </w:tc>
        <w:tc>
          <w:tcPr>
            <w:tcW w:w="1872" w:type="dxa"/>
            <w:vAlign w:val="center"/>
          </w:tcPr>
          <w:p w14:paraId="72BA53FA" w14:textId="56501663" w:rsidR="00751692" w:rsidRDefault="00751692" w:rsidP="00751692">
            <w:pPr>
              <w:pStyle w:val="NormalWeb"/>
              <w:spacing w:before="0" w:beforeAutospacing="0" w:after="0" w:afterAutospacing="0" w:line="235" w:lineRule="atLeast"/>
              <w:jc w:val="center"/>
              <w:rPr>
                <w:color w:val="222222"/>
              </w:rPr>
            </w:pPr>
            <w:r w:rsidRPr="00425F23">
              <w:rPr>
                <w:color w:val="000000"/>
                <w:sz w:val="21"/>
                <w:szCs w:val="21"/>
              </w:rPr>
              <w:t>87</w:t>
            </w:r>
            <w:r w:rsidRPr="00425F23">
              <w:rPr>
                <w:color w:val="000000"/>
                <w:sz w:val="21"/>
                <w:szCs w:val="21"/>
              </w:rPr>
              <w:br/>
              <w:t>26.52%</w:t>
            </w:r>
          </w:p>
        </w:tc>
        <w:tc>
          <w:tcPr>
            <w:tcW w:w="1872" w:type="dxa"/>
            <w:vAlign w:val="center"/>
          </w:tcPr>
          <w:p w14:paraId="7134A5D0" w14:textId="017CE5CF" w:rsidR="00751692" w:rsidRDefault="00751692" w:rsidP="00751692">
            <w:pPr>
              <w:pStyle w:val="NormalWeb"/>
              <w:spacing w:before="0" w:beforeAutospacing="0" w:after="0" w:afterAutospacing="0" w:line="235" w:lineRule="atLeast"/>
              <w:jc w:val="center"/>
              <w:rPr>
                <w:color w:val="222222"/>
              </w:rPr>
            </w:pPr>
            <w:r w:rsidRPr="00425F23">
              <w:rPr>
                <w:color w:val="000000"/>
                <w:sz w:val="21"/>
                <w:szCs w:val="21"/>
              </w:rPr>
              <w:t>241</w:t>
            </w:r>
            <w:r w:rsidRPr="00425F23">
              <w:rPr>
                <w:color w:val="000000"/>
                <w:sz w:val="21"/>
                <w:szCs w:val="21"/>
              </w:rPr>
              <w:br/>
              <w:t>73.48%</w:t>
            </w:r>
          </w:p>
        </w:tc>
      </w:tr>
      <w:tr w:rsidR="00751692" w14:paraId="2AF1610B" w14:textId="77777777" w:rsidTr="0074176E">
        <w:trPr>
          <w:trHeight w:val="720"/>
        </w:trPr>
        <w:tc>
          <w:tcPr>
            <w:tcW w:w="2880" w:type="dxa"/>
            <w:tcBorders>
              <w:bottom w:val="single" w:sz="4" w:space="0" w:color="auto"/>
            </w:tcBorders>
            <w:vAlign w:val="center"/>
          </w:tcPr>
          <w:p w14:paraId="61E6F228" w14:textId="73096711" w:rsidR="00751692" w:rsidRDefault="00751692" w:rsidP="00751692">
            <w:pPr>
              <w:pStyle w:val="NormalWeb"/>
              <w:spacing w:before="0" w:beforeAutospacing="0" w:after="0" w:afterAutospacing="0" w:line="235" w:lineRule="atLeast"/>
              <w:rPr>
                <w:color w:val="222222"/>
              </w:rPr>
            </w:pPr>
            <w:r w:rsidRPr="00425F23">
              <w:rPr>
                <w:b/>
                <w:bCs/>
                <w:color w:val="000000"/>
                <w:sz w:val="21"/>
                <w:szCs w:val="21"/>
              </w:rPr>
              <w:t>Use public transit the same as before COVID</w:t>
            </w:r>
          </w:p>
        </w:tc>
        <w:tc>
          <w:tcPr>
            <w:tcW w:w="1872" w:type="dxa"/>
            <w:tcBorders>
              <w:bottom w:val="single" w:sz="4" w:space="0" w:color="auto"/>
            </w:tcBorders>
            <w:vAlign w:val="center"/>
          </w:tcPr>
          <w:p w14:paraId="73E4E090" w14:textId="4F3EF7B6" w:rsidR="00751692" w:rsidRDefault="00751692" w:rsidP="00751692">
            <w:pPr>
              <w:pStyle w:val="NormalWeb"/>
              <w:spacing w:before="0" w:beforeAutospacing="0" w:after="0" w:afterAutospacing="0" w:line="235" w:lineRule="atLeast"/>
              <w:jc w:val="center"/>
              <w:rPr>
                <w:color w:val="222222"/>
              </w:rPr>
            </w:pPr>
            <w:r w:rsidRPr="00425F23">
              <w:rPr>
                <w:color w:val="000000"/>
                <w:sz w:val="21"/>
                <w:szCs w:val="21"/>
              </w:rPr>
              <w:t>3,762</w:t>
            </w:r>
            <w:r w:rsidRPr="00425F23">
              <w:rPr>
                <w:color w:val="000000"/>
                <w:sz w:val="21"/>
                <w:szCs w:val="21"/>
              </w:rPr>
              <w:br/>
              <w:t>53.17%</w:t>
            </w:r>
          </w:p>
        </w:tc>
        <w:tc>
          <w:tcPr>
            <w:tcW w:w="1872" w:type="dxa"/>
            <w:tcBorders>
              <w:bottom w:val="single" w:sz="4" w:space="0" w:color="auto"/>
            </w:tcBorders>
            <w:vAlign w:val="center"/>
          </w:tcPr>
          <w:p w14:paraId="2E87F411" w14:textId="12BE2D5C" w:rsidR="00751692" w:rsidRDefault="00751692" w:rsidP="00751692">
            <w:pPr>
              <w:pStyle w:val="NormalWeb"/>
              <w:spacing w:before="0" w:beforeAutospacing="0" w:after="0" w:afterAutospacing="0" w:line="235" w:lineRule="atLeast"/>
              <w:jc w:val="center"/>
              <w:rPr>
                <w:color w:val="222222"/>
              </w:rPr>
            </w:pPr>
            <w:r w:rsidRPr="00425F23">
              <w:rPr>
                <w:color w:val="000000"/>
                <w:sz w:val="21"/>
                <w:szCs w:val="21"/>
              </w:rPr>
              <w:t>--</w:t>
            </w:r>
          </w:p>
        </w:tc>
        <w:tc>
          <w:tcPr>
            <w:tcW w:w="1872" w:type="dxa"/>
            <w:tcBorders>
              <w:bottom w:val="single" w:sz="4" w:space="0" w:color="auto"/>
            </w:tcBorders>
            <w:vAlign w:val="center"/>
          </w:tcPr>
          <w:p w14:paraId="30AAFE7A" w14:textId="4E6C9BA6" w:rsidR="00751692" w:rsidRDefault="00751692" w:rsidP="00751692">
            <w:pPr>
              <w:pStyle w:val="NormalWeb"/>
              <w:spacing w:before="0" w:beforeAutospacing="0" w:after="0" w:afterAutospacing="0" w:line="235" w:lineRule="atLeast"/>
              <w:jc w:val="center"/>
              <w:rPr>
                <w:color w:val="222222"/>
              </w:rPr>
            </w:pPr>
            <w:r w:rsidRPr="00425F23">
              <w:rPr>
                <w:color w:val="000000"/>
                <w:sz w:val="21"/>
                <w:szCs w:val="21"/>
              </w:rPr>
              <w:t>--</w:t>
            </w:r>
          </w:p>
        </w:tc>
      </w:tr>
      <w:tr w:rsidR="00751692" w14:paraId="3E42AADA" w14:textId="77777777" w:rsidTr="007D0895">
        <w:trPr>
          <w:trHeight w:val="720"/>
        </w:trPr>
        <w:tc>
          <w:tcPr>
            <w:tcW w:w="2880" w:type="dxa"/>
            <w:vAlign w:val="center"/>
          </w:tcPr>
          <w:p w14:paraId="0924AADB" w14:textId="76FFF5D5" w:rsidR="00751692" w:rsidRDefault="00751692" w:rsidP="00751692">
            <w:pPr>
              <w:pStyle w:val="NormalWeb"/>
              <w:spacing w:before="0" w:beforeAutospacing="0" w:after="0" w:afterAutospacing="0" w:line="235" w:lineRule="atLeast"/>
              <w:rPr>
                <w:color w:val="222222"/>
              </w:rPr>
            </w:pPr>
            <w:r w:rsidRPr="00425F23">
              <w:rPr>
                <w:b/>
                <w:bCs/>
                <w:color w:val="000000"/>
                <w:sz w:val="21"/>
                <w:szCs w:val="21"/>
              </w:rPr>
              <w:t>Use public transit less often than before COVID</w:t>
            </w:r>
          </w:p>
        </w:tc>
        <w:tc>
          <w:tcPr>
            <w:tcW w:w="1872" w:type="dxa"/>
            <w:vAlign w:val="center"/>
          </w:tcPr>
          <w:p w14:paraId="5EBB4E73" w14:textId="7A1E3283" w:rsidR="00751692" w:rsidRDefault="00751692" w:rsidP="00751692">
            <w:pPr>
              <w:pStyle w:val="NormalWeb"/>
              <w:spacing w:before="0" w:beforeAutospacing="0" w:after="0" w:afterAutospacing="0" w:line="235" w:lineRule="atLeast"/>
              <w:jc w:val="center"/>
              <w:rPr>
                <w:color w:val="222222"/>
              </w:rPr>
            </w:pPr>
            <w:r w:rsidRPr="00425F23">
              <w:rPr>
                <w:color w:val="000000"/>
                <w:sz w:val="21"/>
                <w:szCs w:val="21"/>
              </w:rPr>
              <w:t>2,986</w:t>
            </w:r>
            <w:r w:rsidRPr="00425F23">
              <w:rPr>
                <w:color w:val="000000"/>
                <w:sz w:val="21"/>
                <w:szCs w:val="21"/>
              </w:rPr>
              <w:br/>
              <w:t>42.20%</w:t>
            </w:r>
          </w:p>
        </w:tc>
        <w:tc>
          <w:tcPr>
            <w:tcW w:w="1872" w:type="dxa"/>
            <w:vAlign w:val="center"/>
          </w:tcPr>
          <w:p w14:paraId="52BD8923" w14:textId="6449BB28" w:rsidR="00751692" w:rsidRDefault="00751692" w:rsidP="00751692">
            <w:pPr>
              <w:pStyle w:val="NormalWeb"/>
              <w:spacing w:before="0" w:beforeAutospacing="0" w:after="0" w:afterAutospacing="0" w:line="235" w:lineRule="atLeast"/>
              <w:jc w:val="center"/>
              <w:rPr>
                <w:color w:val="222222"/>
              </w:rPr>
            </w:pPr>
            <w:r w:rsidRPr="00425F23">
              <w:rPr>
                <w:color w:val="000000"/>
                <w:sz w:val="21"/>
                <w:szCs w:val="21"/>
              </w:rPr>
              <w:t>1</w:t>
            </w:r>
            <w:r>
              <w:rPr>
                <w:color w:val="000000"/>
                <w:sz w:val="21"/>
                <w:szCs w:val="21"/>
              </w:rPr>
              <w:t>,</w:t>
            </w:r>
            <w:r w:rsidRPr="00425F23">
              <w:rPr>
                <w:color w:val="000000"/>
                <w:sz w:val="21"/>
                <w:szCs w:val="21"/>
              </w:rPr>
              <w:t>121</w:t>
            </w:r>
            <w:r w:rsidRPr="00425F23">
              <w:rPr>
                <w:color w:val="000000"/>
                <w:sz w:val="21"/>
                <w:szCs w:val="21"/>
              </w:rPr>
              <w:br/>
              <w:t>37.54%</w:t>
            </w:r>
          </w:p>
        </w:tc>
        <w:tc>
          <w:tcPr>
            <w:tcW w:w="1872" w:type="dxa"/>
            <w:vAlign w:val="center"/>
          </w:tcPr>
          <w:p w14:paraId="4C42EB1E" w14:textId="6C1A61AD" w:rsidR="00751692" w:rsidRDefault="00751692" w:rsidP="00751692">
            <w:pPr>
              <w:pStyle w:val="NormalWeb"/>
              <w:spacing w:before="0" w:beforeAutospacing="0" w:after="0" w:afterAutospacing="0" w:line="235" w:lineRule="atLeast"/>
              <w:jc w:val="center"/>
              <w:rPr>
                <w:color w:val="222222"/>
              </w:rPr>
            </w:pPr>
            <w:r w:rsidRPr="00425F23">
              <w:rPr>
                <w:color w:val="000000"/>
                <w:sz w:val="21"/>
                <w:szCs w:val="21"/>
              </w:rPr>
              <w:t>1</w:t>
            </w:r>
            <w:r>
              <w:rPr>
                <w:color w:val="000000"/>
                <w:sz w:val="21"/>
                <w:szCs w:val="21"/>
              </w:rPr>
              <w:t>,</w:t>
            </w:r>
            <w:r w:rsidRPr="00425F23">
              <w:rPr>
                <w:color w:val="000000"/>
                <w:sz w:val="21"/>
                <w:szCs w:val="21"/>
              </w:rPr>
              <w:t>865</w:t>
            </w:r>
            <w:r w:rsidRPr="00425F23">
              <w:rPr>
                <w:color w:val="000000"/>
                <w:sz w:val="21"/>
                <w:szCs w:val="21"/>
              </w:rPr>
              <w:br/>
              <w:t>62.46</w:t>
            </w:r>
            <w:r>
              <w:rPr>
                <w:color w:val="000000"/>
                <w:sz w:val="21"/>
                <w:szCs w:val="21"/>
              </w:rPr>
              <w:t>%</w:t>
            </w:r>
          </w:p>
        </w:tc>
      </w:tr>
    </w:tbl>
    <w:p w14:paraId="276B5821" w14:textId="58C39123" w:rsidR="00537EB8" w:rsidRPr="00425F23" w:rsidRDefault="00537EB8" w:rsidP="00C67E12">
      <w:pPr>
        <w:pStyle w:val="NormalWeb"/>
        <w:shd w:val="clear" w:color="auto" w:fill="FFFFFF"/>
        <w:spacing w:before="0" w:beforeAutospacing="0" w:after="0" w:afterAutospacing="0"/>
        <w:jc w:val="both"/>
        <w:rPr>
          <w:color w:val="222222"/>
        </w:rPr>
      </w:pPr>
    </w:p>
    <w:p w14:paraId="5C20BC68" w14:textId="77777777" w:rsidR="00537EB8" w:rsidRPr="00425F23" w:rsidRDefault="00537EB8" w:rsidP="00C67E12">
      <w:pPr>
        <w:pStyle w:val="NormalWeb"/>
        <w:shd w:val="clear" w:color="auto" w:fill="FFFFFF"/>
        <w:spacing w:before="0" w:beforeAutospacing="0" w:after="0" w:afterAutospacing="0"/>
        <w:jc w:val="both"/>
        <w:rPr>
          <w:b/>
          <w:bCs/>
          <w:color w:val="222222"/>
        </w:rPr>
      </w:pPr>
      <w:r w:rsidRPr="00425F23">
        <w:rPr>
          <w:b/>
          <w:bCs/>
          <w:color w:val="222222"/>
        </w:rPr>
        <w:t>3.1.2 Exogenous Variables</w:t>
      </w:r>
    </w:p>
    <w:p w14:paraId="66D12D1C" w14:textId="140E9D5E" w:rsidR="001607A8" w:rsidRPr="006F38B1" w:rsidRDefault="00537EB8" w:rsidP="00C67E12">
      <w:pPr>
        <w:pStyle w:val="NormalWeb"/>
        <w:shd w:val="clear" w:color="auto" w:fill="FFFFFF"/>
        <w:spacing w:before="0" w:beforeAutospacing="0" w:after="0" w:afterAutospacing="0"/>
        <w:jc w:val="both"/>
        <w:rPr>
          <w:color w:val="222222"/>
        </w:rPr>
      </w:pPr>
      <w:r w:rsidRPr="00425F23">
        <w:rPr>
          <w:color w:val="222222"/>
        </w:rPr>
        <w:t xml:space="preserve">The descriptive statistics of the exogenous variables are included in Table </w:t>
      </w:r>
      <w:r w:rsidR="00BF5BD0" w:rsidRPr="00425F23">
        <w:rPr>
          <w:color w:val="222222"/>
        </w:rPr>
        <w:t>2</w:t>
      </w:r>
      <w:r w:rsidRPr="00425F23">
        <w:rPr>
          <w:color w:val="222222"/>
        </w:rPr>
        <w:t>. Th</w:t>
      </w:r>
      <w:r w:rsidR="0038423F">
        <w:rPr>
          <w:color w:val="222222"/>
        </w:rPr>
        <w:t xml:space="preserve">is </w:t>
      </w:r>
      <w:r w:rsidRPr="00425F23">
        <w:rPr>
          <w:color w:val="222222"/>
        </w:rPr>
        <w:t>table include</w:t>
      </w:r>
      <w:r w:rsidR="00BF5BD0" w:rsidRPr="00425F23">
        <w:rPr>
          <w:color w:val="222222"/>
        </w:rPr>
        <w:t>s</w:t>
      </w:r>
      <w:r w:rsidRPr="00425F23">
        <w:rPr>
          <w:color w:val="222222"/>
        </w:rPr>
        <w:t xml:space="preserve"> </w:t>
      </w:r>
      <w:r w:rsidR="0038423F">
        <w:rPr>
          <w:color w:val="222222"/>
        </w:rPr>
        <w:t xml:space="preserve">the </w:t>
      </w:r>
      <w:r w:rsidRPr="00425F23">
        <w:rPr>
          <w:color w:val="222222"/>
        </w:rPr>
        <w:t>household</w:t>
      </w:r>
      <w:r w:rsidR="0038423F">
        <w:rPr>
          <w:color w:val="222222"/>
        </w:rPr>
        <w:t>/</w:t>
      </w:r>
      <w:r w:rsidRPr="00425F23">
        <w:rPr>
          <w:color w:val="222222"/>
        </w:rPr>
        <w:t>individual-level demographics</w:t>
      </w:r>
      <w:r w:rsidR="0038423F">
        <w:rPr>
          <w:color w:val="222222"/>
        </w:rPr>
        <w:t xml:space="preserve"> of the sample</w:t>
      </w:r>
      <w:r w:rsidR="002A0064">
        <w:rPr>
          <w:color w:val="222222"/>
        </w:rPr>
        <w:t>,</w:t>
      </w:r>
      <w:r w:rsidR="0038423F">
        <w:rPr>
          <w:color w:val="222222"/>
        </w:rPr>
        <w:t xml:space="preserve"> </w:t>
      </w:r>
      <w:r w:rsidR="0008338C" w:rsidRPr="00425F23">
        <w:rPr>
          <w:color w:val="222222"/>
        </w:rPr>
        <w:t xml:space="preserve">as well as </w:t>
      </w:r>
      <w:r w:rsidR="0038423F">
        <w:rPr>
          <w:color w:val="222222"/>
        </w:rPr>
        <w:t xml:space="preserve">corresponding statistics from </w:t>
      </w:r>
      <w:r w:rsidR="002910E0" w:rsidRPr="00425F23">
        <w:rPr>
          <w:color w:val="222222"/>
        </w:rPr>
        <w:t>the 2020 Nationa</w:t>
      </w:r>
      <w:r w:rsidR="00D813F4" w:rsidRPr="00425F23">
        <w:rPr>
          <w:color w:val="222222"/>
        </w:rPr>
        <w:t>l</w:t>
      </w:r>
      <w:r w:rsidR="002910E0" w:rsidRPr="00425F23">
        <w:rPr>
          <w:color w:val="222222"/>
        </w:rPr>
        <w:t xml:space="preserve"> Census Data</w:t>
      </w:r>
      <w:r w:rsidR="0008338C" w:rsidRPr="00425F23">
        <w:rPr>
          <w:color w:val="222222"/>
        </w:rPr>
        <w:t xml:space="preserve"> </w:t>
      </w:r>
      <w:r w:rsidR="0008338C" w:rsidRPr="00425F23">
        <w:rPr>
          <w:color w:val="222222"/>
        </w:rPr>
        <w:fldChar w:fldCharType="begin"/>
      </w:r>
      <w:r w:rsidR="005C565E">
        <w:rPr>
          <w:color w:val="222222"/>
        </w:rPr>
        <w:instrText xml:space="preserve"> ADDIN ZOTERO_ITEM CSL_CITATION {"citationID":"a299g7sqdtk","properties":{"formattedCitation":"(\\uc0\\u8220{}U.S. Census Bureau,\\uc0\\u8221{} 2022)","plainCitation":"(“U.S. Census Bureau,” 2022)","noteIndex":0},"citationItems":[{"id":150,"uris":["http://zotero.org/groups/5345474/items/MZN8YL25"],"itemData":{"id":150,"type":"webpage","title":"U.S. Census Bureau","URL":"https://data.census.gov/profile/United_States?g=010XX00US","accessed":{"date-parts":[["2024",3,25]]},"issued":{"date-parts":[["2022"]]}}}],"schema":"https://github.com/citation-style-language/schema/raw/master/csl-citation.json"} </w:instrText>
      </w:r>
      <w:r w:rsidR="0008338C" w:rsidRPr="00425F23">
        <w:rPr>
          <w:color w:val="222222"/>
        </w:rPr>
        <w:fldChar w:fldCharType="separate"/>
      </w:r>
      <w:r w:rsidR="0008338C" w:rsidRPr="00425F23">
        <w:t>(U.S. Census Bureau, 2022)</w:t>
      </w:r>
      <w:r w:rsidR="0008338C" w:rsidRPr="00425F23">
        <w:rPr>
          <w:color w:val="222222"/>
        </w:rPr>
        <w:fldChar w:fldCharType="end"/>
      </w:r>
      <w:r w:rsidR="00094AF5">
        <w:rPr>
          <w:color w:val="222222"/>
        </w:rPr>
        <w:t>.</w:t>
      </w:r>
      <w:r w:rsidR="006D2090">
        <w:rPr>
          <w:color w:val="222222"/>
        </w:rPr>
        <w:t xml:space="preserve"> </w:t>
      </w:r>
      <w:r w:rsidR="001E1DC5">
        <w:rPr>
          <w:color w:val="222222"/>
        </w:rPr>
        <w:t>Our sample statistics are not comparable to those from the 2020 Census data, because our sample is restricted to individuals who used P</w:t>
      </w:r>
      <w:r w:rsidR="003E772A">
        <w:rPr>
          <w:color w:val="222222"/>
        </w:rPr>
        <w:t>T</w:t>
      </w:r>
      <w:r w:rsidR="001E1DC5">
        <w:rPr>
          <w:color w:val="222222"/>
        </w:rPr>
        <w:t xml:space="preserve"> before the pandemic. Nonetheless, we report the 2020 Census data statistics to provide a sense of the composition of our sample relative to the entire U.S. </w:t>
      </w:r>
      <w:r w:rsidR="00083690">
        <w:rPr>
          <w:color w:val="222222"/>
        </w:rPr>
        <w:t>p</w:t>
      </w:r>
      <w:r w:rsidR="001E1DC5">
        <w:rPr>
          <w:color w:val="222222"/>
        </w:rPr>
        <w:t xml:space="preserve">opulation. </w:t>
      </w:r>
      <w:r w:rsidR="0038423F">
        <w:rPr>
          <w:color w:val="222222"/>
        </w:rPr>
        <w:t xml:space="preserve">Table 2 shows that </w:t>
      </w:r>
      <w:r w:rsidR="00B6138C">
        <w:rPr>
          <w:color w:val="222222"/>
        </w:rPr>
        <w:t xml:space="preserve">our sample is </w:t>
      </w:r>
      <w:r w:rsidR="005F07F5" w:rsidRPr="00425F23">
        <w:rPr>
          <w:color w:val="222222"/>
        </w:rPr>
        <w:t>relatively evenly distributed between</w:t>
      </w:r>
      <w:r w:rsidR="00FE7557">
        <w:rPr>
          <w:color w:val="222222"/>
        </w:rPr>
        <w:t xml:space="preserve"> </w:t>
      </w:r>
      <w:r w:rsidR="005F07F5" w:rsidRPr="00425F23">
        <w:rPr>
          <w:color w:val="222222"/>
        </w:rPr>
        <w:t xml:space="preserve">responders </w:t>
      </w:r>
      <w:r w:rsidR="00FE7557">
        <w:rPr>
          <w:color w:val="222222"/>
        </w:rPr>
        <w:t xml:space="preserve">identifying as female and male, </w:t>
      </w:r>
      <w:r w:rsidR="00316E61">
        <w:rPr>
          <w:color w:val="222222"/>
        </w:rPr>
        <w:t xml:space="preserve">as is </w:t>
      </w:r>
      <w:r w:rsidR="00DA6992">
        <w:rPr>
          <w:color w:val="222222"/>
        </w:rPr>
        <w:t xml:space="preserve">also </w:t>
      </w:r>
      <w:r w:rsidR="00316E61">
        <w:rPr>
          <w:color w:val="222222"/>
        </w:rPr>
        <w:t xml:space="preserve">the case with the </w:t>
      </w:r>
      <w:r w:rsidR="005F07F5" w:rsidRPr="00425F23">
        <w:rPr>
          <w:color w:val="222222"/>
        </w:rPr>
        <w:t>Census</w:t>
      </w:r>
      <w:r w:rsidR="00316E61">
        <w:rPr>
          <w:color w:val="222222"/>
        </w:rPr>
        <w:t xml:space="preserve"> </w:t>
      </w:r>
      <w:r w:rsidR="00AC7A04">
        <w:rPr>
          <w:color w:val="222222"/>
        </w:rPr>
        <w:t>Data</w:t>
      </w:r>
      <w:r w:rsidR="005F07F5" w:rsidRPr="00425F23">
        <w:rPr>
          <w:color w:val="222222"/>
        </w:rPr>
        <w:t xml:space="preserve">. </w:t>
      </w:r>
      <w:r w:rsidR="00DA6992">
        <w:rPr>
          <w:color w:val="222222"/>
        </w:rPr>
        <w:t>However, o</w:t>
      </w:r>
      <w:r w:rsidR="00316E61">
        <w:rPr>
          <w:color w:val="222222"/>
        </w:rPr>
        <w:t>ur sample is more loaded toward olde</w:t>
      </w:r>
      <w:r w:rsidR="00DA6992">
        <w:rPr>
          <w:color w:val="222222"/>
        </w:rPr>
        <w:t xml:space="preserve">r, more educated, less ethnically and racially diverse, and unemployed </w:t>
      </w:r>
      <w:r w:rsidR="00316E61">
        <w:rPr>
          <w:color w:val="222222"/>
        </w:rPr>
        <w:t>indiv</w:t>
      </w:r>
      <w:r w:rsidR="00DA6992">
        <w:rPr>
          <w:color w:val="222222"/>
        </w:rPr>
        <w:t>i</w:t>
      </w:r>
      <w:r w:rsidR="00316E61">
        <w:rPr>
          <w:color w:val="222222"/>
        </w:rPr>
        <w:t>duals</w:t>
      </w:r>
      <w:r w:rsidR="00DA6992">
        <w:rPr>
          <w:color w:val="222222"/>
        </w:rPr>
        <w:t xml:space="preserve"> from two-</w:t>
      </w:r>
      <w:r w:rsidR="00DA6992">
        <w:rPr>
          <w:color w:val="222222"/>
        </w:rPr>
        <w:lastRenderedPageBreak/>
        <w:t>member</w:t>
      </w:r>
      <w:r w:rsidR="00655E5E">
        <w:rPr>
          <w:color w:val="222222"/>
        </w:rPr>
        <w:t xml:space="preserve"> and two-</w:t>
      </w:r>
      <w:r w:rsidR="00DA6992">
        <w:rPr>
          <w:color w:val="222222"/>
        </w:rPr>
        <w:t xml:space="preserve">adult, high income households with more vehicles than drivers. </w:t>
      </w:r>
      <w:r w:rsidR="001531F9">
        <w:rPr>
          <w:color w:val="222222"/>
        </w:rPr>
        <w:t xml:space="preserve">This reflects representation in the overall NHTS sample in addition to the removal of respondents with no PT use before the pandemic. </w:t>
      </w:r>
      <w:r w:rsidR="002A0064">
        <w:rPr>
          <w:color w:val="222222"/>
        </w:rPr>
        <w:t>While our sample characteristics may not seem consistent with the population subgroup of the U.S. who may have had some PT experience before the pandemic</w:t>
      </w:r>
      <w:r w:rsidR="00AC7A04">
        <w:rPr>
          <w:color w:val="222222"/>
        </w:rPr>
        <w:t>,</w:t>
      </w:r>
      <w:r w:rsidR="006F38B1">
        <w:rPr>
          <w:color w:val="222222"/>
        </w:rPr>
        <w:t xml:space="preserve"> </w:t>
      </w:r>
      <w:r w:rsidR="000A5007">
        <w:rPr>
          <w:color w:val="222222"/>
        </w:rPr>
        <w:t xml:space="preserve">the presence of a high share of unemployed individuals in our sample (relative to the census data) appears to more than make up for the high share of more educated, white, and high income households in </w:t>
      </w:r>
      <w:r w:rsidR="00E131C9">
        <w:rPr>
          <w:color w:val="222222"/>
        </w:rPr>
        <w:t>the</w:t>
      </w:r>
      <w:r w:rsidR="000A5007">
        <w:rPr>
          <w:color w:val="222222"/>
        </w:rPr>
        <w:t xml:space="preserve"> sample. </w:t>
      </w:r>
      <w:r w:rsidR="004F58B6">
        <w:rPr>
          <w:color w:val="222222"/>
        </w:rPr>
        <w:t xml:space="preserve">In any case, </w:t>
      </w:r>
      <w:r w:rsidR="000A5007">
        <w:rPr>
          <w:color w:val="222222"/>
        </w:rPr>
        <w:t xml:space="preserve">the </w:t>
      </w:r>
      <w:r w:rsidR="004F58B6">
        <w:rPr>
          <w:color w:val="222222"/>
        </w:rPr>
        <w:t xml:space="preserve">sample </w:t>
      </w:r>
      <w:r w:rsidR="006F38B1">
        <w:rPr>
          <w:color w:val="222222"/>
        </w:rPr>
        <w:t xml:space="preserve">includes sufficient variability within each demographic category to provide accurate </w:t>
      </w:r>
      <w:r w:rsidR="004F58B6">
        <w:rPr>
          <w:color w:val="222222"/>
        </w:rPr>
        <w:t xml:space="preserve">and precise </w:t>
      </w:r>
      <w:r w:rsidR="006F38B1">
        <w:rPr>
          <w:color w:val="222222"/>
        </w:rPr>
        <w:t>estimation results regarding changes in PT usage dynamics in the population segment of existing PT users.</w:t>
      </w:r>
    </w:p>
    <w:p w14:paraId="2FC81113" w14:textId="76E9F65C" w:rsidR="00DA6992" w:rsidRDefault="00DA6992" w:rsidP="00C67E12">
      <w:pPr>
        <w:pStyle w:val="NormalWeb"/>
        <w:shd w:val="clear" w:color="auto" w:fill="FFFFFF"/>
        <w:spacing w:before="0" w:beforeAutospacing="0" w:after="0" w:afterAutospacing="0"/>
        <w:jc w:val="both"/>
        <w:rPr>
          <w:color w:val="222222"/>
          <w:highlight w:val="yellow"/>
        </w:rPr>
      </w:pPr>
    </w:p>
    <w:p w14:paraId="5D5F2CFB" w14:textId="77777777" w:rsidR="006F2CB1" w:rsidRDefault="006F2CB1" w:rsidP="00537EB8">
      <w:pPr>
        <w:pStyle w:val="NormalWeb"/>
        <w:shd w:val="clear" w:color="auto" w:fill="FFFFFF"/>
        <w:spacing w:before="0" w:beforeAutospacing="0" w:after="0" w:afterAutospacing="0" w:line="235" w:lineRule="atLeast"/>
        <w:jc w:val="both"/>
        <w:rPr>
          <w:color w:val="222222"/>
          <w:highlight w:val="yellow"/>
        </w:rPr>
        <w:sectPr w:rsidR="006F2CB1" w:rsidSect="001766B9">
          <w:footerReference w:type="default" r:id="rId16"/>
          <w:pgSz w:w="12240" w:h="15840"/>
          <w:pgMar w:top="1440" w:right="1440" w:bottom="1440" w:left="1440" w:header="720" w:footer="720" w:gutter="0"/>
          <w:pgNumType w:start="1"/>
          <w:cols w:space="720"/>
          <w:docGrid w:linePitch="360"/>
        </w:sectPr>
      </w:pPr>
    </w:p>
    <w:p w14:paraId="5BBD8415" w14:textId="4877F2F4" w:rsidR="006F2CB1" w:rsidRPr="006F2CB1" w:rsidRDefault="006F2CB1" w:rsidP="006F2CB1">
      <w:pPr>
        <w:pStyle w:val="NormalWeb"/>
        <w:shd w:val="clear" w:color="auto" w:fill="FFFFFF"/>
        <w:spacing w:before="0" w:beforeAutospacing="0" w:after="120" w:afterAutospacing="0" w:line="235" w:lineRule="atLeast"/>
        <w:jc w:val="both"/>
        <w:rPr>
          <w:b/>
          <w:bCs/>
          <w:color w:val="000000"/>
        </w:rPr>
      </w:pPr>
      <w:r w:rsidRPr="000A78C6">
        <w:rPr>
          <w:b/>
          <w:bCs/>
          <w:color w:val="000000"/>
        </w:rPr>
        <w:lastRenderedPageBreak/>
        <w:t>Table 2 - Sample Distribution of Exogenous Variables</w:t>
      </w:r>
    </w:p>
    <w:tbl>
      <w:tblPr>
        <w:tblW w:w="13045" w:type="dxa"/>
        <w:jc w:val="center"/>
        <w:tblLook w:val="04A0" w:firstRow="1" w:lastRow="0" w:firstColumn="1" w:lastColumn="0" w:noHBand="0" w:noVBand="1"/>
      </w:tblPr>
      <w:tblGrid>
        <w:gridCol w:w="3145"/>
        <w:gridCol w:w="813"/>
        <w:gridCol w:w="722"/>
        <w:gridCol w:w="1345"/>
        <w:gridCol w:w="4138"/>
        <w:gridCol w:w="805"/>
        <w:gridCol w:w="720"/>
        <w:gridCol w:w="1350"/>
        <w:gridCol w:w="7"/>
      </w:tblGrid>
      <w:tr w:rsidR="006F2CB1" w:rsidRPr="00425F23" w14:paraId="39C74A72" w14:textId="77777777" w:rsidTr="0074176E">
        <w:trPr>
          <w:trHeight w:val="259"/>
          <w:jc w:val="center"/>
        </w:trPr>
        <w:tc>
          <w:tcPr>
            <w:tcW w:w="1304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1856D0" w14:textId="77777777" w:rsidR="006F2CB1" w:rsidRPr="00425F23" w:rsidRDefault="006F2CB1" w:rsidP="00061C8E">
            <w:pPr>
              <w:jc w:val="center"/>
              <w:rPr>
                <w:b/>
                <w:bCs/>
                <w:color w:val="000000"/>
                <w:sz w:val="21"/>
                <w:szCs w:val="21"/>
              </w:rPr>
            </w:pPr>
            <w:r w:rsidRPr="00425F23">
              <w:rPr>
                <w:b/>
                <w:bCs/>
                <w:color w:val="000000"/>
                <w:sz w:val="21"/>
                <w:szCs w:val="21"/>
              </w:rPr>
              <w:t>Sociodemographic Variables</w:t>
            </w:r>
          </w:p>
        </w:tc>
      </w:tr>
      <w:tr w:rsidR="006F2CB1" w:rsidRPr="00425F23" w14:paraId="3CE39091" w14:textId="77777777" w:rsidTr="0074176E">
        <w:trPr>
          <w:gridAfter w:val="1"/>
          <w:wAfter w:w="7" w:type="dxa"/>
          <w:trHeight w:val="259"/>
          <w:jc w:val="center"/>
        </w:trPr>
        <w:tc>
          <w:tcPr>
            <w:tcW w:w="4680" w:type="dxa"/>
            <w:gridSpan w:val="3"/>
            <w:tcBorders>
              <w:top w:val="single" w:sz="4" w:space="0" w:color="auto"/>
              <w:left w:val="single" w:sz="4" w:space="0" w:color="auto"/>
              <w:bottom w:val="single" w:sz="4" w:space="0" w:color="auto"/>
              <w:right w:val="nil"/>
            </w:tcBorders>
            <w:shd w:val="clear" w:color="auto" w:fill="auto"/>
            <w:noWrap/>
            <w:vAlign w:val="bottom"/>
            <w:hideMark/>
          </w:tcPr>
          <w:p w14:paraId="2D7FCBEF" w14:textId="77777777" w:rsidR="006F2CB1" w:rsidRPr="00425F23" w:rsidRDefault="006F2CB1" w:rsidP="00061C8E">
            <w:pPr>
              <w:jc w:val="center"/>
              <w:rPr>
                <w:b/>
                <w:bCs/>
                <w:color w:val="000000"/>
                <w:sz w:val="21"/>
                <w:szCs w:val="21"/>
              </w:rPr>
            </w:pPr>
            <w:r w:rsidRPr="00425F23">
              <w:rPr>
                <w:b/>
                <w:bCs/>
                <w:color w:val="000000"/>
                <w:sz w:val="21"/>
                <w:szCs w:val="21"/>
              </w:rPr>
              <w:t>NHTS Dataset</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ABF6578" w14:textId="77777777" w:rsidR="006F2CB1" w:rsidRPr="00425F23" w:rsidRDefault="006F2CB1" w:rsidP="00061C8E">
            <w:pPr>
              <w:rPr>
                <w:b/>
                <w:bCs/>
                <w:color w:val="000000"/>
                <w:sz w:val="21"/>
                <w:szCs w:val="21"/>
              </w:rPr>
            </w:pPr>
            <w:r w:rsidRPr="00425F23">
              <w:rPr>
                <w:b/>
                <w:bCs/>
                <w:color w:val="000000"/>
                <w:sz w:val="21"/>
                <w:szCs w:val="21"/>
              </w:rPr>
              <w:t>Census Data</w:t>
            </w:r>
          </w:p>
        </w:tc>
        <w:tc>
          <w:tcPr>
            <w:tcW w:w="5663" w:type="dxa"/>
            <w:gridSpan w:val="3"/>
            <w:tcBorders>
              <w:top w:val="single" w:sz="4" w:space="0" w:color="auto"/>
              <w:left w:val="nil"/>
              <w:bottom w:val="single" w:sz="4" w:space="0" w:color="auto"/>
              <w:right w:val="nil"/>
            </w:tcBorders>
            <w:shd w:val="clear" w:color="auto" w:fill="auto"/>
            <w:noWrap/>
            <w:vAlign w:val="bottom"/>
            <w:hideMark/>
          </w:tcPr>
          <w:p w14:paraId="3BA477AC" w14:textId="77777777" w:rsidR="006F2CB1" w:rsidRPr="00425F23" w:rsidRDefault="006F2CB1" w:rsidP="00061C8E">
            <w:pPr>
              <w:jc w:val="center"/>
              <w:rPr>
                <w:b/>
                <w:bCs/>
                <w:color w:val="000000"/>
                <w:sz w:val="21"/>
                <w:szCs w:val="21"/>
              </w:rPr>
            </w:pPr>
            <w:r w:rsidRPr="00425F23">
              <w:rPr>
                <w:b/>
                <w:bCs/>
                <w:color w:val="000000"/>
                <w:sz w:val="21"/>
                <w:szCs w:val="21"/>
              </w:rPr>
              <w:t>NHTS Dataset</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F8FDB79" w14:textId="77777777" w:rsidR="006F2CB1" w:rsidRPr="00425F23" w:rsidRDefault="006F2CB1" w:rsidP="00061C8E">
            <w:pPr>
              <w:rPr>
                <w:b/>
                <w:bCs/>
                <w:color w:val="000000"/>
                <w:sz w:val="21"/>
                <w:szCs w:val="21"/>
              </w:rPr>
            </w:pPr>
            <w:r w:rsidRPr="00425F23">
              <w:rPr>
                <w:b/>
                <w:bCs/>
                <w:color w:val="000000"/>
                <w:sz w:val="21"/>
                <w:szCs w:val="21"/>
              </w:rPr>
              <w:t>Census Data</w:t>
            </w:r>
          </w:p>
        </w:tc>
      </w:tr>
      <w:tr w:rsidR="006F2CB1" w:rsidRPr="00425F23" w14:paraId="0DA0B795" w14:textId="77777777" w:rsidTr="0074176E">
        <w:trPr>
          <w:gridAfter w:val="1"/>
          <w:wAfter w:w="7" w:type="dxa"/>
          <w:trHeight w:val="259"/>
          <w:jc w:val="center"/>
        </w:trPr>
        <w:tc>
          <w:tcPr>
            <w:tcW w:w="3145" w:type="dxa"/>
            <w:tcBorders>
              <w:top w:val="nil"/>
              <w:left w:val="single" w:sz="4" w:space="0" w:color="auto"/>
              <w:bottom w:val="single" w:sz="4" w:space="0" w:color="auto"/>
              <w:right w:val="nil"/>
            </w:tcBorders>
            <w:shd w:val="clear" w:color="auto" w:fill="auto"/>
            <w:noWrap/>
            <w:vAlign w:val="bottom"/>
            <w:hideMark/>
          </w:tcPr>
          <w:p w14:paraId="012DDBD4" w14:textId="77777777" w:rsidR="006F2CB1" w:rsidRPr="00425F23" w:rsidRDefault="006F2CB1" w:rsidP="00061C8E">
            <w:pPr>
              <w:rPr>
                <w:b/>
                <w:bCs/>
                <w:color w:val="000000"/>
                <w:sz w:val="21"/>
                <w:szCs w:val="21"/>
              </w:rPr>
            </w:pPr>
            <w:r w:rsidRPr="00425F23">
              <w:rPr>
                <w:b/>
                <w:bCs/>
                <w:color w:val="000000"/>
                <w:sz w:val="21"/>
                <w:szCs w:val="21"/>
              </w:rPr>
              <w:t>Variable</w:t>
            </w:r>
          </w:p>
        </w:tc>
        <w:tc>
          <w:tcPr>
            <w:tcW w:w="813" w:type="dxa"/>
            <w:tcBorders>
              <w:top w:val="nil"/>
              <w:left w:val="nil"/>
              <w:bottom w:val="single" w:sz="4" w:space="0" w:color="auto"/>
              <w:right w:val="nil"/>
            </w:tcBorders>
            <w:shd w:val="clear" w:color="auto" w:fill="auto"/>
            <w:noWrap/>
            <w:vAlign w:val="bottom"/>
            <w:hideMark/>
          </w:tcPr>
          <w:p w14:paraId="5756FCA0" w14:textId="77777777" w:rsidR="006F2CB1" w:rsidRPr="00425F23" w:rsidRDefault="006F2CB1" w:rsidP="00061C8E">
            <w:pPr>
              <w:jc w:val="right"/>
              <w:rPr>
                <w:b/>
                <w:bCs/>
                <w:color w:val="000000"/>
                <w:sz w:val="21"/>
                <w:szCs w:val="21"/>
              </w:rPr>
            </w:pPr>
            <w:r w:rsidRPr="00425F23">
              <w:rPr>
                <w:b/>
                <w:bCs/>
                <w:color w:val="000000"/>
                <w:sz w:val="21"/>
                <w:szCs w:val="21"/>
              </w:rPr>
              <w:t>Count</w:t>
            </w:r>
          </w:p>
        </w:tc>
        <w:tc>
          <w:tcPr>
            <w:tcW w:w="722" w:type="dxa"/>
            <w:tcBorders>
              <w:top w:val="nil"/>
              <w:left w:val="nil"/>
              <w:bottom w:val="single" w:sz="4" w:space="0" w:color="auto"/>
              <w:right w:val="nil"/>
            </w:tcBorders>
            <w:shd w:val="clear" w:color="auto" w:fill="auto"/>
            <w:noWrap/>
            <w:vAlign w:val="bottom"/>
            <w:hideMark/>
          </w:tcPr>
          <w:p w14:paraId="3F267133" w14:textId="77777777" w:rsidR="006F2CB1" w:rsidRPr="00425F23" w:rsidRDefault="006F2CB1" w:rsidP="00061C8E">
            <w:pPr>
              <w:jc w:val="center"/>
              <w:rPr>
                <w:b/>
                <w:bCs/>
                <w:color w:val="000000"/>
                <w:sz w:val="21"/>
                <w:szCs w:val="21"/>
              </w:rPr>
            </w:pPr>
            <w:r w:rsidRPr="00425F23">
              <w:rPr>
                <w:b/>
                <w:bCs/>
                <w:color w:val="000000"/>
                <w:sz w:val="21"/>
                <w:szCs w:val="21"/>
              </w:rPr>
              <w:t>%</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40D1861F" w14:textId="77777777" w:rsidR="006F2CB1" w:rsidRPr="00425F23" w:rsidRDefault="006F2CB1" w:rsidP="00061C8E">
            <w:pPr>
              <w:jc w:val="center"/>
              <w:rPr>
                <w:b/>
                <w:bCs/>
                <w:color w:val="000000"/>
                <w:sz w:val="21"/>
                <w:szCs w:val="21"/>
              </w:rPr>
            </w:pPr>
            <w:r w:rsidRPr="00425F23">
              <w:rPr>
                <w:b/>
                <w:bCs/>
                <w:color w:val="000000"/>
                <w:sz w:val="21"/>
                <w:szCs w:val="21"/>
              </w:rPr>
              <w:t>%</w:t>
            </w:r>
          </w:p>
        </w:tc>
        <w:tc>
          <w:tcPr>
            <w:tcW w:w="4138" w:type="dxa"/>
            <w:tcBorders>
              <w:top w:val="nil"/>
              <w:left w:val="nil"/>
              <w:bottom w:val="single" w:sz="4" w:space="0" w:color="auto"/>
              <w:right w:val="nil"/>
            </w:tcBorders>
            <w:shd w:val="clear" w:color="auto" w:fill="auto"/>
            <w:noWrap/>
            <w:vAlign w:val="bottom"/>
            <w:hideMark/>
          </w:tcPr>
          <w:p w14:paraId="41132FE0" w14:textId="77777777" w:rsidR="006F2CB1" w:rsidRPr="00425F23" w:rsidRDefault="006F2CB1" w:rsidP="00061C8E">
            <w:pPr>
              <w:rPr>
                <w:b/>
                <w:bCs/>
                <w:color w:val="000000"/>
                <w:sz w:val="21"/>
                <w:szCs w:val="21"/>
              </w:rPr>
            </w:pPr>
            <w:r w:rsidRPr="00425F23">
              <w:rPr>
                <w:b/>
                <w:bCs/>
                <w:color w:val="000000"/>
                <w:sz w:val="21"/>
                <w:szCs w:val="21"/>
              </w:rPr>
              <w:t>Variable</w:t>
            </w:r>
          </w:p>
        </w:tc>
        <w:tc>
          <w:tcPr>
            <w:tcW w:w="805" w:type="dxa"/>
            <w:tcBorders>
              <w:top w:val="nil"/>
              <w:left w:val="nil"/>
              <w:bottom w:val="single" w:sz="4" w:space="0" w:color="auto"/>
              <w:right w:val="nil"/>
            </w:tcBorders>
            <w:shd w:val="clear" w:color="auto" w:fill="auto"/>
            <w:noWrap/>
            <w:vAlign w:val="bottom"/>
            <w:hideMark/>
          </w:tcPr>
          <w:p w14:paraId="18206B56" w14:textId="77777777" w:rsidR="006F2CB1" w:rsidRPr="00425F23" w:rsidRDefault="006F2CB1" w:rsidP="00061C8E">
            <w:pPr>
              <w:jc w:val="right"/>
              <w:rPr>
                <w:b/>
                <w:bCs/>
                <w:color w:val="000000"/>
                <w:sz w:val="21"/>
                <w:szCs w:val="21"/>
              </w:rPr>
            </w:pPr>
            <w:r w:rsidRPr="00425F23">
              <w:rPr>
                <w:b/>
                <w:bCs/>
                <w:color w:val="000000"/>
                <w:sz w:val="21"/>
                <w:szCs w:val="21"/>
              </w:rPr>
              <w:t>Count</w:t>
            </w:r>
          </w:p>
        </w:tc>
        <w:tc>
          <w:tcPr>
            <w:tcW w:w="720" w:type="dxa"/>
            <w:tcBorders>
              <w:top w:val="nil"/>
              <w:left w:val="nil"/>
              <w:bottom w:val="single" w:sz="4" w:space="0" w:color="auto"/>
              <w:right w:val="nil"/>
            </w:tcBorders>
            <w:shd w:val="clear" w:color="auto" w:fill="auto"/>
            <w:noWrap/>
            <w:vAlign w:val="bottom"/>
            <w:hideMark/>
          </w:tcPr>
          <w:p w14:paraId="2EC2763E" w14:textId="77777777" w:rsidR="006F2CB1" w:rsidRPr="00425F23" w:rsidRDefault="006F2CB1" w:rsidP="00061C8E">
            <w:pPr>
              <w:jc w:val="right"/>
              <w:rPr>
                <w:b/>
                <w:bCs/>
                <w:color w:val="000000"/>
                <w:sz w:val="21"/>
                <w:szCs w:val="21"/>
              </w:rPr>
            </w:pPr>
            <w:r w:rsidRPr="00425F23">
              <w:rPr>
                <w:b/>
                <w:bCs/>
                <w:color w:val="000000"/>
                <w:sz w:val="21"/>
                <w:szCs w:val="21"/>
              </w:rPr>
              <w:t>%</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53F049B" w14:textId="77777777" w:rsidR="006F2CB1" w:rsidRPr="00425F23" w:rsidRDefault="006F2CB1" w:rsidP="00061C8E">
            <w:pPr>
              <w:jc w:val="center"/>
              <w:rPr>
                <w:b/>
                <w:bCs/>
                <w:color w:val="000000"/>
                <w:sz w:val="21"/>
                <w:szCs w:val="21"/>
              </w:rPr>
            </w:pPr>
            <w:r w:rsidRPr="00425F23">
              <w:rPr>
                <w:b/>
                <w:bCs/>
                <w:color w:val="000000"/>
                <w:sz w:val="21"/>
                <w:szCs w:val="21"/>
              </w:rPr>
              <w:t>%</w:t>
            </w:r>
          </w:p>
        </w:tc>
      </w:tr>
      <w:tr w:rsidR="006F2CB1" w:rsidRPr="00425F23" w14:paraId="44E1A6D9" w14:textId="77777777" w:rsidTr="0074176E">
        <w:trPr>
          <w:gridAfter w:val="1"/>
          <w:wAfter w:w="7" w:type="dxa"/>
          <w:trHeight w:val="259"/>
          <w:jc w:val="center"/>
        </w:trPr>
        <w:tc>
          <w:tcPr>
            <w:tcW w:w="4680" w:type="dxa"/>
            <w:gridSpan w:val="3"/>
            <w:tcBorders>
              <w:top w:val="nil"/>
              <w:left w:val="single" w:sz="4" w:space="0" w:color="auto"/>
              <w:bottom w:val="nil"/>
              <w:right w:val="nil"/>
            </w:tcBorders>
            <w:shd w:val="clear" w:color="auto" w:fill="auto"/>
            <w:noWrap/>
            <w:vAlign w:val="bottom"/>
            <w:hideMark/>
          </w:tcPr>
          <w:p w14:paraId="69AF799C" w14:textId="77777777" w:rsidR="006F2CB1" w:rsidRPr="00425F23" w:rsidRDefault="006F2CB1" w:rsidP="00061C8E">
            <w:pPr>
              <w:rPr>
                <w:b/>
                <w:bCs/>
                <w:i/>
                <w:iCs/>
                <w:color w:val="000000"/>
                <w:sz w:val="21"/>
                <w:szCs w:val="21"/>
                <w:u w:val="single"/>
              </w:rPr>
            </w:pPr>
            <w:r w:rsidRPr="00425F23">
              <w:rPr>
                <w:b/>
                <w:bCs/>
                <w:i/>
                <w:iCs/>
                <w:color w:val="000000"/>
                <w:sz w:val="21"/>
                <w:szCs w:val="21"/>
                <w:u w:val="single"/>
              </w:rPr>
              <w:t>Individual-Level Demographics</w:t>
            </w:r>
          </w:p>
        </w:tc>
        <w:tc>
          <w:tcPr>
            <w:tcW w:w="1345" w:type="dxa"/>
            <w:tcBorders>
              <w:top w:val="nil"/>
              <w:left w:val="single" w:sz="4" w:space="0" w:color="auto"/>
              <w:bottom w:val="nil"/>
              <w:right w:val="single" w:sz="4" w:space="0" w:color="auto"/>
            </w:tcBorders>
            <w:shd w:val="clear" w:color="auto" w:fill="auto"/>
            <w:noWrap/>
            <w:vAlign w:val="bottom"/>
            <w:hideMark/>
          </w:tcPr>
          <w:p w14:paraId="0BD95581" w14:textId="77777777" w:rsidR="006F2CB1" w:rsidRPr="00425F23" w:rsidRDefault="006F2CB1" w:rsidP="00061C8E">
            <w:pPr>
              <w:jc w:val="center"/>
              <w:rPr>
                <w:color w:val="000000"/>
                <w:sz w:val="21"/>
                <w:szCs w:val="21"/>
              </w:rPr>
            </w:pPr>
          </w:p>
        </w:tc>
        <w:tc>
          <w:tcPr>
            <w:tcW w:w="4138" w:type="dxa"/>
            <w:tcBorders>
              <w:top w:val="nil"/>
              <w:left w:val="nil"/>
              <w:bottom w:val="nil"/>
            </w:tcBorders>
            <w:shd w:val="clear" w:color="auto" w:fill="auto"/>
            <w:noWrap/>
            <w:vAlign w:val="bottom"/>
            <w:hideMark/>
          </w:tcPr>
          <w:p w14:paraId="2BB1E4B2" w14:textId="77777777" w:rsidR="006F2CB1" w:rsidRPr="00425F23" w:rsidRDefault="006F2CB1" w:rsidP="00061C8E">
            <w:pPr>
              <w:rPr>
                <w:b/>
                <w:bCs/>
                <w:i/>
                <w:iCs/>
                <w:color w:val="000000"/>
                <w:sz w:val="21"/>
                <w:szCs w:val="21"/>
                <w:u w:val="single"/>
              </w:rPr>
            </w:pPr>
            <w:r w:rsidRPr="00425F23">
              <w:rPr>
                <w:b/>
                <w:bCs/>
                <w:i/>
                <w:iCs/>
                <w:color w:val="000000"/>
                <w:sz w:val="21"/>
                <w:szCs w:val="21"/>
                <w:u w:val="single"/>
              </w:rPr>
              <w:t>Household-Level Demographics</w:t>
            </w:r>
          </w:p>
        </w:tc>
        <w:tc>
          <w:tcPr>
            <w:tcW w:w="805" w:type="dxa"/>
            <w:tcBorders>
              <w:top w:val="single" w:sz="4" w:space="0" w:color="auto"/>
              <w:bottom w:val="nil"/>
              <w:right w:val="nil"/>
            </w:tcBorders>
            <w:shd w:val="clear" w:color="auto" w:fill="auto"/>
            <w:noWrap/>
            <w:vAlign w:val="bottom"/>
            <w:hideMark/>
          </w:tcPr>
          <w:p w14:paraId="629F484B" w14:textId="77777777" w:rsidR="006F2CB1" w:rsidRPr="00425F23" w:rsidRDefault="006F2CB1" w:rsidP="00061C8E">
            <w:pPr>
              <w:rPr>
                <w:b/>
                <w:bCs/>
                <w:i/>
                <w:iCs/>
                <w:color w:val="000000"/>
                <w:sz w:val="21"/>
                <w:szCs w:val="21"/>
                <w:u w:val="single"/>
              </w:rPr>
            </w:pPr>
          </w:p>
        </w:tc>
        <w:tc>
          <w:tcPr>
            <w:tcW w:w="720" w:type="dxa"/>
            <w:tcBorders>
              <w:top w:val="single" w:sz="4" w:space="0" w:color="auto"/>
              <w:left w:val="nil"/>
              <w:bottom w:val="nil"/>
              <w:right w:val="single" w:sz="4" w:space="0" w:color="auto"/>
            </w:tcBorders>
            <w:shd w:val="clear" w:color="auto" w:fill="auto"/>
            <w:noWrap/>
            <w:vAlign w:val="bottom"/>
            <w:hideMark/>
          </w:tcPr>
          <w:p w14:paraId="13A557F7" w14:textId="77777777" w:rsidR="006F2CB1" w:rsidRPr="00425F23" w:rsidRDefault="006F2CB1" w:rsidP="00061C8E">
            <w:pPr>
              <w:rPr>
                <w:color w:val="000000"/>
                <w:sz w:val="21"/>
                <w:szCs w:val="21"/>
              </w:rPr>
            </w:pPr>
            <w:r w:rsidRPr="00425F23">
              <w:rPr>
                <w:color w:val="000000"/>
                <w:sz w:val="21"/>
                <w:szCs w:val="21"/>
              </w:rPr>
              <w:t> </w:t>
            </w:r>
          </w:p>
        </w:tc>
        <w:tc>
          <w:tcPr>
            <w:tcW w:w="1350" w:type="dxa"/>
            <w:tcBorders>
              <w:top w:val="nil"/>
              <w:left w:val="nil"/>
              <w:bottom w:val="nil"/>
              <w:right w:val="single" w:sz="4" w:space="0" w:color="auto"/>
            </w:tcBorders>
            <w:shd w:val="clear" w:color="auto" w:fill="auto"/>
            <w:noWrap/>
            <w:vAlign w:val="bottom"/>
            <w:hideMark/>
          </w:tcPr>
          <w:p w14:paraId="492C55BA" w14:textId="77777777" w:rsidR="006F2CB1" w:rsidRPr="00425F23" w:rsidRDefault="006F2CB1" w:rsidP="00061C8E">
            <w:pPr>
              <w:jc w:val="center"/>
              <w:rPr>
                <w:color w:val="000000"/>
                <w:sz w:val="21"/>
                <w:szCs w:val="21"/>
              </w:rPr>
            </w:pPr>
          </w:p>
        </w:tc>
      </w:tr>
      <w:tr w:rsidR="006F2CB1" w:rsidRPr="00425F23" w14:paraId="56BEA8DD"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1FCAAA5A" w14:textId="77777777" w:rsidR="006F2CB1" w:rsidRPr="00425F23" w:rsidRDefault="006F2CB1" w:rsidP="00061C8E">
            <w:pPr>
              <w:rPr>
                <w:b/>
                <w:bCs/>
                <w:color w:val="000000"/>
                <w:sz w:val="21"/>
                <w:szCs w:val="21"/>
              </w:rPr>
            </w:pPr>
            <w:r w:rsidRPr="00425F23">
              <w:rPr>
                <w:b/>
                <w:bCs/>
                <w:color w:val="000000"/>
                <w:sz w:val="21"/>
                <w:szCs w:val="21"/>
              </w:rPr>
              <w:t>Gender</w:t>
            </w:r>
          </w:p>
        </w:tc>
        <w:tc>
          <w:tcPr>
            <w:tcW w:w="813" w:type="dxa"/>
            <w:tcBorders>
              <w:top w:val="nil"/>
              <w:left w:val="nil"/>
              <w:bottom w:val="nil"/>
              <w:right w:val="nil"/>
            </w:tcBorders>
            <w:shd w:val="clear" w:color="auto" w:fill="auto"/>
            <w:noWrap/>
            <w:vAlign w:val="bottom"/>
            <w:hideMark/>
          </w:tcPr>
          <w:p w14:paraId="3CF5F82A" w14:textId="77777777" w:rsidR="006F2CB1" w:rsidRPr="00425F23" w:rsidRDefault="006F2CB1" w:rsidP="00061C8E">
            <w:pPr>
              <w:rPr>
                <w:b/>
                <w:bCs/>
                <w:color w:val="000000"/>
                <w:sz w:val="21"/>
                <w:szCs w:val="21"/>
              </w:rPr>
            </w:pPr>
          </w:p>
        </w:tc>
        <w:tc>
          <w:tcPr>
            <w:tcW w:w="722" w:type="dxa"/>
            <w:tcBorders>
              <w:top w:val="nil"/>
              <w:left w:val="nil"/>
              <w:bottom w:val="nil"/>
              <w:right w:val="nil"/>
            </w:tcBorders>
            <w:shd w:val="clear" w:color="auto" w:fill="auto"/>
            <w:noWrap/>
            <w:vAlign w:val="bottom"/>
            <w:hideMark/>
          </w:tcPr>
          <w:p w14:paraId="433E494F" w14:textId="77777777" w:rsidR="006F2CB1" w:rsidRPr="00425F23" w:rsidRDefault="006F2CB1" w:rsidP="00061C8E">
            <w:pPr>
              <w:rPr>
                <w:sz w:val="20"/>
                <w:szCs w:val="20"/>
              </w:rPr>
            </w:pPr>
          </w:p>
        </w:tc>
        <w:tc>
          <w:tcPr>
            <w:tcW w:w="1345" w:type="dxa"/>
            <w:tcBorders>
              <w:top w:val="nil"/>
              <w:left w:val="single" w:sz="4" w:space="0" w:color="auto"/>
              <w:bottom w:val="nil"/>
              <w:right w:val="single" w:sz="4" w:space="0" w:color="auto"/>
            </w:tcBorders>
            <w:shd w:val="clear" w:color="auto" w:fill="auto"/>
            <w:noWrap/>
            <w:vAlign w:val="bottom"/>
            <w:hideMark/>
          </w:tcPr>
          <w:p w14:paraId="478F44AC" w14:textId="77777777" w:rsidR="006F2CB1" w:rsidRPr="00425F23" w:rsidRDefault="006F2CB1" w:rsidP="00061C8E">
            <w:pPr>
              <w:jc w:val="center"/>
              <w:rPr>
                <w:color w:val="000000"/>
                <w:sz w:val="21"/>
                <w:szCs w:val="21"/>
              </w:rPr>
            </w:pPr>
          </w:p>
        </w:tc>
        <w:tc>
          <w:tcPr>
            <w:tcW w:w="4138" w:type="dxa"/>
            <w:tcBorders>
              <w:top w:val="nil"/>
              <w:left w:val="nil"/>
              <w:bottom w:val="nil"/>
            </w:tcBorders>
            <w:shd w:val="clear" w:color="auto" w:fill="auto"/>
            <w:noWrap/>
            <w:vAlign w:val="bottom"/>
            <w:hideMark/>
          </w:tcPr>
          <w:p w14:paraId="5E4A66AE" w14:textId="77777777" w:rsidR="006F2CB1" w:rsidRPr="00425F23" w:rsidRDefault="006F2CB1" w:rsidP="00061C8E">
            <w:pPr>
              <w:rPr>
                <w:b/>
                <w:bCs/>
                <w:color w:val="000000"/>
                <w:sz w:val="21"/>
                <w:szCs w:val="21"/>
              </w:rPr>
            </w:pPr>
            <w:r w:rsidRPr="00425F23">
              <w:rPr>
                <w:b/>
                <w:bCs/>
                <w:color w:val="000000"/>
                <w:sz w:val="21"/>
                <w:szCs w:val="21"/>
              </w:rPr>
              <w:t>Household Size</w:t>
            </w:r>
          </w:p>
        </w:tc>
        <w:tc>
          <w:tcPr>
            <w:tcW w:w="805" w:type="dxa"/>
            <w:tcBorders>
              <w:top w:val="nil"/>
              <w:bottom w:val="nil"/>
              <w:right w:val="nil"/>
            </w:tcBorders>
            <w:shd w:val="clear" w:color="auto" w:fill="auto"/>
            <w:noWrap/>
            <w:vAlign w:val="bottom"/>
            <w:hideMark/>
          </w:tcPr>
          <w:p w14:paraId="67520623" w14:textId="77777777" w:rsidR="006F2CB1" w:rsidRPr="00425F23" w:rsidRDefault="006F2CB1" w:rsidP="00061C8E">
            <w:pPr>
              <w:rPr>
                <w:b/>
                <w:bCs/>
                <w:color w:val="000000"/>
                <w:sz w:val="21"/>
                <w:szCs w:val="21"/>
              </w:rPr>
            </w:pPr>
          </w:p>
        </w:tc>
        <w:tc>
          <w:tcPr>
            <w:tcW w:w="720" w:type="dxa"/>
            <w:tcBorders>
              <w:top w:val="nil"/>
              <w:left w:val="nil"/>
              <w:bottom w:val="nil"/>
              <w:right w:val="single" w:sz="4" w:space="0" w:color="auto"/>
            </w:tcBorders>
            <w:shd w:val="clear" w:color="auto" w:fill="auto"/>
            <w:noWrap/>
            <w:vAlign w:val="bottom"/>
            <w:hideMark/>
          </w:tcPr>
          <w:p w14:paraId="50C26041" w14:textId="77777777" w:rsidR="006F2CB1" w:rsidRPr="00425F23" w:rsidRDefault="006F2CB1" w:rsidP="00061C8E">
            <w:pPr>
              <w:rPr>
                <w:color w:val="000000"/>
                <w:sz w:val="21"/>
                <w:szCs w:val="21"/>
              </w:rPr>
            </w:pPr>
            <w:r w:rsidRPr="00425F23">
              <w:rPr>
                <w:color w:val="000000"/>
                <w:sz w:val="21"/>
                <w:szCs w:val="21"/>
              </w:rPr>
              <w:t> </w:t>
            </w:r>
          </w:p>
        </w:tc>
        <w:tc>
          <w:tcPr>
            <w:tcW w:w="1350" w:type="dxa"/>
            <w:tcBorders>
              <w:top w:val="nil"/>
              <w:left w:val="nil"/>
              <w:bottom w:val="nil"/>
              <w:right w:val="single" w:sz="4" w:space="0" w:color="auto"/>
            </w:tcBorders>
            <w:shd w:val="clear" w:color="auto" w:fill="auto"/>
            <w:noWrap/>
            <w:vAlign w:val="bottom"/>
            <w:hideMark/>
          </w:tcPr>
          <w:p w14:paraId="4BF37AE6" w14:textId="77777777" w:rsidR="006F2CB1" w:rsidRPr="00425F23" w:rsidRDefault="006F2CB1" w:rsidP="00061C8E">
            <w:pPr>
              <w:jc w:val="center"/>
              <w:rPr>
                <w:color w:val="000000"/>
                <w:sz w:val="21"/>
                <w:szCs w:val="21"/>
              </w:rPr>
            </w:pPr>
          </w:p>
        </w:tc>
      </w:tr>
      <w:tr w:rsidR="006F2CB1" w:rsidRPr="00425F23" w14:paraId="7825E401"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6B6101EC" w14:textId="77777777" w:rsidR="006F2CB1" w:rsidRPr="00425F23" w:rsidRDefault="006F2CB1" w:rsidP="00061C8E">
            <w:pPr>
              <w:rPr>
                <w:color w:val="000000"/>
                <w:sz w:val="21"/>
                <w:szCs w:val="21"/>
              </w:rPr>
            </w:pPr>
            <w:r w:rsidRPr="00425F23">
              <w:rPr>
                <w:color w:val="000000"/>
                <w:sz w:val="21"/>
                <w:szCs w:val="21"/>
              </w:rPr>
              <w:t>Female</w:t>
            </w:r>
          </w:p>
        </w:tc>
        <w:tc>
          <w:tcPr>
            <w:tcW w:w="813" w:type="dxa"/>
            <w:tcBorders>
              <w:top w:val="nil"/>
              <w:left w:val="nil"/>
              <w:bottom w:val="nil"/>
              <w:right w:val="nil"/>
            </w:tcBorders>
            <w:shd w:val="clear" w:color="auto" w:fill="auto"/>
            <w:noWrap/>
            <w:vAlign w:val="bottom"/>
            <w:hideMark/>
          </w:tcPr>
          <w:p w14:paraId="03939A32" w14:textId="77777777" w:rsidR="006F2CB1" w:rsidRPr="00425F23" w:rsidRDefault="006F2CB1" w:rsidP="00061C8E">
            <w:pPr>
              <w:jc w:val="right"/>
              <w:rPr>
                <w:color w:val="000000"/>
                <w:sz w:val="21"/>
                <w:szCs w:val="21"/>
              </w:rPr>
            </w:pPr>
            <w:r w:rsidRPr="00425F23">
              <w:rPr>
                <w:color w:val="000000"/>
                <w:sz w:val="21"/>
                <w:szCs w:val="21"/>
              </w:rPr>
              <w:t>3,642</w:t>
            </w:r>
          </w:p>
        </w:tc>
        <w:tc>
          <w:tcPr>
            <w:tcW w:w="722" w:type="dxa"/>
            <w:tcBorders>
              <w:top w:val="nil"/>
              <w:left w:val="nil"/>
              <w:bottom w:val="nil"/>
              <w:right w:val="nil"/>
            </w:tcBorders>
            <w:shd w:val="clear" w:color="auto" w:fill="auto"/>
            <w:noWrap/>
            <w:vAlign w:val="bottom"/>
            <w:hideMark/>
          </w:tcPr>
          <w:p w14:paraId="508F3386" w14:textId="77777777" w:rsidR="006F2CB1" w:rsidRPr="00425F23" w:rsidRDefault="006F2CB1" w:rsidP="00061C8E">
            <w:pPr>
              <w:jc w:val="right"/>
              <w:rPr>
                <w:color w:val="000000"/>
                <w:sz w:val="21"/>
                <w:szCs w:val="21"/>
              </w:rPr>
            </w:pPr>
            <w:r w:rsidRPr="00425F23">
              <w:rPr>
                <w:color w:val="000000"/>
                <w:sz w:val="21"/>
                <w:szCs w:val="21"/>
              </w:rPr>
              <w:t>51.47</w:t>
            </w:r>
          </w:p>
        </w:tc>
        <w:tc>
          <w:tcPr>
            <w:tcW w:w="1345" w:type="dxa"/>
            <w:tcBorders>
              <w:top w:val="nil"/>
              <w:left w:val="single" w:sz="4" w:space="0" w:color="auto"/>
              <w:bottom w:val="nil"/>
              <w:right w:val="single" w:sz="4" w:space="0" w:color="auto"/>
            </w:tcBorders>
            <w:shd w:val="clear" w:color="auto" w:fill="auto"/>
            <w:noWrap/>
            <w:vAlign w:val="bottom"/>
            <w:hideMark/>
          </w:tcPr>
          <w:p w14:paraId="20B880D6" w14:textId="77777777" w:rsidR="006F2CB1" w:rsidRPr="00425F23" w:rsidRDefault="006F2CB1" w:rsidP="00061C8E">
            <w:pPr>
              <w:tabs>
                <w:tab w:val="decimal" w:pos="166"/>
              </w:tabs>
              <w:jc w:val="center"/>
              <w:rPr>
                <w:color w:val="000000"/>
                <w:sz w:val="21"/>
                <w:szCs w:val="21"/>
              </w:rPr>
            </w:pPr>
            <w:r w:rsidRPr="00425F23">
              <w:rPr>
                <w:color w:val="000000"/>
                <w:sz w:val="21"/>
                <w:szCs w:val="21"/>
              </w:rPr>
              <w:t>50.92</w:t>
            </w:r>
          </w:p>
        </w:tc>
        <w:tc>
          <w:tcPr>
            <w:tcW w:w="4138" w:type="dxa"/>
            <w:tcBorders>
              <w:top w:val="nil"/>
              <w:left w:val="nil"/>
              <w:bottom w:val="nil"/>
            </w:tcBorders>
            <w:shd w:val="clear" w:color="auto" w:fill="auto"/>
            <w:noWrap/>
            <w:vAlign w:val="bottom"/>
            <w:hideMark/>
          </w:tcPr>
          <w:p w14:paraId="61334D75" w14:textId="77777777" w:rsidR="006F2CB1" w:rsidRPr="00425F23" w:rsidRDefault="006F2CB1" w:rsidP="00061C8E">
            <w:pPr>
              <w:rPr>
                <w:color w:val="000000"/>
                <w:sz w:val="21"/>
                <w:szCs w:val="21"/>
              </w:rPr>
            </w:pPr>
            <w:r w:rsidRPr="00425F23">
              <w:rPr>
                <w:color w:val="000000"/>
                <w:sz w:val="21"/>
                <w:szCs w:val="21"/>
              </w:rPr>
              <w:t>1</w:t>
            </w:r>
          </w:p>
        </w:tc>
        <w:tc>
          <w:tcPr>
            <w:tcW w:w="805" w:type="dxa"/>
            <w:tcBorders>
              <w:top w:val="nil"/>
              <w:bottom w:val="nil"/>
              <w:right w:val="nil"/>
            </w:tcBorders>
            <w:shd w:val="clear" w:color="auto" w:fill="auto"/>
            <w:noWrap/>
            <w:vAlign w:val="bottom"/>
            <w:hideMark/>
          </w:tcPr>
          <w:p w14:paraId="082F78CB" w14:textId="77777777" w:rsidR="006F2CB1" w:rsidRPr="00425F23" w:rsidRDefault="006F2CB1" w:rsidP="00061C8E">
            <w:pPr>
              <w:jc w:val="right"/>
              <w:rPr>
                <w:color w:val="000000"/>
                <w:sz w:val="21"/>
                <w:szCs w:val="21"/>
              </w:rPr>
            </w:pPr>
            <w:r w:rsidRPr="00425F23">
              <w:rPr>
                <w:color w:val="000000"/>
                <w:sz w:val="21"/>
                <w:szCs w:val="21"/>
              </w:rPr>
              <w:t>1,226</w:t>
            </w:r>
          </w:p>
        </w:tc>
        <w:tc>
          <w:tcPr>
            <w:tcW w:w="720" w:type="dxa"/>
            <w:tcBorders>
              <w:top w:val="nil"/>
              <w:left w:val="nil"/>
              <w:bottom w:val="nil"/>
              <w:right w:val="single" w:sz="4" w:space="0" w:color="auto"/>
            </w:tcBorders>
            <w:shd w:val="clear" w:color="auto" w:fill="auto"/>
            <w:noWrap/>
            <w:vAlign w:val="bottom"/>
            <w:hideMark/>
          </w:tcPr>
          <w:p w14:paraId="2039BDD1" w14:textId="77777777" w:rsidR="006F2CB1" w:rsidRPr="00425F23" w:rsidRDefault="006F2CB1" w:rsidP="00061C8E">
            <w:pPr>
              <w:jc w:val="right"/>
              <w:rPr>
                <w:color w:val="000000"/>
                <w:sz w:val="21"/>
                <w:szCs w:val="21"/>
              </w:rPr>
            </w:pPr>
            <w:r w:rsidRPr="00425F23">
              <w:rPr>
                <w:color w:val="000000"/>
                <w:sz w:val="21"/>
                <w:szCs w:val="21"/>
              </w:rPr>
              <w:t>17.33</w:t>
            </w:r>
          </w:p>
        </w:tc>
        <w:tc>
          <w:tcPr>
            <w:tcW w:w="1350" w:type="dxa"/>
            <w:tcBorders>
              <w:top w:val="nil"/>
              <w:left w:val="nil"/>
              <w:bottom w:val="nil"/>
              <w:right w:val="single" w:sz="4" w:space="0" w:color="auto"/>
            </w:tcBorders>
            <w:shd w:val="clear" w:color="auto" w:fill="auto"/>
            <w:noWrap/>
            <w:vAlign w:val="bottom"/>
            <w:hideMark/>
          </w:tcPr>
          <w:p w14:paraId="6233CBFF" w14:textId="77777777" w:rsidR="006F2CB1" w:rsidRPr="00425F23" w:rsidRDefault="006F2CB1" w:rsidP="00061C8E">
            <w:pPr>
              <w:jc w:val="center"/>
              <w:rPr>
                <w:color w:val="000000"/>
                <w:sz w:val="21"/>
                <w:szCs w:val="21"/>
              </w:rPr>
            </w:pPr>
            <w:r w:rsidRPr="00425F23">
              <w:rPr>
                <w:color w:val="000000"/>
                <w:sz w:val="21"/>
                <w:szCs w:val="21"/>
              </w:rPr>
              <w:t>20.17</w:t>
            </w:r>
          </w:p>
        </w:tc>
      </w:tr>
      <w:tr w:rsidR="006F2CB1" w:rsidRPr="00425F23" w14:paraId="6364C507"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60A8E98E" w14:textId="77777777" w:rsidR="006F2CB1" w:rsidRPr="00425F23" w:rsidRDefault="006F2CB1" w:rsidP="00061C8E">
            <w:pPr>
              <w:rPr>
                <w:color w:val="000000"/>
                <w:sz w:val="21"/>
                <w:szCs w:val="21"/>
              </w:rPr>
            </w:pPr>
            <w:r w:rsidRPr="00425F23">
              <w:rPr>
                <w:color w:val="000000"/>
                <w:sz w:val="21"/>
                <w:szCs w:val="21"/>
              </w:rPr>
              <w:t>Male</w:t>
            </w:r>
          </w:p>
        </w:tc>
        <w:tc>
          <w:tcPr>
            <w:tcW w:w="813" w:type="dxa"/>
            <w:tcBorders>
              <w:top w:val="nil"/>
              <w:left w:val="nil"/>
              <w:bottom w:val="nil"/>
              <w:right w:val="nil"/>
            </w:tcBorders>
            <w:shd w:val="clear" w:color="auto" w:fill="auto"/>
            <w:noWrap/>
            <w:vAlign w:val="bottom"/>
            <w:hideMark/>
          </w:tcPr>
          <w:p w14:paraId="4B14DBB4" w14:textId="77777777" w:rsidR="006F2CB1" w:rsidRPr="00425F23" w:rsidRDefault="006F2CB1" w:rsidP="00061C8E">
            <w:pPr>
              <w:jc w:val="right"/>
              <w:rPr>
                <w:color w:val="000000"/>
                <w:sz w:val="21"/>
                <w:szCs w:val="21"/>
              </w:rPr>
            </w:pPr>
            <w:r w:rsidRPr="00425F23">
              <w:rPr>
                <w:color w:val="000000"/>
                <w:sz w:val="21"/>
                <w:szCs w:val="21"/>
              </w:rPr>
              <w:t>3,434</w:t>
            </w:r>
          </w:p>
        </w:tc>
        <w:tc>
          <w:tcPr>
            <w:tcW w:w="722" w:type="dxa"/>
            <w:tcBorders>
              <w:top w:val="nil"/>
              <w:left w:val="nil"/>
              <w:bottom w:val="nil"/>
              <w:right w:val="nil"/>
            </w:tcBorders>
            <w:shd w:val="clear" w:color="auto" w:fill="auto"/>
            <w:noWrap/>
            <w:vAlign w:val="bottom"/>
            <w:hideMark/>
          </w:tcPr>
          <w:p w14:paraId="7A3D708A" w14:textId="77777777" w:rsidR="006F2CB1" w:rsidRPr="00425F23" w:rsidRDefault="006F2CB1" w:rsidP="00061C8E">
            <w:pPr>
              <w:jc w:val="right"/>
              <w:rPr>
                <w:color w:val="000000"/>
                <w:sz w:val="21"/>
                <w:szCs w:val="21"/>
              </w:rPr>
            </w:pPr>
            <w:r w:rsidRPr="00425F23">
              <w:rPr>
                <w:color w:val="000000"/>
                <w:sz w:val="21"/>
                <w:szCs w:val="21"/>
              </w:rPr>
              <w:t>48.53</w:t>
            </w:r>
          </w:p>
        </w:tc>
        <w:tc>
          <w:tcPr>
            <w:tcW w:w="1345" w:type="dxa"/>
            <w:tcBorders>
              <w:top w:val="nil"/>
              <w:left w:val="single" w:sz="4" w:space="0" w:color="auto"/>
              <w:bottom w:val="nil"/>
              <w:right w:val="single" w:sz="4" w:space="0" w:color="auto"/>
            </w:tcBorders>
            <w:shd w:val="clear" w:color="auto" w:fill="auto"/>
            <w:noWrap/>
            <w:vAlign w:val="bottom"/>
            <w:hideMark/>
          </w:tcPr>
          <w:p w14:paraId="22134A68" w14:textId="77777777" w:rsidR="006F2CB1" w:rsidRPr="00425F23" w:rsidRDefault="006F2CB1" w:rsidP="00061C8E">
            <w:pPr>
              <w:tabs>
                <w:tab w:val="decimal" w:pos="166"/>
              </w:tabs>
              <w:jc w:val="center"/>
              <w:rPr>
                <w:color w:val="000000"/>
                <w:sz w:val="21"/>
                <w:szCs w:val="21"/>
              </w:rPr>
            </w:pPr>
            <w:r w:rsidRPr="00425F23">
              <w:rPr>
                <w:color w:val="000000"/>
                <w:sz w:val="21"/>
                <w:szCs w:val="21"/>
              </w:rPr>
              <w:t>49.08</w:t>
            </w:r>
          </w:p>
        </w:tc>
        <w:tc>
          <w:tcPr>
            <w:tcW w:w="4138" w:type="dxa"/>
            <w:tcBorders>
              <w:top w:val="nil"/>
              <w:left w:val="nil"/>
              <w:bottom w:val="nil"/>
            </w:tcBorders>
            <w:shd w:val="clear" w:color="auto" w:fill="auto"/>
            <w:noWrap/>
            <w:vAlign w:val="bottom"/>
            <w:hideMark/>
          </w:tcPr>
          <w:p w14:paraId="591A3D63" w14:textId="77777777" w:rsidR="006F2CB1" w:rsidRPr="00425F23" w:rsidRDefault="006F2CB1" w:rsidP="00061C8E">
            <w:pPr>
              <w:rPr>
                <w:color w:val="000000"/>
                <w:sz w:val="21"/>
                <w:szCs w:val="21"/>
              </w:rPr>
            </w:pPr>
            <w:r w:rsidRPr="00425F23">
              <w:rPr>
                <w:color w:val="000000"/>
                <w:sz w:val="21"/>
                <w:szCs w:val="21"/>
              </w:rPr>
              <w:t>2</w:t>
            </w:r>
          </w:p>
        </w:tc>
        <w:tc>
          <w:tcPr>
            <w:tcW w:w="805" w:type="dxa"/>
            <w:tcBorders>
              <w:top w:val="nil"/>
              <w:bottom w:val="nil"/>
              <w:right w:val="nil"/>
            </w:tcBorders>
            <w:shd w:val="clear" w:color="auto" w:fill="auto"/>
            <w:noWrap/>
            <w:vAlign w:val="bottom"/>
            <w:hideMark/>
          </w:tcPr>
          <w:p w14:paraId="5EB1F55A" w14:textId="77777777" w:rsidR="006F2CB1" w:rsidRPr="00425F23" w:rsidRDefault="006F2CB1" w:rsidP="00061C8E">
            <w:pPr>
              <w:jc w:val="right"/>
              <w:rPr>
                <w:color w:val="000000"/>
                <w:sz w:val="21"/>
                <w:szCs w:val="21"/>
              </w:rPr>
            </w:pPr>
            <w:r w:rsidRPr="00425F23">
              <w:rPr>
                <w:color w:val="000000"/>
                <w:sz w:val="21"/>
                <w:szCs w:val="21"/>
              </w:rPr>
              <w:t>3,278</w:t>
            </w:r>
          </w:p>
        </w:tc>
        <w:tc>
          <w:tcPr>
            <w:tcW w:w="720" w:type="dxa"/>
            <w:tcBorders>
              <w:top w:val="nil"/>
              <w:left w:val="nil"/>
              <w:bottom w:val="nil"/>
              <w:right w:val="single" w:sz="4" w:space="0" w:color="auto"/>
            </w:tcBorders>
            <w:shd w:val="clear" w:color="auto" w:fill="auto"/>
            <w:noWrap/>
            <w:vAlign w:val="bottom"/>
            <w:hideMark/>
          </w:tcPr>
          <w:p w14:paraId="6C1E573B" w14:textId="77777777" w:rsidR="006F2CB1" w:rsidRPr="00425F23" w:rsidRDefault="006F2CB1" w:rsidP="00061C8E">
            <w:pPr>
              <w:jc w:val="right"/>
              <w:rPr>
                <w:color w:val="000000"/>
                <w:sz w:val="21"/>
                <w:szCs w:val="21"/>
              </w:rPr>
            </w:pPr>
            <w:r w:rsidRPr="00425F23">
              <w:rPr>
                <w:color w:val="000000"/>
                <w:sz w:val="21"/>
                <w:szCs w:val="21"/>
              </w:rPr>
              <w:t>46.33</w:t>
            </w:r>
          </w:p>
        </w:tc>
        <w:tc>
          <w:tcPr>
            <w:tcW w:w="1350" w:type="dxa"/>
            <w:tcBorders>
              <w:top w:val="nil"/>
              <w:left w:val="nil"/>
              <w:bottom w:val="nil"/>
              <w:right w:val="single" w:sz="4" w:space="0" w:color="auto"/>
            </w:tcBorders>
            <w:shd w:val="clear" w:color="auto" w:fill="auto"/>
            <w:noWrap/>
            <w:vAlign w:val="bottom"/>
            <w:hideMark/>
          </w:tcPr>
          <w:p w14:paraId="630574F5" w14:textId="77777777" w:rsidR="006F2CB1" w:rsidRPr="00425F23" w:rsidRDefault="006F2CB1" w:rsidP="00061C8E">
            <w:pPr>
              <w:jc w:val="center"/>
              <w:rPr>
                <w:color w:val="000000"/>
                <w:sz w:val="21"/>
                <w:szCs w:val="21"/>
              </w:rPr>
            </w:pPr>
            <w:r w:rsidRPr="00425F23">
              <w:rPr>
                <w:color w:val="000000"/>
                <w:sz w:val="21"/>
                <w:szCs w:val="21"/>
              </w:rPr>
              <w:t>24.02</w:t>
            </w:r>
          </w:p>
        </w:tc>
      </w:tr>
      <w:tr w:rsidR="006F2CB1" w:rsidRPr="00425F23" w14:paraId="49084034"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2BE77835" w14:textId="77777777" w:rsidR="006F2CB1" w:rsidRPr="00425F23" w:rsidRDefault="006F2CB1" w:rsidP="00061C8E">
            <w:pPr>
              <w:rPr>
                <w:b/>
                <w:bCs/>
                <w:color w:val="000000"/>
                <w:sz w:val="21"/>
                <w:szCs w:val="21"/>
              </w:rPr>
            </w:pPr>
            <w:r w:rsidRPr="00425F23">
              <w:rPr>
                <w:b/>
                <w:bCs/>
                <w:color w:val="000000"/>
                <w:sz w:val="21"/>
                <w:szCs w:val="21"/>
              </w:rPr>
              <w:t>Age</w:t>
            </w:r>
          </w:p>
        </w:tc>
        <w:tc>
          <w:tcPr>
            <w:tcW w:w="813" w:type="dxa"/>
            <w:tcBorders>
              <w:top w:val="nil"/>
              <w:left w:val="nil"/>
              <w:bottom w:val="nil"/>
              <w:right w:val="nil"/>
            </w:tcBorders>
            <w:shd w:val="clear" w:color="auto" w:fill="auto"/>
            <w:noWrap/>
            <w:vAlign w:val="bottom"/>
            <w:hideMark/>
          </w:tcPr>
          <w:p w14:paraId="69FB5AD9" w14:textId="77777777" w:rsidR="006F2CB1" w:rsidRPr="00425F23" w:rsidRDefault="006F2CB1" w:rsidP="00061C8E">
            <w:pPr>
              <w:rPr>
                <w:b/>
                <w:bCs/>
                <w:color w:val="000000"/>
                <w:sz w:val="21"/>
                <w:szCs w:val="21"/>
              </w:rPr>
            </w:pPr>
          </w:p>
        </w:tc>
        <w:tc>
          <w:tcPr>
            <w:tcW w:w="722" w:type="dxa"/>
            <w:tcBorders>
              <w:top w:val="nil"/>
              <w:left w:val="nil"/>
              <w:bottom w:val="nil"/>
              <w:right w:val="nil"/>
            </w:tcBorders>
            <w:shd w:val="clear" w:color="auto" w:fill="auto"/>
            <w:noWrap/>
            <w:vAlign w:val="bottom"/>
            <w:hideMark/>
          </w:tcPr>
          <w:p w14:paraId="6AD92F9D" w14:textId="77777777" w:rsidR="006F2CB1" w:rsidRPr="00425F23" w:rsidRDefault="006F2CB1" w:rsidP="00061C8E">
            <w:pPr>
              <w:rPr>
                <w:sz w:val="20"/>
                <w:szCs w:val="20"/>
              </w:rPr>
            </w:pPr>
          </w:p>
        </w:tc>
        <w:tc>
          <w:tcPr>
            <w:tcW w:w="1345" w:type="dxa"/>
            <w:tcBorders>
              <w:top w:val="nil"/>
              <w:left w:val="single" w:sz="4" w:space="0" w:color="auto"/>
              <w:bottom w:val="nil"/>
              <w:right w:val="single" w:sz="4" w:space="0" w:color="auto"/>
            </w:tcBorders>
            <w:shd w:val="clear" w:color="auto" w:fill="auto"/>
            <w:noWrap/>
            <w:vAlign w:val="bottom"/>
            <w:hideMark/>
          </w:tcPr>
          <w:p w14:paraId="290492BF" w14:textId="77777777" w:rsidR="006F2CB1" w:rsidRPr="00425F23" w:rsidRDefault="006F2CB1" w:rsidP="00061C8E">
            <w:pPr>
              <w:tabs>
                <w:tab w:val="decimal" w:pos="166"/>
              </w:tabs>
              <w:jc w:val="center"/>
              <w:rPr>
                <w:color w:val="000000"/>
                <w:sz w:val="21"/>
                <w:szCs w:val="21"/>
              </w:rPr>
            </w:pPr>
          </w:p>
        </w:tc>
        <w:tc>
          <w:tcPr>
            <w:tcW w:w="4138" w:type="dxa"/>
            <w:tcBorders>
              <w:top w:val="nil"/>
              <w:left w:val="nil"/>
              <w:bottom w:val="nil"/>
            </w:tcBorders>
            <w:shd w:val="clear" w:color="auto" w:fill="auto"/>
            <w:noWrap/>
            <w:vAlign w:val="bottom"/>
            <w:hideMark/>
          </w:tcPr>
          <w:p w14:paraId="2F7E74D7" w14:textId="77777777" w:rsidR="006F2CB1" w:rsidRPr="00425F23" w:rsidRDefault="006F2CB1" w:rsidP="00061C8E">
            <w:pPr>
              <w:rPr>
                <w:color w:val="000000"/>
                <w:sz w:val="21"/>
                <w:szCs w:val="21"/>
              </w:rPr>
            </w:pPr>
            <w:r w:rsidRPr="00425F23">
              <w:rPr>
                <w:color w:val="000000"/>
                <w:sz w:val="21"/>
                <w:szCs w:val="21"/>
              </w:rPr>
              <w:t>3+</w:t>
            </w:r>
          </w:p>
        </w:tc>
        <w:tc>
          <w:tcPr>
            <w:tcW w:w="805" w:type="dxa"/>
            <w:tcBorders>
              <w:top w:val="nil"/>
              <w:bottom w:val="nil"/>
              <w:right w:val="nil"/>
            </w:tcBorders>
            <w:shd w:val="clear" w:color="auto" w:fill="auto"/>
            <w:noWrap/>
            <w:vAlign w:val="bottom"/>
            <w:hideMark/>
          </w:tcPr>
          <w:p w14:paraId="21553293" w14:textId="77777777" w:rsidR="006F2CB1" w:rsidRPr="00425F23" w:rsidRDefault="006F2CB1" w:rsidP="00061C8E">
            <w:pPr>
              <w:jc w:val="right"/>
              <w:rPr>
                <w:color w:val="000000"/>
                <w:sz w:val="21"/>
                <w:szCs w:val="21"/>
              </w:rPr>
            </w:pPr>
            <w:r w:rsidRPr="00425F23">
              <w:rPr>
                <w:color w:val="000000"/>
                <w:sz w:val="21"/>
                <w:szCs w:val="21"/>
              </w:rPr>
              <w:t>2,572</w:t>
            </w:r>
          </w:p>
        </w:tc>
        <w:tc>
          <w:tcPr>
            <w:tcW w:w="720" w:type="dxa"/>
            <w:tcBorders>
              <w:top w:val="nil"/>
              <w:left w:val="nil"/>
              <w:bottom w:val="nil"/>
              <w:right w:val="single" w:sz="4" w:space="0" w:color="auto"/>
            </w:tcBorders>
            <w:shd w:val="clear" w:color="auto" w:fill="auto"/>
            <w:noWrap/>
            <w:vAlign w:val="bottom"/>
            <w:hideMark/>
          </w:tcPr>
          <w:p w14:paraId="5C81FC67" w14:textId="77777777" w:rsidR="006F2CB1" w:rsidRPr="00425F23" w:rsidRDefault="006F2CB1" w:rsidP="00061C8E">
            <w:pPr>
              <w:jc w:val="right"/>
              <w:rPr>
                <w:color w:val="000000"/>
                <w:sz w:val="21"/>
                <w:szCs w:val="21"/>
              </w:rPr>
            </w:pPr>
            <w:r w:rsidRPr="00425F23">
              <w:rPr>
                <w:color w:val="000000"/>
                <w:sz w:val="21"/>
                <w:szCs w:val="21"/>
              </w:rPr>
              <w:t>36.35</w:t>
            </w:r>
          </w:p>
        </w:tc>
        <w:tc>
          <w:tcPr>
            <w:tcW w:w="1350" w:type="dxa"/>
            <w:tcBorders>
              <w:top w:val="nil"/>
              <w:left w:val="nil"/>
              <w:bottom w:val="nil"/>
              <w:right w:val="single" w:sz="4" w:space="0" w:color="auto"/>
            </w:tcBorders>
            <w:shd w:val="clear" w:color="auto" w:fill="auto"/>
            <w:noWrap/>
            <w:vAlign w:val="bottom"/>
            <w:hideMark/>
          </w:tcPr>
          <w:p w14:paraId="01BCF4CE" w14:textId="77777777" w:rsidR="006F2CB1" w:rsidRPr="00425F23" w:rsidRDefault="006F2CB1" w:rsidP="00061C8E">
            <w:pPr>
              <w:jc w:val="center"/>
              <w:rPr>
                <w:color w:val="000000"/>
                <w:sz w:val="21"/>
                <w:szCs w:val="21"/>
              </w:rPr>
            </w:pPr>
            <w:r w:rsidRPr="00425F23">
              <w:rPr>
                <w:color w:val="000000"/>
                <w:sz w:val="21"/>
                <w:szCs w:val="21"/>
              </w:rPr>
              <w:t>55.81</w:t>
            </w:r>
          </w:p>
        </w:tc>
      </w:tr>
      <w:tr w:rsidR="006F2CB1" w:rsidRPr="00425F23" w14:paraId="19F227E3"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5C93DBAA" w14:textId="77777777" w:rsidR="006F2CB1" w:rsidRPr="00425F23" w:rsidRDefault="006F2CB1" w:rsidP="00061C8E">
            <w:pPr>
              <w:rPr>
                <w:color w:val="000000"/>
                <w:sz w:val="21"/>
                <w:szCs w:val="21"/>
              </w:rPr>
            </w:pPr>
            <w:r w:rsidRPr="00425F23">
              <w:rPr>
                <w:color w:val="000000"/>
                <w:sz w:val="21"/>
                <w:szCs w:val="21"/>
              </w:rPr>
              <w:t>18-24</w:t>
            </w:r>
          </w:p>
        </w:tc>
        <w:tc>
          <w:tcPr>
            <w:tcW w:w="813" w:type="dxa"/>
            <w:tcBorders>
              <w:top w:val="nil"/>
              <w:left w:val="nil"/>
              <w:bottom w:val="nil"/>
              <w:right w:val="nil"/>
            </w:tcBorders>
            <w:shd w:val="clear" w:color="auto" w:fill="auto"/>
            <w:noWrap/>
            <w:vAlign w:val="bottom"/>
            <w:hideMark/>
          </w:tcPr>
          <w:p w14:paraId="2F5EF242" w14:textId="77777777" w:rsidR="006F2CB1" w:rsidRPr="00425F23" w:rsidRDefault="006F2CB1" w:rsidP="00061C8E">
            <w:pPr>
              <w:jc w:val="right"/>
              <w:rPr>
                <w:color w:val="000000"/>
                <w:sz w:val="21"/>
                <w:szCs w:val="21"/>
              </w:rPr>
            </w:pPr>
            <w:r w:rsidRPr="00425F23">
              <w:rPr>
                <w:color w:val="000000"/>
                <w:sz w:val="21"/>
                <w:szCs w:val="21"/>
              </w:rPr>
              <w:t>447</w:t>
            </w:r>
          </w:p>
        </w:tc>
        <w:tc>
          <w:tcPr>
            <w:tcW w:w="722" w:type="dxa"/>
            <w:tcBorders>
              <w:top w:val="nil"/>
              <w:left w:val="nil"/>
              <w:bottom w:val="nil"/>
              <w:right w:val="nil"/>
            </w:tcBorders>
            <w:shd w:val="clear" w:color="auto" w:fill="auto"/>
            <w:noWrap/>
            <w:vAlign w:val="bottom"/>
            <w:hideMark/>
          </w:tcPr>
          <w:p w14:paraId="68809E39" w14:textId="77777777" w:rsidR="006F2CB1" w:rsidRPr="00425F23" w:rsidRDefault="006F2CB1" w:rsidP="00061C8E">
            <w:pPr>
              <w:jc w:val="right"/>
              <w:rPr>
                <w:color w:val="000000"/>
                <w:sz w:val="21"/>
                <w:szCs w:val="21"/>
              </w:rPr>
            </w:pPr>
            <w:r w:rsidRPr="00425F23">
              <w:rPr>
                <w:color w:val="000000"/>
                <w:sz w:val="21"/>
                <w:szCs w:val="21"/>
              </w:rPr>
              <w:t>6.32</w:t>
            </w:r>
          </w:p>
        </w:tc>
        <w:tc>
          <w:tcPr>
            <w:tcW w:w="1345" w:type="dxa"/>
            <w:tcBorders>
              <w:top w:val="nil"/>
              <w:left w:val="single" w:sz="4" w:space="0" w:color="auto"/>
              <w:bottom w:val="nil"/>
              <w:right w:val="single" w:sz="4" w:space="0" w:color="auto"/>
            </w:tcBorders>
            <w:shd w:val="clear" w:color="auto" w:fill="auto"/>
            <w:noWrap/>
            <w:vAlign w:val="bottom"/>
            <w:hideMark/>
          </w:tcPr>
          <w:p w14:paraId="2942DF27" w14:textId="77777777" w:rsidR="006F2CB1" w:rsidRPr="00425F23" w:rsidRDefault="006F2CB1" w:rsidP="00061C8E">
            <w:pPr>
              <w:tabs>
                <w:tab w:val="decimal" w:pos="166"/>
              </w:tabs>
              <w:jc w:val="center"/>
              <w:rPr>
                <w:color w:val="000000"/>
                <w:sz w:val="21"/>
                <w:szCs w:val="21"/>
              </w:rPr>
            </w:pPr>
            <w:r w:rsidRPr="00425F23">
              <w:rPr>
                <w:color w:val="000000"/>
                <w:sz w:val="21"/>
                <w:szCs w:val="21"/>
              </w:rPr>
              <w:t>12.00</w:t>
            </w:r>
          </w:p>
        </w:tc>
        <w:tc>
          <w:tcPr>
            <w:tcW w:w="4138" w:type="dxa"/>
            <w:tcBorders>
              <w:top w:val="nil"/>
              <w:left w:val="nil"/>
              <w:bottom w:val="nil"/>
            </w:tcBorders>
            <w:shd w:val="clear" w:color="auto" w:fill="auto"/>
            <w:noWrap/>
            <w:vAlign w:val="bottom"/>
            <w:hideMark/>
          </w:tcPr>
          <w:p w14:paraId="0577AAF8" w14:textId="77777777" w:rsidR="006F2CB1" w:rsidRPr="00425F23" w:rsidRDefault="006F2CB1" w:rsidP="00061C8E">
            <w:pPr>
              <w:rPr>
                <w:b/>
                <w:bCs/>
                <w:color w:val="000000"/>
                <w:sz w:val="21"/>
                <w:szCs w:val="21"/>
              </w:rPr>
            </w:pPr>
            <w:r w:rsidRPr="00425F23">
              <w:rPr>
                <w:b/>
                <w:bCs/>
                <w:color w:val="000000"/>
                <w:sz w:val="21"/>
                <w:szCs w:val="21"/>
              </w:rPr>
              <w:t>Number of Adults</w:t>
            </w:r>
          </w:p>
        </w:tc>
        <w:tc>
          <w:tcPr>
            <w:tcW w:w="805" w:type="dxa"/>
            <w:tcBorders>
              <w:top w:val="nil"/>
              <w:bottom w:val="nil"/>
              <w:right w:val="nil"/>
            </w:tcBorders>
            <w:shd w:val="clear" w:color="auto" w:fill="auto"/>
            <w:noWrap/>
            <w:vAlign w:val="bottom"/>
            <w:hideMark/>
          </w:tcPr>
          <w:p w14:paraId="5AE6B0BA" w14:textId="77777777" w:rsidR="006F2CB1" w:rsidRPr="00425F23" w:rsidRDefault="006F2CB1" w:rsidP="00061C8E">
            <w:pPr>
              <w:rPr>
                <w:b/>
                <w:bCs/>
                <w:color w:val="000000"/>
                <w:sz w:val="21"/>
                <w:szCs w:val="21"/>
              </w:rPr>
            </w:pPr>
          </w:p>
        </w:tc>
        <w:tc>
          <w:tcPr>
            <w:tcW w:w="720" w:type="dxa"/>
            <w:tcBorders>
              <w:top w:val="nil"/>
              <w:left w:val="nil"/>
              <w:bottom w:val="nil"/>
              <w:right w:val="single" w:sz="4" w:space="0" w:color="auto"/>
            </w:tcBorders>
            <w:shd w:val="clear" w:color="auto" w:fill="auto"/>
            <w:noWrap/>
            <w:vAlign w:val="bottom"/>
            <w:hideMark/>
          </w:tcPr>
          <w:p w14:paraId="5F16B818" w14:textId="77777777" w:rsidR="006F2CB1" w:rsidRPr="00425F23" w:rsidRDefault="006F2CB1" w:rsidP="00061C8E">
            <w:pPr>
              <w:rPr>
                <w:color w:val="000000"/>
                <w:sz w:val="21"/>
                <w:szCs w:val="21"/>
              </w:rPr>
            </w:pPr>
            <w:r w:rsidRPr="00425F23">
              <w:rPr>
                <w:color w:val="000000"/>
                <w:sz w:val="21"/>
                <w:szCs w:val="21"/>
              </w:rPr>
              <w:t> </w:t>
            </w:r>
          </w:p>
        </w:tc>
        <w:tc>
          <w:tcPr>
            <w:tcW w:w="1350" w:type="dxa"/>
            <w:tcBorders>
              <w:top w:val="nil"/>
              <w:left w:val="nil"/>
              <w:bottom w:val="nil"/>
              <w:right w:val="single" w:sz="4" w:space="0" w:color="auto"/>
            </w:tcBorders>
            <w:shd w:val="clear" w:color="auto" w:fill="auto"/>
            <w:noWrap/>
            <w:vAlign w:val="bottom"/>
            <w:hideMark/>
          </w:tcPr>
          <w:p w14:paraId="05A15979" w14:textId="77777777" w:rsidR="006F2CB1" w:rsidRPr="00425F23" w:rsidRDefault="006F2CB1" w:rsidP="00061C8E">
            <w:pPr>
              <w:jc w:val="center"/>
              <w:rPr>
                <w:color w:val="000000"/>
                <w:sz w:val="21"/>
                <w:szCs w:val="21"/>
              </w:rPr>
            </w:pPr>
          </w:p>
        </w:tc>
      </w:tr>
      <w:tr w:rsidR="006F2CB1" w:rsidRPr="00425F23" w14:paraId="37778CDE"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79F0FA64" w14:textId="77777777" w:rsidR="006F2CB1" w:rsidRPr="00425F23" w:rsidRDefault="006F2CB1" w:rsidP="00061C8E">
            <w:pPr>
              <w:rPr>
                <w:color w:val="000000"/>
                <w:sz w:val="21"/>
                <w:szCs w:val="21"/>
              </w:rPr>
            </w:pPr>
            <w:r w:rsidRPr="00425F23">
              <w:rPr>
                <w:color w:val="000000"/>
                <w:sz w:val="21"/>
                <w:szCs w:val="21"/>
              </w:rPr>
              <w:t>25-34</w:t>
            </w:r>
          </w:p>
        </w:tc>
        <w:tc>
          <w:tcPr>
            <w:tcW w:w="813" w:type="dxa"/>
            <w:tcBorders>
              <w:top w:val="nil"/>
              <w:left w:val="nil"/>
              <w:bottom w:val="nil"/>
              <w:right w:val="nil"/>
            </w:tcBorders>
            <w:shd w:val="clear" w:color="auto" w:fill="auto"/>
            <w:noWrap/>
            <w:vAlign w:val="bottom"/>
            <w:hideMark/>
          </w:tcPr>
          <w:p w14:paraId="2CC2C0BF" w14:textId="77777777" w:rsidR="006F2CB1" w:rsidRPr="00425F23" w:rsidRDefault="006F2CB1" w:rsidP="00061C8E">
            <w:pPr>
              <w:jc w:val="right"/>
              <w:rPr>
                <w:color w:val="000000"/>
                <w:sz w:val="21"/>
                <w:szCs w:val="21"/>
              </w:rPr>
            </w:pPr>
            <w:r w:rsidRPr="00425F23">
              <w:rPr>
                <w:color w:val="000000"/>
                <w:sz w:val="21"/>
                <w:szCs w:val="21"/>
              </w:rPr>
              <w:t>1,067</w:t>
            </w:r>
          </w:p>
        </w:tc>
        <w:tc>
          <w:tcPr>
            <w:tcW w:w="722" w:type="dxa"/>
            <w:tcBorders>
              <w:top w:val="nil"/>
              <w:left w:val="nil"/>
              <w:bottom w:val="nil"/>
              <w:right w:val="nil"/>
            </w:tcBorders>
            <w:shd w:val="clear" w:color="auto" w:fill="auto"/>
            <w:noWrap/>
            <w:vAlign w:val="bottom"/>
            <w:hideMark/>
          </w:tcPr>
          <w:p w14:paraId="466920F3" w14:textId="77777777" w:rsidR="006F2CB1" w:rsidRPr="00425F23" w:rsidRDefault="006F2CB1" w:rsidP="00061C8E">
            <w:pPr>
              <w:jc w:val="right"/>
              <w:rPr>
                <w:color w:val="000000"/>
                <w:sz w:val="21"/>
                <w:szCs w:val="21"/>
              </w:rPr>
            </w:pPr>
            <w:r w:rsidRPr="00425F23">
              <w:rPr>
                <w:color w:val="000000"/>
                <w:sz w:val="21"/>
                <w:szCs w:val="21"/>
              </w:rPr>
              <w:t>15.08</w:t>
            </w:r>
          </w:p>
        </w:tc>
        <w:tc>
          <w:tcPr>
            <w:tcW w:w="1345" w:type="dxa"/>
            <w:tcBorders>
              <w:top w:val="nil"/>
              <w:left w:val="single" w:sz="4" w:space="0" w:color="auto"/>
              <w:bottom w:val="nil"/>
              <w:right w:val="single" w:sz="4" w:space="0" w:color="auto"/>
            </w:tcBorders>
            <w:shd w:val="clear" w:color="auto" w:fill="auto"/>
            <w:noWrap/>
            <w:vAlign w:val="bottom"/>
            <w:hideMark/>
          </w:tcPr>
          <w:p w14:paraId="4A21E1A5" w14:textId="77777777" w:rsidR="006F2CB1" w:rsidRPr="00425F23" w:rsidRDefault="006F2CB1" w:rsidP="00061C8E">
            <w:pPr>
              <w:tabs>
                <w:tab w:val="decimal" w:pos="166"/>
              </w:tabs>
              <w:jc w:val="center"/>
              <w:rPr>
                <w:color w:val="000000"/>
                <w:sz w:val="21"/>
                <w:szCs w:val="21"/>
              </w:rPr>
            </w:pPr>
            <w:r w:rsidRPr="00425F23">
              <w:rPr>
                <w:color w:val="000000"/>
                <w:sz w:val="21"/>
                <w:szCs w:val="21"/>
              </w:rPr>
              <w:t>17.37</w:t>
            </w:r>
          </w:p>
        </w:tc>
        <w:tc>
          <w:tcPr>
            <w:tcW w:w="4138" w:type="dxa"/>
            <w:tcBorders>
              <w:top w:val="nil"/>
              <w:left w:val="nil"/>
              <w:bottom w:val="nil"/>
            </w:tcBorders>
            <w:shd w:val="clear" w:color="auto" w:fill="auto"/>
            <w:noWrap/>
            <w:vAlign w:val="bottom"/>
            <w:hideMark/>
          </w:tcPr>
          <w:p w14:paraId="10DA48D7" w14:textId="77777777" w:rsidR="006F2CB1" w:rsidRPr="00425F23" w:rsidRDefault="006F2CB1" w:rsidP="00061C8E">
            <w:pPr>
              <w:rPr>
                <w:color w:val="000000"/>
                <w:sz w:val="21"/>
                <w:szCs w:val="21"/>
              </w:rPr>
            </w:pPr>
            <w:r w:rsidRPr="00425F23">
              <w:rPr>
                <w:color w:val="000000"/>
                <w:sz w:val="21"/>
                <w:szCs w:val="21"/>
              </w:rPr>
              <w:t>1</w:t>
            </w:r>
          </w:p>
        </w:tc>
        <w:tc>
          <w:tcPr>
            <w:tcW w:w="805" w:type="dxa"/>
            <w:tcBorders>
              <w:top w:val="nil"/>
              <w:bottom w:val="nil"/>
              <w:right w:val="nil"/>
            </w:tcBorders>
            <w:shd w:val="clear" w:color="auto" w:fill="auto"/>
            <w:noWrap/>
            <w:vAlign w:val="bottom"/>
            <w:hideMark/>
          </w:tcPr>
          <w:p w14:paraId="2129280A" w14:textId="77777777" w:rsidR="006F2CB1" w:rsidRPr="00425F23" w:rsidRDefault="006F2CB1" w:rsidP="00061C8E">
            <w:pPr>
              <w:jc w:val="right"/>
              <w:rPr>
                <w:color w:val="000000"/>
                <w:sz w:val="21"/>
                <w:szCs w:val="21"/>
              </w:rPr>
            </w:pPr>
            <w:r w:rsidRPr="00425F23">
              <w:rPr>
                <w:color w:val="000000"/>
                <w:sz w:val="21"/>
                <w:szCs w:val="21"/>
              </w:rPr>
              <w:t>1,337</w:t>
            </w:r>
          </w:p>
        </w:tc>
        <w:tc>
          <w:tcPr>
            <w:tcW w:w="720" w:type="dxa"/>
            <w:tcBorders>
              <w:top w:val="nil"/>
              <w:left w:val="nil"/>
              <w:bottom w:val="nil"/>
              <w:right w:val="single" w:sz="4" w:space="0" w:color="auto"/>
            </w:tcBorders>
            <w:shd w:val="clear" w:color="auto" w:fill="auto"/>
            <w:noWrap/>
            <w:vAlign w:val="bottom"/>
            <w:hideMark/>
          </w:tcPr>
          <w:p w14:paraId="42F1C97F" w14:textId="77777777" w:rsidR="006F2CB1" w:rsidRPr="00425F23" w:rsidRDefault="006F2CB1" w:rsidP="00061C8E">
            <w:pPr>
              <w:jc w:val="right"/>
              <w:rPr>
                <w:color w:val="000000"/>
                <w:sz w:val="21"/>
                <w:szCs w:val="21"/>
              </w:rPr>
            </w:pPr>
            <w:r w:rsidRPr="00425F23">
              <w:rPr>
                <w:color w:val="000000"/>
                <w:sz w:val="21"/>
                <w:szCs w:val="21"/>
              </w:rPr>
              <w:t>18.89</w:t>
            </w:r>
          </w:p>
        </w:tc>
        <w:tc>
          <w:tcPr>
            <w:tcW w:w="1350" w:type="dxa"/>
            <w:tcBorders>
              <w:top w:val="nil"/>
              <w:left w:val="nil"/>
              <w:bottom w:val="nil"/>
              <w:right w:val="single" w:sz="4" w:space="0" w:color="auto"/>
            </w:tcBorders>
            <w:shd w:val="clear" w:color="auto" w:fill="auto"/>
            <w:noWrap/>
            <w:vAlign w:val="bottom"/>
            <w:hideMark/>
          </w:tcPr>
          <w:p w14:paraId="50CBDA03" w14:textId="77777777" w:rsidR="006F2CB1" w:rsidRPr="00425F23" w:rsidRDefault="006F2CB1" w:rsidP="00061C8E">
            <w:pPr>
              <w:jc w:val="center"/>
              <w:rPr>
                <w:color w:val="000000"/>
                <w:sz w:val="21"/>
                <w:szCs w:val="21"/>
              </w:rPr>
            </w:pPr>
            <w:r>
              <w:rPr>
                <w:color w:val="000000"/>
                <w:sz w:val="21"/>
                <w:szCs w:val="21"/>
              </w:rPr>
              <w:t>28.88</w:t>
            </w:r>
          </w:p>
        </w:tc>
      </w:tr>
      <w:tr w:rsidR="006F2CB1" w:rsidRPr="00425F23" w14:paraId="28CE52AB"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0063EA15" w14:textId="77777777" w:rsidR="006F2CB1" w:rsidRPr="00425F23" w:rsidRDefault="006F2CB1" w:rsidP="00061C8E">
            <w:pPr>
              <w:rPr>
                <w:color w:val="000000"/>
                <w:sz w:val="21"/>
                <w:szCs w:val="21"/>
              </w:rPr>
            </w:pPr>
            <w:r w:rsidRPr="00425F23">
              <w:rPr>
                <w:color w:val="000000"/>
                <w:sz w:val="21"/>
                <w:szCs w:val="21"/>
              </w:rPr>
              <w:t>35-44</w:t>
            </w:r>
          </w:p>
        </w:tc>
        <w:tc>
          <w:tcPr>
            <w:tcW w:w="813" w:type="dxa"/>
            <w:tcBorders>
              <w:top w:val="nil"/>
              <w:left w:val="nil"/>
              <w:bottom w:val="nil"/>
              <w:right w:val="nil"/>
            </w:tcBorders>
            <w:shd w:val="clear" w:color="auto" w:fill="auto"/>
            <w:noWrap/>
            <w:vAlign w:val="bottom"/>
            <w:hideMark/>
          </w:tcPr>
          <w:p w14:paraId="1417DB68" w14:textId="77777777" w:rsidR="006F2CB1" w:rsidRPr="00425F23" w:rsidRDefault="006F2CB1" w:rsidP="00061C8E">
            <w:pPr>
              <w:jc w:val="right"/>
              <w:rPr>
                <w:color w:val="000000"/>
                <w:sz w:val="21"/>
                <w:szCs w:val="21"/>
              </w:rPr>
            </w:pPr>
            <w:r w:rsidRPr="00425F23">
              <w:rPr>
                <w:color w:val="000000"/>
                <w:sz w:val="21"/>
                <w:szCs w:val="21"/>
              </w:rPr>
              <w:t>1,059</w:t>
            </w:r>
          </w:p>
        </w:tc>
        <w:tc>
          <w:tcPr>
            <w:tcW w:w="722" w:type="dxa"/>
            <w:tcBorders>
              <w:top w:val="nil"/>
              <w:left w:val="nil"/>
              <w:bottom w:val="nil"/>
              <w:right w:val="nil"/>
            </w:tcBorders>
            <w:shd w:val="clear" w:color="auto" w:fill="auto"/>
            <w:noWrap/>
            <w:vAlign w:val="bottom"/>
            <w:hideMark/>
          </w:tcPr>
          <w:p w14:paraId="7248EBF6" w14:textId="77777777" w:rsidR="006F2CB1" w:rsidRPr="00425F23" w:rsidRDefault="006F2CB1" w:rsidP="00061C8E">
            <w:pPr>
              <w:jc w:val="right"/>
              <w:rPr>
                <w:color w:val="000000"/>
                <w:sz w:val="21"/>
                <w:szCs w:val="21"/>
              </w:rPr>
            </w:pPr>
            <w:r w:rsidRPr="00425F23">
              <w:rPr>
                <w:color w:val="000000"/>
                <w:sz w:val="21"/>
                <w:szCs w:val="21"/>
              </w:rPr>
              <w:t>14.97</w:t>
            </w:r>
          </w:p>
        </w:tc>
        <w:tc>
          <w:tcPr>
            <w:tcW w:w="1345" w:type="dxa"/>
            <w:tcBorders>
              <w:top w:val="nil"/>
              <w:left w:val="single" w:sz="4" w:space="0" w:color="auto"/>
              <w:bottom w:val="nil"/>
              <w:right w:val="single" w:sz="4" w:space="0" w:color="auto"/>
            </w:tcBorders>
            <w:shd w:val="clear" w:color="auto" w:fill="auto"/>
            <w:noWrap/>
            <w:vAlign w:val="bottom"/>
            <w:hideMark/>
          </w:tcPr>
          <w:p w14:paraId="72913A00" w14:textId="77777777" w:rsidR="006F2CB1" w:rsidRPr="00425F23" w:rsidRDefault="006F2CB1" w:rsidP="00061C8E">
            <w:pPr>
              <w:tabs>
                <w:tab w:val="decimal" w:pos="166"/>
              </w:tabs>
              <w:jc w:val="center"/>
              <w:rPr>
                <w:color w:val="000000"/>
                <w:sz w:val="21"/>
                <w:szCs w:val="21"/>
              </w:rPr>
            </w:pPr>
            <w:r w:rsidRPr="00425F23">
              <w:rPr>
                <w:color w:val="000000"/>
                <w:sz w:val="21"/>
                <w:szCs w:val="21"/>
              </w:rPr>
              <w:t>16.35</w:t>
            </w:r>
          </w:p>
        </w:tc>
        <w:tc>
          <w:tcPr>
            <w:tcW w:w="4138" w:type="dxa"/>
            <w:tcBorders>
              <w:top w:val="nil"/>
              <w:left w:val="nil"/>
              <w:bottom w:val="nil"/>
            </w:tcBorders>
            <w:shd w:val="clear" w:color="auto" w:fill="auto"/>
            <w:noWrap/>
            <w:vAlign w:val="bottom"/>
            <w:hideMark/>
          </w:tcPr>
          <w:p w14:paraId="486B0B29" w14:textId="77777777" w:rsidR="006F2CB1" w:rsidRPr="00425F23" w:rsidRDefault="006F2CB1" w:rsidP="00061C8E">
            <w:pPr>
              <w:rPr>
                <w:color w:val="000000"/>
                <w:sz w:val="21"/>
                <w:szCs w:val="21"/>
              </w:rPr>
            </w:pPr>
            <w:r w:rsidRPr="00425F23">
              <w:rPr>
                <w:color w:val="000000"/>
                <w:sz w:val="21"/>
                <w:szCs w:val="21"/>
              </w:rPr>
              <w:t>2</w:t>
            </w:r>
          </w:p>
        </w:tc>
        <w:tc>
          <w:tcPr>
            <w:tcW w:w="805" w:type="dxa"/>
            <w:tcBorders>
              <w:top w:val="nil"/>
              <w:bottom w:val="nil"/>
              <w:right w:val="nil"/>
            </w:tcBorders>
            <w:shd w:val="clear" w:color="auto" w:fill="auto"/>
            <w:noWrap/>
            <w:vAlign w:val="bottom"/>
            <w:hideMark/>
          </w:tcPr>
          <w:p w14:paraId="4D97F2CB" w14:textId="77777777" w:rsidR="006F2CB1" w:rsidRPr="00425F23" w:rsidRDefault="006F2CB1" w:rsidP="00061C8E">
            <w:pPr>
              <w:jc w:val="right"/>
              <w:rPr>
                <w:color w:val="000000"/>
                <w:sz w:val="21"/>
                <w:szCs w:val="21"/>
              </w:rPr>
            </w:pPr>
            <w:r w:rsidRPr="00425F23">
              <w:rPr>
                <w:color w:val="000000"/>
                <w:sz w:val="21"/>
                <w:szCs w:val="21"/>
              </w:rPr>
              <w:t>4,378</w:t>
            </w:r>
          </w:p>
        </w:tc>
        <w:tc>
          <w:tcPr>
            <w:tcW w:w="720" w:type="dxa"/>
            <w:tcBorders>
              <w:top w:val="nil"/>
              <w:left w:val="nil"/>
              <w:bottom w:val="nil"/>
              <w:right w:val="single" w:sz="4" w:space="0" w:color="auto"/>
            </w:tcBorders>
            <w:shd w:val="clear" w:color="auto" w:fill="auto"/>
            <w:noWrap/>
            <w:vAlign w:val="bottom"/>
            <w:hideMark/>
          </w:tcPr>
          <w:p w14:paraId="594A39D9" w14:textId="77777777" w:rsidR="006F2CB1" w:rsidRPr="00425F23" w:rsidRDefault="006F2CB1" w:rsidP="00061C8E">
            <w:pPr>
              <w:jc w:val="right"/>
              <w:rPr>
                <w:color w:val="000000"/>
                <w:sz w:val="21"/>
                <w:szCs w:val="21"/>
              </w:rPr>
            </w:pPr>
            <w:r w:rsidRPr="00425F23">
              <w:rPr>
                <w:color w:val="000000"/>
                <w:sz w:val="21"/>
                <w:szCs w:val="21"/>
              </w:rPr>
              <w:t>61.87</w:t>
            </w:r>
          </w:p>
        </w:tc>
        <w:tc>
          <w:tcPr>
            <w:tcW w:w="1350" w:type="dxa"/>
            <w:tcBorders>
              <w:top w:val="nil"/>
              <w:left w:val="single" w:sz="4" w:space="0" w:color="auto"/>
              <w:bottom w:val="nil"/>
              <w:right w:val="single" w:sz="4" w:space="0" w:color="auto"/>
            </w:tcBorders>
            <w:shd w:val="clear" w:color="auto" w:fill="auto"/>
            <w:noWrap/>
            <w:vAlign w:val="center"/>
            <w:hideMark/>
          </w:tcPr>
          <w:p w14:paraId="0F9A2D73" w14:textId="77777777" w:rsidR="006F2CB1" w:rsidRPr="00425F23" w:rsidRDefault="006F2CB1" w:rsidP="00061C8E">
            <w:pPr>
              <w:jc w:val="center"/>
              <w:rPr>
                <w:color w:val="000000"/>
                <w:sz w:val="21"/>
                <w:szCs w:val="21"/>
              </w:rPr>
            </w:pPr>
            <w:r>
              <w:rPr>
                <w:color w:val="000000"/>
                <w:sz w:val="21"/>
                <w:szCs w:val="21"/>
              </w:rPr>
              <w:t>34.72</w:t>
            </w:r>
          </w:p>
        </w:tc>
      </w:tr>
      <w:tr w:rsidR="006F2CB1" w:rsidRPr="00425F23" w14:paraId="52A41A5E"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0E464550" w14:textId="77777777" w:rsidR="006F2CB1" w:rsidRPr="00425F23" w:rsidRDefault="006F2CB1" w:rsidP="00061C8E">
            <w:pPr>
              <w:rPr>
                <w:color w:val="000000"/>
                <w:sz w:val="21"/>
                <w:szCs w:val="21"/>
              </w:rPr>
            </w:pPr>
            <w:r w:rsidRPr="00425F23">
              <w:rPr>
                <w:color w:val="000000"/>
                <w:sz w:val="21"/>
                <w:szCs w:val="21"/>
              </w:rPr>
              <w:t>45-54</w:t>
            </w:r>
          </w:p>
        </w:tc>
        <w:tc>
          <w:tcPr>
            <w:tcW w:w="813" w:type="dxa"/>
            <w:tcBorders>
              <w:top w:val="nil"/>
              <w:left w:val="nil"/>
              <w:bottom w:val="nil"/>
              <w:right w:val="nil"/>
            </w:tcBorders>
            <w:shd w:val="clear" w:color="auto" w:fill="auto"/>
            <w:noWrap/>
            <w:vAlign w:val="bottom"/>
            <w:hideMark/>
          </w:tcPr>
          <w:p w14:paraId="38DDC3B6" w14:textId="77777777" w:rsidR="006F2CB1" w:rsidRPr="00425F23" w:rsidRDefault="006F2CB1" w:rsidP="00061C8E">
            <w:pPr>
              <w:jc w:val="right"/>
              <w:rPr>
                <w:color w:val="000000"/>
                <w:sz w:val="21"/>
                <w:szCs w:val="21"/>
              </w:rPr>
            </w:pPr>
            <w:r w:rsidRPr="00425F23">
              <w:rPr>
                <w:color w:val="000000"/>
                <w:sz w:val="21"/>
                <w:szCs w:val="21"/>
              </w:rPr>
              <w:t>991</w:t>
            </w:r>
          </w:p>
        </w:tc>
        <w:tc>
          <w:tcPr>
            <w:tcW w:w="722" w:type="dxa"/>
            <w:tcBorders>
              <w:top w:val="nil"/>
              <w:left w:val="nil"/>
              <w:bottom w:val="nil"/>
              <w:right w:val="nil"/>
            </w:tcBorders>
            <w:shd w:val="clear" w:color="auto" w:fill="auto"/>
            <w:noWrap/>
            <w:vAlign w:val="bottom"/>
            <w:hideMark/>
          </w:tcPr>
          <w:p w14:paraId="2EA9F90E" w14:textId="77777777" w:rsidR="006F2CB1" w:rsidRPr="00425F23" w:rsidRDefault="006F2CB1" w:rsidP="00061C8E">
            <w:pPr>
              <w:jc w:val="right"/>
              <w:rPr>
                <w:color w:val="000000"/>
                <w:sz w:val="21"/>
                <w:szCs w:val="21"/>
              </w:rPr>
            </w:pPr>
            <w:r w:rsidRPr="00425F23">
              <w:rPr>
                <w:color w:val="000000"/>
                <w:sz w:val="21"/>
                <w:szCs w:val="21"/>
              </w:rPr>
              <w:t>14.01</w:t>
            </w:r>
          </w:p>
        </w:tc>
        <w:tc>
          <w:tcPr>
            <w:tcW w:w="1345" w:type="dxa"/>
            <w:tcBorders>
              <w:top w:val="nil"/>
              <w:left w:val="single" w:sz="4" w:space="0" w:color="auto"/>
              <w:bottom w:val="nil"/>
              <w:right w:val="single" w:sz="4" w:space="0" w:color="auto"/>
            </w:tcBorders>
            <w:shd w:val="clear" w:color="auto" w:fill="auto"/>
            <w:noWrap/>
            <w:vAlign w:val="bottom"/>
            <w:hideMark/>
          </w:tcPr>
          <w:p w14:paraId="49C4630E" w14:textId="77777777" w:rsidR="006F2CB1" w:rsidRPr="00425F23" w:rsidRDefault="006F2CB1" w:rsidP="00061C8E">
            <w:pPr>
              <w:tabs>
                <w:tab w:val="decimal" w:pos="166"/>
              </w:tabs>
              <w:jc w:val="center"/>
              <w:rPr>
                <w:color w:val="000000"/>
                <w:sz w:val="21"/>
                <w:szCs w:val="21"/>
              </w:rPr>
            </w:pPr>
            <w:r w:rsidRPr="00425F23">
              <w:rPr>
                <w:color w:val="000000"/>
                <w:sz w:val="21"/>
                <w:szCs w:val="21"/>
              </w:rPr>
              <w:t>15.84</w:t>
            </w:r>
          </w:p>
        </w:tc>
        <w:tc>
          <w:tcPr>
            <w:tcW w:w="4138" w:type="dxa"/>
            <w:tcBorders>
              <w:top w:val="nil"/>
              <w:left w:val="nil"/>
              <w:bottom w:val="nil"/>
            </w:tcBorders>
            <w:shd w:val="clear" w:color="auto" w:fill="auto"/>
            <w:noWrap/>
            <w:vAlign w:val="bottom"/>
            <w:hideMark/>
          </w:tcPr>
          <w:p w14:paraId="0E18E92E" w14:textId="77777777" w:rsidR="006F2CB1" w:rsidRPr="00425F23" w:rsidRDefault="006F2CB1" w:rsidP="00061C8E">
            <w:pPr>
              <w:rPr>
                <w:color w:val="000000"/>
                <w:sz w:val="21"/>
                <w:szCs w:val="21"/>
              </w:rPr>
            </w:pPr>
            <w:r w:rsidRPr="00425F23">
              <w:rPr>
                <w:color w:val="000000"/>
                <w:sz w:val="21"/>
                <w:szCs w:val="21"/>
              </w:rPr>
              <w:t>3+</w:t>
            </w:r>
          </w:p>
        </w:tc>
        <w:tc>
          <w:tcPr>
            <w:tcW w:w="805" w:type="dxa"/>
            <w:tcBorders>
              <w:top w:val="nil"/>
              <w:bottom w:val="nil"/>
              <w:right w:val="nil"/>
            </w:tcBorders>
            <w:shd w:val="clear" w:color="auto" w:fill="auto"/>
            <w:noWrap/>
            <w:vAlign w:val="bottom"/>
            <w:hideMark/>
          </w:tcPr>
          <w:p w14:paraId="6CB63C0F" w14:textId="77777777" w:rsidR="006F2CB1" w:rsidRPr="00425F23" w:rsidRDefault="006F2CB1" w:rsidP="00061C8E">
            <w:pPr>
              <w:jc w:val="right"/>
              <w:rPr>
                <w:color w:val="000000"/>
                <w:sz w:val="21"/>
                <w:szCs w:val="21"/>
              </w:rPr>
            </w:pPr>
            <w:r w:rsidRPr="00425F23">
              <w:rPr>
                <w:color w:val="000000"/>
                <w:sz w:val="21"/>
                <w:szCs w:val="21"/>
              </w:rPr>
              <w:t>1,361</w:t>
            </w:r>
          </w:p>
        </w:tc>
        <w:tc>
          <w:tcPr>
            <w:tcW w:w="720" w:type="dxa"/>
            <w:tcBorders>
              <w:top w:val="nil"/>
              <w:left w:val="nil"/>
              <w:bottom w:val="nil"/>
              <w:right w:val="single" w:sz="4" w:space="0" w:color="auto"/>
            </w:tcBorders>
            <w:shd w:val="clear" w:color="auto" w:fill="auto"/>
            <w:noWrap/>
            <w:vAlign w:val="bottom"/>
            <w:hideMark/>
          </w:tcPr>
          <w:p w14:paraId="262B0E0D" w14:textId="77777777" w:rsidR="006F2CB1" w:rsidRPr="00425F23" w:rsidRDefault="006F2CB1" w:rsidP="00061C8E">
            <w:pPr>
              <w:jc w:val="right"/>
              <w:rPr>
                <w:color w:val="000000"/>
                <w:sz w:val="21"/>
                <w:szCs w:val="21"/>
              </w:rPr>
            </w:pPr>
            <w:r w:rsidRPr="00425F23">
              <w:rPr>
                <w:color w:val="000000"/>
                <w:sz w:val="21"/>
                <w:szCs w:val="21"/>
              </w:rPr>
              <w:t>19.23</w:t>
            </w:r>
          </w:p>
        </w:tc>
        <w:tc>
          <w:tcPr>
            <w:tcW w:w="1350" w:type="dxa"/>
            <w:tcBorders>
              <w:top w:val="nil"/>
              <w:left w:val="single" w:sz="4" w:space="0" w:color="auto"/>
              <w:bottom w:val="nil"/>
              <w:right w:val="single" w:sz="4" w:space="0" w:color="auto"/>
            </w:tcBorders>
            <w:shd w:val="clear" w:color="auto" w:fill="auto"/>
            <w:vAlign w:val="center"/>
            <w:hideMark/>
          </w:tcPr>
          <w:p w14:paraId="5CC6D346" w14:textId="77777777" w:rsidR="006F2CB1" w:rsidRPr="00425F23" w:rsidRDefault="006F2CB1" w:rsidP="00061C8E">
            <w:pPr>
              <w:jc w:val="center"/>
              <w:rPr>
                <w:color w:val="000000"/>
                <w:sz w:val="21"/>
                <w:szCs w:val="21"/>
              </w:rPr>
            </w:pPr>
            <w:r>
              <w:rPr>
                <w:color w:val="000000"/>
                <w:sz w:val="21"/>
                <w:szCs w:val="21"/>
              </w:rPr>
              <w:t>36.40</w:t>
            </w:r>
          </w:p>
        </w:tc>
      </w:tr>
      <w:tr w:rsidR="006F2CB1" w:rsidRPr="00425F23" w14:paraId="6BD9FAA5"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7C945E3D" w14:textId="77777777" w:rsidR="006F2CB1" w:rsidRPr="00425F23" w:rsidRDefault="006F2CB1" w:rsidP="00061C8E">
            <w:pPr>
              <w:rPr>
                <w:color w:val="000000"/>
                <w:sz w:val="21"/>
                <w:szCs w:val="21"/>
              </w:rPr>
            </w:pPr>
            <w:r w:rsidRPr="00425F23">
              <w:rPr>
                <w:color w:val="000000"/>
                <w:sz w:val="21"/>
                <w:szCs w:val="21"/>
              </w:rPr>
              <w:t>55-64</w:t>
            </w:r>
          </w:p>
        </w:tc>
        <w:tc>
          <w:tcPr>
            <w:tcW w:w="813" w:type="dxa"/>
            <w:tcBorders>
              <w:top w:val="nil"/>
              <w:left w:val="nil"/>
              <w:bottom w:val="nil"/>
              <w:right w:val="nil"/>
            </w:tcBorders>
            <w:shd w:val="clear" w:color="auto" w:fill="auto"/>
            <w:noWrap/>
            <w:vAlign w:val="bottom"/>
            <w:hideMark/>
          </w:tcPr>
          <w:p w14:paraId="62F03F0C" w14:textId="77777777" w:rsidR="006F2CB1" w:rsidRPr="00425F23" w:rsidRDefault="006F2CB1" w:rsidP="00061C8E">
            <w:pPr>
              <w:jc w:val="right"/>
              <w:rPr>
                <w:color w:val="000000"/>
                <w:sz w:val="21"/>
                <w:szCs w:val="21"/>
              </w:rPr>
            </w:pPr>
            <w:r w:rsidRPr="00425F23">
              <w:rPr>
                <w:color w:val="000000"/>
                <w:sz w:val="21"/>
                <w:szCs w:val="21"/>
              </w:rPr>
              <w:t>1,271</w:t>
            </w:r>
          </w:p>
        </w:tc>
        <w:tc>
          <w:tcPr>
            <w:tcW w:w="722" w:type="dxa"/>
            <w:tcBorders>
              <w:top w:val="nil"/>
              <w:left w:val="nil"/>
              <w:bottom w:val="nil"/>
              <w:right w:val="nil"/>
            </w:tcBorders>
            <w:shd w:val="clear" w:color="auto" w:fill="auto"/>
            <w:noWrap/>
            <w:vAlign w:val="bottom"/>
            <w:hideMark/>
          </w:tcPr>
          <w:p w14:paraId="35AF96FC" w14:textId="77777777" w:rsidR="006F2CB1" w:rsidRPr="00425F23" w:rsidRDefault="006F2CB1" w:rsidP="00061C8E">
            <w:pPr>
              <w:jc w:val="right"/>
              <w:rPr>
                <w:color w:val="000000"/>
                <w:sz w:val="21"/>
                <w:szCs w:val="21"/>
              </w:rPr>
            </w:pPr>
            <w:r w:rsidRPr="00425F23">
              <w:rPr>
                <w:color w:val="000000"/>
                <w:sz w:val="21"/>
                <w:szCs w:val="21"/>
              </w:rPr>
              <w:t>17.96</w:t>
            </w:r>
          </w:p>
        </w:tc>
        <w:tc>
          <w:tcPr>
            <w:tcW w:w="1345" w:type="dxa"/>
            <w:tcBorders>
              <w:top w:val="nil"/>
              <w:left w:val="single" w:sz="4" w:space="0" w:color="auto"/>
              <w:bottom w:val="nil"/>
              <w:right w:val="single" w:sz="4" w:space="0" w:color="auto"/>
            </w:tcBorders>
            <w:shd w:val="clear" w:color="auto" w:fill="auto"/>
            <w:noWrap/>
            <w:vAlign w:val="bottom"/>
            <w:hideMark/>
          </w:tcPr>
          <w:p w14:paraId="2C402368" w14:textId="77777777" w:rsidR="006F2CB1" w:rsidRPr="00425F23" w:rsidRDefault="006F2CB1" w:rsidP="00061C8E">
            <w:pPr>
              <w:tabs>
                <w:tab w:val="decimal" w:pos="166"/>
              </w:tabs>
              <w:jc w:val="center"/>
              <w:rPr>
                <w:color w:val="000000"/>
                <w:sz w:val="21"/>
                <w:szCs w:val="21"/>
              </w:rPr>
            </w:pPr>
            <w:r w:rsidRPr="00425F23">
              <w:rPr>
                <w:color w:val="000000"/>
                <w:sz w:val="21"/>
                <w:szCs w:val="21"/>
              </w:rPr>
              <w:t>16.82</w:t>
            </w:r>
          </w:p>
        </w:tc>
        <w:tc>
          <w:tcPr>
            <w:tcW w:w="4138" w:type="dxa"/>
            <w:tcBorders>
              <w:top w:val="nil"/>
              <w:left w:val="nil"/>
              <w:bottom w:val="nil"/>
            </w:tcBorders>
            <w:shd w:val="clear" w:color="auto" w:fill="auto"/>
            <w:noWrap/>
            <w:vAlign w:val="bottom"/>
            <w:hideMark/>
          </w:tcPr>
          <w:p w14:paraId="339B08CD" w14:textId="77777777" w:rsidR="006F2CB1" w:rsidRPr="00425F23" w:rsidRDefault="006F2CB1" w:rsidP="00061C8E">
            <w:pPr>
              <w:rPr>
                <w:b/>
                <w:bCs/>
                <w:color w:val="000000"/>
                <w:sz w:val="21"/>
                <w:szCs w:val="21"/>
              </w:rPr>
            </w:pPr>
            <w:r w:rsidRPr="00425F23">
              <w:rPr>
                <w:b/>
                <w:bCs/>
                <w:color w:val="000000"/>
                <w:sz w:val="21"/>
                <w:szCs w:val="21"/>
              </w:rPr>
              <w:t>Presence of Children (no children)</w:t>
            </w:r>
          </w:p>
        </w:tc>
        <w:tc>
          <w:tcPr>
            <w:tcW w:w="805" w:type="dxa"/>
            <w:tcBorders>
              <w:top w:val="nil"/>
              <w:bottom w:val="nil"/>
              <w:right w:val="nil"/>
            </w:tcBorders>
            <w:shd w:val="clear" w:color="auto" w:fill="auto"/>
            <w:noWrap/>
            <w:vAlign w:val="bottom"/>
            <w:hideMark/>
          </w:tcPr>
          <w:p w14:paraId="5DAD66E7" w14:textId="77777777" w:rsidR="006F2CB1" w:rsidRPr="00425F23" w:rsidRDefault="006F2CB1" w:rsidP="00061C8E">
            <w:pPr>
              <w:rPr>
                <w:b/>
                <w:bCs/>
                <w:color w:val="000000"/>
                <w:sz w:val="21"/>
                <w:szCs w:val="21"/>
              </w:rPr>
            </w:pPr>
          </w:p>
        </w:tc>
        <w:tc>
          <w:tcPr>
            <w:tcW w:w="720" w:type="dxa"/>
            <w:tcBorders>
              <w:top w:val="nil"/>
              <w:left w:val="nil"/>
              <w:bottom w:val="nil"/>
              <w:right w:val="single" w:sz="4" w:space="0" w:color="auto"/>
            </w:tcBorders>
            <w:shd w:val="clear" w:color="auto" w:fill="auto"/>
            <w:noWrap/>
            <w:vAlign w:val="bottom"/>
            <w:hideMark/>
          </w:tcPr>
          <w:p w14:paraId="6051A23A" w14:textId="77777777" w:rsidR="006F2CB1" w:rsidRPr="00425F23" w:rsidRDefault="006F2CB1" w:rsidP="00061C8E">
            <w:pPr>
              <w:rPr>
                <w:color w:val="000000"/>
                <w:sz w:val="21"/>
                <w:szCs w:val="21"/>
              </w:rPr>
            </w:pPr>
            <w:r w:rsidRPr="00425F23">
              <w:rPr>
                <w:color w:val="000000"/>
                <w:sz w:val="21"/>
                <w:szCs w:val="21"/>
              </w:rPr>
              <w:t> </w:t>
            </w:r>
          </w:p>
        </w:tc>
        <w:tc>
          <w:tcPr>
            <w:tcW w:w="1350" w:type="dxa"/>
            <w:tcBorders>
              <w:top w:val="nil"/>
              <w:left w:val="nil"/>
              <w:bottom w:val="nil"/>
              <w:right w:val="single" w:sz="4" w:space="0" w:color="auto"/>
            </w:tcBorders>
            <w:shd w:val="clear" w:color="auto" w:fill="auto"/>
            <w:noWrap/>
            <w:vAlign w:val="bottom"/>
            <w:hideMark/>
          </w:tcPr>
          <w:p w14:paraId="36C98401" w14:textId="77777777" w:rsidR="006F2CB1" w:rsidRPr="00425F23" w:rsidRDefault="006F2CB1" w:rsidP="00061C8E">
            <w:pPr>
              <w:jc w:val="center"/>
              <w:rPr>
                <w:color w:val="000000"/>
                <w:sz w:val="21"/>
                <w:szCs w:val="21"/>
              </w:rPr>
            </w:pPr>
          </w:p>
        </w:tc>
      </w:tr>
      <w:tr w:rsidR="006F2CB1" w:rsidRPr="00425F23" w14:paraId="05A1E2B2"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24717571" w14:textId="77777777" w:rsidR="006F2CB1" w:rsidRPr="00425F23" w:rsidRDefault="006F2CB1" w:rsidP="00061C8E">
            <w:pPr>
              <w:rPr>
                <w:color w:val="000000"/>
                <w:sz w:val="21"/>
                <w:szCs w:val="21"/>
              </w:rPr>
            </w:pPr>
            <w:r w:rsidRPr="00425F23">
              <w:rPr>
                <w:color w:val="000000"/>
                <w:sz w:val="21"/>
                <w:szCs w:val="21"/>
              </w:rPr>
              <w:t>65+</w:t>
            </w:r>
          </w:p>
        </w:tc>
        <w:tc>
          <w:tcPr>
            <w:tcW w:w="813" w:type="dxa"/>
            <w:tcBorders>
              <w:top w:val="nil"/>
              <w:left w:val="nil"/>
              <w:bottom w:val="nil"/>
              <w:right w:val="nil"/>
            </w:tcBorders>
            <w:shd w:val="clear" w:color="auto" w:fill="auto"/>
            <w:noWrap/>
            <w:vAlign w:val="bottom"/>
            <w:hideMark/>
          </w:tcPr>
          <w:p w14:paraId="2FB3404D" w14:textId="77777777" w:rsidR="006F2CB1" w:rsidRPr="00425F23" w:rsidRDefault="006F2CB1" w:rsidP="00061C8E">
            <w:pPr>
              <w:jc w:val="right"/>
              <w:rPr>
                <w:color w:val="000000"/>
                <w:sz w:val="21"/>
                <w:szCs w:val="21"/>
              </w:rPr>
            </w:pPr>
            <w:r w:rsidRPr="00425F23">
              <w:rPr>
                <w:color w:val="000000"/>
                <w:sz w:val="21"/>
                <w:szCs w:val="21"/>
              </w:rPr>
              <w:t>2,241</w:t>
            </w:r>
          </w:p>
        </w:tc>
        <w:tc>
          <w:tcPr>
            <w:tcW w:w="722" w:type="dxa"/>
            <w:tcBorders>
              <w:top w:val="nil"/>
              <w:left w:val="nil"/>
              <w:bottom w:val="nil"/>
              <w:right w:val="nil"/>
            </w:tcBorders>
            <w:shd w:val="clear" w:color="auto" w:fill="auto"/>
            <w:noWrap/>
            <w:vAlign w:val="bottom"/>
            <w:hideMark/>
          </w:tcPr>
          <w:p w14:paraId="0AB6920F" w14:textId="77777777" w:rsidR="006F2CB1" w:rsidRPr="00425F23" w:rsidRDefault="006F2CB1" w:rsidP="00061C8E">
            <w:pPr>
              <w:jc w:val="right"/>
              <w:rPr>
                <w:color w:val="000000"/>
                <w:sz w:val="21"/>
                <w:szCs w:val="21"/>
              </w:rPr>
            </w:pPr>
            <w:r w:rsidRPr="00425F23">
              <w:rPr>
                <w:color w:val="000000"/>
                <w:sz w:val="21"/>
                <w:szCs w:val="21"/>
              </w:rPr>
              <w:t>31.67</w:t>
            </w:r>
          </w:p>
        </w:tc>
        <w:tc>
          <w:tcPr>
            <w:tcW w:w="1345" w:type="dxa"/>
            <w:tcBorders>
              <w:top w:val="nil"/>
              <w:left w:val="single" w:sz="4" w:space="0" w:color="auto"/>
              <w:bottom w:val="nil"/>
              <w:right w:val="single" w:sz="4" w:space="0" w:color="auto"/>
            </w:tcBorders>
            <w:shd w:val="clear" w:color="auto" w:fill="auto"/>
            <w:noWrap/>
            <w:vAlign w:val="bottom"/>
            <w:hideMark/>
          </w:tcPr>
          <w:p w14:paraId="190DF2E3" w14:textId="77777777" w:rsidR="006F2CB1" w:rsidRPr="00425F23" w:rsidRDefault="006F2CB1" w:rsidP="00061C8E">
            <w:pPr>
              <w:tabs>
                <w:tab w:val="decimal" w:pos="166"/>
              </w:tabs>
              <w:jc w:val="center"/>
              <w:rPr>
                <w:color w:val="000000"/>
                <w:sz w:val="21"/>
                <w:szCs w:val="21"/>
              </w:rPr>
            </w:pPr>
            <w:r w:rsidRPr="00425F23">
              <w:rPr>
                <w:color w:val="000000"/>
                <w:sz w:val="21"/>
                <w:szCs w:val="21"/>
              </w:rPr>
              <w:t>21.62</w:t>
            </w:r>
          </w:p>
        </w:tc>
        <w:tc>
          <w:tcPr>
            <w:tcW w:w="4138" w:type="dxa"/>
            <w:tcBorders>
              <w:top w:val="nil"/>
              <w:left w:val="nil"/>
              <w:bottom w:val="nil"/>
            </w:tcBorders>
            <w:shd w:val="clear" w:color="auto" w:fill="auto"/>
            <w:noWrap/>
            <w:vAlign w:val="bottom"/>
            <w:hideMark/>
          </w:tcPr>
          <w:p w14:paraId="472BB319" w14:textId="77777777" w:rsidR="006F2CB1" w:rsidRPr="00425F23" w:rsidRDefault="006F2CB1" w:rsidP="00061C8E">
            <w:pPr>
              <w:rPr>
                <w:color w:val="000000"/>
                <w:sz w:val="21"/>
                <w:szCs w:val="21"/>
              </w:rPr>
            </w:pPr>
            <w:r w:rsidRPr="00425F23">
              <w:rPr>
                <w:color w:val="000000"/>
                <w:sz w:val="21"/>
                <w:szCs w:val="21"/>
              </w:rPr>
              <w:t>Children</w:t>
            </w:r>
          </w:p>
        </w:tc>
        <w:tc>
          <w:tcPr>
            <w:tcW w:w="805" w:type="dxa"/>
            <w:tcBorders>
              <w:top w:val="nil"/>
              <w:bottom w:val="nil"/>
              <w:right w:val="nil"/>
            </w:tcBorders>
            <w:shd w:val="clear" w:color="auto" w:fill="auto"/>
            <w:noWrap/>
            <w:vAlign w:val="bottom"/>
            <w:hideMark/>
          </w:tcPr>
          <w:p w14:paraId="7282AE9B" w14:textId="77777777" w:rsidR="006F2CB1" w:rsidRPr="00425F23" w:rsidRDefault="006F2CB1" w:rsidP="00061C8E">
            <w:pPr>
              <w:jc w:val="right"/>
              <w:rPr>
                <w:color w:val="000000"/>
                <w:sz w:val="21"/>
                <w:szCs w:val="21"/>
              </w:rPr>
            </w:pPr>
            <w:r w:rsidRPr="00425F23">
              <w:rPr>
                <w:color w:val="000000"/>
                <w:sz w:val="21"/>
                <w:szCs w:val="21"/>
              </w:rPr>
              <w:t>1,586</w:t>
            </w:r>
          </w:p>
        </w:tc>
        <w:tc>
          <w:tcPr>
            <w:tcW w:w="720" w:type="dxa"/>
            <w:tcBorders>
              <w:top w:val="nil"/>
              <w:left w:val="nil"/>
              <w:bottom w:val="nil"/>
              <w:right w:val="single" w:sz="4" w:space="0" w:color="auto"/>
            </w:tcBorders>
            <w:shd w:val="clear" w:color="auto" w:fill="auto"/>
            <w:noWrap/>
            <w:vAlign w:val="bottom"/>
            <w:hideMark/>
          </w:tcPr>
          <w:p w14:paraId="1A715910" w14:textId="77777777" w:rsidR="006F2CB1" w:rsidRPr="00425F23" w:rsidRDefault="006F2CB1" w:rsidP="00061C8E">
            <w:pPr>
              <w:jc w:val="right"/>
              <w:rPr>
                <w:color w:val="000000"/>
                <w:sz w:val="21"/>
                <w:szCs w:val="21"/>
              </w:rPr>
            </w:pPr>
            <w:r w:rsidRPr="00425F23">
              <w:rPr>
                <w:color w:val="000000"/>
                <w:sz w:val="21"/>
                <w:szCs w:val="21"/>
              </w:rPr>
              <w:t>22.41</w:t>
            </w:r>
          </w:p>
        </w:tc>
        <w:tc>
          <w:tcPr>
            <w:tcW w:w="1350" w:type="dxa"/>
            <w:tcBorders>
              <w:top w:val="nil"/>
              <w:left w:val="nil"/>
              <w:bottom w:val="nil"/>
              <w:right w:val="single" w:sz="4" w:space="0" w:color="auto"/>
            </w:tcBorders>
            <w:shd w:val="clear" w:color="auto" w:fill="auto"/>
            <w:noWrap/>
            <w:vAlign w:val="bottom"/>
            <w:hideMark/>
          </w:tcPr>
          <w:p w14:paraId="09726BE5" w14:textId="77777777" w:rsidR="006F2CB1" w:rsidRPr="00425F23" w:rsidRDefault="006F2CB1" w:rsidP="00061C8E">
            <w:pPr>
              <w:jc w:val="center"/>
              <w:rPr>
                <w:color w:val="000000"/>
                <w:sz w:val="21"/>
                <w:szCs w:val="21"/>
              </w:rPr>
            </w:pPr>
            <w:r w:rsidRPr="00425F23">
              <w:rPr>
                <w:color w:val="000000"/>
                <w:sz w:val="21"/>
                <w:szCs w:val="21"/>
              </w:rPr>
              <w:t>30.39</w:t>
            </w:r>
          </w:p>
        </w:tc>
      </w:tr>
      <w:tr w:rsidR="006F2CB1" w:rsidRPr="00425F23" w14:paraId="364CEFBE" w14:textId="77777777" w:rsidTr="0074176E">
        <w:trPr>
          <w:gridAfter w:val="1"/>
          <w:wAfter w:w="7" w:type="dxa"/>
          <w:trHeight w:val="259"/>
          <w:jc w:val="center"/>
        </w:trPr>
        <w:tc>
          <w:tcPr>
            <w:tcW w:w="3958" w:type="dxa"/>
            <w:gridSpan w:val="2"/>
            <w:tcBorders>
              <w:top w:val="nil"/>
              <w:left w:val="single" w:sz="4" w:space="0" w:color="auto"/>
              <w:bottom w:val="nil"/>
              <w:right w:val="nil"/>
            </w:tcBorders>
            <w:shd w:val="clear" w:color="auto" w:fill="auto"/>
            <w:noWrap/>
            <w:vAlign w:val="bottom"/>
            <w:hideMark/>
          </w:tcPr>
          <w:p w14:paraId="2E828A7A" w14:textId="77777777" w:rsidR="006F2CB1" w:rsidRPr="00425F23" w:rsidRDefault="006F2CB1" w:rsidP="00061C8E">
            <w:pPr>
              <w:rPr>
                <w:b/>
                <w:bCs/>
                <w:color w:val="000000"/>
                <w:sz w:val="21"/>
                <w:szCs w:val="21"/>
              </w:rPr>
            </w:pPr>
            <w:r w:rsidRPr="00425F23">
              <w:rPr>
                <w:b/>
                <w:bCs/>
                <w:color w:val="000000"/>
                <w:sz w:val="21"/>
                <w:szCs w:val="21"/>
              </w:rPr>
              <w:t>Education Level</w:t>
            </w:r>
          </w:p>
        </w:tc>
        <w:tc>
          <w:tcPr>
            <w:tcW w:w="722" w:type="dxa"/>
            <w:tcBorders>
              <w:top w:val="nil"/>
              <w:left w:val="nil"/>
              <w:bottom w:val="nil"/>
              <w:right w:val="nil"/>
            </w:tcBorders>
            <w:shd w:val="clear" w:color="auto" w:fill="auto"/>
            <w:noWrap/>
            <w:vAlign w:val="bottom"/>
            <w:hideMark/>
          </w:tcPr>
          <w:p w14:paraId="61072C8E" w14:textId="77777777" w:rsidR="006F2CB1" w:rsidRPr="00425F23" w:rsidRDefault="006F2CB1" w:rsidP="00061C8E">
            <w:pPr>
              <w:rPr>
                <w:b/>
                <w:bCs/>
                <w:color w:val="000000"/>
                <w:sz w:val="21"/>
                <w:szCs w:val="21"/>
              </w:rPr>
            </w:pPr>
          </w:p>
        </w:tc>
        <w:tc>
          <w:tcPr>
            <w:tcW w:w="1345" w:type="dxa"/>
            <w:tcBorders>
              <w:top w:val="nil"/>
              <w:left w:val="single" w:sz="4" w:space="0" w:color="auto"/>
              <w:bottom w:val="nil"/>
              <w:right w:val="single" w:sz="4" w:space="0" w:color="auto"/>
            </w:tcBorders>
            <w:shd w:val="clear" w:color="auto" w:fill="auto"/>
            <w:noWrap/>
            <w:vAlign w:val="bottom"/>
            <w:hideMark/>
          </w:tcPr>
          <w:p w14:paraId="6B45334D" w14:textId="77777777" w:rsidR="006F2CB1" w:rsidRPr="00425F23" w:rsidRDefault="006F2CB1" w:rsidP="00061C8E">
            <w:pPr>
              <w:tabs>
                <w:tab w:val="decimal" w:pos="166"/>
              </w:tabs>
              <w:jc w:val="center"/>
              <w:rPr>
                <w:color w:val="000000"/>
                <w:sz w:val="21"/>
                <w:szCs w:val="21"/>
              </w:rPr>
            </w:pPr>
          </w:p>
        </w:tc>
        <w:tc>
          <w:tcPr>
            <w:tcW w:w="4138" w:type="dxa"/>
            <w:tcBorders>
              <w:top w:val="nil"/>
              <w:left w:val="nil"/>
              <w:bottom w:val="nil"/>
            </w:tcBorders>
            <w:shd w:val="clear" w:color="auto" w:fill="auto"/>
            <w:noWrap/>
            <w:vAlign w:val="bottom"/>
            <w:hideMark/>
          </w:tcPr>
          <w:p w14:paraId="58CE0A81" w14:textId="77777777" w:rsidR="006F2CB1" w:rsidRPr="00425F23" w:rsidRDefault="006F2CB1" w:rsidP="00061C8E">
            <w:pPr>
              <w:rPr>
                <w:color w:val="000000"/>
                <w:sz w:val="21"/>
                <w:szCs w:val="21"/>
              </w:rPr>
            </w:pPr>
            <w:r w:rsidRPr="00425F23">
              <w:rPr>
                <w:color w:val="000000"/>
                <w:sz w:val="21"/>
                <w:szCs w:val="21"/>
              </w:rPr>
              <w:t>No children</w:t>
            </w:r>
          </w:p>
        </w:tc>
        <w:tc>
          <w:tcPr>
            <w:tcW w:w="805" w:type="dxa"/>
            <w:tcBorders>
              <w:top w:val="nil"/>
              <w:bottom w:val="nil"/>
              <w:right w:val="nil"/>
            </w:tcBorders>
            <w:shd w:val="clear" w:color="auto" w:fill="auto"/>
            <w:noWrap/>
            <w:vAlign w:val="bottom"/>
            <w:hideMark/>
          </w:tcPr>
          <w:p w14:paraId="7375E8AD" w14:textId="77777777" w:rsidR="006F2CB1" w:rsidRPr="00425F23" w:rsidRDefault="006F2CB1" w:rsidP="00061C8E">
            <w:pPr>
              <w:jc w:val="right"/>
              <w:rPr>
                <w:color w:val="000000"/>
                <w:sz w:val="21"/>
                <w:szCs w:val="21"/>
              </w:rPr>
            </w:pPr>
            <w:r w:rsidRPr="00425F23">
              <w:rPr>
                <w:color w:val="000000"/>
                <w:sz w:val="21"/>
                <w:szCs w:val="21"/>
              </w:rPr>
              <w:t>5,490</w:t>
            </w:r>
          </w:p>
        </w:tc>
        <w:tc>
          <w:tcPr>
            <w:tcW w:w="720" w:type="dxa"/>
            <w:tcBorders>
              <w:top w:val="nil"/>
              <w:left w:val="nil"/>
              <w:bottom w:val="nil"/>
              <w:right w:val="single" w:sz="4" w:space="0" w:color="auto"/>
            </w:tcBorders>
            <w:shd w:val="clear" w:color="auto" w:fill="auto"/>
            <w:noWrap/>
            <w:vAlign w:val="bottom"/>
            <w:hideMark/>
          </w:tcPr>
          <w:p w14:paraId="0D6C31AE" w14:textId="77777777" w:rsidR="006F2CB1" w:rsidRPr="00425F23" w:rsidRDefault="006F2CB1" w:rsidP="00061C8E">
            <w:pPr>
              <w:jc w:val="right"/>
              <w:rPr>
                <w:color w:val="000000"/>
                <w:sz w:val="21"/>
                <w:szCs w:val="21"/>
              </w:rPr>
            </w:pPr>
            <w:r w:rsidRPr="00425F23">
              <w:rPr>
                <w:color w:val="000000"/>
                <w:sz w:val="21"/>
                <w:szCs w:val="21"/>
              </w:rPr>
              <w:t>77.59</w:t>
            </w:r>
          </w:p>
        </w:tc>
        <w:tc>
          <w:tcPr>
            <w:tcW w:w="1350" w:type="dxa"/>
            <w:tcBorders>
              <w:top w:val="nil"/>
              <w:left w:val="nil"/>
              <w:bottom w:val="nil"/>
              <w:right w:val="single" w:sz="4" w:space="0" w:color="auto"/>
            </w:tcBorders>
            <w:shd w:val="clear" w:color="auto" w:fill="auto"/>
            <w:noWrap/>
            <w:vAlign w:val="bottom"/>
            <w:hideMark/>
          </w:tcPr>
          <w:p w14:paraId="0ABAAB5E" w14:textId="77777777" w:rsidR="006F2CB1" w:rsidRPr="00425F23" w:rsidRDefault="006F2CB1" w:rsidP="00061C8E">
            <w:pPr>
              <w:jc w:val="center"/>
              <w:rPr>
                <w:color w:val="000000"/>
                <w:sz w:val="21"/>
                <w:szCs w:val="21"/>
              </w:rPr>
            </w:pPr>
            <w:r w:rsidRPr="00425F23">
              <w:rPr>
                <w:color w:val="000000"/>
                <w:sz w:val="21"/>
                <w:szCs w:val="21"/>
              </w:rPr>
              <w:t>69.61</w:t>
            </w:r>
          </w:p>
        </w:tc>
      </w:tr>
      <w:tr w:rsidR="006F2CB1" w:rsidRPr="00425F23" w14:paraId="4E805A93"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40962783" w14:textId="69520342" w:rsidR="006F2CB1" w:rsidRPr="00425F23" w:rsidRDefault="006F2CB1" w:rsidP="00061C8E">
            <w:pPr>
              <w:rPr>
                <w:color w:val="000000"/>
                <w:sz w:val="21"/>
                <w:szCs w:val="21"/>
              </w:rPr>
            </w:pPr>
            <w:r w:rsidRPr="00425F23">
              <w:rPr>
                <w:color w:val="000000"/>
                <w:sz w:val="21"/>
                <w:szCs w:val="21"/>
              </w:rPr>
              <w:t xml:space="preserve">High </w:t>
            </w:r>
            <w:r>
              <w:rPr>
                <w:color w:val="000000"/>
                <w:sz w:val="21"/>
                <w:szCs w:val="21"/>
              </w:rPr>
              <w:t>s</w:t>
            </w:r>
            <w:r w:rsidRPr="00425F23">
              <w:rPr>
                <w:color w:val="000000"/>
                <w:sz w:val="21"/>
                <w:szCs w:val="21"/>
              </w:rPr>
              <w:t>chool diploma or less</w:t>
            </w:r>
          </w:p>
        </w:tc>
        <w:tc>
          <w:tcPr>
            <w:tcW w:w="813" w:type="dxa"/>
            <w:tcBorders>
              <w:top w:val="nil"/>
              <w:left w:val="nil"/>
              <w:bottom w:val="nil"/>
              <w:right w:val="nil"/>
            </w:tcBorders>
            <w:shd w:val="clear" w:color="auto" w:fill="auto"/>
            <w:noWrap/>
            <w:vAlign w:val="bottom"/>
            <w:hideMark/>
          </w:tcPr>
          <w:p w14:paraId="5B769E1C" w14:textId="77777777" w:rsidR="006F2CB1" w:rsidRPr="00425F23" w:rsidRDefault="006F2CB1" w:rsidP="00061C8E">
            <w:pPr>
              <w:jc w:val="right"/>
              <w:rPr>
                <w:color w:val="000000"/>
                <w:sz w:val="21"/>
                <w:szCs w:val="21"/>
              </w:rPr>
            </w:pPr>
            <w:r w:rsidRPr="00425F23">
              <w:rPr>
                <w:color w:val="000000"/>
                <w:sz w:val="21"/>
                <w:szCs w:val="21"/>
              </w:rPr>
              <w:t>1,148</w:t>
            </w:r>
          </w:p>
        </w:tc>
        <w:tc>
          <w:tcPr>
            <w:tcW w:w="722" w:type="dxa"/>
            <w:tcBorders>
              <w:top w:val="nil"/>
              <w:left w:val="nil"/>
              <w:bottom w:val="nil"/>
              <w:right w:val="nil"/>
            </w:tcBorders>
            <w:shd w:val="clear" w:color="auto" w:fill="auto"/>
            <w:noWrap/>
            <w:vAlign w:val="bottom"/>
            <w:hideMark/>
          </w:tcPr>
          <w:p w14:paraId="709C89FC" w14:textId="77777777" w:rsidR="006F2CB1" w:rsidRPr="00425F23" w:rsidRDefault="006F2CB1" w:rsidP="00061C8E">
            <w:pPr>
              <w:jc w:val="right"/>
              <w:rPr>
                <w:color w:val="000000"/>
                <w:sz w:val="21"/>
                <w:szCs w:val="21"/>
              </w:rPr>
            </w:pPr>
            <w:r w:rsidRPr="00425F23">
              <w:rPr>
                <w:color w:val="000000"/>
                <w:sz w:val="21"/>
                <w:szCs w:val="21"/>
              </w:rPr>
              <w:t>16.22</w:t>
            </w:r>
          </w:p>
        </w:tc>
        <w:tc>
          <w:tcPr>
            <w:tcW w:w="1345" w:type="dxa"/>
            <w:tcBorders>
              <w:top w:val="nil"/>
              <w:left w:val="single" w:sz="4" w:space="0" w:color="auto"/>
              <w:bottom w:val="nil"/>
              <w:right w:val="single" w:sz="4" w:space="0" w:color="auto"/>
            </w:tcBorders>
            <w:shd w:val="clear" w:color="auto" w:fill="auto"/>
            <w:noWrap/>
            <w:vAlign w:val="bottom"/>
            <w:hideMark/>
          </w:tcPr>
          <w:p w14:paraId="40668561" w14:textId="77777777" w:rsidR="006F2CB1" w:rsidRPr="00425F23" w:rsidRDefault="006F2CB1" w:rsidP="00061C8E">
            <w:pPr>
              <w:tabs>
                <w:tab w:val="decimal" w:pos="166"/>
              </w:tabs>
              <w:jc w:val="center"/>
              <w:rPr>
                <w:color w:val="000000"/>
                <w:sz w:val="21"/>
                <w:szCs w:val="21"/>
              </w:rPr>
            </w:pPr>
            <w:r>
              <w:rPr>
                <w:color w:val="000000"/>
                <w:sz w:val="21"/>
                <w:szCs w:val="21"/>
              </w:rPr>
              <w:t>48.23</w:t>
            </w:r>
          </w:p>
        </w:tc>
        <w:tc>
          <w:tcPr>
            <w:tcW w:w="4138" w:type="dxa"/>
            <w:tcBorders>
              <w:top w:val="nil"/>
              <w:left w:val="nil"/>
              <w:bottom w:val="nil"/>
            </w:tcBorders>
            <w:shd w:val="clear" w:color="auto" w:fill="auto"/>
            <w:noWrap/>
            <w:vAlign w:val="bottom"/>
            <w:hideMark/>
          </w:tcPr>
          <w:p w14:paraId="3817A564" w14:textId="77777777" w:rsidR="006F2CB1" w:rsidRPr="00425F23" w:rsidRDefault="006F2CB1" w:rsidP="00061C8E">
            <w:pPr>
              <w:rPr>
                <w:b/>
                <w:bCs/>
                <w:color w:val="000000"/>
                <w:sz w:val="21"/>
                <w:szCs w:val="21"/>
              </w:rPr>
            </w:pPr>
            <w:r w:rsidRPr="00425F23">
              <w:rPr>
                <w:b/>
                <w:bCs/>
                <w:color w:val="000000"/>
                <w:sz w:val="21"/>
                <w:szCs w:val="21"/>
              </w:rPr>
              <w:t>Number of Workers</w:t>
            </w:r>
          </w:p>
        </w:tc>
        <w:tc>
          <w:tcPr>
            <w:tcW w:w="805" w:type="dxa"/>
            <w:tcBorders>
              <w:top w:val="nil"/>
              <w:bottom w:val="nil"/>
              <w:right w:val="nil"/>
            </w:tcBorders>
            <w:shd w:val="clear" w:color="auto" w:fill="auto"/>
            <w:noWrap/>
            <w:vAlign w:val="bottom"/>
            <w:hideMark/>
          </w:tcPr>
          <w:p w14:paraId="7E30CE48" w14:textId="77777777" w:rsidR="006F2CB1" w:rsidRPr="00425F23" w:rsidRDefault="006F2CB1" w:rsidP="00061C8E">
            <w:pPr>
              <w:rPr>
                <w:b/>
                <w:bCs/>
                <w:color w:val="000000"/>
                <w:sz w:val="21"/>
                <w:szCs w:val="21"/>
              </w:rPr>
            </w:pPr>
          </w:p>
        </w:tc>
        <w:tc>
          <w:tcPr>
            <w:tcW w:w="720" w:type="dxa"/>
            <w:tcBorders>
              <w:top w:val="nil"/>
              <w:left w:val="nil"/>
              <w:bottom w:val="nil"/>
              <w:right w:val="single" w:sz="4" w:space="0" w:color="auto"/>
            </w:tcBorders>
            <w:shd w:val="clear" w:color="auto" w:fill="auto"/>
            <w:noWrap/>
            <w:vAlign w:val="bottom"/>
            <w:hideMark/>
          </w:tcPr>
          <w:p w14:paraId="3166A202" w14:textId="77777777" w:rsidR="006F2CB1" w:rsidRPr="00425F23" w:rsidRDefault="006F2CB1" w:rsidP="00061C8E">
            <w:pPr>
              <w:rPr>
                <w:color w:val="000000"/>
                <w:sz w:val="21"/>
                <w:szCs w:val="21"/>
              </w:rPr>
            </w:pPr>
            <w:r w:rsidRPr="00425F23">
              <w:rPr>
                <w:color w:val="000000"/>
                <w:sz w:val="21"/>
                <w:szCs w:val="21"/>
              </w:rPr>
              <w:t> </w:t>
            </w:r>
          </w:p>
        </w:tc>
        <w:tc>
          <w:tcPr>
            <w:tcW w:w="1350" w:type="dxa"/>
            <w:tcBorders>
              <w:top w:val="nil"/>
              <w:left w:val="nil"/>
              <w:bottom w:val="nil"/>
              <w:right w:val="single" w:sz="4" w:space="0" w:color="auto"/>
            </w:tcBorders>
            <w:shd w:val="clear" w:color="auto" w:fill="auto"/>
            <w:noWrap/>
            <w:vAlign w:val="bottom"/>
            <w:hideMark/>
          </w:tcPr>
          <w:p w14:paraId="4961F853" w14:textId="77777777" w:rsidR="006F2CB1" w:rsidRPr="00425F23" w:rsidRDefault="006F2CB1" w:rsidP="00061C8E">
            <w:pPr>
              <w:jc w:val="center"/>
              <w:rPr>
                <w:color w:val="000000"/>
                <w:sz w:val="21"/>
                <w:szCs w:val="21"/>
              </w:rPr>
            </w:pPr>
          </w:p>
        </w:tc>
      </w:tr>
      <w:tr w:rsidR="006F2CB1" w:rsidRPr="00425F23" w14:paraId="7DF3BE69"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2D1F8BC0" w14:textId="77777777" w:rsidR="006F2CB1" w:rsidRPr="00425F23" w:rsidRDefault="006F2CB1" w:rsidP="00061C8E">
            <w:pPr>
              <w:rPr>
                <w:color w:val="000000"/>
                <w:sz w:val="21"/>
                <w:szCs w:val="21"/>
              </w:rPr>
            </w:pPr>
            <w:r w:rsidRPr="00425F23">
              <w:rPr>
                <w:color w:val="000000"/>
                <w:sz w:val="21"/>
                <w:szCs w:val="21"/>
              </w:rPr>
              <w:t>Some college or associates</w:t>
            </w:r>
          </w:p>
        </w:tc>
        <w:tc>
          <w:tcPr>
            <w:tcW w:w="813" w:type="dxa"/>
            <w:tcBorders>
              <w:top w:val="nil"/>
              <w:left w:val="nil"/>
              <w:bottom w:val="nil"/>
              <w:right w:val="nil"/>
            </w:tcBorders>
            <w:shd w:val="clear" w:color="auto" w:fill="auto"/>
            <w:noWrap/>
            <w:vAlign w:val="bottom"/>
            <w:hideMark/>
          </w:tcPr>
          <w:p w14:paraId="2E411021" w14:textId="77777777" w:rsidR="006F2CB1" w:rsidRPr="00425F23" w:rsidRDefault="006F2CB1" w:rsidP="00061C8E">
            <w:pPr>
              <w:jc w:val="right"/>
              <w:rPr>
                <w:color w:val="000000"/>
                <w:sz w:val="21"/>
                <w:szCs w:val="21"/>
              </w:rPr>
            </w:pPr>
            <w:r w:rsidRPr="00425F23">
              <w:rPr>
                <w:color w:val="000000"/>
                <w:sz w:val="21"/>
                <w:szCs w:val="21"/>
              </w:rPr>
              <w:t>1,830</w:t>
            </w:r>
          </w:p>
        </w:tc>
        <w:tc>
          <w:tcPr>
            <w:tcW w:w="722" w:type="dxa"/>
            <w:tcBorders>
              <w:top w:val="nil"/>
              <w:left w:val="nil"/>
              <w:bottom w:val="nil"/>
              <w:right w:val="nil"/>
            </w:tcBorders>
            <w:shd w:val="clear" w:color="auto" w:fill="auto"/>
            <w:noWrap/>
            <w:vAlign w:val="bottom"/>
            <w:hideMark/>
          </w:tcPr>
          <w:p w14:paraId="1114917E" w14:textId="77777777" w:rsidR="006F2CB1" w:rsidRPr="00425F23" w:rsidRDefault="006F2CB1" w:rsidP="00061C8E">
            <w:pPr>
              <w:jc w:val="right"/>
              <w:rPr>
                <w:color w:val="000000"/>
                <w:sz w:val="21"/>
                <w:szCs w:val="21"/>
              </w:rPr>
            </w:pPr>
            <w:r w:rsidRPr="00425F23">
              <w:rPr>
                <w:color w:val="000000"/>
                <w:sz w:val="21"/>
                <w:szCs w:val="21"/>
              </w:rPr>
              <w:t>25.86</w:t>
            </w:r>
          </w:p>
        </w:tc>
        <w:tc>
          <w:tcPr>
            <w:tcW w:w="1345" w:type="dxa"/>
            <w:tcBorders>
              <w:top w:val="nil"/>
              <w:left w:val="single" w:sz="4" w:space="0" w:color="auto"/>
              <w:bottom w:val="nil"/>
              <w:right w:val="single" w:sz="4" w:space="0" w:color="auto"/>
            </w:tcBorders>
            <w:shd w:val="clear" w:color="auto" w:fill="auto"/>
            <w:noWrap/>
            <w:vAlign w:val="center"/>
            <w:hideMark/>
          </w:tcPr>
          <w:p w14:paraId="5D1E3788" w14:textId="77777777" w:rsidR="006F2CB1" w:rsidRPr="00425F23" w:rsidRDefault="006F2CB1" w:rsidP="00061C8E">
            <w:pPr>
              <w:tabs>
                <w:tab w:val="decimal" w:pos="166"/>
              </w:tabs>
              <w:jc w:val="center"/>
              <w:rPr>
                <w:color w:val="000000"/>
                <w:sz w:val="21"/>
                <w:szCs w:val="21"/>
              </w:rPr>
            </w:pPr>
            <w:r>
              <w:rPr>
                <w:color w:val="000000"/>
                <w:sz w:val="21"/>
                <w:szCs w:val="21"/>
              </w:rPr>
              <w:t>27.37</w:t>
            </w:r>
          </w:p>
        </w:tc>
        <w:tc>
          <w:tcPr>
            <w:tcW w:w="4138" w:type="dxa"/>
            <w:tcBorders>
              <w:top w:val="nil"/>
              <w:left w:val="nil"/>
              <w:bottom w:val="nil"/>
            </w:tcBorders>
            <w:shd w:val="clear" w:color="auto" w:fill="auto"/>
            <w:noWrap/>
            <w:vAlign w:val="bottom"/>
            <w:hideMark/>
          </w:tcPr>
          <w:p w14:paraId="6B45556A" w14:textId="77777777" w:rsidR="006F2CB1" w:rsidRPr="00425F23" w:rsidRDefault="006F2CB1" w:rsidP="00061C8E">
            <w:pPr>
              <w:rPr>
                <w:color w:val="000000"/>
                <w:sz w:val="21"/>
                <w:szCs w:val="21"/>
              </w:rPr>
            </w:pPr>
            <w:r w:rsidRPr="00425F23">
              <w:rPr>
                <w:color w:val="000000"/>
                <w:sz w:val="21"/>
                <w:szCs w:val="21"/>
              </w:rPr>
              <w:t>0</w:t>
            </w:r>
          </w:p>
        </w:tc>
        <w:tc>
          <w:tcPr>
            <w:tcW w:w="805" w:type="dxa"/>
            <w:tcBorders>
              <w:top w:val="nil"/>
              <w:bottom w:val="nil"/>
              <w:right w:val="nil"/>
            </w:tcBorders>
            <w:shd w:val="clear" w:color="auto" w:fill="auto"/>
            <w:noWrap/>
            <w:vAlign w:val="bottom"/>
            <w:hideMark/>
          </w:tcPr>
          <w:p w14:paraId="5DEAAAC2" w14:textId="77777777" w:rsidR="006F2CB1" w:rsidRPr="00425F23" w:rsidRDefault="006F2CB1" w:rsidP="00061C8E">
            <w:pPr>
              <w:jc w:val="right"/>
              <w:rPr>
                <w:color w:val="000000"/>
                <w:sz w:val="21"/>
                <w:szCs w:val="21"/>
              </w:rPr>
            </w:pPr>
            <w:r w:rsidRPr="00425F23">
              <w:rPr>
                <w:color w:val="000000"/>
                <w:sz w:val="21"/>
                <w:szCs w:val="21"/>
              </w:rPr>
              <w:t>2,408</w:t>
            </w:r>
          </w:p>
        </w:tc>
        <w:tc>
          <w:tcPr>
            <w:tcW w:w="720" w:type="dxa"/>
            <w:tcBorders>
              <w:top w:val="nil"/>
              <w:left w:val="nil"/>
              <w:bottom w:val="nil"/>
              <w:right w:val="single" w:sz="4" w:space="0" w:color="auto"/>
            </w:tcBorders>
            <w:shd w:val="clear" w:color="auto" w:fill="auto"/>
            <w:noWrap/>
            <w:vAlign w:val="bottom"/>
            <w:hideMark/>
          </w:tcPr>
          <w:p w14:paraId="0EA5BA02" w14:textId="77777777" w:rsidR="006F2CB1" w:rsidRPr="00425F23" w:rsidRDefault="006F2CB1" w:rsidP="00061C8E">
            <w:pPr>
              <w:jc w:val="right"/>
              <w:rPr>
                <w:color w:val="000000"/>
                <w:sz w:val="21"/>
                <w:szCs w:val="21"/>
              </w:rPr>
            </w:pPr>
            <w:r w:rsidRPr="00425F23">
              <w:rPr>
                <w:color w:val="000000"/>
                <w:sz w:val="21"/>
                <w:szCs w:val="21"/>
              </w:rPr>
              <w:t>34.03</w:t>
            </w:r>
          </w:p>
        </w:tc>
        <w:tc>
          <w:tcPr>
            <w:tcW w:w="1350" w:type="dxa"/>
            <w:tcBorders>
              <w:top w:val="nil"/>
              <w:left w:val="nil"/>
              <w:bottom w:val="nil"/>
              <w:right w:val="single" w:sz="4" w:space="0" w:color="auto"/>
            </w:tcBorders>
            <w:shd w:val="clear" w:color="auto" w:fill="auto"/>
            <w:noWrap/>
            <w:vAlign w:val="bottom"/>
            <w:hideMark/>
          </w:tcPr>
          <w:p w14:paraId="06DD96ED" w14:textId="77777777" w:rsidR="006F2CB1" w:rsidRPr="00425F23" w:rsidRDefault="006F2CB1" w:rsidP="00061C8E">
            <w:pPr>
              <w:jc w:val="center"/>
              <w:rPr>
                <w:color w:val="000000"/>
                <w:sz w:val="21"/>
                <w:szCs w:val="21"/>
              </w:rPr>
            </w:pPr>
            <w:r w:rsidRPr="00425F23">
              <w:rPr>
                <w:color w:val="000000"/>
                <w:sz w:val="21"/>
                <w:szCs w:val="21"/>
              </w:rPr>
              <w:t>26.63</w:t>
            </w:r>
          </w:p>
        </w:tc>
      </w:tr>
      <w:tr w:rsidR="006F2CB1" w:rsidRPr="00425F23" w14:paraId="1FCE858E"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0ADCCAD1" w14:textId="46D4126E" w:rsidR="006F2CB1" w:rsidRPr="00425F23" w:rsidRDefault="006F2CB1" w:rsidP="00061C8E">
            <w:pPr>
              <w:rPr>
                <w:color w:val="000000"/>
                <w:sz w:val="21"/>
                <w:szCs w:val="21"/>
              </w:rPr>
            </w:pPr>
            <w:r w:rsidRPr="00425F23">
              <w:rPr>
                <w:color w:val="000000"/>
                <w:sz w:val="21"/>
                <w:szCs w:val="21"/>
              </w:rPr>
              <w:t>Bachelor</w:t>
            </w:r>
            <w:r>
              <w:rPr>
                <w:color w:val="000000"/>
                <w:sz w:val="21"/>
                <w:szCs w:val="21"/>
              </w:rPr>
              <w:t>’</w:t>
            </w:r>
            <w:r w:rsidRPr="00425F23">
              <w:rPr>
                <w:color w:val="000000"/>
                <w:sz w:val="21"/>
                <w:szCs w:val="21"/>
              </w:rPr>
              <w:t xml:space="preserve">s degree </w:t>
            </w:r>
          </w:p>
        </w:tc>
        <w:tc>
          <w:tcPr>
            <w:tcW w:w="813" w:type="dxa"/>
            <w:tcBorders>
              <w:top w:val="nil"/>
              <w:left w:val="nil"/>
              <w:bottom w:val="nil"/>
              <w:right w:val="nil"/>
            </w:tcBorders>
            <w:shd w:val="clear" w:color="auto" w:fill="auto"/>
            <w:noWrap/>
            <w:vAlign w:val="bottom"/>
            <w:hideMark/>
          </w:tcPr>
          <w:p w14:paraId="535D7364" w14:textId="77777777" w:rsidR="006F2CB1" w:rsidRPr="00425F23" w:rsidRDefault="006F2CB1" w:rsidP="00061C8E">
            <w:pPr>
              <w:jc w:val="right"/>
              <w:rPr>
                <w:color w:val="000000"/>
                <w:sz w:val="21"/>
                <w:szCs w:val="21"/>
              </w:rPr>
            </w:pPr>
            <w:r w:rsidRPr="00425F23">
              <w:rPr>
                <w:color w:val="000000"/>
                <w:sz w:val="21"/>
                <w:szCs w:val="21"/>
              </w:rPr>
              <w:t>2,238</w:t>
            </w:r>
          </w:p>
        </w:tc>
        <w:tc>
          <w:tcPr>
            <w:tcW w:w="722" w:type="dxa"/>
            <w:tcBorders>
              <w:top w:val="nil"/>
              <w:left w:val="nil"/>
              <w:bottom w:val="nil"/>
              <w:right w:val="nil"/>
            </w:tcBorders>
            <w:shd w:val="clear" w:color="auto" w:fill="auto"/>
            <w:noWrap/>
            <w:vAlign w:val="bottom"/>
            <w:hideMark/>
          </w:tcPr>
          <w:p w14:paraId="43209766" w14:textId="77777777" w:rsidR="006F2CB1" w:rsidRPr="00425F23" w:rsidRDefault="006F2CB1" w:rsidP="00061C8E">
            <w:pPr>
              <w:jc w:val="right"/>
              <w:rPr>
                <w:color w:val="000000"/>
                <w:sz w:val="21"/>
                <w:szCs w:val="21"/>
              </w:rPr>
            </w:pPr>
            <w:r w:rsidRPr="00425F23">
              <w:rPr>
                <w:color w:val="000000"/>
                <w:sz w:val="21"/>
                <w:szCs w:val="21"/>
              </w:rPr>
              <w:t>31.63</w:t>
            </w:r>
          </w:p>
        </w:tc>
        <w:tc>
          <w:tcPr>
            <w:tcW w:w="1345" w:type="dxa"/>
            <w:tcBorders>
              <w:top w:val="nil"/>
              <w:left w:val="single" w:sz="4" w:space="0" w:color="auto"/>
              <w:bottom w:val="nil"/>
              <w:right w:val="single" w:sz="4" w:space="0" w:color="auto"/>
            </w:tcBorders>
            <w:shd w:val="clear" w:color="auto" w:fill="auto"/>
            <w:noWrap/>
            <w:vAlign w:val="center"/>
            <w:hideMark/>
          </w:tcPr>
          <w:p w14:paraId="545CF640" w14:textId="77777777" w:rsidR="006F2CB1" w:rsidRPr="00425F23" w:rsidRDefault="006F2CB1" w:rsidP="00061C8E">
            <w:pPr>
              <w:tabs>
                <w:tab w:val="decimal" w:pos="166"/>
              </w:tabs>
              <w:jc w:val="center"/>
              <w:rPr>
                <w:color w:val="000000"/>
                <w:sz w:val="21"/>
                <w:szCs w:val="21"/>
              </w:rPr>
            </w:pPr>
            <w:r>
              <w:rPr>
                <w:color w:val="000000"/>
                <w:sz w:val="21"/>
                <w:szCs w:val="21"/>
              </w:rPr>
              <w:t>15.54</w:t>
            </w:r>
          </w:p>
        </w:tc>
        <w:tc>
          <w:tcPr>
            <w:tcW w:w="4138" w:type="dxa"/>
            <w:tcBorders>
              <w:top w:val="nil"/>
              <w:left w:val="nil"/>
              <w:bottom w:val="nil"/>
            </w:tcBorders>
            <w:shd w:val="clear" w:color="auto" w:fill="auto"/>
            <w:noWrap/>
            <w:vAlign w:val="bottom"/>
            <w:hideMark/>
          </w:tcPr>
          <w:p w14:paraId="0D5FD90F" w14:textId="77777777" w:rsidR="006F2CB1" w:rsidRPr="00425F23" w:rsidRDefault="006F2CB1" w:rsidP="00061C8E">
            <w:pPr>
              <w:rPr>
                <w:color w:val="000000"/>
                <w:sz w:val="21"/>
                <w:szCs w:val="21"/>
              </w:rPr>
            </w:pPr>
            <w:r w:rsidRPr="00425F23">
              <w:rPr>
                <w:color w:val="000000"/>
                <w:sz w:val="21"/>
                <w:szCs w:val="21"/>
              </w:rPr>
              <w:t>1</w:t>
            </w:r>
          </w:p>
        </w:tc>
        <w:tc>
          <w:tcPr>
            <w:tcW w:w="805" w:type="dxa"/>
            <w:tcBorders>
              <w:top w:val="nil"/>
              <w:bottom w:val="nil"/>
              <w:right w:val="nil"/>
            </w:tcBorders>
            <w:shd w:val="clear" w:color="auto" w:fill="auto"/>
            <w:noWrap/>
            <w:vAlign w:val="bottom"/>
            <w:hideMark/>
          </w:tcPr>
          <w:p w14:paraId="3116C5D4" w14:textId="77777777" w:rsidR="006F2CB1" w:rsidRPr="00425F23" w:rsidRDefault="006F2CB1" w:rsidP="00061C8E">
            <w:pPr>
              <w:jc w:val="right"/>
              <w:rPr>
                <w:color w:val="000000"/>
                <w:sz w:val="21"/>
                <w:szCs w:val="21"/>
              </w:rPr>
            </w:pPr>
            <w:r w:rsidRPr="00425F23">
              <w:rPr>
                <w:color w:val="000000"/>
                <w:sz w:val="21"/>
                <w:szCs w:val="21"/>
              </w:rPr>
              <w:t>2,138</w:t>
            </w:r>
          </w:p>
        </w:tc>
        <w:tc>
          <w:tcPr>
            <w:tcW w:w="720" w:type="dxa"/>
            <w:tcBorders>
              <w:top w:val="nil"/>
              <w:left w:val="nil"/>
              <w:bottom w:val="nil"/>
              <w:right w:val="single" w:sz="4" w:space="0" w:color="auto"/>
            </w:tcBorders>
            <w:shd w:val="clear" w:color="auto" w:fill="auto"/>
            <w:noWrap/>
            <w:vAlign w:val="bottom"/>
            <w:hideMark/>
          </w:tcPr>
          <w:p w14:paraId="51B02464" w14:textId="77777777" w:rsidR="006F2CB1" w:rsidRPr="00425F23" w:rsidRDefault="006F2CB1" w:rsidP="00061C8E">
            <w:pPr>
              <w:jc w:val="right"/>
              <w:rPr>
                <w:color w:val="000000"/>
                <w:sz w:val="21"/>
                <w:szCs w:val="21"/>
              </w:rPr>
            </w:pPr>
            <w:r w:rsidRPr="00425F23">
              <w:rPr>
                <w:color w:val="000000"/>
                <w:sz w:val="21"/>
                <w:szCs w:val="21"/>
              </w:rPr>
              <w:t>30.21</w:t>
            </w:r>
          </w:p>
        </w:tc>
        <w:tc>
          <w:tcPr>
            <w:tcW w:w="1350" w:type="dxa"/>
            <w:tcBorders>
              <w:top w:val="nil"/>
              <w:left w:val="nil"/>
              <w:bottom w:val="nil"/>
              <w:right w:val="single" w:sz="4" w:space="0" w:color="auto"/>
            </w:tcBorders>
            <w:shd w:val="clear" w:color="auto" w:fill="auto"/>
            <w:noWrap/>
            <w:vAlign w:val="bottom"/>
            <w:hideMark/>
          </w:tcPr>
          <w:p w14:paraId="6D70EA04" w14:textId="77777777" w:rsidR="006F2CB1" w:rsidRPr="00425F23" w:rsidRDefault="006F2CB1" w:rsidP="00061C8E">
            <w:pPr>
              <w:jc w:val="center"/>
              <w:rPr>
                <w:color w:val="000000"/>
                <w:sz w:val="21"/>
                <w:szCs w:val="21"/>
              </w:rPr>
            </w:pPr>
            <w:r w:rsidRPr="00425F23">
              <w:rPr>
                <w:color w:val="000000"/>
                <w:sz w:val="21"/>
                <w:szCs w:val="21"/>
              </w:rPr>
              <w:t>37.30</w:t>
            </w:r>
          </w:p>
        </w:tc>
      </w:tr>
      <w:tr w:rsidR="006F2CB1" w:rsidRPr="00425F23" w14:paraId="665B7575"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50E653DA" w14:textId="77777777" w:rsidR="006F2CB1" w:rsidRPr="00425F23" w:rsidRDefault="006F2CB1" w:rsidP="00061C8E">
            <w:pPr>
              <w:rPr>
                <w:color w:val="000000"/>
                <w:sz w:val="21"/>
                <w:szCs w:val="21"/>
              </w:rPr>
            </w:pPr>
            <w:r w:rsidRPr="00425F23">
              <w:rPr>
                <w:color w:val="000000"/>
                <w:sz w:val="21"/>
                <w:szCs w:val="21"/>
              </w:rPr>
              <w:t>Graduate degree</w:t>
            </w:r>
          </w:p>
        </w:tc>
        <w:tc>
          <w:tcPr>
            <w:tcW w:w="813" w:type="dxa"/>
            <w:tcBorders>
              <w:top w:val="nil"/>
              <w:left w:val="nil"/>
              <w:bottom w:val="nil"/>
              <w:right w:val="nil"/>
            </w:tcBorders>
            <w:shd w:val="clear" w:color="auto" w:fill="auto"/>
            <w:noWrap/>
            <w:vAlign w:val="bottom"/>
            <w:hideMark/>
          </w:tcPr>
          <w:p w14:paraId="2F2BC609" w14:textId="77777777" w:rsidR="006F2CB1" w:rsidRPr="00425F23" w:rsidRDefault="006F2CB1" w:rsidP="00061C8E">
            <w:pPr>
              <w:jc w:val="right"/>
              <w:rPr>
                <w:color w:val="000000"/>
                <w:sz w:val="21"/>
                <w:szCs w:val="21"/>
              </w:rPr>
            </w:pPr>
            <w:r w:rsidRPr="00425F23">
              <w:rPr>
                <w:color w:val="000000"/>
                <w:sz w:val="21"/>
                <w:szCs w:val="21"/>
              </w:rPr>
              <w:t>1,860</w:t>
            </w:r>
          </w:p>
        </w:tc>
        <w:tc>
          <w:tcPr>
            <w:tcW w:w="722" w:type="dxa"/>
            <w:tcBorders>
              <w:top w:val="nil"/>
              <w:left w:val="nil"/>
              <w:bottom w:val="nil"/>
              <w:right w:val="nil"/>
            </w:tcBorders>
            <w:shd w:val="clear" w:color="auto" w:fill="auto"/>
            <w:noWrap/>
            <w:vAlign w:val="bottom"/>
            <w:hideMark/>
          </w:tcPr>
          <w:p w14:paraId="3D591A11" w14:textId="77777777" w:rsidR="006F2CB1" w:rsidRPr="00425F23" w:rsidRDefault="006F2CB1" w:rsidP="00061C8E">
            <w:pPr>
              <w:jc w:val="right"/>
              <w:rPr>
                <w:color w:val="000000"/>
                <w:sz w:val="21"/>
                <w:szCs w:val="21"/>
              </w:rPr>
            </w:pPr>
            <w:r w:rsidRPr="00425F23">
              <w:rPr>
                <w:color w:val="000000"/>
                <w:sz w:val="21"/>
                <w:szCs w:val="21"/>
              </w:rPr>
              <w:t>26.29</w:t>
            </w:r>
          </w:p>
        </w:tc>
        <w:tc>
          <w:tcPr>
            <w:tcW w:w="1345" w:type="dxa"/>
            <w:tcBorders>
              <w:top w:val="nil"/>
              <w:left w:val="single" w:sz="4" w:space="0" w:color="auto"/>
              <w:bottom w:val="nil"/>
              <w:right w:val="single" w:sz="4" w:space="0" w:color="auto"/>
            </w:tcBorders>
            <w:shd w:val="clear" w:color="auto" w:fill="auto"/>
            <w:vAlign w:val="center"/>
            <w:hideMark/>
          </w:tcPr>
          <w:p w14:paraId="1E49CD01" w14:textId="77777777" w:rsidR="006F2CB1" w:rsidRPr="00425F23" w:rsidRDefault="006F2CB1" w:rsidP="00061C8E">
            <w:pPr>
              <w:tabs>
                <w:tab w:val="decimal" w:pos="166"/>
              </w:tabs>
              <w:jc w:val="center"/>
              <w:rPr>
                <w:color w:val="000000"/>
                <w:sz w:val="21"/>
                <w:szCs w:val="21"/>
              </w:rPr>
            </w:pPr>
            <w:r>
              <w:rPr>
                <w:color w:val="000000"/>
                <w:sz w:val="21"/>
                <w:szCs w:val="21"/>
              </w:rPr>
              <w:t>8.86</w:t>
            </w:r>
          </w:p>
        </w:tc>
        <w:tc>
          <w:tcPr>
            <w:tcW w:w="4138" w:type="dxa"/>
            <w:tcBorders>
              <w:top w:val="nil"/>
              <w:left w:val="nil"/>
              <w:bottom w:val="nil"/>
            </w:tcBorders>
            <w:shd w:val="clear" w:color="auto" w:fill="auto"/>
            <w:noWrap/>
            <w:vAlign w:val="bottom"/>
            <w:hideMark/>
          </w:tcPr>
          <w:p w14:paraId="104A5624" w14:textId="77777777" w:rsidR="006F2CB1" w:rsidRPr="00425F23" w:rsidRDefault="006F2CB1" w:rsidP="00061C8E">
            <w:pPr>
              <w:rPr>
                <w:color w:val="000000"/>
                <w:sz w:val="21"/>
                <w:szCs w:val="21"/>
              </w:rPr>
            </w:pPr>
            <w:r w:rsidRPr="00425F23">
              <w:rPr>
                <w:color w:val="000000"/>
                <w:sz w:val="21"/>
                <w:szCs w:val="21"/>
              </w:rPr>
              <w:t>2+</w:t>
            </w:r>
          </w:p>
        </w:tc>
        <w:tc>
          <w:tcPr>
            <w:tcW w:w="805" w:type="dxa"/>
            <w:tcBorders>
              <w:top w:val="nil"/>
              <w:bottom w:val="nil"/>
              <w:right w:val="nil"/>
            </w:tcBorders>
            <w:shd w:val="clear" w:color="auto" w:fill="auto"/>
            <w:noWrap/>
            <w:vAlign w:val="bottom"/>
            <w:hideMark/>
          </w:tcPr>
          <w:p w14:paraId="0ED74E17" w14:textId="77777777" w:rsidR="006F2CB1" w:rsidRPr="00425F23" w:rsidRDefault="006F2CB1" w:rsidP="00061C8E">
            <w:pPr>
              <w:jc w:val="right"/>
              <w:rPr>
                <w:color w:val="000000"/>
                <w:sz w:val="21"/>
                <w:szCs w:val="21"/>
              </w:rPr>
            </w:pPr>
            <w:r w:rsidRPr="00425F23">
              <w:rPr>
                <w:color w:val="000000"/>
                <w:sz w:val="21"/>
                <w:szCs w:val="21"/>
              </w:rPr>
              <w:t>2,530</w:t>
            </w:r>
          </w:p>
        </w:tc>
        <w:tc>
          <w:tcPr>
            <w:tcW w:w="720" w:type="dxa"/>
            <w:tcBorders>
              <w:top w:val="nil"/>
              <w:left w:val="nil"/>
              <w:bottom w:val="nil"/>
              <w:right w:val="single" w:sz="4" w:space="0" w:color="auto"/>
            </w:tcBorders>
            <w:shd w:val="clear" w:color="auto" w:fill="auto"/>
            <w:noWrap/>
            <w:vAlign w:val="bottom"/>
            <w:hideMark/>
          </w:tcPr>
          <w:p w14:paraId="74DB85DE" w14:textId="77777777" w:rsidR="006F2CB1" w:rsidRPr="00425F23" w:rsidRDefault="006F2CB1" w:rsidP="00061C8E">
            <w:pPr>
              <w:jc w:val="right"/>
              <w:rPr>
                <w:color w:val="000000"/>
                <w:sz w:val="21"/>
                <w:szCs w:val="21"/>
              </w:rPr>
            </w:pPr>
            <w:r w:rsidRPr="00425F23">
              <w:rPr>
                <w:color w:val="000000"/>
                <w:sz w:val="21"/>
                <w:szCs w:val="21"/>
              </w:rPr>
              <w:t>35.75</w:t>
            </w:r>
          </w:p>
        </w:tc>
        <w:tc>
          <w:tcPr>
            <w:tcW w:w="1350" w:type="dxa"/>
            <w:tcBorders>
              <w:top w:val="nil"/>
              <w:left w:val="nil"/>
              <w:bottom w:val="nil"/>
              <w:right w:val="single" w:sz="4" w:space="0" w:color="auto"/>
            </w:tcBorders>
            <w:shd w:val="clear" w:color="auto" w:fill="auto"/>
            <w:noWrap/>
            <w:vAlign w:val="bottom"/>
            <w:hideMark/>
          </w:tcPr>
          <w:p w14:paraId="24AB9AB9" w14:textId="77777777" w:rsidR="006F2CB1" w:rsidRPr="00425F23" w:rsidRDefault="006F2CB1" w:rsidP="00061C8E">
            <w:pPr>
              <w:jc w:val="center"/>
              <w:rPr>
                <w:color w:val="000000"/>
                <w:sz w:val="21"/>
                <w:szCs w:val="21"/>
              </w:rPr>
            </w:pPr>
            <w:r w:rsidRPr="00425F23">
              <w:rPr>
                <w:color w:val="000000"/>
                <w:sz w:val="21"/>
                <w:szCs w:val="21"/>
              </w:rPr>
              <w:t>36.07</w:t>
            </w:r>
          </w:p>
        </w:tc>
      </w:tr>
      <w:tr w:rsidR="006F2CB1" w:rsidRPr="00425F23" w14:paraId="7801B28A"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5DB609EE" w14:textId="77777777" w:rsidR="006F2CB1" w:rsidRPr="00425F23" w:rsidRDefault="006F2CB1" w:rsidP="00061C8E">
            <w:pPr>
              <w:rPr>
                <w:b/>
                <w:bCs/>
                <w:color w:val="000000"/>
                <w:sz w:val="21"/>
                <w:szCs w:val="21"/>
              </w:rPr>
            </w:pPr>
            <w:r w:rsidRPr="00425F23">
              <w:rPr>
                <w:b/>
                <w:bCs/>
                <w:color w:val="000000"/>
                <w:sz w:val="21"/>
                <w:szCs w:val="21"/>
              </w:rPr>
              <w:t>Ethnicity</w:t>
            </w:r>
          </w:p>
        </w:tc>
        <w:tc>
          <w:tcPr>
            <w:tcW w:w="813" w:type="dxa"/>
            <w:tcBorders>
              <w:top w:val="nil"/>
              <w:left w:val="nil"/>
              <w:bottom w:val="nil"/>
              <w:right w:val="nil"/>
            </w:tcBorders>
            <w:shd w:val="clear" w:color="auto" w:fill="auto"/>
            <w:noWrap/>
            <w:vAlign w:val="bottom"/>
            <w:hideMark/>
          </w:tcPr>
          <w:p w14:paraId="2BA7D60A" w14:textId="77777777" w:rsidR="006F2CB1" w:rsidRPr="00425F23" w:rsidRDefault="006F2CB1" w:rsidP="00061C8E">
            <w:pPr>
              <w:rPr>
                <w:b/>
                <w:bCs/>
                <w:color w:val="000000"/>
                <w:sz w:val="21"/>
                <w:szCs w:val="21"/>
              </w:rPr>
            </w:pPr>
          </w:p>
        </w:tc>
        <w:tc>
          <w:tcPr>
            <w:tcW w:w="722" w:type="dxa"/>
            <w:tcBorders>
              <w:top w:val="nil"/>
              <w:left w:val="nil"/>
              <w:bottom w:val="nil"/>
              <w:right w:val="nil"/>
            </w:tcBorders>
            <w:shd w:val="clear" w:color="auto" w:fill="auto"/>
            <w:noWrap/>
            <w:vAlign w:val="bottom"/>
            <w:hideMark/>
          </w:tcPr>
          <w:p w14:paraId="60CB0AA8" w14:textId="77777777" w:rsidR="006F2CB1" w:rsidRPr="00425F23" w:rsidRDefault="006F2CB1" w:rsidP="00061C8E">
            <w:pPr>
              <w:rPr>
                <w:sz w:val="20"/>
                <w:szCs w:val="20"/>
              </w:rPr>
            </w:pPr>
          </w:p>
        </w:tc>
        <w:tc>
          <w:tcPr>
            <w:tcW w:w="1345" w:type="dxa"/>
            <w:tcBorders>
              <w:top w:val="nil"/>
              <w:left w:val="single" w:sz="4" w:space="0" w:color="auto"/>
              <w:bottom w:val="nil"/>
              <w:right w:val="single" w:sz="4" w:space="0" w:color="auto"/>
            </w:tcBorders>
            <w:shd w:val="clear" w:color="auto" w:fill="auto"/>
            <w:noWrap/>
            <w:vAlign w:val="bottom"/>
            <w:hideMark/>
          </w:tcPr>
          <w:p w14:paraId="6864C4BE" w14:textId="77777777" w:rsidR="006F2CB1" w:rsidRPr="00425F23" w:rsidRDefault="006F2CB1" w:rsidP="00061C8E">
            <w:pPr>
              <w:tabs>
                <w:tab w:val="decimal" w:pos="166"/>
              </w:tabs>
              <w:jc w:val="center"/>
              <w:rPr>
                <w:color w:val="000000"/>
                <w:sz w:val="21"/>
                <w:szCs w:val="21"/>
              </w:rPr>
            </w:pPr>
          </w:p>
        </w:tc>
        <w:tc>
          <w:tcPr>
            <w:tcW w:w="4138" w:type="dxa"/>
            <w:tcBorders>
              <w:top w:val="nil"/>
              <w:left w:val="nil"/>
              <w:bottom w:val="nil"/>
            </w:tcBorders>
            <w:shd w:val="clear" w:color="auto" w:fill="auto"/>
            <w:noWrap/>
            <w:vAlign w:val="bottom"/>
            <w:hideMark/>
          </w:tcPr>
          <w:p w14:paraId="7CDC9492" w14:textId="77777777" w:rsidR="006F2CB1" w:rsidRPr="00425F23" w:rsidRDefault="006F2CB1" w:rsidP="00061C8E">
            <w:pPr>
              <w:rPr>
                <w:b/>
                <w:bCs/>
                <w:color w:val="000000"/>
                <w:sz w:val="21"/>
                <w:szCs w:val="21"/>
              </w:rPr>
            </w:pPr>
            <w:r w:rsidRPr="00425F23">
              <w:rPr>
                <w:b/>
                <w:bCs/>
                <w:color w:val="000000"/>
                <w:sz w:val="21"/>
                <w:szCs w:val="21"/>
              </w:rPr>
              <w:t>Resident Location</w:t>
            </w:r>
          </w:p>
        </w:tc>
        <w:tc>
          <w:tcPr>
            <w:tcW w:w="805" w:type="dxa"/>
            <w:tcBorders>
              <w:top w:val="nil"/>
              <w:bottom w:val="nil"/>
              <w:right w:val="nil"/>
            </w:tcBorders>
            <w:shd w:val="clear" w:color="auto" w:fill="auto"/>
            <w:noWrap/>
            <w:vAlign w:val="bottom"/>
            <w:hideMark/>
          </w:tcPr>
          <w:p w14:paraId="353CA64B" w14:textId="77777777" w:rsidR="006F2CB1" w:rsidRPr="00425F23" w:rsidRDefault="006F2CB1" w:rsidP="00061C8E">
            <w:pPr>
              <w:rPr>
                <w:b/>
                <w:bCs/>
                <w:color w:val="000000"/>
                <w:sz w:val="21"/>
                <w:szCs w:val="21"/>
              </w:rPr>
            </w:pPr>
          </w:p>
        </w:tc>
        <w:tc>
          <w:tcPr>
            <w:tcW w:w="720" w:type="dxa"/>
            <w:tcBorders>
              <w:top w:val="nil"/>
              <w:left w:val="nil"/>
              <w:bottom w:val="nil"/>
              <w:right w:val="single" w:sz="4" w:space="0" w:color="auto"/>
            </w:tcBorders>
            <w:shd w:val="clear" w:color="auto" w:fill="auto"/>
            <w:noWrap/>
            <w:vAlign w:val="bottom"/>
            <w:hideMark/>
          </w:tcPr>
          <w:p w14:paraId="72C44B75" w14:textId="77777777" w:rsidR="006F2CB1" w:rsidRPr="00425F23" w:rsidRDefault="006F2CB1" w:rsidP="00061C8E">
            <w:pPr>
              <w:rPr>
                <w:color w:val="000000"/>
                <w:sz w:val="21"/>
                <w:szCs w:val="21"/>
              </w:rPr>
            </w:pPr>
            <w:r w:rsidRPr="00425F23">
              <w:rPr>
                <w:color w:val="000000"/>
                <w:sz w:val="21"/>
                <w:szCs w:val="21"/>
              </w:rPr>
              <w:t> </w:t>
            </w:r>
          </w:p>
        </w:tc>
        <w:tc>
          <w:tcPr>
            <w:tcW w:w="1350" w:type="dxa"/>
            <w:tcBorders>
              <w:top w:val="nil"/>
              <w:left w:val="nil"/>
              <w:bottom w:val="nil"/>
              <w:right w:val="single" w:sz="4" w:space="0" w:color="auto"/>
            </w:tcBorders>
            <w:shd w:val="clear" w:color="auto" w:fill="auto"/>
            <w:noWrap/>
            <w:vAlign w:val="bottom"/>
            <w:hideMark/>
          </w:tcPr>
          <w:p w14:paraId="6F8FBAE4" w14:textId="77777777" w:rsidR="006F2CB1" w:rsidRPr="00425F23" w:rsidRDefault="006F2CB1" w:rsidP="00061C8E">
            <w:pPr>
              <w:jc w:val="center"/>
              <w:rPr>
                <w:color w:val="000000"/>
                <w:sz w:val="21"/>
                <w:szCs w:val="21"/>
              </w:rPr>
            </w:pPr>
          </w:p>
        </w:tc>
      </w:tr>
      <w:tr w:rsidR="006F2CB1" w:rsidRPr="00425F23" w14:paraId="3ED9E1E6"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742B3FC1" w14:textId="77777777" w:rsidR="006F2CB1" w:rsidRPr="00425F23" w:rsidRDefault="006F2CB1" w:rsidP="00061C8E">
            <w:pPr>
              <w:rPr>
                <w:color w:val="000000"/>
                <w:sz w:val="21"/>
                <w:szCs w:val="21"/>
              </w:rPr>
            </w:pPr>
            <w:r w:rsidRPr="00425F23">
              <w:rPr>
                <w:color w:val="000000"/>
                <w:sz w:val="21"/>
                <w:szCs w:val="21"/>
              </w:rPr>
              <w:t xml:space="preserve">Hispanic </w:t>
            </w:r>
          </w:p>
        </w:tc>
        <w:tc>
          <w:tcPr>
            <w:tcW w:w="813" w:type="dxa"/>
            <w:tcBorders>
              <w:top w:val="nil"/>
              <w:left w:val="nil"/>
              <w:bottom w:val="nil"/>
              <w:right w:val="nil"/>
            </w:tcBorders>
            <w:shd w:val="clear" w:color="auto" w:fill="auto"/>
            <w:noWrap/>
            <w:vAlign w:val="bottom"/>
            <w:hideMark/>
          </w:tcPr>
          <w:p w14:paraId="3A39D769" w14:textId="77777777" w:rsidR="006F2CB1" w:rsidRPr="00425F23" w:rsidRDefault="006F2CB1" w:rsidP="00061C8E">
            <w:pPr>
              <w:jc w:val="right"/>
              <w:rPr>
                <w:color w:val="000000"/>
                <w:sz w:val="21"/>
                <w:szCs w:val="21"/>
              </w:rPr>
            </w:pPr>
            <w:r w:rsidRPr="00425F23">
              <w:rPr>
                <w:color w:val="000000"/>
                <w:sz w:val="21"/>
                <w:szCs w:val="21"/>
              </w:rPr>
              <w:t>582</w:t>
            </w:r>
          </w:p>
        </w:tc>
        <w:tc>
          <w:tcPr>
            <w:tcW w:w="722" w:type="dxa"/>
            <w:tcBorders>
              <w:top w:val="nil"/>
              <w:left w:val="nil"/>
              <w:bottom w:val="nil"/>
              <w:right w:val="nil"/>
            </w:tcBorders>
            <w:shd w:val="clear" w:color="auto" w:fill="auto"/>
            <w:noWrap/>
            <w:vAlign w:val="bottom"/>
            <w:hideMark/>
          </w:tcPr>
          <w:p w14:paraId="58099A34" w14:textId="77777777" w:rsidR="006F2CB1" w:rsidRPr="00425F23" w:rsidRDefault="006F2CB1" w:rsidP="00061C8E">
            <w:pPr>
              <w:jc w:val="right"/>
              <w:rPr>
                <w:color w:val="000000"/>
                <w:sz w:val="21"/>
                <w:szCs w:val="21"/>
              </w:rPr>
            </w:pPr>
            <w:r w:rsidRPr="00425F23">
              <w:rPr>
                <w:color w:val="000000"/>
                <w:sz w:val="21"/>
                <w:szCs w:val="21"/>
              </w:rPr>
              <w:t>8.22</w:t>
            </w:r>
          </w:p>
        </w:tc>
        <w:tc>
          <w:tcPr>
            <w:tcW w:w="1345" w:type="dxa"/>
            <w:tcBorders>
              <w:top w:val="nil"/>
              <w:left w:val="single" w:sz="4" w:space="0" w:color="auto"/>
              <w:bottom w:val="nil"/>
              <w:right w:val="single" w:sz="4" w:space="0" w:color="auto"/>
            </w:tcBorders>
            <w:shd w:val="clear" w:color="auto" w:fill="auto"/>
            <w:noWrap/>
            <w:vAlign w:val="bottom"/>
            <w:hideMark/>
          </w:tcPr>
          <w:p w14:paraId="036DAC8A" w14:textId="77777777" w:rsidR="006F2CB1" w:rsidRPr="00425F23" w:rsidRDefault="006F2CB1" w:rsidP="00061C8E">
            <w:pPr>
              <w:tabs>
                <w:tab w:val="decimal" w:pos="166"/>
              </w:tabs>
              <w:jc w:val="center"/>
              <w:rPr>
                <w:color w:val="000000"/>
                <w:sz w:val="21"/>
                <w:szCs w:val="21"/>
              </w:rPr>
            </w:pPr>
            <w:r w:rsidRPr="00425F23">
              <w:rPr>
                <w:color w:val="000000"/>
                <w:sz w:val="21"/>
                <w:szCs w:val="21"/>
              </w:rPr>
              <w:t>18.73</w:t>
            </w:r>
          </w:p>
        </w:tc>
        <w:tc>
          <w:tcPr>
            <w:tcW w:w="4138" w:type="dxa"/>
            <w:tcBorders>
              <w:top w:val="nil"/>
              <w:left w:val="nil"/>
              <w:bottom w:val="nil"/>
            </w:tcBorders>
            <w:shd w:val="clear" w:color="auto" w:fill="auto"/>
            <w:noWrap/>
            <w:vAlign w:val="bottom"/>
            <w:hideMark/>
          </w:tcPr>
          <w:p w14:paraId="2180CFF9" w14:textId="77777777" w:rsidR="006F2CB1" w:rsidRPr="00425F23" w:rsidRDefault="006F2CB1" w:rsidP="00061C8E">
            <w:pPr>
              <w:rPr>
                <w:color w:val="000000"/>
                <w:sz w:val="21"/>
                <w:szCs w:val="21"/>
              </w:rPr>
            </w:pPr>
            <w:r w:rsidRPr="00425F23">
              <w:rPr>
                <w:color w:val="000000"/>
                <w:sz w:val="21"/>
                <w:szCs w:val="21"/>
              </w:rPr>
              <w:t>Urban</w:t>
            </w:r>
          </w:p>
        </w:tc>
        <w:tc>
          <w:tcPr>
            <w:tcW w:w="805" w:type="dxa"/>
            <w:tcBorders>
              <w:top w:val="nil"/>
              <w:bottom w:val="nil"/>
              <w:right w:val="nil"/>
            </w:tcBorders>
            <w:shd w:val="clear" w:color="auto" w:fill="auto"/>
            <w:noWrap/>
            <w:vAlign w:val="bottom"/>
            <w:hideMark/>
          </w:tcPr>
          <w:p w14:paraId="65B752E1" w14:textId="77777777" w:rsidR="006F2CB1" w:rsidRPr="00425F23" w:rsidRDefault="006F2CB1" w:rsidP="00061C8E">
            <w:pPr>
              <w:jc w:val="right"/>
              <w:rPr>
                <w:color w:val="000000"/>
                <w:sz w:val="21"/>
                <w:szCs w:val="21"/>
              </w:rPr>
            </w:pPr>
            <w:r w:rsidRPr="00425F23">
              <w:rPr>
                <w:color w:val="000000"/>
                <w:sz w:val="21"/>
                <w:szCs w:val="21"/>
              </w:rPr>
              <w:t>6,810</w:t>
            </w:r>
          </w:p>
        </w:tc>
        <w:tc>
          <w:tcPr>
            <w:tcW w:w="720" w:type="dxa"/>
            <w:tcBorders>
              <w:top w:val="nil"/>
              <w:left w:val="nil"/>
              <w:bottom w:val="nil"/>
              <w:right w:val="single" w:sz="4" w:space="0" w:color="auto"/>
            </w:tcBorders>
            <w:shd w:val="clear" w:color="auto" w:fill="auto"/>
            <w:noWrap/>
            <w:vAlign w:val="bottom"/>
            <w:hideMark/>
          </w:tcPr>
          <w:p w14:paraId="44F37042" w14:textId="77777777" w:rsidR="006F2CB1" w:rsidRPr="00425F23" w:rsidRDefault="006F2CB1" w:rsidP="00061C8E">
            <w:pPr>
              <w:jc w:val="right"/>
              <w:rPr>
                <w:color w:val="000000"/>
                <w:sz w:val="21"/>
                <w:szCs w:val="21"/>
              </w:rPr>
            </w:pPr>
            <w:r w:rsidRPr="00425F23">
              <w:rPr>
                <w:color w:val="000000"/>
                <w:sz w:val="21"/>
                <w:szCs w:val="21"/>
              </w:rPr>
              <w:t>83.13</w:t>
            </w:r>
          </w:p>
        </w:tc>
        <w:tc>
          <w:tcPr>
            <w:tcW w:w="1350" w:type="dxa"/>
            <w:tcBorders>
              <w:top w:val="nil"/>
              <w:left w:val="nil"/>
              <w:bottom w:val="nil"/>
              <w:right w:val="single" w:sz="4" w:space="0" w:color="auto"/>
            </w:tcBorders>
            <w:shd w:val="clear" w:color="auto" w:fill="auto"/>
            <w:noWrap/>
            <w:vAlign w:val="bottom"/>
            <w:hideMark/>
          </w:tcPr>
          <w:p w14:paraId="4A266ABE" w14:textId="77777777" w:rsidR="006F2CB1" w:rsidRPr="00425F23" w:rsidRDefault="006F2CB1" w:rsidP="00061C8E">
            <w:pPr>
              <w:jc w:val="center"/>
              <w:rPr>
                <w:color w:val="000000"/>
                <w:sz w:val="21"/>
                <w:szCs w:val="21"/>
              </w:rPr>
            </w:pPr>
            <w:r w:rsidRPr="00425F23">
              <w:rPr>
                <w:color w:val="000000"/>
                <w:sz w:val="21"/>
                <w:szCs w:val="21"/>
              </w:rPr>
              <w:t>79.60</w:t>
            </w:r>
          </w:p>
        </w:tc>
      </w:tr>
      <w:tr w:rsidR="006F2CB1" w:rsidRPr="00425F23" w14:paraId="1482774F"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47BC1D74" w14:textId="39156060" w:rsidR="006F2CB1" w:rsidRPr="00425F23" w:rsidRDefault="006F2CB1" w:rsidP="00061C8E">
            <w:pPr>
              <w:rPr>
                <w:color w:val="000000"/>
                <w:sz w:val="21"/>
                <w:szCs w:val="21"/>
              </w:rPr>
            </w:pPr>
            <w:bookmarkStart w:id="1" w:name="_Hlk196220649"/>
            <w:r w:rsidRPr="00425F23">
              <w:rPr>
                <w:color w:val="000000"/>
                <w:sz w:val="21"/>
                <w:szCs w:val="21"/>
              </w:rPr>
              <w:t>Non-Hispanic</w:t>
            </w:r>
            <w:bookmarkEnd w:id="1"/>
          </w:p>
        </w:tc>
        <w:tc>
          <w:tcPr>
            <w:tcW w:w="813" w:type="dxa"/>
            <w:tcBorders>
              <w:top w:val="nil"/>
              <w:left w:val="nil"/>
              <w:bottom w:val="nil"/>
              <w:right w:val="nil"/>
            </w:tcBorders>
            <w:shd w:val="clear" w:color="auto" w:fill="auto"/>
            <w:noWrap/>
            <w:vAlign w:val="bottom"/>
            <w:hideMark/>
          </w:tcPr>
          <w:p w14:paraId="16C2D05F" w14:textId="77777777" w:rsidR="006F2CB1" w:rsidRPr="00425F23" w:rsidRDefault="006F2CB1" w:rsidP="00061C8E">
            <w:pPr>
              <w:jc w:val="right"/>
              <w:rPr>
                <w:color w:val="000000"/>
                <w:sz w:val="21"/>
                <w:szCs w:val="21"/>
              </w:rPr>
            </w:pPr>
            <w:r w:rsidRPr="00425F23">
              <w:rPr>
                <w:color w:val="000000"/>
                <w:sz w:val="21"/>
                <w:szCs w:val="21"/>
              </w:rPr>
              <w:t>6,494</w:t>
            </w:r>
          </w:p>
        </w:tc>
        <w:tc>
          <w:tcPr>
            <w:tcW w:w="722" w:type="dxa"/>
            <w:tcBorders>
              <w:top w:val="nil"/>
              <w:left w:val="nil"/>
              <w:bottom w:val="nil"/>
              <w:right w:val="nil"/>
            </w:tcBorders>
            <w:shd w:val="clear" w:color="auto" w:fill="auto"/>
            <w:noWrap/>
            <w:vAlign w:val="bottom"/>
            <w:hideMark/>
          </w:tcPr>
          <w:p w14:paraId="4AC08F33" w14:textId="77777777" w:rsidR="006F2CB1" w:rsidRPr="00425F23" w:rsidRDefault="006F2CB1" w:rsidP="00061C8E">
            <w:pPr>
              <w:jc w:val="right"/>
              <w:rPr>
                <w:color w:val="000000"/>
                <w:sz w:val="21"/>
                <w:szCs w:val="21"/>
              </w:rPr>
            </w:pPr>
            <w:r w:rsidRPr="00425F23">
              <w:rPr>
                <w:color w:val="000000"/>
                <w:sz w:val="21"/>
                <w:szCs w:val="21"/>
              </w:rPr>
              <w:t>91.78</w:t>
            </w:r>
          </w:p>
        </w:tc>
        <w:tc>
          <w:tcPr>
            <w:tcW w:w="1345" w:type="dxa"/>
            <w:tcBorders>
              <w:top w:val="nil"/>
              <w:left w:val="single" w:sz="4" w:space="0" w:color="auto"/>
              <w:bottom w:val="nil"/>
              <w:right w:val="single" w:sz="4" w:space="0" w:color="auto"/>
            </w:tcBorders>
            <w:shd w:val="clear" w:color="auto" w:fill="auto"/>
            <w:noWrap/>
            <w:vAlign w:val="bottom"/>
            <w:hideMark/>
          </w:tcPr>
          <w:p w14:paraId="58426454" w14:textId="77777777" w:rsidR="006F2CB1" w:rsidRPr="00425F23" w:rsidRDefault="006F2CB1" w:rsidP="00061C8E">
            <w:pPr>
              <w:tabs>
                <w:tab w:val="decimal" w:pos="166"/>
              </w:tabs>
              <w:jc w:val="center"/>
              <w:rPr>
                <w:color w:val="000000"/>
                <w:sz w:val="21"/>
                <w:szCs w:val="21"/>
              </w:rPr>
            </w:pPr>
            <w:r w:rsidRPr="00425F23">
              <w:rPr>
                <w:color w:val="000000"/>
                <w:sz w:val="21"/>
                <w:szCs w:val="21"/>
              </w:rPr>
              <w:t>81.27</w:t>
            </w:r>
          </w:p>
        </w:tc>
        <w:tc>
          <w:tcPr>
            <w:tcW w:w="4138" w:type="dxa"/>
            <w:tcBorders>
              <w:top w:val="nil"/>
              <w:left w:val="nil"/>
              <w:bottom w:val="nil"/>
            </w:tcBorders>
            <w:shd w:val="clear" w:color="auto" w:fill="auto"/>
            <w:noWrap/>
            <w:vAlign w:val="bottom"/>
            <w:hideMark/>
          </w:tcPr>
          <w:p w14:paraId="060FCB54" w14:textId="77777777" w:rsidR="006F2CB1" w:rsidRPr="00425F23" w:rsidRDefault="006F2CB1" w:rsidP="00061C8E">
            <w:pPr>
              <w:rPr>
                <w:color w:val="000000"/>
                <w:sz w:val="21"/>
                <w:szCs w:val="21"/>
              </w:rPr>
            </w:pPr>
            <w:r>
              <w:rPr>
                <w:color w:val="000000"/>
                <w:sz w:val="21"/>
                <w:szCs w:val="21"/>
              </w:rPr>
              <w:t>Rural</w:t>
            </w:r>
          </w:p>
        </w:tc>
        <w:tc>
          <w:tcPr>
            <w:tcW w:w="805" w:type="dxa"/>
            <w:tcBorders>
              <w:top w:val="nil"/>
              <w:bottom w:val="nil"/>
              <w:right w:val="nil"/>
            </w:tcBorders>
            <w:shd w:val="clear" w:color="auto" w:fill="auto"/>
            <w:noWrap/>
            <w:vAlign w:val="bottom"/>
            <w:hideMark/>
          </w:tcPr>
          <w:p w14:paraId="26F7FCB4" w14:textId="77777777" w:rsidR="006F2CB1" w:rsidRPr="00425F23" w:rsidRDefault="006F2CB1" w:rsidP="00061C8E">
            <w:pPr>
              <w:jc w:val="right"/>
              <w:rPr>
                <w:color w:val="000000"/>
                <w:sz w:val="21"/>
                <w:szCs w:val="21"/>
              </w:rPr>
            </w:pPr>
            <w:r w:rsidRPr="00425F23">
              <w:rPr>
                <w:color w:val="000000"/>
                <w:sz w:val="21"/>
                <w:szCs w:val="21"/>
              </w:rPr>
              <w:t>1,382</w:t>
            </w:r>
          </w:p>
        </w:tc>
        <w:tc>
          <w:tcPr>
            <w:tcW w:w="720" w:type="dxa"/>
            <w:tcBorders>
              <w:top w:val="nil"/>
              <w:left w:val="nil"/>
              <w:bottom w:val="nil"/>
              <w:right w:val="single" w:sz="4" w:space="0" w:color="auto"/>
            </w:tcBorders>
            <w:shd w:val="clear" w:color="auto" w:fill="auto"/>
            <w:noWrap/>
            <w:vAlign w:val="bottom"/>
            <w:hideMark/>
          </w:tcPr>
          <w:p w14:paraId="12A65F28" w14:textId="77777777" w:rsidR="006F2CB1" w:rsidRPr="00425F23" w:rsidRDefault="006F2CB1" w:rsidP="00061C8E">
            <w:pPr>
              <w:jc w:val="right"/>
              <w:rPr>
                <w:color w:val="000000"/>
                <w:sz w:val="21"/>
                <w:szCs w:val="21"/>
              </w:rPr>
            </w:pPr>
            <w:r w:rsidRPr="00425F23">
              <w:rPr>
                <w:color w:val="000000"/>
                <w:sz w:val="21"/>
                <w:szCs w:val="21"/>
              </w:rPr>
              <w:t>16.87</w:t>
            </w:r>
          </w:p>
        </w:tc>
        <w:tc>
          <w:tcPr>
            <w:tcW w:w="1350" w:type="dxa"/>
            <w:tcBorders>
              <w:top w:val="nil"/>
              <w:left w:val="nil"/>
              <w:bottom w:val="nil"/>
              <w:right w:val="single" w:sz="4" w:space="0" w:color="auto"/>
            </w:tcBorders>
            <w:shd w:val="clear" w:color="auto" w:fill="auto"/>
            <w:noWrap/>
            <w:vAlign w:val="bottom"/>
            <w:hideMark/>
          </w:tcPr>
          <w:p w14:paraId="139D4C3D" w14:textId="77777777" w:rsidR="006F2CB1" w:rsidRPr="00425F23" w:rsidRDefault="006F2CB1" w:rsidP="00061C8E">
            <w:pPr>
              <w:jc w:val="center"/>
              <w:rPr>
                <w:color w:val="000000"/>
                <w:sz w:val="21"/>
                <w:szCs w:val="21"/>
              </w:rPr>
            </w:pPr>
            <w:r w:rsidRPr="00425F23">
              <w:rPr>
                <w:color w:val="000000"/>
                <w:sz w:val="21"/>
                <w:szCs w:val="21"/>
              </w:rPr>
              <w:t>20.40</w:t>
            </w:r>
          </w:p>
        </w:tc>
      </w:tr>
      <w:tr w:rsidR="006F2CB1" w:rsidRPr="00425F23" w14:paraId="76F636DE"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6C27DF8C" w14:textId="77777777" w:rsidR="006F2CB1" w:rsidRPr="00425F23" w:rsidRDefault="006F2CB1" w:rsidP="00061C8E">
            <w:pPr>
              <w:rPr>
                <w:b/>
                <w:bCs/>
                <w:color w:val="000000"/>
                <w:sz w:val="21"/>
                <w:szCs w:val="21"/>
              </w:rPr>
            </w:pPr>
            <w:r w:rsidRPr="00425F23">
              <w:rPr>
                <w:b/>
                <w:bCs/>
                <w:color w:val="000000"/>
                <w:sz w:val="21"/>
                <w:szCs w:val="21"/>
              </w:rPr>
              <w:t>Race</w:t>
            </w:r>
          </w:p>
        </w:tc>
        <w:tc>
          <w:tcPr>
            <w:tcW w:w="813" w:type="dxa"/>
            <w:tcBorders>
              <w:top w:val="nil"/>
              <w:left w:val="nil"/>
              <w:bottom w:val="nil"/>
              <w:right w:val="nil"/>
            </w:tcBorders>
            <w:shd w:val="clear" w:color="auto" w:fill="auto"/>
            <w:noWrap/>
            <w:vAlign w:val="bottom"/>
            <w:hideMark/>
          </w:tcPr>
          <w:p w14:paraId="50B7F37F" w14:textId="77777777" w:rsidR="006F2CB1" w:rsidRPr="00425F23" w:rsidRDefault="006F2CB1" w:rsidP="00061C8E">
            <w:pPr>
              <w:rPr>
                <w:b/>
                <w:bCs/>
                <w:color w:val="000000"/>
                <w:sz w:val="21"/>
                <w:szCs w:val="21"/>
              </w:rPr>
            </w:pPr>
          </w:p>
        </w:tc>
        <w:tc>
          <w:tcPr>
            <w:tcW w:w="722" w:type="dxa"/>
            <w:tcBorders>
              <w:top w:val="nil"/>
              <w:left w:val="nil"/>
              <w:bottom w:val="nil"/>
              <w:right w:val="nil"/>
            </w:tcBorders>
            <w:shd w:val="clear" w:color="auto" w:fill="auto"/>
            <w:noWrap/>
            <w:vAlign w:val="bottom"/>
            <w:hideMark/>
          </w:tcPr>
          <w:p w14:paraId="3C052FDF" w14:textId="77777777" w:rsidR="006F2CB1" w:rsidRPr="00425F23" w:rsidRDefault="006F2CB1" w:rsidP="00061C8E">
            <w:pPr>
              <w:rPr>
                <w:sz w:val="20"/>
                <w:szCs w:val="20"/>
              </w:rPr>
            </w:pPr>
          </w:p>
        </w:tc>
        <w:tc>
          <w:tcPr>
            <w:tcW w:w="1345" w:type="dxa"/>
            <w:tcBorders>
              <w:top w:val="nil"/>
              <w:left w:val="single" w:sz="4" w:space="0" w:color="auto"/>
              <w:bottom w:val="nil"/>
              <w:right w:val="single" w:sz="4" w:space="0" w:color="auto"/>
            </w:tcBorders>
            <w:shd w:val="clear" w:color="auto" w:fill="auto"/>
            <w:noWrap/>
            <w:vAlign w:val="bottom"/>
            <w:hideMark/>
          </w:tcPr>
          <w:p w14:paraId="2E0A4498" w14:textId="77777777" w:rsidR="006F2CB1" w:rsidRPr="00425F23" w:rsidRDefault="006F2CB1" w:rsidP="00061C8E">
            <w:pPr>
              <w:tabs>
                <w:tab w:val="decimal" w:pos="166"/>
              </w:tabs>
              <w:jc w:val="center"/>
              <w:rPr>
                <w:color w:val="000000"/>
                <w:sz w:val="21"/>
                <w:szCs w:val="21"/>
              </w:rPr>
            </w:pPr>
          </w:p>
        </w:tc>
        <w:tc>
          <w:tcPr>
            <w:tcW w:w="4138" w:type="dxa"/>
            <w:tcBorders>
              <w:top w:val="nil"/>
              <w:left w:val="nil"/>
              <w:bottom w:val="nil"/>
            </w:tcBorders>
            <w:shd w:val="clear" w:color="auto" w:fill="auto"/>
            <w:noWrap/>
            <w:vAlign w:val="bottom"/>
            <w:hideMark/>
          </w:tcPr>
          <w:p w14:paraId="5AF6591A" w14:textId="77777777" w:rsidR="006F2CB1" w:rsidRPr="00425F23" w:rsidRDefault="006F2CB1" w:rsidP="00061C8E">
            <w:pPr>
              <w:rPr>
                <w:b/>
                <w:bCs/>
                <w:color w:val="000000"/>
                <w:sz w:val="21"/>
                <w:szCs w:val="21"/>
              </w:rPr>
            </w:pPr>
            <w:r w:rsidRPr="00425F23">
              <w:rPr>
                <w:b/>
                <w:bCs/>
                <w:color w:val="000000"/>
                <w:sz w:val="21"/>
                <w:szCs w:val="21"/>
              </w:rPr>
              <w:t>Household Number of Vehicles and Drivers</w:t>
            </w:r>
          </w:p>
        </w:tc>
        <w:tc>
          <w:tcPr>
            <w:tcW w:w="805" w:type="dxa"/>
            <w:tcBorders>
              <w:top w:val="nil"/>
              <w:bottom w:val="nil"/>
              <w:right w:val="nil"/>
            </w:tcBorders>
            <w:shd w:val="clear" w:color="auto" w:fill="auto"/>
            <w:noWrap/>
            <w:vAlign w:val="bottom"/>
            <w:hideMark/>
          </w:tcPr>
          <w:p w14:paraId="37C52B23" w14:textId="77777777" w:rsidR="006F2CB1" w:rsidRPr="00425F23" w:rsidRDefault="006F2CB1" w:rsidP="00061C8E">
            <w:pPr>
              <w:rPr>
                <w:b/>
                <w:bCs/>
                <w:color w:val="000000"/>
                <w:sz w:val="21"/>
                <w:szCs w:val="21"/>
              </w:rPr>
            </w:pPr>
          </w:p>
        </w:tc>
        <w:tc>
          <w:tcPr>
            <w:tcW w:w="720" w:type="dxa"/>
            <w:tcBorders>
              <w:top w:val="nil"/>
              <w:left w:val="nil"/>
              <w:bottom w:val="nil"/>
              <w:right w:val="single" w:sz="4" w:space="0" w:color="auto"/>
            </w:tcBorders>
            <w:shd w:val="clear" w:color="auto" w:fill="auto"/>
            <w:noWrap/>
            <w:vAlign w:val="bottom"/>
            <w:hideMark/>
          </w:tcPr>
          <w:p w14:paraId="2214BEC0" w14:textId="77777777" w:rsidR="006F2CB1" w:rsidRPr="00425F23" w:rsidRDefault="006F2CB1" w:rsidP="00061C8E">
            <w:pPr>
              <w:rPr>
                <w:color w:val="000000"/>
                <w:sz w:val="21"/>
                <w:szCs w:val="21"/>
              </w:rPr>
            </w:pPr>
            <w:r w:rsidRPr="00425F23">
              <w:rPr>
                <w:color w:val="000000"/>
                <w:sz w:val="21"/>
                <w:szCs w:val="21"/>
              </w:rPr>
              <w:t> </w:t>
            </w:r>
          </w:p>
        </w:tc>
        <w:tc>
          <w:tcPr>
            <w:tcW w:w="1350" w:type="dxa"/>
            <w:tcBorders>
              <w:top w:val="nil"/>
              <w:left w:val="nil"/>
              <w:bottom w:val="nil"/>
              <w:right w:val="single" w:sz="4" w:space="0" w:color="auto"/>
            </w:tcBorders>
            <w:shd w:val="clear" w:color="auto" w:fill="auto"/>
            <w:noWrap/>
            <w:vAlign w:val="bottom"/>
            <w:hideMark/>
          </w:tcPr>
          <w:p w14:paraId="10E687D8" w14:textId="77777777" w:rsidR="006F2CB1" w:rsidRPr="00425F23" w:rsidRDefault="006F2CB1" w:rsidP="00061C8E">
            <w:pPr>
              <w:jc w:val="center"/>
              <w:rPr>
                <w:color w:val="000000"/>
                <w:sz w:val="21"/>
                <w:szCs w:val="21"/>
              </w:rPr>
            </w:pPr>
          </w:p>
        </w:tc>
      </w:tr>
      <w:tr w:rsidR="006F2CB1" w:rsidRPr="00425F23" w14:paraId="51AC717C"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5EA3D4D6" w14:textId="77777777" w:rsidR="006F2CB1" w:rsidRPr="00425F23" w:rsidRDefault="006F2CB1" w:rsidP="00061C8E">
            <w:pPr>
              <w:rPr>
                <w:color w:val="000000"/>
                <w:sz w:val="21"/>
                <w:szCs w:val="21"/>
              </w:rPr>
            </w:pPr>
            <w:r w:rsidRPr="00425F23">
              <w:rPr>
                <w:color w:val="000000"/>
                <w:sz w:val="21"/>
                <w:szCs w:val="21"/>
              </w:rPr>
              <w:t>White</w:t>
            </w:r>
          </w:p>
        </w:tc>
        <w:tc>
          <w:tcPr>
            <w:tcW w:w="813" w:type="dxa"/>
            <w:tcBorders>
              <w:top w:val="nil"/>
              <w:left w:val="nil"/>
              <w:bottom w:val="nil"/>
              <w:right w:val="nil"/>
            </w:tcBorders>
            <w:shd w:val="clear" w:color="auto" w:fill="auto"/>
            <w:noWrap/>
            <w:vAlign w:val="bottom"/>
            <w:hideMark/>
          </w:tcPr>
          <w:p w14:paraId="4E290F0D" w14:textId="77777777" w:rsidR="006F2CB1" w:rsidRPr="00425F23" w:rsidRDefault="006F2CB1" w:rsidP="00061C8E">
            <w:pPr>
              <w:jc w:val="right"/>
              <w:rPr>
                <w:color w:val="000000"/>
                <w:sz w:val="21"/>
                <w:szCs w:val="21"/>
              </w:rPr>
            </w:pPr>
            <w:r w:rsidRPr="00425F23">
              <w:rPr>
                <w:color w:val="000000"/>
                <w:sz w:val="21"/>
                <w:szCs w:val="21"/>
              </w:rPr>
              <w:t>6,065</w:t>
            </w:r>
          </w:p>
        </w:tc>
        <w:tc>
          <w:tcPr>
            <w:tcW w:w="722" w:type="dxa"/>
            <w:tcBorders>
              <w:top w:val="nil"/>
              <w:left w:val="nil"/>
              <w:bottom w:val="nil"/>
              <w:right w:val="nil"/>
            </w:tcBorders>
            <w:shd w:val="clear" w:color="auto" w:fill="auto"/>
            <w:noWrap/>
            <w:vAlign w:val="bottom"/>
            <w:hideMark/>
          </w:tcPr>
          <w:p w14:paraId="1833427D" w14:textId="77777777" w:rsidR="006F2CB1" w:rsidRPr="00425F23" w:rsidRDefault="006F2CB1" w:rsidP="00061C8E">
            <w:pPr>
              <w:jc w:val="right"/>
              <w:rPr>
                <w:color w:val="000000"/>
                <w:sz w:val="21"/>
                <w:szCs w:val="21"/>
              </w:rPr>
            </w:pPr>
            <w:r w:rsidRPr="00425F23">
              <w:rPr>
                <w:color w:val="000000"/>
                <w:sz w:val="21"/>
                <w:szCs w:val="21"/>
              </w:rPr>
              <w:t>85.71</w:t>
            </w:r>
          </w:p>
        </w:tc>
        <w:tc>
          <w:tcPr>
            <w:tcW w:w="1345" w:type="dxa"/>
            <w:tcBorders>
              <w:top w:val="nil"/>
              <w:left w:val="single" w:sz="4" w:space="0" w:color="auto"/>
              <w:bottom w:val="nil"/>
              <w:right w:val="single" w:sz="4" w:space="0" w:color="auto"/>
            </w:tcBorders>
            <w:shd w:val="clear" w:color="auto" w:fill="auto"/>
            <w:noWrap/>
            <w:vAlign w:val="bottom"/>
            <w:hideMark/>
          </w:tcPr>
          <w:p w14:paraId="018A63F2" w14:textId="77777777" w:rsidR="006F2CB1" w:rsidRPr="00425F23" w:rsidRDefault="006F2CB1" w:rsidP="00061C8E">
            <w:pPr>
              <w:tabs>
                <w:tab w:val="decimal" w:pos="166"/>
              </w:tabs>
              <w:jc w:val="center"/>
              <w:rPr>
                <w:color w:val="000000"/>
                <w:sz w:val="21"/>
                <w:szCs w:val="21"/>
              </w:rPr>
            </w:pPr>
            <w:r w:rsidRPr="00425F23">
              <w:rPr>
                <w:color w:val="000000"/>
                <w:sz w:val="21"/>
                <w:szCs w:val="21"/>
              </w:rPr>
              <w:t>61.63</w:t>
            </w:r>
          </w:p>
        </w:tc>
        <w:tc>
          <w:tcPr>
            <w:tcW w:w="4138" w:type="dxa"/>
            <w:tcBorders>
              <w:top w:val="nil"/>
              <w:left w:val="nil"/>
              <w:bottom w:val="nil"/>
            </w:tcBorders>
            <w:shd w:val="clear" w:color="auto" w:fill="auto"/>
            <w:noWrap/>
            <w:vAlign w:val="bottom"/>
            <w:hideMark/>
          </w:tcPr>
          <w:p w14:paraId="3528E6AC" w14:textId="77777777" w:rsidR="006F2CB1" w:rsidRPr="00425F23" w:rsidRDefault="006F2CB1" w:rsidP="00061C8E">
            <w:pPr>
              <w:rPr>
                <w:color w:val="000000"/>
                <w:sz w:val="21"/>
                <w:szCs w:val="21"/>
              </w:rPr>
            </w:pPr>
            <w:r w:rsidRPr="00425F23">
              <w:rPr>
                <w:color w:val="000000"/>
                <w:sz w:val="21"/>
                <w:szCs w:val="21"/>
              </w:rPr>
              <w:t>Vehicles ≥ Drivers</w:t>
            </w:r>
          </w:p>
        </w:tc>
        <w:tc>
          <w:tcPr>
            <w:tcW w:w="805" w:type="dxa"/>
            <w:tcBorders>
              <w:top w:val="nil"/>
              <w:bottom w:val="nil"/>
              <w:right w:val="nil"/>
            </w:tcBorders>
            <w:shd w:val="clear" w:color="auto" w:fill="auto"/>
            <w:noWrap/>
            <w:vAlign w:val="bottom"/>
            <w:hideMark/>
          </w:tcPr>
          <w:p w14:paraId="7D263151" w14:textId="77777777" w:rsidR="006F2CB1" w:rsidRPr="00425F23" w:rsidRDefault="006F2CB1" w:rsidP="00061C8E">
            <w:pPr>
              <w:jc w:val="right"/>
              <w:rPr>
                <w:color w:val="000000"/>
                <w:sz w:val="21"/>
                <w:szCs w:val="21"/>
              </w:rPr>
            </w:pPr>
            <w:r w:rsidRPr="00425F23">
              <w:rPr>
                <w:color w:val="000000"/>
                <w:sz w:val="21"/>
                <w:szCs w:val="21"/>
              </w:rPr>
              <w:t>5,893</w:t>
            </w:r>
          </w:p>
        </w:tc>
        <w:tc>
          <w:tcPr>
            <w:tcW w:w="720" w:type="dxa"/>
            <w:tcBorders>
              <w:top w:val="nil"/>
              <w:left w:val="nil"/>
              <w:bottom w:val="nil"/>
              <w:right w:val="single" w:sz="4" w:space="0" w:color="auto"/>
            </w:tcBorders>
            <w:shd w:val="clear" w:color="auto" w:fill="auto"/>
            <w:noWrap/>
            <w:vAlign w:val="bottom"/>
            <w:hideMark/>
          </w:tcPr>
          <w:p w14:paraId="3D3EFE27" w14:textId="77777777" w:rsidR="006F2CB1" w:rsidRPr="00425F23" w:rsidRDefault="006F2CB1" w:rsidP="00061C8E">
            <w:pPr>
              <w:jc w:val="right"/>
              <w:rPr>
                <w:color w:val="000000"/>
                <w:sz w:val="21"/>
                <w:szCs w:val="21"/>
              </w:rPr>
            </w:pPr>
            <w:r w:rsidRPr="00425F23">
              <w:rPr>
                <w:color w:val="000000"/>
                <w:sz w:val="21"/>
                <w:szCs w:val="21"/>
              </w:rPr>
              <w:t>83.28</w:t>
            </w:r>
          </w:p>
        </w:tc>
        <w:tc>
          <w:tcPr>
            <w:tcW w:w="1350" w:type="dxa"/>
            <w:tcBorders>
              <w:top w:val="nil"/>
              <w:left w:val="nil"/>
              <w:bottom w:val="nil"/>
              <w:right w:val="single" w:sz="4" w:space="0" w:color="auto"/>
            </w:tcBorders>
            <w:shd w:val="clear" w:color="auto" w:fill="auto"/>
            <w:noWrap/>
            <w:vAlign w:val="bottom"/>
            <w:hideMark/>
          </w:tcPr>
          <w:p w14:paraId="34A8FADB" w14:textId="77777777" w:rsidR="006F2CB1" w:rsidRPr="00425F23" w:rsidRDefault="006F2CB1" w:rsidP="00061C8E">
            <w:pPr>
              <w:jc w:val="center"/>
              <w:rPr>
                <w:color w:val="000000"/>
                <w:sz w:val="21"/>
                <w:szCs w:val="21"/>
              </w:rPr>
            </w:pPr>
            <w:r w:rsidRPr="00425F23">
              <w:rPr>
                <w:color w:val="000000"/>
                <w:sz w:val="21"/>
                <w:szCs w:val="21"/>
              </w:rPr>
              <w:t>56.61</w:t>
            </w:r>
          </w:p>
        </w:tc>
      </w:tr>
      <w:tr w:rsidR="006F2CB1" w:rsidRPr="00425F23" w14:paraId="5A2A1FE4"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5F8A784A" w14:textId="77777777" w:rsidR="006F2CB1" w:rsidRPr="00425F23" w:rsidRDefault="006F2CB1" w:rsidP="00061C8E">
            <w:pPr>
              <w:rPr>
                <w:color w:val="000000"/>
                <w:sz w:val="21"/>
                <w:szCs w:val="21"/>
              </w:rPr>
            </w:pPr>
            <w:r w:rsidRPr="00425F23">
              <w:rPr>
                <w:color w:val="000000"/>
                <w:sz w:val="21"/>
                <w:szCs w:val="21"/>
              </w:rPr>
              <w:t>Black or African American</w:t>
            </w:r>
          </w:p>
        </w:tc>
        <w:tc>
          <w:tcPr>
            <w:tcW w:w="813" w:type="dxa"/>
            <w:tcBorders>
              <w:top w:val="nil"/>
              <w:left w:val="nil"/>
              <w:bottom w:val="nil"/>
              <w:right w:val="nil"/>
            </w:tcBorders>
            <w:shd w:val="clear" w:color="auto" w:fill="auto"/>
            <w:noWrap/>
            <w:vAlign w:val="bottom"/>
            <w:hideMark/>
          </w:tcPr>
          <w:p w14:paraId="5E358B58" w14:textId="77777777" w:rsidR="006F2CB1" w:rsidRPr="00425F23" w:rsidRDefault="006F2CB1" w:rsidP="00061C8E">
            <w:pPr>
              <w:jc w:val="right"/>
              <w:rPr>
                <w:color w:val="000000"/>
                <w:sz w:val="21"/>
                <w:szCs w:val="21"/>
              </w:rPr>
            </w:pPr>
            <w:r w:rsidRPr="00425F23">
              <w:rPr>
                <w:color w:val="000000"/>
                <w:sz w:val="21"/>
                <w:szCs w:val="21"/>
              </w:rPr>
              <w:t>465</w:t>
            </w:r>
          </w:p>
        </w:tc>
        <w:tc>
          <w:tcPr>
            <w:tcW w:w="722" w:type="dxa"/>
            <w:tcBorders>
              <w:top w:val="nil"/>
              <w:left w:val="nil"/>
              <w:bottom w:val="nil"/>
              <w:right w:val="nil"/>
            </w:tcBorders>
            <w:shd w:val="clear" w:color="auto" w:fill="auto"/>
            <w:noWrap/>
            <w:vAlign w:val="bottom"/>
            <w:hideMark/>
          </w:tcPr>
          <w:p w14:paraId="472F8E5A" w14:textId="77777777" w:rsidR="006F2CB1" w:rsidRPr="00425F23" w:rsidRDefault="006F2CB1" w:rsidP="00061C8E">
            <w:pPr>
              <w:jc w:val="right"/>
              <w:rPr>
                <w:color w:val="000000"/>
                <w:sz w:val="21"/>
                <w:szCs w:val="21"/>
              </w:rPr>
            </w:pPr>
            <w:r w:rsidRPr="00425F23">
              <w:rPr>
                <w:color w:val="000000"/>
                <w:sz w:val="21"/>
                <w:szCs w:val="21"/>
              </w:rPr>
              <w:t>6.57</w:t>
            </w:r>
          </w:p>
        </w:tc>
        <w:tc>
          <w:tcPr>
            <w:tcW w:w="1345" w:type="dxa"/>
            <w:tcBorders>
              <w:top w:val="nil"/>
              <w:left w:val="single" w:sz="4" w:space="0" w:color="auto"/>
              <w:bottom w:val="nil"/>
              <w:right w:val="single" w:sz="4" w:space="0" w:color="auto"/>
            </w:tcBorders>
            <w:shd w:val="clear" w:color="auto" w:fill="auto"/>
            <w:noWrap/>
            <w:vAlign w:val="bottom"/>
            <w:hideMark/>
          </w:tcPr>
          <w:p w14:paraId="0674F54E" w14:textId="77777777" w:rsidR="006F2CB1" w:rsidRPr="00425F23" w:rsidRDefault="006F2CB1" w:rsidP="00061C8E">
            <w:pPr>
              <w:tabs>
                <w:tab w:val="decimal" w:pos="166"/>
              </w:tabs>
              <w:jc w:val="center"/>
              <w:rPr>
                <w:color w:val="000000"/>
                <w:sz w:val="21"/>
                <w:szCs w:val="21"/>
              </w:rPr>
            </w:pPr>
            <w:r w:rsidRPr="00425F23">
              <w:rPr>
                <w:color w:val="000000"/>
                <w:sz w:val="21"/>
                <w:szCs w:val="21"/>
              </w:rPr>
              <w:t>12.40</w:t>
            </w:r>
          </w:p>
        </w:tc>
        <w:tc>
          <w:tcPr>
            <w:tcW w:w="4138" w:type="dxa"/>
            <w:tcBorders>
              <w:top w:val="nil"/>
              <w:left w:val="nil"/>
              <w:bottom w:val="nil"/>
            </w:tcBorders>
            <w:shd w:val="clear" w:color="auto" w:fill="auto"/>
            <w:noWrap/>
            <w:vAlign w:val="bottom"/>
            <w:hideMark/>
          </w:tcPr>
          <w:p w14:paraId="4FF3664F" w14:textId="77777777" w:rsidR="006F2CB1" w:rsidRPr="00425F23" w:rsidRDefault="006F2CB1" w:rsidP="00061C8E">
            <w:pPr>
              <w:rPr>
                <w:color w:val="000000"/>
                <w:sz w:val="21"/>
                <w:szCs w:val="21"/>
              </w:rPr>
            </w:pPr>
            <w:r w:rsidRPr="00425F23">
              <w:rPr>
                <w:color w:val="000000"/>
                <w:sz w:val="21"/>
                <w:szCs w:val="21"/>
              </w:rPr>
              <w:t>Vehicles &lt; Drivers</w:t>
            </w:r>
          </w:p>
        </w:tc>
        <w:tc>
          <w:tcPr>
            <w:tcW w:w="805" w:type="dxa"/>
            <w:tcBorders>
              <w:top w:val="nil"/>
              <w:bottom w:val="nil"/>
              <w:right w:val="nil"/>
            </w:tcBorders>
            <w:shd w:val="clear" w:color="auto" w:fill="auto"/>
            <w:noWrap/>
            <w:vAlign w:val="bottom"/>
            <w:hideMark/>
          </w:tcPr>
          <w:p w14:paraId="47A8CEA6" w14:textId="77777777" w:rsidR="006F2CB1" w:rsidRPr="00425F23" w:rsidRDefault="006F2CB1" w:rsidP="00061C8E">
            <w:pPr>
              <w:jc w:val="right"/>
              <w:rPr>
                <w:color w:val="000000"/>
                <w:sz w:val="21"/>
                <w:szCs w:val="21"/>
              </w:rPr>
            </w:pPr>
            <w:r w:rsidRPr="00425F23">
              <w:rPr>
                <w:color w:val="000000"/>
                <w:sz w:val="21"/>
                <w:szCs w:val="21"/>
              </w:rPr>
              <w:t>1,183</w:t>
            </w:r>
          </w:p>
        </w:tc>
        <w:tc>
          <w:tcPr>
            <w:tcW w:w="720" w:type="dxa"/>
            <w:tcBorders>
              <w:top w:val="nil"/>
              <w:left w:val="nil"/>
              <w:bottom w:val="nil"/>
              <w:right w:val="single" w:sz="4" w:space="0" w:color="auto"/>
            </w:tcBorders>
            <w:shd w:val="clear" w:color="auto" w:fill="auto"/>
            <w:noWrap/>
            <w:vAlign w:val="bottom"/>
            <w:hideMark/>
          </w:tcPr>
          <w:p w14:paraId="320C8A00" w14:textId="77777777" w:rsidR="006F2CB1" w:rsidRPr="00425F23" w:rsidRDefault="006F2CB1" w:rsidP="00061C8E">
            <w:pPr>
              <w:jc w:val="right"/>
              <w:rPr>
                <w:color w:val="000000"/>
                <w:sz w:val="21"/>
                <w:szCs w:val="21"/>
              </w:rPr>
            </w:pPr>
            <w:r w:rsidRPr="00425F23">
              <w:rPr>
                <w:color w:val="000000"/>
                <w:sz w:val="21"/>
                <w:szCs w:val="21"/>
              </w:rPr>
              <w:t>16.72</w:t>
            </w:r>
          </w:p>
        </w:tc>
        <w:tc>
          <w:tcPr>
            <w:tcW w:w="1350" w:type="dxa"/>
            <w:tcBorders>
              <w:top w:val="nil"/>
              <w:left w:val="nil"/>
              <w:bottom w:val="nil"/>
              <w:right w:val="single" w:sz="4" w:space="0" w:color="auto"/>
            </w:tcBorders>
            <w:shd w:val="clear" w:color="auto" w:fill="auto"/>
            <w:noWrap/>
            <w:vAlign w:val="bottom"/>
            <w:hideMark/>
          </w:tcPr>
          <w:p w14:paraId="2616F7B8" w14:textId="77777777" w:rsidR="006F2CB1" w:rsidRPr="00425F23" w:rsidRDefault="006F2CB1" w:rsidP="00061C8E">
            <w:pPr>
              <w:jc w:val="center"/>
              <w:rPr>
                <w:color w:val="000000"/>
                <w:sz w:val="21"/>
                <w:szCs w:val="21"/>
              </w:rPr>
            </w:pPr>
            <w:r w:rsidRPr="00425F23">
              <w:rPr>
                <w:color w:val="000000"/>
                <w:sz w:val="21"/>
                <w:szCs w:val="21"/>
              </w:rPr>
              <w:t>43.39</w:t>
            </w:r>
          </w:p>
        </w:tc>
      </w:tr>
      <w:tr w:rsidR="006F2CB1" w:rsidRPr="00425F23" w14:paraId="19BD8BAF"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1D1643B3" w14:textId="77777777" w:rsidR="006F2CB1" w:rsidRPr="00425F23" w:rsidRDefault="006F2CB1" w:rsidP="00061C8E">
            <w:pPr>
              <w:rPr>
                <w:color w:val="000000"/>
                <w:sz w:val="21"/>
                <w:szCs w:val="21"/>
              </w:rPr>
            </w:pPr>
            <w:r w:rsidRPr="00425F23">
              <w:rPr>
                <w:color w:val="000000"/>
                <w:sz w:val="21"/>
                <w:szCs w:val="21"/>
              </w:rPr>
              <w:t>Asian</w:t>
            </w:r>
          </w:p>
        </w:tc>
        <w:tc>
          <w:tcPr>
            <w:tcW w:w="813" w:type="dxa"/>
            <w:tcBorders>
              <w:top w:val="nil"/>
              <w:left w:val="nil"/>
              <w:bottom w:val="nil"/>
              <w:right w:val="nil"/>
            </w:tcBorders>
            <w:shd w:val="clear" w:color="auto" w:fill="auto"/>
            <w:noWrap/>
            <w:vAlign w:val="bottom"/>
            <w:hideMark/>
          </w:tcPr>
          <w:p w14:paraId="7A2FE3A5" w14:textId="77777777" w:rsidR="006F2CB1" w:rsidRPr="00425F23" w:rsidRDefault="006F2CB1" w:rsidP="00061C8E">
            <w:pPr>
              <w:jc w:val="right"/>
              <w:rPr>
                <w:color w:val="000000"/>
                <w:sz w:val="21"/>
                <w:szCs w:val="21"/>
              </w:rPr>
            </w:pPr>
            <w:r w:rsidRPr="00425F23">
              <w:rPr>
                <w:color w:val="000000"/>
                <w:sz w:val="21"/>
                <w:szCs w:val="21"/>
              </w:rPr>
              <w:t>466</w:t>
            </w:r>
          </w:p>
        </w:tc>
        <w:tc>
          <w:tcPr>
            <w:tcW w:w="722" w:type="dxa"/>
            <w:tcBorders>
              <w:top w:val="nil"/>
              <w:left w:val="nil"/>
              <w:bottom w:val="nil"/>
              <w:right w:val="nil"/>
            </w:tcBorders>
            <w:shd w:val="clear" w:color="auto" w:fill="auto"/>
            <w:noWrap/>
            <w:vAlign w:val="bottom"/>
            <w:hideMark/>
          </w:tcPr>
          <w:p w14:paraId="1A3D24EF" w14:textId="77777777" w:rsidR="006F2CB1" w:rsidRPr="00425F23" w:rsidRDefault="006F2CB1" w:rsidP="00061C8E">
            <w:pPr>
              <w:jc w:val="right"/>
              <w:rPr>
                <w:color w:val="000000"/>
                <w:sz w:val="21"/>
                <w:szCs w:val="21"/>
              </w:rPr>
            </w:pPr>
            <w:r w:rsidRPr="00425F23">
              <w:rPr>
                <w:color w:val="000000"/>
                <w:sz w:val="21"/>
                <w:szCs w:val="21"/>
              </w:rPr>
              <w:t>6.59</w:t>
            </w:r>
          </w:p>
        </w:tc>
        <w:tc>
          <w:tcPr>
            <w:tcW w:w="1345" w:type="dxa"/>
            <w:tcBorders>
              <w:top w:val="nil"/>
              <w:left w:val="single" w:sz="4" w:space="0" w:color="auto"/>
              <w:bottom w:val="nil"/>
              <w:right w:val="single" w:sz="4" w:space="0" w:color="auto"/>
            </w:tcBorders>
            <w:shd w:val="clear" w:color="auto" w:fill="auto"/>
            <w:noWrap/>
            <w:vAlign w:val="bottom"/>
            <w:hideMark/>
          </w:tcPr>
          <w:p w14:paraId="36BE9F32" w14:textId="77777777" w:rsidR="006F2CB1" w:rsidRPr="00425F23" w:rsidRDefault="006F2CB1" w:rsidP="00061C8E">
            <w:pPr>
              <w:tabs>
                <w:tab w:val="decimal" w:pos="166"/>
              </w:tabs>
              <w:jc w:val="center"/>
              <w:rPr>
                <w:color w:val="000000"/>
                <w:sz w:val="21"/>
                <w:szCs w:val="21"/>
              </w:rPr>
            </w:pPr>
            <w:r w:rsidRPr="00425F23">
              <w:rPr>
                <w:color w:val="000000"/>
                <w:sz w:val="21"/>
                <w:szCs w:val="21"/>
              </w:rPr>
              <w:t>6.00</w:t>
            </w:r>
          </w:p>
        </w:tc>
        <w:tc>
          <w:tcPr>
            <w:tcW w:w="4138" w:type="dxa"/>
            <w:tcBorders>
              <w:top w:val="nil"/>
              <w:left w:val="nil"/>
              <w:bottom w:val="nil"/>
            </w:tcBorders>
            <w:shd w:val="clear" w:color="auto" w:fill="auto"/>
            <w:noWrap/>
            <w:vAlign w:val="bottom"/>
            <w:hideMark/>
          </w:tcPr>
          <w:p w14:paraId="49EE07BF" w14:textId="77777777" w:rsidR="006F2CB1" w:rsidRPr="00425F23" w:rsidRDefault="006F2CB1" w:rsidP="00061C8E">
            <w:pPr>
              <w:rPr>
                <w:b/>
                <w:bCs/>
                <w:color w:val="000000"/>
                <w:sz w:val="21"/>
                <w:szCs w:val="21"/>
              </w:rPr>
            </w:pPr>
            <w:r w:rsidRPr="00425F23">
              <w:rPr>
                <w:b/>
                <w:bCs/>
                <w:color w:val="000000"/>
                <w:sz w:val="21"/>
                <w:szCs w:val="21"/>
              </w:rPr>
              <w:t>Household Income (thousands)</w:t>
            </w:r>
          </w:p>
        </w:tc>
        <w:tc>
          <w:tcPr>
            <w:tcW w:w="805" w:type="dxa"/>
            <w:tcBorders>
              <w:top w:val="nil"/>
              <w:bottom w:val="nil"/>
              <w:right w:val="nil"/>
            </w:tcBorders>
            <w:shd w:val="clear" w:color="auto" w:fill="auto"/>
            <w:noWrap/>
            <w:vAlign w:val="bottom"/>
            <w:hideMark/>
          </w:tcPr>
          <w:p w14:paraId="4BAC0845" w14:textId="77777777" w:rsidR="006F2CB1" w:rsidRPr="00425F23" w:rsidRDefault="006F2CB1" w:rsidP="00061C8E">
            <w:pPr>
              <w:rPr>
                <w:b/>
                <w:bCs/>
                <w:color w:val="000000"/>
                <w:sz w:val="21"/>
                <w:szCs w:val="21"/>
              </w:rPr>
            </w:pPr>
          </w:p>
        </w:tc>
        <w:tc>
          <w:tcPr>
            <w:tcW w:w="720" w:type="dxa"/>
            <w:tcBorders>
              <w:top w:val="nil"/>
              <w:left w:val="nil"/>
              <w:bottom w:val="nil"/>
              <w:right w:val="single" w:sz="4" w:space="0" w:color="auto"/>
            </w:tcBorders>
            <w:shd w:val="clear" w:color="auto" w:fill="auto"/>
            <w:noWrap/>
            <w:vAlign w:val="bottom"/>
            <w:hideMark/>
          </w:tcPr>
          <w:p w14:paraId="21C62FC3" w14:textId="77777777" w:rsidR="006F2CB1" w:rsidRPr="00425F23" w:rsidRDefault="006F2CB1" w:rsidP="00061C8E">
            <w:pPr>
              <w:rPr>
                <w:color w:val="000000"/>
                <w:sz w:val="21"/>
                <w:szCs w:val="21"/>
              </w:rPr>
            </w:pPr>
            <w:r w:rsidRPr="00425F23">
              <w:rPr>
                <w:color w:val="000000"/>
                <w:sz w:val="21"/>
                <w:szCs w:val="21"/>
              </w:rPr>
              <w:t> </w:t>
            </w:r>
          </w:p>
        </w:tc>
        <w:tc>
          <w:tcPr>
            <w:tcW w:w="1350" w:type="dxa"/>
            <w:tcBorders>
              <w:top w:val="nil"/>
              <w:left w:val="nil"/>
              <w:bottom w:val="nil"/>
              <w:right w:val="single" w:sz="4" w:space="0" w:color="auto"/>
            </w:tcBorders>
            <w:shd w:val="clear" w:color="auto" w:fill="auto"/>
            <w:noWrap/>
            <w:vAlign w:val="bottom"/>
            <w:hideMark/>
          </w:tcPr>
          <w:p w14:paraId="4B230682" w14:textId="77777777" w:rsidR="006F2CB1" w:rsidRPr="00425F23" w:rsidRDefault="006F2CB1" w:rsidP="00061C8E">
            <w:pPr>
              <w:jc w:val="center"/>
              <w:rPr>
                <w:color w:val="000000"/>
                <w:sz w:val="21"/>
                <w:szCs w:val="21"/>
              </w:rPr>
            </w:pPr>
          </w:p>
        </w:tc>
      </w:tr>
      <w:tr w:rsidR="006F2CB1" w:rsidRPr="00425F23" w14:paraId="18B146CD"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17A485FA" w14:textId="77777777" w:rsidR="006F2CB1" w:rsidRPr="00425F23" w:rsidRDefault="006F2CB1" w:rsidP="00061C8E">
            <w:pPr>
              <w:rPr>
                <w:color w:val="000000"/>
                <w:sz w:val="21"/>
                <w:szCs w:val="21"/>
              </w:rPr>
            </w:pPr>
            <w:r w:rsidRPr="00425F23">
              <w:rPr>
                <w:color w:val="000000"/>
                <w:sz w:val="21"/>
                <w:szCs w:val="21"/>
              </w:rPr>
              <w:t>Other</w:t>
            </w:r>
          </w:p>
        </w:tc>
        <w:tc>
          <w:tcPr>
            <w:tcW w:w="813" w:type="dxa"/>
            <w:tcBorders>
              <w:top w:val="nil"/>
              <w:left w:val="nil"/>
              <w:bottom w:val="nil"/>
              <w:right w:val="nil"/>
            </w:tcBorders>
            <w:shd w:val="clear" w:color="auto" w:fill="auto"/>
            <w:noWrap/>
            <w:vAlign w:val="bottom"/>
            <w:hideMark/>
          </w:tcPr>
          <w:p w14:paraId="1DB493A6" w14:textId="77777777" w:rsidR="006F2CB1" w:rsidRPr="00425F23" w:rsidRDefault="006F2CB1" w:rsidP="00061C8E">
            <w:pPr>
              <w:jc w:val="right"/>
              <w:rPr>
                <w:color w:val="000000"/>
                <w:sz w:val="21"/>
                <w:szCs w:val="21"/>
              </w:rPr>
            </w:pPr>
            <w:r w:rsidRPr="00425F23">
              <w:rPr>
                <w:color w:val="000000"/>
                <w:sz w:val="21"/>
                <w:szCs w:val="21"/>
              </w:rPr>
              <w:t>80</w:t>
            </w:r>
          </w:p>
        </w:tc>
        <w:tc>
          <w:tcPr>
            <w:tcW w:w="722" w:type="dxa"/>
            <w:tcBorders>
              <w:top w:val="nil"/>
              <w:left w:val="nil"/>
              <w:bottom w:val="nil"/>
              <w:right w:val="nil"/>
            </w:tcBorders>
            <w:shd w:val="clear" w:color="auto" w:fill="auto"/>
            <w:noWrap/>
            <w:vAlign w:val="bottom"/>
            <w:hideMark/>
          </w:tcPr>
          <w:p w14:paraId="33911A40" w14:textId="77777777" w:rsidR="006F2CB1" w:rsidRPr="00425F23" w:rsidRDefault="006F2CB1" w:rsidP="00061C8E">
            <w:pPr>
              <w:jc w:val="right"/>
              <w:rPr>
                <w:color w:val="000000"/>
                <w:sz w:val="21"/>
                <w:szCs w:val="21"/>
              </w:rPr>
            </w:pPr>
            <w:r w:rsidRPr="00425F23">
              <w:rPr>
                <w:color w:val="000000"/>
                <w:sz w:val="21"/>
                <w:szCs w:val="21"/>
              </w:rPr>
              <w:t>1.13</w:t>
            </w:r>
          </w:p>
        </w:tc>
        <w:tc>
          <w:tcPr>
            <w:tcW w:w="1345" w:type="dxa"/>
            <w:tcBorders>
              <w:top w:val="nil"/>
              <w:left w:val="single" w:sz="4" w:space="0" w:color="auto"/>
              <w:bottom w:val="nil"/>
              <w:right w:val="single" w:sz="4" w:space="0" w:color="auto"/>
            </w:tcBorders>
            <w:shd w:val="clear" w:color="auto" w:fill="auto"/>
            <w:noWrap/>
            <w:vAlign w:val="bottom"/>
            <w:hideMark/>
          </w:tcPr>
          <w:p w14:paraId="60A8E602" w14:textId="77777777" w:rsidR="006F2CB1" w:rsidRPr="00425F23" w:rsidRDefault="006F2CB1" w:rsidP="00061C8E">
            <w:pPr>
              <w:tabs>
                <w:tab w:val="decimal" w:pos="166"/>
              </w:tabs>
              <w:jc w:val="center"/>
              <w:rPr>
                <w:color w:val="000000"/>
                <w:sz w:val="21"/>
                <w:szCs w:val="21"/>
              </w:rPr>
            </w:pPr>
            <w:r w:rsidRPr="00425F23">
              <w:rPr>
                <w:color w:val="000000"/>
                <w:sz w:val="21"/>
                <w:szCs w:val="21"/>
              </w:rPr>
              <w:t>19.97</w:t>
            </w:r>
          </w:p>
        </w:tc>
        <w:tc>
          <w:tcPr>
            <w:tcW w:w="4138" w:type="dxa"/>
            <w:tcBorders>
              <w:top w:val="nil"/>
              <w:left w:val="nil"/>
              <w:bottom w:val="nil"/>
            </w:tcBorders>
            <w:shd w:val="clear" w:color="auto" w:fill="auto"/>
            <w:noWrap/>
            <w:vAlign w:val="bottom"/>
            <w:hideMark/>
          </w:tcPr>
          <w:p w14:paraId="4A8CD5FC" w14:textId="77777777" w:rsidR="006F2CB1" w:rsidRPr="00425F23" w:rsidRDefault="006F2CB1" w:rsidP="00061C8E">
            <w:pPr>
              <w:rPr>
                <w:color w:val="000000"/>
                <w:sz w:val="21"/>
                <w:szCs w:val="21"/>
              </w:rPr>
            </w:pPr>
            <w:r w:rsidRPr="00425F23">
              <w:rPr>
                <w:color w:val="000000"/>
                <w:sz w:val="21"/>
                <w:szCs w:val="21"/>
              </w:rPr>
              <w:t>&lt;$50,000</w:t>
            </w:r>
          </w:p>
        </w:tc>
        <w:tc>
          <w:tcPr>
            <w:tcW w:w="805" w:type="dxa"/>
            <w:tcBorders>
              <w:top w:val="nil"/>
              <w:bottom w:val="nil"/>
              <w:right w:val="nil"/>
            </w:tcBorders>
            <w:shd w:val="clear" w:color="auto" w:fill="auto"/>
            <w:noWrap/>
            <w:vAlign w:val="bottom"/>
            <w:hideMark/>
          </w:tcPr>
          <w:p w14:paraId="17F9F6AC" w14:textId="77777777" w:rsidR="006F2CB1" w:rsidRPr="00425F23" w:rsidRDefault="006F2CB1" w:rsidP="00061C8E">
            <w:pPr>
              <w:jc w:val="right"/>
              <w:rPr>
                <w:color w:val="000000"/>
                <w:sz w:val="21"/>
                <w:szCs w:val="21"/>
              </w:rPr>
            </w:pPr>
            <w:r w:rsidRPr="00425F23">
              <w:rPr>
                <w:color w:val="000000"/>
                <w:sz w:val="21"/>
                <w:szCs w:val="21"/>
              </w:rPr>
              <w:t>1,785</w:t>
            </w:r>
          </w:p>
        </w:tc>
        <w:tc>
          <w:tcPr>
            <w:tcW w:w="720" w:type="dxa"/>
            <w:tcBorders>
              <w:top w:val="nil"/>
              <w:left w:val="nil"/>
              <w:bottom w:val="nil"/>
              <w:right w:val="single" w:sz="4" w:space="0" w:color="auto"/>
            </w:tcBorders>
            <w:shd w:val="clear" w:color="auto" w:fill="auto"/>
            <w:noWrap/>
            <w:vAlign w:val="bottom"/>
            <w:hideMark/>
          </w:tcPr>
          <w:p w14:paraId="6B78DAF4" w14:textId="77777777" w:rsidR="006F2CB1" w:rsidRPr="00425F23" w:rsidRDefault="006F2CB1" w:rsidP="00061C8E">
            <w:pPr>
              <w:jc w:val="right"/>
              <w:rPr>
                <w:color w:val="000000"/>
                <w:sz w:val="21"/>
                <w:szCs w:val="21"/>
              </w:rPr>
            </w:pPr>
            <w:r w:rsidRPr="00425F23">
              <w:rPr>
                <w:color w:val="000000"/>
                <w:sz w:val="21"/>
                <w:szCs w:val="21"/>
              </w:rPr>
              <w:t>25.23</w:t>
            </w:r>
          </w:p>
        </w:tc>
        <w:tc>
          <w:tcPr>
            <w:tcW w:w="1350" w:type="dxa"/>
            <w:tcBorders>
              <w:top w:val="nil"/>
              <w:left w:val="nil"/>
              <w:bottom w:val="nil"/>
              <w:right w:val="single" w:sz="4" w:space="0" w:color="auto"/>
            </w:tcBorders>
            <w:shd w:val="clear" w:color="auto" w:fill="auto"/>
            <w:noWrap/>
            <w:vAlign w:val="bottom"/>
            <w:hideMark/>
          </w:tcPr>
          <w:p w14:paraId="1674C4DE" w14:textId="77777777" w:rsidR="006F2CB1" w:rsidRPr="00425F23" w:rsidRDefault="006F2CB1" w:rsidP="00061C8E">
            <w:pPr>
              <w:jc w:val="center"/>
              <w:rPr>
                <w:color w:val="000000"/>
                <w:sz w:val="21"/>
                <w:szCs w:val="21"/>
              </w:rPr>
            </w:pPr>
            <w:r w:rsidRPr="00425F23">
              <w:rPr>
                <w:color w:val="000000"/>
                <w:sz w:val="21"/>
                <w:szCs w:val="21"/>
              </w:rPr>
              <w:t>48.00</w:t>
            </w:r>
          </w:p>
        </w:tc>
      </w:tr>
      <w:tr w:rsidR="006F2CB1" w:rsidRPr="00425F23" w14:paraId="69DC398B"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63F5EB41" w14:textId="77777777" w:rsidR="006F2CB1" w:rsidRPr="00425F23" w:rsidRDefault="006F2CB1" w:rsidP="00061C8E">
            <w:pPr>
              <w:rPr>
                <w:b/>
                <w:bCs/>
                <w:color w:val="000000"/>
                <w:sz w:val="21"/>
                <w:szCs w:val="21"/>
              </w:rPr>
            </w:pPr>
            <w:r w:rsidRPr="00425F23">
              <w:rPr>
                <w:b/>
                <w:bCs/>
                <w:color w:val="000000"/>
                <w:sz w:val="21"/>
                <w:szCs w:val="21"/>
              </w:rPr>
              <w:t>Worker</w:t>
            </w:r>
          </w:p>
        </w:tc>
        <w:tc>
          <w:tcPr>
            <w:tcW w:w="813" w:type="dxa"/>
            <w:tcBorders>
              <w:top w:val="nil"/>
              <w:left w:val="nil"/>
              <w:bottom w:val="nil"/>
              <w:right w:val="nil"/>
            </w:tcBorders>
            <w:shd w:val="clear" w:color="auto" w:fill="auto"/>
            <w:noWrap/>
            <w:vAlign w:val="bottom"/>
            <w:hideMark/>
          </w:tcPr>
          <w:p w14:paraId="6C4F1313" w14:textId="77777777" w:rsidR="006F2CB1" w:rsidRPr="00425F23" w:rsidRDefault="006F2CB1" w:rsidP="00061C8E">
            <w:pPr>
              <w:rPr>
                <w:b/>
                <w:bCs/>
                <w:color w:val="000000"/>
                <w:sz w:val="21"/>
                <w:szCs w:val="21"/>
              </w:rPr>
            </w:pPr>
          </w:p>
        </w:tc>
        <w:tc>
          <w:tcPr>
            <w:tcW w:w="722" w:type="dxa"/>
            <w:tcBorders>
              <w:top w:val="nil"/>
              <w:left w:val="nil"/>
              <w:bottom w:val="nil"/>
              <w:right w:val="nil"/>
            </w:tcBorders>
            <w:shd w:val="clear" w:color="auto" w:fill="auto"/>
            <w:noWrap/>
            <w:vAlign w:val="bottom"/>
            <w:hideMark/>
          </w:tcPr>
          <w:p w14:paraId="309BA069" w14:textId="77777777" w:rsidR="006F2CB1" w:rsidRPr="00425F23" w:rsidRDefault="006F2CB1" w:rsidP="00061C8E">
            <w:pPr>
              <w:rPr>
                <w:sz w:val="20"/>
                <w:szCs w:val="20"/>
              </w:rPr>
            </w:pPr>
          </w:p>
        </w:tc>
        <w:tc>
          <w:tcPr>
            <w:tcW w:w="1345" w:type="dxa"/>
            <w:tcBorders>
              <w:top w:val="nil"/>
              <w:left w:val="single" w:sz="4" w:space="0" w:color="auto"/>
              <w:bottom w:val="nil"/>
              <w:right w:val="single" w:sz="4" w:space="0" w:color="auto"/>
            </w:tcBorders>
            <w:shd w:val="clear" w:color="auto" w:fill="auto"/>
            <w:noWrap/>
            <w:vAlign w:val="bottom"/>
            <w:hideMark/>
          </w:tcPr>
          <w:p w14:paraId="5D65B42F" w14:textId="77777777" w:rsidR="006F2CB1" w:rsidRPr="00425F23" w:rsidRDefault="006F2CB1" w:rsidP="00061C8E">
            <w:pPr>
              <w:tabs>
                <w:tab w:val="decimal" w:pos="166"/>
              </w:tabs>
              <w:jc w:val="center"/>
              <w:rPr>
                <w:color w:val="000000"/>
                <w:sz w:val="21"/>
                <w:szCs w:val="21"/>
              </w:rPr>
            </w:pPr>
          </w:p>
        </w:tc>
        <w:tc>
          <w:tcPr>
            <w:tcW w:w="4138" w:type="dxa"/>
            <w:tcBorders>
              <w:top w:val="nil"/>
              <w:left w:val="nil"/>
              <w:bottom w:val="nil"/>
            </w:tcBorders>
            <w:shd w:val="clear" w:color="auto" w:fill="auto"/>
            <w:noWrap/>
            <w:vAlign w:val="bottom"/>
            <w:hideMark/>
          </w:tcPr>
          <w:p w14:paraId="21BE5953" w14:textId="77777777" w:rsidR="006F2CB1" w:rsidRPr="00425F23" w:rsidRDefault="006F2CB1" w:rsidP="00061C8E">
            <w:pPr>
              <w:rPr>
                <w:color w:val="000000"/>
                <w:sz w:val="21"/>
                <w:szCs w:val="21"/>
              </w:rPr>
            </w:pPr>
            <w:r w:rsidRPr="00425F23">
              <w:rPr>
                <w:color w:val="000000"/>
                <w:sz w:val="21"/>
                <w:szCs w:val="21"/>
              </w:rPr>
              <w:t>$50,000-$74,999</w:t>
            </w:r>
          </w:p>
        </w:tc>
        <w:tc>
          <w:tcPr>
            <w:tcW w:w="805" w:type="dxa"/>
            <w:tcBorders>
              <w:top w:val="nil"/>
              <w:bottom w:val="nil"/>
              <w:right w:val="nil"/>
            </w:tcBorders>
            <w:shd w:val="clear" w:color="auto" w:fill="auto"/>
            <w:noWrap/>
            <w:vAlign w:val="bottom"/>
            <w:hideMark/>
          </w:tcPr>
          <w:p w14:paraId="1E758E5C" w14:textId="77777777" w:rsidR="006F2CB1" w:rsidRPr="00425F23" w:rsidRDefault="006F2CB1" w:rsidP="00061C8E">
            <w:pPr>
              <w:jc w:val="right"/>
              <w:rPr>
                <w:color w:val="000000"/>
                <w:sz w:val="21"/>
                <w:szCs w:val="21"/>
              </w:rPr>
            </w:pPr>
            <w:r w:rsidRPr="00425F23">
              <w:rPr>
                <w:color w:val="000000"/>
                <w:sz w:val="21"/>
                <w:szCs w:val="21"/>
              </w:rPr>
              <w:t>1,039</w:t>
            </w:r>
          </w:p>
        </w:tc>
        <w:tc>
          <w:tcPr>
            <w:tcW w:w="720" w:type="dxa"/>
            <w:tcBorders>
              <w:top w:val="nil"/>
              <w:left w:val="nil"/>
              <w:bottom w:val="nil"/>
              <w:right w:val="single" w:sz="4" w:space="0" w:color="auto"/>
            </w:tcBorders>
            <w:shd w:val="clear" w:color="auto" w:fill="auto"/>
            <w:noWrap/>
            <w:vAlign w:val="bottom"/>
            <w:hideMark/>
          </w:tcPr>
          <w:p w14:paraId="1EE324A8" w14:textId="77777777" w:rsidR="006F2CB1" w:rsidRPr="00425F23" w:rsidRDefault="006F2CB1" w:rsidP="00061C8E">
            <w:pPr>
              <w:jc w:val="right"/>
              <w:rPr>
                <w:color w:val="000000"/>
                <w:sz w:val="21"/>
                <w:szCs w:val="21"/>
              </w:rPr>
            </w:pPr>
            <w:r w:rsidRPr="00425F23">
              <w:rPr>
                <w:color w:val="000000"/>
                <w:sz w:val="21"/>
                <w:szCs w:val="21"/>
              </w:rPr>
              <w:t>14.68</w:t>
            </w:r>
          </w:p>
        </w:tc>
        <w:tc>
          <w:tcPr>
            <w:tcW w:w="1350" w:type="dxa"/>
            <w:tcBorders>
              <w:top w:val="nil"/>
              <w:left w:val="nil"/>
              <w:bottom w:val="nil"/>
              <w:right w:val="single" w:sz="4" w:space="0" w:color="auto"/>
            </w:tcBorders>
            <w:shd w:val="clear" w:color="auto" w:fill="auto"/>
            <w:noWrap/>
            <w:vAlign w:val="bottom"/>
            <w:hideMark/>
          </w:tcPr>
          <w:p w14:paraId="0B021494" w14:textId="77777777" w:rsidR="006F2CB1" w:rsidRPr="00425F23" w:rsidRDefault="006F2CB1" w:rsidP="00061C8E">
            <w:pPr>
              <w:jc w:val="center"/>
              <w:rPr>
                <w:color w:val="000000"/>
                <w:sz w:val="21"/>
                <w:szCs w:val="21"/>
              </w:rPr>
            </w:pPr>
            <w:r w:rsidRPr="00425F23">
              <w:rPr>
                <w:color w:val="000000"/>
                <w:sz w:val="21"/>
                <w:szCs w:val="21"/>
              </w:rPr>
              <w:t>14.67</w:t>
            </w:r>
          </w:p>
        </w:tc>
      </w:tr>
      <w:tr w:rsidR="006F2CB1" w:rsidRPr="00425F23" w14:paraId="6DD55764"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40988A26" w14:textId="77777777" w:rsidR="006F2CB1" w:rsidRPr="00425F23" w:rsidRDefault="006F2CB1" w:rsidP="00061C8E">
            <w:pPr>
              <w:rPr>
                <w:color w:val="000000"/>
                <w:sz w:val="21"/>
                <w:szCs w:val="21"/>
              </w:rPr>
            </w:pPr>
            <w:r w:rsidRPr="00425F23">
              <w:rPr>
                <w:color w:val="000000"/>
                <w:sz w:val="21"/>
                <w:szCs w:val="21"/>
              </w:rPr>
              <w:t>Yes</w:t>
            </w:r>
          </w:p>
        </w:tc>
        <w:tc>
          <w:tcPr>
            <w:tcW w:w="813" w:type="dxa"/>
            <w:tcBorders>
              <w:top w:val="nil"/>
              <w:left w:val="nil"/>
              <w:bottom w:val="nil"/>
              <w:right w:val="nil"/>
            </w:tcBorders>
            <w:shd w:val="clear" w:color="auto" w:fill="auto"/>
            <w:noWrap/>
            <w:vAlign w:val="bottom"/>
            <w:hideMark/>
          </w:tcPr>
          <w:p w14:paraId="36F8A8ED" w14:textId="77777777" w:rsidR="006F2CB1" w:rsidRPr="00425F23" w:rsidRDefault="006F2CB1" w:rsidP="00061C8E">
            <w:pPr>
              <w:jc w:val="right"/>
              <w:rPr>
                <w:color w:val="000000"/>
                <w:sz w:val="21"/>
                <w:szCs w:val="21"/>
              </w:rPr>
            </w:pPr>
            <w:r w:rsidRPr="00425F23">
              <w:rPr>
                <w:color w:val="000000"/>
                <w:sz w:val="21"/>
                <w:szCs w:val="21"/>
              </w:rPr>
              <w:t>3,504</w:t>
            </w:r>
          </w:p>
        </w:tc>
        <w:tc>
          <w:tcPr>
            <w:tcW w:w="722" w:type="dxa"/>
            <w:tcBorders>
              <w:top w:val="nil"/>
              <w:left w:val="nil"/>
              <w:bottom w:val="nil"/>
              <w:right w:val="nil"/>
            </w:tcBorders>
            <w:shd w:val="clear" w:color="auto" w:fill="auto"/>
            <w:noWrap/>
            <w:vAlign w:val="bottom"/>
            <w:hideMark/>
          </w:tcPr>
          <w:p w14:paraId="7C754CC2" w14:textId="77777777" w:rsidR="006F2CB1" w:rsidRPr="00425F23" w:rsidRDefault="006F2CB1" w:rsidP="00061C8E">
            <w:pPr>
              <w:jc w:val="right"/>
              <w:rPr>
                <w:color w:val="000000"/>
                <w:sz w:val="21"/>
                <w:szCs w:val="21"/>
              </w:rPr>
            </w:pPr>
            <w:r w:rsidRPr="00425F23">
              <w:rPr>
                <w:color w:val="000000"/>
                <w:sz w:val="21"/>
                <w:szCs w:val="21"/>
              </w:rPr>
              <w:t>49.52</w:t>
            </w:r>
          </w:p>
        </w:tc>
        <w:tc>
          <w:tcPr>
            <w:tcW w:w="1345" w:type="dxa"/>
            <w:tcBorders>
              <w:top w:val="nil"/>
              <w:left w:val="single" w:sz="4" w:space="0" w:color="auto"/>
              <w:bottom w:val="nil"/>
              <w:right w:val="single" w:sz="4" w:space="0" w:color="auto"/>
            </w:tcBorders>
            <w:shd w:val="clear" w:color="auto" w:fill="auto"/>
            <w:noWrap/>
            <w:vAlign w:val="bottom"/>
            <w:hideMark/>
          </w:tcPr>
          <w:p w14:paraId="3B0EA550" w14:textId="77777777" w:rsidR="006F2CB1" w:rsidRPr="00425F23" w:rsidRDefault="006F2CB1" w:rsidP="00061C8E">
            <w:pPr>
              <w:tabs>
                <w:tab w:val="decimal" w:pos="166"/>
              </w:tabs>
              <w:jc w:val="center"/>
              <w:rPr>
                <w:color w:val="000000"/>
                <w:sz w:val="21"/>
                <w:szCs w:val="21"/>
              </w:rPr>
            </w:pPr>
            <w:r w:rsidRPr="00425F23">
              <w:rPr>
                <w:color w:val="000000"/>
                <w:sz w:val="21"/>
                <w:szCs w:val="21"/>
              </w:rPr>
              <w:t>73.37</w:t>
            </w:r>
          </w:p>
        </w:tc>
        <w:tc>
          <w:tcPr>
            <w:tcW w:w="4138" w:type="dxa"/>
            <w:tcBorders>
              <w:top w:val="nil"/>
              <w:left w:val="nil"/>
              <w:bottom w:val="nil"/>
            </w:tcBorders>
            <w:shd w:val="clear" w:color="auto" w:fill="auto"/>
            <w:noWrap/>
            <w:vAlign w:val="bottom"/>
            <w:hideMark/>
          </w:tcPr>
          <w:p w14:paraId="3BE8CB33" w14:textId="77777777" w:rsidR="006F2CB1" w:rsidRPr="00425F23" w:rsidRDefault="006F2CB1" w:rsidP="00061C8E">
            <w:pPr>
              <w:rPr>
                <w:color w:val="000000"/>
                <w:sz w:val="21"/>
                <w:szCs w:val="21"/>
              </w:rPr>
            </w:pPr>
            <w:r w:rsidRPr="00425F23">
              <w:rPr>
                <w:color w:val="000000"/>
                <w:sz w:val="21"/>
                <w:szCs w:val="21"/>
              </w:rPr>
              <w:t>$75,000-$99,999</w:t>
            </w:r>
          </w:p>
        </w:tc>
        <w:tc>
          <w:tcPr>
            <w:tcW w:w="805" w:type="dxa"/>
            <w:tcBorders>
              <w:top w:val="nil"/>
              <w:bottom w:val="nil"/>
              <w:right w:val="nil"/>
            </w:tcBorders>
            <w:shd w:val="clear" w:color="auto" w:fill="auto"/>
            <w:noWrap/>
            <w:vAlign w:val="bottom"/>
            <w:hideMark/>
          </w:tcPr>
          <w:p w14:paraId="6CC834E6" w14:textId="77777777" w:rsidR="006F2CB1" w:rsidRPr="00425F23" w:rsidRDefault="006F2CB1" w:rsidP="00061C8E">
            <w:pPr>
              <w:jc w:val="right"/>
              <w:rPr>
                <w:color w:val="000000"/>
                <w:sz w:val="21"/>
                <w:szCs w:val="21"/>
              </w:rPr>
            </w:pPr>
            <w:r w:rsidRPr="00425F23">
              <w:rPr>
                <w:color w:val="000000"/>
                <w:sz w:val="21"/>
                <w:szCs w:val="21"/>
              </w:rPr>
              <w:t>1,004</w:t>
            </w:r>
          </w:p>
        </w:tc>
        <w:tc>
          <w:tcPr>
            <w:tcW w:w="720" w:type="dxa"/>
            <w:tcBorders>
              <w:top w:val="nil"/>
              <w:left w:val="nil"/>
              <w:bottom w:val="nil"/>
              <w:right w:val="single" w:sz="4" w:space="0" w:color="auto"/>
            </w:tcBorders>
            <w:shd w:val="clear" w:color="auto" w:fill="auto"/>
            <w:noWrap/>
            <w:vAlign w:val="bottom"/>
            <w:hideMark/>
          </w:tcPr>
          <w:p w14:paraId="57A23F6F" w14:textId="77777777" w:rsidR="006F2CB1" w:rsidRPr="00425F23" w:rsidRDefault="006F2CB1" w:rsidP="00061C8E">
            <w:pPr>
              <w:jc w:val="right"/>
              <w:rPr>
                <w:color w:val="000000"/>
                <w:sz w:val="21"/>
                <w:szCs w:val="21"/>
              </w:rPr>
            </w:pPr>
            <w:r w:rsidRPr="00425F23">
              <w:rPr>
                <w:color w:val="000000"/>
                <w:sz w:val="21"/>
                <w:szCs w:val="21"/>
              </w:rPr>
              <w:t>14.19</w:t>
            </w:r>
          </w:p>
        </w:tc>
        <w:tc>
          <w:tcPr>
            <w:tcW w:w="1350" w:type="dxa"/>
            <w:tcBorders>
              <w:top w:val="nil"/>
              <w:left w:val="nil"/>
              <w:bottom w:val="nil"/>
              <w:right w:val="single" w:sz="4" w:space="0" w:color="auto"/>
            </w:tcBorders>
            <w:shd w:val="clear" w:color="auto" w:fill="auto"/>
            <w:noWrap/>
            <w:vAlign w:val="bottom"/>
            <w:hideMark/>
          </w:tcPr>
          <w:p w14:paraId="0668641D" w14:textId="77777777" w:rsidR="006F2CB1" w:rsidRPr="00425F23" w:rsidRDefault="006F2CB1" w:rsidP="00061C8E">
            <w:pPr>
              <w:jc w:val="center"/>
              <w:rPr>
                <w:color w:val="000000"/>
                <w:sz w:val="21"/>
                <w:szCs w:val="21"/>
              </w:rPr>
            </w:pPr>
            <w:r w:rsidRPr="00425F23">
              <w:rPr>
                <w:color w:val="000000"/>
                <w:sz w:val="21"/>
                <w:szCs w:val="21"/>
              </w:rPr>
              <w:t>10.89</w:t>
            </w:r>
          </w:p>
        </w:tc>
      </w:tr>
      <w:tr w:rsidR="006F2CB1" w:rsidRPr="00425F23" w14:paraId="03A4A7C4"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2C8693A3" w14:textId="77777777" w:rsidR="006F2CB1" w:rsidRPr="00425F23" w:rsidRDefault="006F2CB1" w:rsidP="00061C8E">
            <w:pPr>
              <w:rPr>
                <w:color w:val="000000"/>
                <w:sz w:val="21"/>
                <w:szCs w:val="21"/>
              </w:rPr>
            </w:pPr>
            <w:r w:rsidRPr="00425F23">
              <w:rPr>
                <w:color w:val="000000"/>
                <w:sz w:val="21"/>
                <w:szCs w:val="21"/>
              </w:rPr>
              <w:t>No</w:t>
            </w:r>
          </w:p>
        </w:tc>
        <w:tc>
          <w:tcPr>
            <w:tcW w:w="813" w:type="dxa"/>
            <w:tcBorders>
              <w:top w:val="nil"/>
              <w:left w:val="nil"/>
              <w:bottom w:val="nil"/>
              <w:right w:val="nil"/>
            </w:tcBorders>
            <w:shd w:val="clear" w:color="auto" w:fill="auto"/>
            <w:noWrap/>
            <w:vAlign w:val="bottom"/>
            <w:hideMark/>
          </w:tcPr>
          <w:p w14:paraId="41DA94E1" w14:textId="77777777" w:rsidR="006F2CB1" w:rsidRPr="00425F23" w:rsidRDefault="006F2CB1" w:rsidP="00061C8E">
            <w:pPr>
              <w:jc w:val="right"/>
              <w:rPr>
                <w:color w:val="000000"/>
                <w:sz w:val="21"/>
                <w:szCs w:val="21"/>
              </w:rPr>
            </w:pPr>
            <w:r w:rsidRPr="00425F23">
              <w:rPr>
                <w:color w:val="000000"/>
                <w:sz w:val="21"/>
                <w:szCs w:val="21"/>
              </w:rPr>
              <w:t>3,572</w:t>
            </w:r>
          </w:p>
        </w:tc>
        <w:tc>
          <w:tcPr>
            <w:tcW w:w="722" w:type="dxa"/>
            <w:tcBorders>
              <w:top w:val="nil"/>
              <w:left w:val="nil"/>
              <w:bottom w:val="nil"/>
              <w:right w:val="nil"/>
            </w:tcBorders>
            <w:shd w:val="clear" w:color="auto" w:fill="auto"/>
            <w:noWrap/>
            <w:vAlign w:val="bottom"/>
            <w:hideMark/>
          </w:tcPr>
          <w:p w14:paraId="798E4C35" w14:textId="77777777" w:rsidR="006F2CB1" w:rsidRPr="00425F23" w:rsidRDefault="006F2CB1" w:rsidP="00061C8E">
            <w:pPr>
              <w:jc w:val="right"/>
              <w:rPr>
                <w:color w:val="000000"/>
                <w:sz w:val="21"/>
                <w:szCs w:val="21"/>
              </w:rPr>
            </w:pPr>
            <w:r w:rsidRPr="00425F23">
              <w:rPr>
                <w:color w:val="000000"/>
                <w:sz w:val="21"/>
                <w:szCs w:val="21"/>
              </w:rPr>
              <w:t>50.48</w:t>
            </w:r>
          </w:p>
        </w:tc>
        <w:tc>
          <w:tcPr>
            <w:tcW w:w="1345" w:type="dxa"/>
            <w:tcBorders>
              <w:top w:val="nil"/>
              <w:left w:val="single" w:sz="4" w:space="0" w:color="auto"/>
              <w:bottom w:val="nil"/>
              <w:right w:val="single" w:sz="4" w:space="0" w:color="auto"/>
            </w:tcBorders>
            <w:shd w:val="clear" w:color="auto" w:fill="auto"/>
            <w:noWrap/>
            <w:vAlign w:val="bottom"/>
            <w:hideMark/>
          </w:tcPr>
          <w:p w14:paraId="630E909A" w14:textId="77777777" w:rsidR="006F2CB1" w:rsidRPr="00425F23" w:rsidRDefault="006F2CB1" w:rsidP="00061C8E">
            <w:pPr>
              <w:tabs>
                <w:tab w:val="decimal" w:pos="166"/>
              </w:tabs>
              <w:jc w:val="center"/>
              <w:rPr>
                <w:color w:val="000000"/>
                <w:sz w:val="21"/>
                <w:szCs w:val="21"/>
              </w:rPr>
            </w:pPr>
            <w:r w:rsidRPr="00425F23">
              <w:rPr>
                <w:color w:val="000000"/>
                <w:sz w:val="21"/>
                <w:szCs w:val="21"/>
              </w:rPr>
              <w:t>26.63</w:t>
            </w:r>
          </w:p>
        </w:tc>
        <w:tc>
          <w:tcPr>
            <w:tcW w:w="4138" w:type="dxa"/>
            <w:tcBorders>
              <w:top w:val="nil"/>
              <w:left w:val="nil"/>
              <w:bottom w:val="nil"/>
            </w:tcBorders>
            <w:shd w:val="clear" w:color="auto" w:fill="auto"/>
            <w:noWrap/>
            <w:vAlign w:val="bottom"/>
            <w:hideMark/>
          </w:tcPr>
          <w:p w14:paraId="40CE4DD2" w14:textId="77777777" w:rsidR="006F2CB1" w:rsidRPr="00425F23" w:rsidRDefault="006F2CB1" w:rsidP="00061C8E">
            <w:pPr>
              <w:rPr>
                <w:color w:val="000000"/>
                <w:sz w:val="21"/>
                <w:szCs w:val="21"/>
              </w:rPr>
            </w:pPr>
            <w:r w:rsidRPr="00425F23">
              <w:rPr>
                <w:color w:val="000000"/>
                <w:sz w:val="21"/>
                <w:szCs w:val="21"/>
              </w:rPr>
              <w:t>$100,000-$149,999</w:t>
            </w:r>
          </w:p>
        </w:tc>
        <w:tc>
          <w:tcPr>
            <w:tcW w:w="805" w:type="dxa"/>
            <w:tcBorders>
              <w:top w:val="nil"/>
              <w:bottom w:val="nil"/>
              <w:right w:val="nil"/>
            </w:tcBorders>
            <w:shd w:val="clear" w:color="auto" w:fill="auto"/>
            <w:noWrap/>
            <w:vAlign w:val="bottom"/>
            <w:hideMark/>
          </w:tcPr>
          <w:p w14:paraId="458C3E04" w14:textId="77777777" w:rsidR="006F2CB1" w:rsidRPr="00425F23" w:rsidRDefault="006F2CB1" w:rsidP="00061C8E">
            <w:pPr>
              <w:jc w:val="right"/>
              <w:rPr>
                <w:color w:val="000000"/>
                <w:sz w:val="21"/>
                <w:szCs w:val="21"/>
              </w:rPr>
            </w:pPr>
            <w:r w:rsidRPr="00425F23">
              <w:rPr>
                <w:color w:val="000000"/>
                <w:sz w:val="21"/>
                <w:szCs w:val="21"/>
              </w:rPr>
              <w:t>1,478</w:t>
            </w:r>
          </w:p>
        </w:tc>
        <w:tc>
          <w:tcPr>
            <w:tcW w:w="720" w:type="dxa"/>
            <w:tcBorders>
              <w:top w:val="nil"/>
              <w:left w:val="nil"/>
              <w:bottom w:val="nil"/>
              <w:right w:val="single" w:sz="4" w:space="0" w:color="auto"/>
            </w:tcBorders>
            <w:shd w:val="clear" w:color="auto" w:fill="auto"/>
            <w:noWrap/>
            <w:vAlign w:val="bottom"/>
            <w:hideMark/>
          </w:tcPr>
          <w:p w14:paraId="3033F94B" w14:textId="77777777" w:rsidR="006F2CB1" w:rsidRPr="00425F23" w:rsidRDefault="006F2CB1" w:rsidP="00061C8E">
            <w:pPr>
              <w:jc w:val="right"/>
              <w:rPr>
                <w:color w:val="000000"/>
                <w:sz w:val="21"/>
                <w:szCs w:val="21"/>
              </w:rPr>
            </w:pPr>
            <w:r w:rsidRPr="00425F23">
              <w:rPr>
                <w:color w:val="000000"/>
                <w:sz w:val="21"/>
                <w:szCs w:val="21"/>
              </w:rPr>
              <w:t>20.89</w:t>
            </w:r>
          </w:p>
        </w:tc>
        <w:tc>
          <w:tcPr>
            <w:tcW w:w="1350" w:type="dxa"/>
            <w:tcBorders>
              <w:top w:val="nil"/>
              <w:left w:val="nil"/>
              <w:bottom w:val="nil"/>
              <w:right w:val="single" w:sz="4" w:space="0" w:color="auto"/>
            </w:tcBorders>
            <w:shd w:val="clear" w:color="auto" w:fill="auto"/>
            <w:noWrap/>
            <w:vAlign w:val="bottom"/>
            <w:hideMark/>
          </w:tcPr>
          <w:p w14:paraId="54EF83EB" w14:textId="77777777" w:rsidR="006F2CB1" w:rsidRPr="00425F23" w:rsidRDefault="006F2CB1" w:rsidP="00061C8E">
            <w:pPr>
              <w:jc w:val="center"/>
              <w:rPr>
                <w:color w:val="000000"/>
                <w:sz w:val="21"/>
                <w:szCs w:val="21"/>
              </w:rPr>
            </w:pPr>
            <w:r w:rsidRPr="00425F23">
              <w:rPr>
                <w:color w:val="000000"/>
                <w:sz w:val="21"/>
                <w:szCs w:val="21"/>
              </w:rPr>
              <w:t>13.34</w:t>
            </w:r>
          </w:p>
        </w:tc>
      </w:tr>
      <w:tr w:rsidR="006F2CB1" w:rsidRPr="00425F23" w14:paraId="4CC7888E"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5EC4B210" w14:textId="77777777" w:rsidR="006F2CB1" w:rsidRPr="00425F23" w:rsidRDefault="006F2CB1" w:rsidP="00061C8E">
            <w:pPr>
              <w:rPr>
                <w:b/>
                <w:bCs/>
                <w:color w:val="000000"/>
                <w:sz w:val="21"/>
                <w:szCs w:val="21"/>
              </w:rPr>
            </w:pPr>
            <w:r w:rsidRPr="00425F23">
              <w:rPr>
                <w:b/>
                <w:bCs/>
                <w:color w:val="000000"/>
                <w:sz w:val="21"/>
                <w:szCs w:val="21"/>
              </w:rPr>
              <w:t>Driver</w:t>
            </w:r>
          </w:p>
        </w:tc>
        <w:tc>
          <w:tcPr>
            <w:tcW w:w="813" w:type="dxa"/>
            <w:tcBorders>
              <w:top w:val="nil"/>
              <w:left w:val="nil"/>
              <w:bottom w:val="nil"/>
              <w:right w:val="nil"/>
            </w:tcBorders>
            <w:shd w:val="clear" w:color="auto" w:fill="auto"/>
            <w:noWrap/>
            <w:vAlign w:val="bottom"/>
            <w:hideMark/>
          </w:tcPr>
          <w:p w14:paraId="3AF001EE" w14:textId="77777777" w:rsidR="006F2CB1" w:rsidRPr="00425F23" w:rsidRDefault="006F2CB1" w:rsidP="00061C8E">
            <w:pPr>
              <w:rPr>
                <w:b/>
                <w:bCs/>
                <w:color w:val="000000"/>
                <w:sz w:val="21"/>
                <w:szCs w:val="21"/>
              </w:rPr>
            </w:pPr>
          </w:p>
        </w:tc>
        <w:tc>
          <w:tcPr>
            <w:tcW w:w="722" w:type="dxa"/>
            <w:tcBorders>
              <w:top w:val="nil"/>
              <w:left w:val="nil"/>
              <w:bottom w:val="nil"/>
              <w:right w:val="nil"/>
            </w:tcBorders>
            <w:shd w:val="clear" w:color="auto" w:fill="auto"/>
            <w:noWrap/>
            <w:vAlign w:val="bottom"/>
            <w:hideMark/>
          </w:tcPr>
          <w:p w14:paraId="2486D371" w14:textId="77777777" w:rsidR="006F2CB1" w:rsidRPr="00425F23" w:rsidRDefault="006F2CB1" w:rsidP="00061C8E">
            <w:pPr>
              <w:rPr>
                <w:sz w:val="20"/>
                <w:szCs w:val="20"/>
              </w:rPr>
            </w:pPr>
          </w:p>
        </w:tc>
        <w:tc>
          <w:tcPr>
            <w:tcW w:w="1345" w:type="dxa"/>
            <w:tcBorders>
              <w:top w:val="nil"/>
              <w:left w:val="single" w:sz="4" w:space="0" w:color="auto"/>
              <w:bottom w:val="nil"/>
              <w:right w:val="single" w:sz="4" w:space="0" w:color="auto"/>
            </w:tcBorders>
            <w:shd w:val="clear" w:color="auto" w:fill="auto"/>
            <w:noWrap/>
            <w:vAlign w:val="bottom"/>
            <w:hideMark/>
          </w:tcPr>
          <w:p w14:paraId="636A5091" w14:textId="77777777" w:rsidR="006F2CB1" w:rsidRPr="00425F23" w:rsidRDefault="006F2CB1" w:rsidP="00061C8E">
            <w:pPr>
              <w:tabs>
                <w:tab w:val="decimal" w:pos="166"/>
              </w:tabs>
              <w:jc w:val="center"/>
              <w:rPr>
                <w:color w:val="000000"/>
                <w:sz w:val="21"/>
                <w:szCs w:val="21"/>
              </w:rPr>
            </w:pPr>
          </w:p>
        </w:tc>
        <w:tc>
          <w:tcPr>
            <w:tcW w:w="4138" w:type="dxa"/>
            <w:tcBorders>
              <w:top w:val="nil"/>
              <w:left w:val="nil"/>
              <w:bottom w:val="nil"/>
            </w:tcBorders>
            <w:shd w:val="clear" w:color="auto" w:fill="auto"/>
            <w:noWrap/>
            <w:vAlign w:val="bottom"/>
            <w:hideMark/>
          </w:tcPr>
          <w:p w14:paraId="00A1C590" w14:textId="77777777" w:rsidR="006F2CB1" w:rsidRPr="00425F23" w:rsidRDefault="006F2CB1" w:rsidP="00061C8E">
            <w:pPr>
              <w:rPr>
                <w:color w:val="000000"/>
                <w:sz w:val="21"/>
                <w:szCs w:val="21"/>
              </w:rPr>
            </w:pPr>
            <w:r w:rsidRPr="00425F23">
              <w:rPr>
                <w:color w:val="000000"/>
                <w:sz w:val="21"/>
                <w:szCs w:val="21"/>
              </w:rPr>
              <w:t>≥$150,000</w:t>
            </w:r>
          </w:p>
        </w:tc>
        <w:tc>
          <w:tcPr>
            <w:tcW w:w="805" w:type="dxa"/>
            <w:tcBorders>
              <w:top w:val="nil"/>
              <w:bottom w:val="nil"/>
              <w:right w:val="nil"/>
            </w:tcBorders>
            <w:shd w:val="clear" w:color="auto" w:fill="auto"/>
            <w:noWrap/>
            <w:vAlign w:val="bottom"/>
            <w:hideMark/>
          </w:tcPr>
          <w:p w14:paraId="5924D497" w14:textId="77777777" w:rsidR="006F2CB1" w:rsidRPr="00425F23" w:rsidRDefault="006F2CB1" w:rsidP="00061C8E">
            <w:pPr>
              <w:jc w:val="right"/>
              <w:rPr>
                <w:color w:val="000000"/>
                <w:sz w:val="21"/>
                <w:szCs w:val="21"/>
              </w:rPr>
            </w:pPr>
            <w:r w:rsidRPr="00425F23">
              <w:rPr>
                <w:color w:val="000000"/>
                <w:sz w:val="21"/>
                <w:szCs w:val="21"/>
              </w:rPr>
              <w:t>1,770</w:t>
            </w:r>
          </w:p>
        </w:tc>
        <w:tc>
          <w:tcPr>
            <w:tcW w:w="720" w:type="dxa"/>
            <w:tcBorders>
              <w:top w:val="nil"/>
              <w:left w:val="nil"/>
              <w:bottom w:val="nil"/>
              <w:right w:val="single" w:sz="4" w:space="0" w:color="auto"/>
            </w:tcBorders>
            <w:shd w:val="clear" w:color="auto" w:fill="auto"/>
            <w:noWrap/>
            <w:vAlign w:val="bottom"/>
            <w:hideMark/>
          </w:tcPr>
          <w:p w14:paraId="74FC964C" w14:textId="77777777" w:rsidR="006F2CB1" w:rsidRPr="00425F23" w:rsidRDefault="006F2CB1" w:rsidP="00061C8E">
            <w:pPr>
              <w:jc w:val="right"/>
              <w:rPr>
                <w:color w:val="000000"/>
                <w:sz w:val="21"/>
                <w:szCs w:val="21"/>
              </w:rPr>
            </w:pPr>
            <w:r w:rsidRPr="00425F23">
              <w:rPr>
                <w:color w:val="000000"/>
                <w:sz w:val="21"/>
                <w:szCs w:val="21"/>
              </w:rPr>
              <w:t>25.01</w:t>
            </w:r>
          </w:p>
        </w:tc>
        <w:tc>
          <w:tcPr>
            <w:tcW w:w="1350" w:type="dxa"/>
            <w:tcBorders>
              <w:top w:val="nil"/>
              <w:left w:val="nil"/>
              <w:bottom w:val="nil"/>
              <w:right w:val="single" w:sz="4" w:space="0" w:color="auto"/>
            </w:tcBorders>
            <w:shd w:val="clear" w:color="auto" w:fill="auto"/>
            <w:noWrap/>
            <w:vAlign w:val="bottom"/>
            <w:hideMark/>
          </w:tcPr>
          <w:p w14:paraId="191EC711" w14:textId="77777777" w:rsidR="006F2CB1" w:rsidRPr="00425F23" w:rsidRDefault="006F2CB1" w:rsidP="00061C8E">
            <w:pPr>
              <w:jc w:val="center"/>
              <w:rPr>
                <w:color w:val="000000"/>
                <w:sz w:val="21"/>
                <w:szCs w:val="21"/>
              </w:rPr>
            </w:pPr>
            <w:r w:rsidRPr="00425F23">
              <w:rPr>
                <w:color w:val="000000"/>
                <w:sz w:val="21"/>
                <w:szCs w:val="21"/>
              </w:rPr>
              <w:t>13.11</w:t>
            </w:r>
          </w:p>
        </w:tc>
      </w:tr>
      <w:tr w:rsidR="006F2CB1" w:rsidRPr="00425F23" w14:paraId="61E68A25" w14:textId="77777777" w:rsidTr="0074176E">
        <w:trPr>
          <w:gridAfter w:val="1"/>
          <w:wAfter w:w="7" w:type="dxa"/>
          <w:trHeight w:val="259"/>
          <w:jc w:val="center"/>
        </w:trPr>
        <w:tc>
          <w:tcPr>
            <w:tcW w:w="3145" w:type="dxa"/>
            <w:tcBorders>
              <w:top w:val="nil"/>
              <w:left w:val="single" w:sz="4" w:space="0" w:color="auto"/>
              <w:bottom w:val="nil"/>
              <w:right w:val="nil"/>
            </w:tcBorders>
            <w:shd w:val="clear" w:color="auto" w:fill="auto"/>
            <w:noWrap/>
            <w:vAlign w:val="bottom"/>
            <w:hideMark/>
          </w:tcPr>
          <w:p w14:paraId="1DCE7DF7" w14:textId="77777777" w:rsidR="006F2CB1" w:rsidRPr="00425F23" w:rsidRDefault="006F2CB1" w:rsidP="00061C8E">
            <w:pPr>
              <w:rPr>
                <w:color w:val="000000"/>
                <w:sz w:val="21"/>
                <w:szCs w:val="21"/>
              </w:rPr>
            </w:pPr>
            <w:r w:rsidRPr="00425F23">
              <w:rPr>
                <w:color w:val="000000"/>
                <w:sz w:val="21"/>
                <w:szCs w:val="21"/>
              </w:rPr>
              <w:t>Yes</w:t>
            </w:r>
          </w:p>
        </w:tc>
        <w:tc>
          <w:tcPr>
            <w:tcW w:w="813" w:type="dxa"/>
            <w:tcBorders>
              <w:top w:val="nil"/>
              <w:left w:val="nil"/>
              <w:bottom w:val="nil"/>
              <w:right w:val="nil"/>
            </w:tcBorders>
            <w:shd w:val="clear" w:color="auto" w:fill="auto"/>
            <w:noWrap/>
            <w:vAlign w:val="bottom"/>
            <w:hideMark/>
          </w:tcPr>
          <w:p w14:paraId="15C3200F" w14:textId="77777777" w:rsidR="006F2CB1" w:rsidRPr="00425F23" w:rsidRDefault="006F2CB1" w:rsidP="00061C8E">
            <w:pPr>
              <w:jc w:val="right"/>
              <w:rPr>
                <w:color w:val="000000"/>
                <w:sz w:val="21"/>
                <w:szCs w:val="21"/>
              </w:rPr>
            </w:pPr>
            <w:r w:rsidRPr="00425F23">
              <w:rPr>
                <w:color w:val="000000"/>
                <w:sz w:val="21"/>
                <w:szCs w:val="21"/>
              </w:rPr>
              <w:t>6,406</w:t>
            </w:r>
          </w:p>
        </w:tc>
        <w:tc>
          <w:tcPr>
            <w:tcW w:w="722" w:type="dxa"/>
            <w:tcBorders>
              <w:top w:val="nil"/>
              <w:left w:val="nil"/>
              <w:bottom w:val="nil"/>
              <w:right w:val="nil"/>
            </w:tcBorders>
            <w:shd w:val="clear" w:color="auto" w:fill="auto"/>
            <w:noWrap/>
            <w:vAlign w:val="bottom"/>
            <w:hideMark/>
          </w:tcPr>
          <w:p w14:paraId="79B1A32E" w14:textId="77777777" w:rsidR="006F2CB1" w:rsidRPr="00425F23" w:rsidRDefault="006F2CB1" w:rsidP="00061C8E">
            <w:pPr>
              <w:jc w:val="right"/>
              <w:rPr>
                <w:color w:val="000000"/>
                <w:sz w:val="21"/>
                <w:szCs w:val="21"/>
              </w:rPr>
            </w:pPr>
            <w:r w:rsidRPr="00425F23">
              <w:rPr>
                <w:color w:val="000000"/>
                <w:sz w:val="21"/>
                <w:szCs w:val="21"/>
              </w:rPr>
              <w:t>90.53</w:t>
            </w:r>
          </w:p>
        </w:tc>
        <w:tc>
          <w:tcPr>
            <w:tcW w:w="1345" w:type="dxa"/>
            <w:tcBorders>
              <w:top w:val="nil"/>
              <w:left w:val="single" w:sz="4" w:space="0" w:color="auto"/>
              <w:bottom w:val="nil"/>
              <w:right w:val="single" w:sz="4" w:space="0" w:color="auto"/>
            </w:tcBorders>
            <w:shd w:val="clear" w:color="auto" w:fill="auto"/>
            <w:noWrap/>
            <w:vAlign w:val="bottom"/>
            <w:hideMark/>
          </w:tcPr>
          <w:p w14:paraId="2ECE23B5" w14:textId="77777777" w:rsidR="006F2CB1" w:rsidRPr="00425F23" w:rsidRDefault="006F2CB1" w:rsidP="00061C8E">
            <w:pPr>
              <w:jc w:val="center"/>
              <w:rPr>
                <w:color w:val="000000"/>
                <w:sz w:val="21"/>
                <w:szCs w:val="21"/>
              </w:rPr>
            </w:pPr>
          </w:p>
        </w:tc>
        <w:tc>
          <w:tcPr>
            <w:tcW w:w="4138" w:type="dxa"/>
            <w:tcBorders>
              <w:top w:val="nil"/>
              <w:left w:val="nil"/>
              <w:bottom w:val="nil"/>
            </w:tcBorders>
            <w:shd w:val="clear" w:color="auto" w:fill="auto"/>
            <w:noWrap/>
            <w:vAlign w:val="bottom"/>
            <w:hideMark/>
          </w:tcPr>
          <w:p w14:paraId="353CA44E" w14:textId="77777777" w:rsidR="006F2CB1" w:rsidRPr="00425F23" w:rsidRDefault="006F2CB1" w:rsidP="00061C8E">
            <w:pPr>
              <w:rPr>
                <w:color w:val="000000"/>
                <w:sz w:val="21"/>
                <w:szCs w:val="21"/>
              </w:rPr>
            </w:pPr>
            <w:r w:rsidRPr="00425F23">
              <w:rPr>
                <w:color w:val="000000"/>
                <w:sz w:val="21"/>
                <w:szCs w:val="21"/>
              </w:rPr>
              <w:t> </w:t>
            </w:r>
          </w:p>
        </w:tc>
        <w:tc>
          <w:tcPr>
            <w:tcW w:w="805" w:type="dxa"/>
            <w:tcBorders>
              <w:top w:val="nil"/>
              <w:bottom w:val="nil"/>
              <w:right w:val="nil"/>
            </w:tcBorders>
            <w:shd w:val="clear" w:color="auto" w:fill="auto"/>
            <w:noWrap/>
            <w:vAlign w:val="bottom"/>
            <w:hideMark/>
          </w:tcPr>
          <w:p w14:paraId="72781E19" w14:textId="77777777" w:rsidR="006F2CB1" w:rsidRPr="00425F23" w:rsidRDefault="006F2CB1" w:rsidP="00061C8E">
            <w:pPr>
              <w:rPr>
                <w:color w:val="000000"/>
                <w:sz w:val="21"/>
                <w:szCs w:val="21"/>
              </w:rPr>
            </w:pPr>
          </w:p>
        </w:tc>
        <w:tc>
          <w:tcPr>
            <w:tcW w:w="720" w:type="dxa"/>
            <w:tcBorders>
              <w:top w:val="nil"/>
              <w:left w:val="nil"/>
              <w:bottom w:val="nil"/>
              <w:right w:val="single" w:sz="4" w:space="0" w:color="auto"/>
            </w:tcBorders>
            <w:shd w:val="clear" w:color="auto" w:fill="auto"/>
            <w:noWrap/>
            <w:vAlign w:val="bottom"/>
            <w:hideMark/>
          </w:tcPr>
          <w:p w14:paraId="05279627" w14:textId="77777777" w:rsidR="006F2CB1" w:rsidRPr="00425F23" w:rsidRDefault="006F2CB1" w:rsidP="00061C8E">
            <w:pPr>
              <w:rPr>
                <w:color w:val="000000"/>
                <w:sz w:val="21"/>
                <w:szCs w:val="21"/>
              </w:rPr>
            </w:pPr>
            <w:r w:rsidRPr="00425F23">
              <w:rPr>
                <w:color w:val="000000"/>
                <w:sz w:val="21"/>
                <w:szCs w:val="21"/>
              </w:rPr>
              <w:t> </w:t>
            </w:r>
          </w:p>
        </w:tc>
        <w:tc>
          <w:tcPr>
            <w:tcW w:w="1350" w:type="dxa"/>
            <w:tcBorders>
              <w:top w:val="nil"/>
              <w:left w:val="nil"/>
              <w:bottom w:val="nil"/>
              <w:right w:val="single" w:sz="4" w:space="0" w:color="auto"/>
            </w:tcBorders>
            <w:shd w:val="clear" w:color="auto" w:fill="auto"/>
            <w:noWrap/>
            <w:vAlign w:val="bottom"/>
            <w:hideMark/>
          </w:tcPr>
          <w:p w14:paraId="5AB80D64" w14:textId="77777777" w:rsidR="006F2CB1" w:rsidRPr="00425F23" w:rsidRDefault="006F2CB1" w:rsidP="00061C8E">
            <w:pPr>
              <w:jc w:val="center"/>
              <w:rPr>
                <w:color w:val="000000"/>
                <w:sz w:val="21"/>
                <w:szCs w:val="21"/>
              </w:rPr>
            </w:pPr>
          </w:p>
        </w:tc>
      </w:tr>
      <w:tr w:rsidR="006F2CB1" w:rsidRPr="00425F23" w14:paraId="184920B1" w14:textId="77777777" w:rsidTr="0074176E">
        <w:trPr>
          <w:gridAfter w:val="1"/>
          <w:wAfter w:w="7" w:type="dxa"/>
          <w:trHeight w:val="259"/>
          <w:jc w:val="center"/>
        </w:trPr>
        <w:tc>
          <w:tcPr>
            <w:tcW w:w="3145" w:type="dxa"/>
            <w:tcBorders>
              <w:top w:val="nil"/>
              <w:left w:val="single" w:sz="4" w:space="0" w:color="auto"/>
              <w:bottom w:val="single" w:sz="4" w:space="0" w:color="auto"/>
              <w:right w:val="nil"/>
            </w:tcBorders>
            <w:shd w:val="clear" w:color="auto" w:fill="auto"/>
            <w:noWrap/>
            <w:vAlign w:val="bottom"/>
            <w:hideMark/>
          </w:tcPr>
          <w:p w14:paraId="644E9EF5" w14:textId="77777777" w:rsidR="006F2CB1" w:rsidRPr="00425F23" w:rsidRDefault="006F2CB1" w:rsidP="00061C8E">
            <w:pPr>
              <w:rPr>
                <w:color w:val="000000"/>
                <w:sz w:val="21"/>
                <w:szCs w:val="21"/>
              </w:rPr>
            </w:pPr>
            <w:r w:rsidRPr="00425F23">
              <w:rPr>
                <w:color w:val="000000"/>
                <w:sz w:val="21"/>
                <w:szCs w:val="21"/>
              </w:rPr>
              <w:t>No</w:t>
            </w:r>
          </w:p>
        </w:tc>
        <w:tc>
          <w:tcPr>
            <w:tcW w:w="813" w:type="dxa"/>
            <w:tcBorders>
              <w:top w:val="nil"/>
              <w:left w:val="nil"/>
              <w:bottom w:val="single" w:sz="4" w:space="0" w:color="auto"/>
              <w:right w:val="nil"/>
            </w:tcBorders>
            <w:shd w:val="clear" w:color="auto" w:fill="auto"/>
            <w:noWrap/>
            <w:vAlign w:val="bottom"/>
            <w:hideMark/>
          </w:tcPr>
          <w:p w14:paraId="3734FDF6" w14:textId="77777777" w:rsidR="006F2CB1" w:rsidRPr="00425F23" w:rsidRDefault="006F2CB1" w:rsidP="00061C8E">
            <w:pPr>
              <w:jc w:val="right"/>
              <w:rPr>
                <w:color w:val="000000"/>
                <w:sz w:val="21"/>
                <w:szCs w:val="21"/>
              </w:rPr>
            </w:pPr>
            <w:r w:rsidRPr="00425F23">
              <w:rPr>
                <w:color w:val="000000"/>
                <w:sz w:val="21"/>
                <w:szCs w:val="21"/>
              </w:rPr>
              <w:t>670</w:t>
            </w:r>
          </w:p>
        </w:tc>
        <w:tc>
          <w:tcPr>
            <w:tcW w:w="722" w:type="dxa"/>
            <w:tcBorders>
              <w:top w:val="nil"/>
              <w:left w:val="nil"/>
              <w:bottom w:val="single" w:sz="4" w:space="0" w:color="auto"/>
              <w:right w:val="nil"/>
            </w:tcBorders>
            <w:shd w:val="clear" w:color="auto" w:fill="auto"/>
            <w:noWrap/>
            <w:vAlign w:val="bottom"/>
            <w:hideMark/>
          </w:tcPr>
          <w:p w14:paraId="06FFA1DC" w14:textId="77777777" w:rsidR="006F2CB1" w:rsidRPr="00425F23" w:rsidRDefault="006F2CB1" w:rsidP="00061C8E">
            <w:pPr>
              <w:jc w:val="right"/>
              <w:rPr>
                <w:color w:val="000000"/>
                <w:sz w:val="21"/>
                <w:szCs w:val="21"/>
              </w:rPr>
            </w:pPr>
            <w:r w:rsidRPr="00425F23">
              <w:rPr>
                <w:color w:val="000000"/>
                <w:sz w:val="21"/>
                <w:szCs w:val="21"/>
              </w:rPr>
              <w:t>9.47</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7F12015" w14:textId="77777777" w:rsidR="006F2CB1" w:rsidRPr="00425F23" w:rsidRDefault="006F2CB1" w:rsidP="00061C8E">
            <w:pPr>
              <w:jc w:val="center"/>
              <w:rPr>
                <w:color w:val="000000"/>
                <w:sz w:val="21"/>
                <w:szCs w:val="21"/>
              </w:rPr>
            </w:pPr>
          </w:p>
        </w:tc>
        <w:tc>
          <w:tcPr>
            <w:tcW w:w="4138" w:type="dxa"/>
            <w:tcBorders>
              <w:top w:val="nil"/>
              <w:left w:val="nil"/>
              <w:bottom w:val="single" w:sz="4" w:space="0" w:color="auto"/>
            </w:tcBorders>
            <w:shd w:val="clear" w:color="auto" w:fill="auto"/>
            <w:noWrap/>
            <w:vAlign w:val="bottom"/>
            <w:hideMark/>
          </w:tcPr>
          <w:p w14:paraId="18689116" w14:textId="77777777" w:rsidR="006F2CB1" w:rsidRPr="00425F23" w:rsidRDefault="006F2CB1" w:rsidP="00061C8E">
            <w:pPr>
              <w:rPr>
                <w:color w:val="000000"/>
                <w:sz w:val="21"/>
                <w:szCs w:val="21"/>
              </w:rPr>
            </w:pPr>
            <w:r w:rsidRPr="00425F23">
              <w:rPr>
                <w:color w:val="000000"/>
                <w:sz w:val="21"/>
                <w:szCs w:val="21"/>
              </w:rPr>
              <w:t> </w:t>
            </w:r>
          </w:p>
        </w:tc>
        <w:tc>
          <w:tcPr>
            <w:tcW w:w="805" w:type="dxa"/>
            <w:tcBorders>
              <w:top w:val="nil"/>
              <w:bottom w:val="single" w:sz="4" w:space="0" w:color="auto"/>
              <w:right w:val="nil"/>
            </w:tcBorders>
            <w:shd w:val="clear" w:color="auto" w:fill="auto"/>
            <w:noWrap/>
            <w:vAlign w:val="bottom"/>
            <w:hideMark/>
          </w:tcPr>
          <w:p w14:paraId="7E92A918" w14:textId="77777777" w:rsidR="006F2CB1" w:rsidRPr="00425F23" w:rsidRDefault="006F2CB1" w:rsidP="00061C8E">
            <w:pPr>
              <w:rPr>
                <w:color w:val="000000"/>
                <w:sz w:val="21"/>
                <w:szCs w:val="21"/>
              </w:rPr>
            </w:pPr>
            <w:r w:rsidRPr="00425F23">
              <w:rPr>
                <w:color w:val="000000"/>
                <w:sz w:val="21"/>
                <w:szCs w:val="21"/>
              </w:rPr>
              <w:t> </w:t>
            </w:r>
          </w:p>
        </w:tc>
        <w:tc>
          <w:tcPr>
            <w:tcW w:w="720" w:type="dxa"/>
            <w:tcBorders>
              <w:top w:val="nil"/>
              <w:left w:val="nil"/>
              <w:bottom w:val="single" w:sz="4" w:space="0" w:color="auto"/>
              <w:right w:val="single" w:sz="4" w:space="0" w:color="auto"/>
            </w:tcBorders>
            <w:shd w:val="clear" w:color="auto" w:fill="auto"/>
            <w:noWrap/>
            <w:vAlign w:val="bottom"/>
            <w:hideMark/>
          </w:tcPr>
          <w:p w14:paraId="5B6DEF15" w14:textId="77777777" w:rsidR="006F2CB1" w:rsidRPr="00425F23" w:rsidRDefault="006F2CB1" w:rsidP="00061C8E">
            <w:pPr>
              <w:rPr>
                <w:color w:val="000000"/>
                <w:sz w:val="21"/>
                <w:szCs w:val="21"/>
              </w:rPr>
            </w:pPr>
            <w:r w:rsidRPr="00425F23">
              <w:rPr>
                <w:color w:val="000000"/>
                <w:sz w:val="21"/>
                <w:szCs w:val="21"/>
              </w:rPr>
              <w:t> </w:t>
            </w:r>
          </w:p>
        </w:tc>
        <w:tc>
          <w:tcPr>
            <w:tcW w:w="1350" w:type="dxa"/>
            <w:tcBorders>
              <w:top w:val="nil"/>
              <w:left w:val="nil"/>
              <w:bottom w:val="single" w:sz="4" w:space="0" w:color="auto"/>
              <w:right w:val="single" w:sz="4" w:space="0" w:color="auto"/>
            </w:tcBorders>
            <w:shd w:val="clear" w:color="auto" w:fill="auto"/>
            <w:noWrap/>
            <w:vAlign w:val="bottom"/>
            <w:hideMark/>
          </w:tcPr>
          <w:p w14:paraId="2379F217" w14:textId="77777777" w:rsidR="006F2CB1" w:rsidRPr="00425F23" w:rsidRDefault="006F2CB1" w:rsidP="00061C8E">
            <w:pPr>
              <w:rPr>
                <w:color w:val="000000"/>
                <w:sz w:val="21"/>
                <w:szCs w:val="21"/>
              </w:rPr>
            </w:pPr>
            <w:r w:rsidRPr="00425F23">
              <w:rPr>
                <w:color w:val="000000"/>
                <w:sz w:val="21"/>
                <w:szCs w:val="21"/>
              </w:rPr>
              <w:t> </w:t>
            </w:r>
          </w:p>
        </w:tc>
      </w:tr>
    </w:tbl>
    <w:p w14:paraId="69D70AF2" w14:textId="77777777" w:rsidR="000A78C6" w:rsidRDefault="000A78C6" w:rsidP="0074176E">
      <w:pPr>
        <w:pStyle w:val="NormalWeb"/>
        <w:shd w:val="clear" w:color="auto" w:fill="FFFFFF"/>
        <w:spacing w:before="0" w:beforeAutospacing="0" w:after="0" w:afterAutospacing="0" w:line="235" w:lineRule="atLeast"/>
        <w:rPr>
          <w:b/>
          <w:bCs/>
          <w:color w:val="222222"/>
        </w:rPr>
      </w:pPr>
    </w:p>
    <w:p w14:paraId="679CC3FE" w14:textId="3CCEEFEC" w:rsidR="0074176E" w:rsidRPr="0074176E" w:rsidRDefault="0074176E" w:rsidP="00F4221D">
      <w:pPr>
        <w:pStyle w:val="NormalWeb"/>
        <w:shd w:val="clear" w:color="auto" w:fill="FFFFFF"/>
        <w:spacing w:before="0" w:beforeAutospacing="0" w:after="0" w:afterAutospacing="0" w:line="235" w:lineRule="atLeast"/>
        <w:jc w:val="both"/>
        <w:rPr>
          <w:color w:val="222222"/>
        </w:rPr>
        <w:sectPr w:rsidR="0074176E" w:rsidRPr="0074176E" w:rsidSect="000A78C6">
          <w:pgSz w:w="15840" w:h="12240" w:orient="landscape"/>
          <w:pgMar w:top="1440" w:right="1440" w:bottom="1440" w:left="1440" w:header="720" w:footer="720" w:gutter="0"/>
          <w:cols w:space="720"/>
          <w:titlePg/>
          <w:docGrid w:linePitch="360"/>
        </w:sectPr>
      </w:pPr>
    </w:p>
    <w:p w14:paraId="290A9FC0" w14:textId="531168EE" w:rsidR="00F4221D" w:rsidRDefault="00F26637" w:rsidP="00F4221D">
      <w:pPr>
        <w:pStyle w:val="NormalWeb"/>
        <w:shd w:val="clear" w:color="auto" w:fill="FFFFFF"/>
        <w:spacing w:before="0" w:beforeAutospacing="0" w:after="0" w:afterAutospacing="0" w:line="235" w:lineRule="atLeast"/>
        <w:jc w:val="both"/>
        <w:rPr>
          <w:b/>
          <w:bCs/>
          <w:color w:val="222222"/>
        </w:rPr>
      </w:pPr>
      <w:r w:rsidRPr="00425F23">
        <w:rPr>
          <w:b/>
          <w:bCs/>
          <w:color w:val="222222"/>
        </w:rPr>
        <w:lastRenderedPageBreak/>
        <w:t>3</w:t>
      </w:r>
      <w:r w:rsidR="00F4221D" w:rsidRPr="00425F23">
        <w:rPr>
          <w:b/>
          <w:bCs/>
          <w:color w:val="222222"/>
        </w:rPr>
        <w:t>.</w:t>
      </w:r>
      <w:r w:rsidRPr="00425F23">
        <w:rPr>
          <w:b/>
          <w:bCs/>
          <w:color w:val="222222"/>
        </w:rPr>
        <w:t>2</w:t>
      </w:r>
      <w:r w:rsidR="00F4221D" w:rsidRPr="00425F23">
        <w:rPr>
          <w:b/>
          <w:bCs/>
          <w:color w:val="222222"/>
        </w:rPr>
        <w:t xml:space="preserve"> </w:t>
      </w:r>
      <w:r w:rsidR="00265537">
        <w:rPr>
          <w:b/>
          <w:bCs/>
          <w:color w:val="222222"/>
        </w:rPr>
        <w:t xml:space="preserve">The </w:t>
      </w:r>
      <w:r w:rsidRPr="00425F23">
        <w:rPr>
          <w:b/>
          <w:bCs/>
          <w:color w:val="222222"/>
        </w:rPr>
        <w:t xml:space="preserve">Model </w:t>
      </w:r>
    </w:p>
    <w:p w14:paraId="109E1A2F" w14:textId="03B0A10C" w:rsidR="00831B94" w:rsidRPr="00425F23" w:rsidRDefault="00F4221D" w:rsidP="006F2CB1">
      <w:pPr>
        <w:jc w:val="both"/>
      </w:pPr>
      <w:r w:rsidRPr="00425F23">
        <w:t>The model</w:t>
      </w:r>
      <w:r w:rsidR="0038423F">
        <w:t xml:space="preserve"> entails </w:t>
      </w:r>
      <w:r w:rsidRPr="00425F23">
        <w:t>the joint analysis of a nominal outcome</w:t>
      </w:r>
      <w:r w:rsidR="00E20414" w:rsidRPr="00425F23">
        <w:t xml:space="preserve"> </w:t>
      </w:r>
      <w:r w:rsidR="00265537">
        <w:t xml:space="preserve">(for PT use change) </w:t>
      </w:r>
      <w:r w:rsidR="00E20414" w:rsidRPr="00425F23">
        <w:t>and a binary outcome</w:t>
      </w:r>
      <w:r w:rsidR="00265537">
        <w:t xml:space="preserve"> (for the permanency of the change)</w:t>
      </w:r>
      <w:r w:rsidRPr="00425F23">
        <w:t xml:space="preserve">. </w:t>
      </w:r>
      <w:r w:rsidR="00A85E56" w:rsidRPr="00425F23">
        <w:t>Let</w:t>
      </w:r>
      <w:r w:rsidR="005448E9">
        <w:t xml:space="preserve"> </w:t>
      </w:r>
      <w:r w:rsidR="007578BE" w:rsidRPr="007578BE">
        <w:rPr>
          <w:i/>
          <w:iCs/>
          <w:noProof/>
        </w:rPr>
        <w:t>q</w:t>
      </w:r>
      <w:r w:rsidR="00682F8D" w:rsidRPr="007578BE">
        <w:rPr>
          <w:i/>
          <w:iCs/>
          <w:noProof/>
        </w:rPr>
        <w:t xml:space="preserve"> </w:t>
      </w:r>
      <w:r w:rsidR="00A85E56" w:rsidRPr="00425F23">
        <w:rPr>
          <w:bCs/>
        </w:rPr>
        <w:t>be the index for each individual</w:t>
      </w:r>
      <w:r w:rsidR="00265537">
        <w:rPr>
          <w:bCs/>
        </w:rPr>
        <w:t>.</w:t>
      </w:r>
      <w:r w:rsidR="00A85E56" w:rsidRPr="00425F23">
        <w:rPr>
          <w:bCs/>
        </w:rPr>
        <w:t xml:space="preserve"> </w:t>
      </w:r>
      <w:r w:rsidR="00A85E56" w:rsidRPr="00425F23">
        <w:t xml:space="preserve">Let </w:t>
      </w:r>
      <w:r w:rsidR="007578BE" w:rsidRPr="007578BE">
        <w:rPr>
          <w:i/>
          <w:iCs/>
        </w:rPr>
        <w:t>J</w:t>
      </w:r>
      <w:r w:rsidR="00A85E56" w:rsidRPr="00425F23">
        <w:rPr>
          <w:noProof/>
          <w:position w:val="-12"/>
        </w:rPr>
        <w:t xml:space="preserve"> </w:t>
      </w:r>
      <w:r w:rsidR="00A85E56" w:rsidRPr="00425F23">
        <w:rPr>
          <w:noProof/>
        </w:rPr>
        <w:t xml:space="preserve">be the number of </w:t>
      </w:r>
      <w:r w:rsidR="00265537">
        <w:rPr>
          <w:noProof/>
        </w:rPr>
        <w:t xml:space="preserve">nominal </w:t>
      </w:r>
      <w:r w:rsidR="00A85E56" w:rsidRPr="00425F23">
        <w:rPr>
          <w:noProof/>
        </w:rPr>
        <w:t>alternatives available (in this case</w:t>
      </w:r>
      <w:r w:rsidR="007578BE">
        <w:rPr>
          <w:noProof/>
        </w:rPr>
        <w:t xml:space="preserve"> </w:t>
      </w:r>
      <w:r w:rsidR="007578BE" w:rsidRPr="00E623BD">
        <w:rPr>
          <w:noProof/>
          <w:position w:val="-6"/>
        </w:rPr>
        <w:object w:dxaOrig="560" w:dyaOrig="279" w14:anchorId="0E662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95pt;height:13.45pt;mso-width-percent:0;mso-height-percent:0;mso-width-percent:0;mso-height-percent:0" o:ole="" o:preferrelative="f">
            <v:imagedata r:id="rId17" o:title=""/>
            <o:lock v:ext="edit" aspectratio="f"/>
          </v:shape>
          <o:OLEObject Type="Embed" ProgID="Equation.DSMT4" ShapeID="_x0000_i1025" DrawAspect="Content" ObjectID="_1807444765" r:id="rId18"/>
        </w:object>
      </w:r>
      <w:r w:rsidR="00A85E56" w:rsidRPr="00425F23">
        <w:rPr>
          <w:noProof/>
        </w:rPr>
        <w:t xml:space="preserve">) and let </w:t>
      </w:r>
      <w:r w:rsidR="007578BE" w:rsidRPr="007578BE">
        <w:rPr>
          <w:i/>
          <w:iCs/>
          <w:noProof/>
        </w:rPr>
        <w:t>j</w:t>
      </w:r>
      <w:r w:rsidR="00A85E56" w:rsidRPr="00425F23">
        <w:t xml:space="preserve"> be</w:t>
      </w:r>
      <w:r w:rsidR="00A85E56" w:rsidRPr="00425F23">
        <w:rPr>
          <w:noProof/>
        </w:rPr>
        <w:t xml:space="preserve"> the corresponding index </w:t>
      </w:r>
      <w:r w:rsidR="007578BE" w:rsidRPr="00E623BD">
        <w:rPr>
          <w:noProof/>
          <w:position w:val="-10"/>
        </w:rPr>
        <w:object w:dxaOrig="1380" w:dyaOrig="320" w14:anchorId="2B8B2BB8">
          <v:shape id="_x0000_i1026" type="#_x0000_t75" alt="" style="width:68.8pt;height:16.1pt;mso-width-percent:0;mso-height-percent:0;mso-width-percent:0;mso-height-percent:0" o:ole="" o:preferrelative="f">
            <v:imagedata r:id="rId19" o:title=""/>
            <o:lock v:ext="edit" aspectratio="f"/>
          </v:shape>
          <o:OLEObject Type="Embed" ProgID="Equation.DSMT4" ShapeID="_x0000_i1026" DrawAspect="Content" ObjectID="_1807444766" r:id="rId20"/>
        </w:object>
      </w:r>
      <w:r w:rsidR="00A85E56" w:rsidRPr="00425F23">
        <w:rPr>
          <w:noProof/>
        </w:rPr>
        <w:t xml:space="preserve">. Then, the following expression gives the utility for alternative </w:t>
      </w:r>
      <w:r w:rsidR="007578BE" w:rsidRPr="007578BE">
        <w:rPr>
          <w:i/>
          <w:iCs/>
          <w:noProof/>
        </w:rPr>
        <w:t>j</w:t>
      </w:r>
      <w:r w:rsidR="00A85E56" w:rsidRPr="00425F23">
        <w:t xml:space="preserve"> (for convenience, we suppress the index </w:t>
      </w:r>
      <w:r w:rsidR="007578BE" w:rsidRPr="007578BE">
        <w:rPr>
          <w:i/>
          <w:iCs/>
        </w:rPr>
        <w:t>q</w:t>
      </w:r>
      <w:r w:rsidR="00A85E56" w:rsidRPr="00425F23">
        <w:t xml:space="preserve"> for the individual):</w:t>
      </w:r>
    </w:p>
    <w:p w14:paraId="195880E5" w14:textId="78880ED8" w:rsidR="00A85E56" w:rsidRPr="00425F23" w:rsidRDefault="007578BE" w:rsidP="004A4122">
      <w:pPr>
        <w:pStyle w:val="MTDisplayEquation"/>
        <w:spacing w:before="120" w:after="60" w:line="240" w:lineRule="auto"/>
        <w:jc w:val="both"/>
        <w:rPr>
          <w:rFonts w:cs="Times New Roman"/>
        </w:rPr>
      </w:pPr>
      <w:r w:rsidRPr="002A5D89">
        <w:rPr>
          <w:rFonts w:cs="Times New Roman"/>
          <w:noProof/>
          <w:position w:val="-14"/>
          <w14:ligatures w14:val="none"/>
        </w:rPr>
        <w:object w:dxaOrig="1420" w:dyaOrig="380" w14:anchorId="25CFB037">
          <v:shape id="_x0000_i1027" type="#_x0000_t75" alt="" style="width:70.95pt;height:18.8pt;mso-width-percent:0;mso-height-percent:0;mso-width-percent:0;mso-height-percent:0" o:ole="">
            <v:imagedata r:id="rId21" o:title=""/>
          </v:shape>
          <o:OLEObject Type="Embed" ProgID="Equation.DSMT4" ShapeID="_x0000_i1027" DrawAspect="Content" ObjectID="_1807444767" r:id="rId22"/>
        </w:object>
      </w:r>
      <w:r>
        <w:rPr>
          <w:rFonts w:cs="Times New Roman"/>
          <w:noProof/>
          <w14:ligatures w14:val="none"/>
        </w:rPr>
        <w:t>,</w:t>
      </w:r>
      <w:r w:rsidR="00A85E56" w:rsidRPr="00425F23">
        <w:rPr>
          <w:rFonts w:cs="Times New Roman"/>
        </w:rPr>
        <w:tab/>
      </w:r>
      <w:r w:rsidR="00A85E56" w:rsidRPr="00425F23">
        <w:rPr>
          <w:rFonts w:cs="Times New Roman"/>
        </w:rPr>
        <w:tab/>
      </w:r>
      <w:r w:rsidR="00A85E56" w:rsidRPr="00425F23">
        <w:rPr>
          <w:rFonts w:cs="Times New Roman"/>
        </w:rPr>
        <w:fldChar w:fldCharType="begin"/>
      </w:r>
      <w:r w:rsidR="00A85E56" w:rsidRPr="00425F23">
        <w:rPr>
          <w:rFonts w:cs="Times New Roman"/>
        </w:rPr>
        <w:instrText xml:space="preserve"> MACROBUTTON MTPlaceRef \* MERGEFORMAT </w:instrText>
      </w:r>
      <w:r w:rsidR="00A85E56" w:rsidRPr="00425F23">
        <w:rPr>
          <w:rFonts w:cs="Times New Roman"/>
        </w:rPr>
        <w:fldChar w:fldCharType="begin"/>
      </w:r>
      <w:r w:rsidR="00A85E56" w:rsidRPr="00425F23">
        <w:rPr>
          <w:rFonts w:cs="Times New Roman"/>
        </w:rPr>
        <w:instrText xml:space="preserve"> SEQ MTEqn \h \* MERGEFORMAT </w:instrText>
      </w:r>
      <w:r w:rsidR="00A85E56" w:rsidRPr="00425F23">
        <w:rPr>
          <w:rFonts w:cs="Times New Roman"/>
        </w:rPr>
        <w:fldChar w:fldCharType="end"/>
      </w:r>
      <w:r w:rsidR="00A85E56" w:rsidRPr="00425F23">
        <w:rPr>
          <w:rFonts w:cs="Times New Roman"/>
        </w:rPr>
        <w:instrText>(</w:instrText>
      </w:r>
      <w:r w:rsidR="00A85E56" w:rsidRPr="00425F23">
        <w:rPr>
          <w:rFonts w:cs="Times New Roman"/>
        </w:rPr>
        <w:fldChar w:fldCharType="begin"/>
      </w:r>
      <w:r w:rsidR="00A85E56" w:rsidRPr="00425F23">
        <w:rPr>
          <w:rFonts w:cs="Times New Roman"/>
        </w:rPr>
        <w:instrText xml:space="preserve"> SEQ MTEqn \c \* Arabic \* MERGEFORMAT </w:instrText>
      </w:r>
      <w:r w:rsidR="00A85E56" w:rsidRPr="00425F23">
        <w:rPr>
          <w:rFonts w:cs="Times New Roman"/>
        </w:rPr>
        <w:fldChar w:fldCharType="separate"/>
      </w:r>
      <w:r w:rsidR="00CF1F64">
        <w:rPr>
          <w:rFonts w:cs="Times New Roman"/>
          <w:noProof/>
        </w:rPr>
        <w:instrText>1</w:instrText>
      </w:r>
      <w:r w:rsidR="00A85E56" w:rsidRPr="00425F23">
        <w:rPr>
          <w:rFonts w:cs="Times New Roman"/>
          <w:noProof/>
        </w:rPr>
        <w:fldChar w:fldCharType="end"/>
      </w:r>
      <w:r w:rsidR="00A85E56" w:rsidRPr="00425F23">
        <w:rPr>
          <w:rFonts w:cs="Times New Roman"/>
        </w:rPr>
        <w:instrText>)</w:instrText>
      </w:r>
      <w:r w:rsidR="00A85E56" w:rsidRPr="00425F23">
        <w:rPr>
          <w:rFonts w:cs="Times New Roman"/>
        </w:rPr>
        <w:fldChar w:fldCharType="end"/>
      </w:r>
    </w:p>
    <w:p w14:paraId="143B8CB2" w14:textId="325DCAC0" w:rsidR="0012504E" w:rsidRDefault="00A85E56" w:rsidP="006F2CB1">
      <w:pPr>
        <w:jc w:val="both"/>
        <w:rPr>
          <w:noProof/>
        </w:rPr>
      </w:pPr>
      <w:r w:rsidRPr="00425F23">
        <w:t xml:space="preserve">where </w:t>
      </w:r>
      <w:r w:rsidR="007578BE" w:rsidRPr="006047B1">
        <w:rPr>
          <w:noProof/>
          <w:position w:val="-14"/>
        </w:rPr>
        <w:object w:dxaOrig="300" w:dyaOrig="380" w14:anchorId="74EA942A">
          <v:shape id="_x0000_i1028" type="#_x0000_t75" alt="" style="width:15.05pt;height:18.8pt;mso-width-percent:0;mso-height-percent:0;mso-width-percent:0;mso-height-percent:0" o:ole="" o:preferrelative="f">
            <v:imagedata r:id="rId23" o:title=""/>
            <o:lock v:ext="edit" aspectratio="f"/>
          </v:shape>
          <o:OLEObject Type="Embed" ProgID="Equation.DSMT4" ShapeID="_x0000_i1028" DrawAspect="Content" ObjectID="_1807444768" r:id="rId24"/>
        </w:object>
      </w:r>
      <w:r w:rsidRPr="00425F23">
        <w:t xml:space="preserve"> is an </w:t>
      </w:r>
      <w:r w:rsidR="007578BE" w:rsidRPr="006047B1">
        <w:rPr>
          <w:noProof/>
          <w:position w:val="-10"/>
        </w:rPr>
        <w:object w:dxaOrig="660" w:dyaOrig="320" w14:anchorId="34B600FA">
          <v:shape id="_x0000_i1029" type="#_x0000_t75" alt="" style="width:32.8pt;height:16.1pt;mso-width-percent:0;mso-height-percent:0;mso-width-percent:0;mso-height-percent:0" o:ole="" o:preferrelative="f">
            <v:imagedata r:id="rId25" o:title=""/>
            <o:lock v:ext="edit" aspectratio="f"/>
          </v:shape>
          <o:OLEObject Type="Embed" ProgID="Equation.DSMT4" ShapeID="_x0000_i1029" DrawAspect="Content" ObjectID="_1807444769" r:id="rId26"/>
        </w:object>
      </w:r>
      <w:r w:rsidRPr="00425F23">
        <w:t xml:space="preserve"> column vector of individual-specific exogenous attributes, including </w:t>
      </w:r>
      <w:r w:rsidR="007578BE" w:rsidRPr="00546588">
        <w:rPr>
          <w:noProof/>
          <w:position w:val="-10"/>
        </w:rPr>
        <w:object w:dxaOrig="680" w:dyaOrig="320" w14:anchorId="6094FAF0">
          <v:shape id="_x0000_i1030" type="#_x0000_t75" alt="" style="width:33.85pt;height:16.1pt;mso-width-percent:0;mso-height-percent:0;mso-width-percent:0;mso-height-percent:0" o:ole="" o:preferrelative="f">
            <v:imagedata r:id="rId27" o:title=""/>
            <o:lock v:ext="edit" aspectratio="f"/>
          </v:shape>
          <o:OLEObject Type="Embed" ProgID="Equation.DSMT4" ShapeID="_x0000_i1030" DrawAspect="Content" ObjectID="_1807444770" r:id="rId28"/>
        </w:object>
      </w:r>
      <w:r w:rsidRPr="00425F23">
        <w:t xml:space="preserve"> alternative specific constants for each </w:t>
      </w:r>
      <w:proofErr w:type="gramStart"/>
      <w:r w:rsidRPr="00425F23">
        <w:t>outcome.</w:t>
      </w:r>
      <w:proofErr w:type="gramEnd"/>
      <w:r w:rsidRPr="00425F23">
        <w:t xml:space="preserve"> Since no </w:t>
      </w:r>
      <w:r w:rsidR="00B6138C">
        <w:t xml:space="preserve">exogenous </w:t>
      </w:r>
      <w:r w:rsidRPr="00425F23">
        <w:t xml:space="preserve">variables appearing in the nominal outcome model vary across alternatives, all elements of </w:t>
      </w:r>
      <w:r w:rsidR="007578BE" w:rsidRPr="00D965F0">
        <w:rPr>
          <w:noProof/>
          <w:position w:val="-14"/>
        </w:rPr>
        <w:object w:dxaOrig="300" w:dyaOrig="380" w14:anchorId="4C3037F8">
          <v:shape id="_x0000_i1031" type="#_x0000_t75" alt="" style="width:15.05pt;height:18.8pt;mso-width-percent:0;mso-height-percent:0;mso-width-percent:0;mso-height-percent:0" o:ole="" o:preferrelative="f">
            <v:imagedata r:id="rId29" o:title=""/>
            <o:lock v:ext="edit" aspectratio="f"/>
          </v:shape>
          <o:OLEObject Type="Embed" ProgID="Equation.DSMT4" ShapeID="_x0000_i1031" DrawAspect="Content" ObjectID="_1807444771" r:id="rId30"/>
        </w:object>
      </w:r>
      <w:r w:rsidRPr="00425F23">
        <w:t xml:space="preserve"> will be uniformly zero for a base alternative</w:t>
      </w:r>
      <w:r w:rsidR="00E20414" w:rsidRPr="00425F23">
        <w:t xml:space="preserve"> (in </w:t>
      </w:r>
      <w:r w:rsidR="00B6138C">
        <w:t xml:space="preserve">our analysis, we use PT use being </w:t>
      </w:r>
      <w:r w:rsidR="00E20414" w:rsidRPr="00425F23">
        <w:t xml:space="preserve">the same as </w:t>
      </w:r>
      <w:r w:rsidR="00B6138C">
        <w:t xml:space="preserve">before the pandemic as </w:t>
      </w:r>
      <w:r w:rsidR="00E20414" w:rsidRPr="00425F23">
        <w:t>the base alternative)</w:t>
      </w:r>
      <w:r w:rsidRPr="00425F23">
        <w:t xml:space="preserve">. </w:t>
      </w:r>
      <w:r w:rsidR="007578BE" w:rsidRPr="00546588">
        <w:rPr>
          <w:noProof/>
          <w:position w:val="-10"/>
        </w:rPr>
        <w:object w:dxaOrig="220" w:dyaOrig="260" w14:anchorId="0AF021B0">
          <v:shape id="_x0000_i1032" type="#_x0000_t75" alt="" style="width:10.75pt;height:12.9pt;mso-width-percent:0;mso-height-percent:0;mso-width-percent:0;mso-height-percent:0" o:ole="" o:preferrelative="f">
            <v:imagedata r:id="rId31" o:title=""/>
            <o:lock v:ext="edit" aspectratio="f"/>
          </v:shape>
          <o:OLEObject Type="Embed" ProgID="Equation.DSMT4" ShapeID="_x0000_i1032" DrawAspect="Content" ObjectID="_1807444772" r:id="rId32"/>
        </w:object>
      </w:r>
      <w:r w:rsidRPr="00425F23">
        <w:t xml:space="preserve">is an </w:t>
      </w:r>
      <w:r w:rsidR="007578BE" w:rsidRPr="00F41B6F">
        <w:rPr>
          <w:noProof/>
          <w:position w:val="-10"/>
        </w:rPr>
        <w:object w:dxaOrig="660" w:dyaOrig="320" w14:anchorId="5FC97B81">
          <v:shape id="_x0000_i1033" type="#_x0000_t75" alt="" style="width:32.8pt;height:16.1pt;mso-width-percent:0;mso-height-percent:0;mso-width-percent:0;mso-height-percent:0" o:ole="" o:preferrelative="f">
            <v:imagedata r:id="rId25" o:title=""/>
            <o:lock v:ext="edit" aspectratio="f"/>
          </v:shape>
          <o:OLEObject Type="Embed" ProgID="Equation.DSMT4" ShapeID="_x0000_i1033" DrawAspect="Content" ObjectID="_1807444773" r:id="rId33"/>
        </w:object>
      </w:r>
      <w:r w:rsidRPr="00425F23">
        <w:t xml:space="preserve"> column vector of coefficients corresponding to </w:t>
      </w:r>
      <w:r w:rsidR="007578BE" w:rsidRPr="00D965F0">
        <w:rPr>
          <w:noProof/>
          <w:position w:val="-14"/>
        </w:rPr>
        <w:object w:dxaOrig="300" w:dyaOrig="380" w14:anchorId="2AE1AE64">
          <v:shape id="_x0000_i1034" type="#_x0000_t75" alt="" style="width:15.05pt;height:18.8pt;mso-width-percent:0;mso-height-percent:0;mso-width-percent:0;mso-height-percent:0" o:ole="" o:preferrelative="f">
            <v:imagedata r:id="rId34" o:title=""/>
            <o:lock v:ext="edit" aspectratio="f"/>
          </v:shape>
          <o:OLEObject Type="Embed" ProgID="Equation.DSMT4" ShapeID="_x0000_i1034" DrawAspect="Content" ObjectID="_1807444774" r:id="rId35"/>
        </w:object>
      </w:r>
      <w:r w:rsidRPr="00425F23">
        <w:t xml:space="preserve">. We also assume that </w:t>
      </w:r>
      <w:r w:rsidR="007578BE" w:rsidRPr="00BB2546">
        <w:rPr>
          <w:noProof/>
          <w:position w:val="-14"/>
        </w:rPr>
        <w:object w:dxaOrig="260" w:dyaOrig="380" w14:anchorId="60757A13">
          <v:shape id="_x0000_i1035" type="#_x0000_t75" alt="" style="width:12.9pt;height:18.8pt;mso-width-percent:0;mso-height-percent:0;mso-width-percent:0;mso-height-percent:0" o:ole="" o:preferrelative="f">
            <v:imagedata r:id="rId36" o:title=""/>
            <o:lock v:ext="edit" aspectratio="f"/>
          </v:shape>
          <o:OLEObject Type="Embed" ProgID="Equation.DSMT4" ShapeID="_x0000_i1035" DrawAspect="Content" ObjectID="_1807444775" r:id="rId37"/>
        </w:object>
      </w:r>
      <w:r w:rsidRPr="00425F23">
        <w:t xml:space="preserve"> is independent and identically distributed across individuals but allow a general covariance structure across alternatives for each individual. Specifically, let </w:t>
      </w:r>
      <w:r w:rsidR="007578BE" w:rsidRPr="0030543A">
        <w:rPr>
          <w:noProof/>
          <w:position w:val="-10"/>
        </w:rPr>
        <w:object w:dxaOrig="200" w:dyaOrig="320" w14:anchorId="5786D885">
          <v:shape id="_x0000_i1036" type="#_x0000_t75" alt="" style="width:9.65pt;height:16.1pt;mso-width-percent:0;mso-height-percent:0;mso-width-percent:0;mso-height-percent:0" o:ole="" o:preferrelative="f">
            <v:imagedata r:id="rId38" o:title=""/>
            <o:lock v:ext="edit" aspectratio="f"/>
          </v:shape>
          <o:OLEObject Type="Embed" ProgID="Equation.DSMT4" ShapeID="_x0000_i1036" DrawAspect="Content" ObjectID="_1807444776" r:id="rId39"/>
        </w:object>
      </w:r>
      <w:r w:rsidRPr="00425F23">
        <w:t xml:space="preserve"> be the </w:t>
      </w:r>
      <w:r w:rsidR="007578BE" w:rsidRPr="00546588">
        <w:rPr>
          <w:noProof/>
          <w:position w:val="-10"/>
        </w:rPr>
        <w:object w:dxaOrig="660" w:dyaOrig="320" w14:anchorId="182C6D95">
          <v:shape id="_x0000_i1037" type="#_x0000_t75" alt="" style="width:32.8pt;height:16.1pt;mso-width-percent:0;mso-height-percent:0;mso-width-percent:0;mso-height-percent:0" o:ole="" o:preferrelative="f">
            <v:imagedata r:id="rId40" o:title=""/>
            <o:lock v:ext="edit" aspectratio="f"/>
          </v:shape>
          <o:OLEObject Type="Embed" ProgID="Equation.DSMT4" ShapeID="_x0000_i1037" DrawAspect="Content" ObjectID="_1807444777" r:id="rId41"/>
        </w:object>
      </w:r>
      <w:r w:rsidR="00981D73">
        <w:rPr>
          <w:noProof/>
        </w:rPr>
        <w:t xml:space="preserve"> </w:t>
      </w:r>
      <w:r w:rsidRPr="00425F23">
        <w:t xml:space="preserve">vector </w:t>
      </w:r>
      <w:r w:rsidR="007578BE" w:rsidRPr="00546588">
        <w:rPr>
          <w:noProof/>
          <w:position w:val="-12"/>
        </w:rPr>
        <w:object w:dxaOrig="1719" w:dyaOrig="360" w14:anchorId="1B095944">
          <v:shape id="_x0000_i1038" type="#_x0000_t75" alt="" style="width:85.45pt;height:18.25pt;mso-width-percent:0;mso-height-percent:0;mso-width-percent:0;mso-height-percent:0" o:ole="" o:preferrelative="f">
            <v:imagedata r:id="rId42" o:title=""/>
            <o:lock v:ext="edit" aspectratio="f"/>
          </v:shape>
          <o:OLEObject Type="Embed" ProgID="Equation.DSMT4" ShapeID="_x0000_i1038" DrawAspect="Content" ObjectID="_1807444778" r:id="rId43"/>
        </w:object>
      </w:r>
      <w:r w:rsidRPr="00425F23">
        <w:t xml:space="preserve">. Then, we assume </w:t>
      </w:r>
      <w:r w:rsidR="007578BE" w:rsidRPr="00546588">
        <w:rPr>
          <w:noProof/>
          <w:position w:val="-12"/>
        </w:rPr>
        <w:object w:dxaOrig="1640" w:dyaOrig="360" w14:anchorId="35E84116">
          <v:shape id="_x0000_i1039" type="#_x0000_t75" alt="" style="width:81.65pt;height:18.25pt;mso-width-percent:0;mso-height-percent:0;mso-width-percent:0;mso-height-percent:0" o:ole="" o:preferrelative="f">
            <v:imagedata r:id="rId44" o:title=""/>
            <o:lock v:ext="edit" aspectratio="f"/>
          </v:shape>
          <o:OLEObject Type="Embed" ProgID="Equation.DSMT4" ShapeID="_x0000_i1039" DrawAspect="Content" ObjectID="_1807444779" r:id="rId45"/>
        </w:object>
      </w:r>
      <w:r w:rsidRPr="00425F23">
        <w:t xml:space="preserve">. </w:t>
      </w:r>
      <w:r w:rsidR="005E3351" w:rsidRPr="00425F23">
        <w:t>Then</w:t>
      </w:r>
      <w:r w:rsidRPr="00425F23">
        <w:t xml:space="preserve">, appropriate scale and level normalization must be imposed on </w:t>
      </w:r>
      <w:r w:rsidR="007578BE" w:rsidRPr="00546588">
        <w:rPr>
          <w:noProof/>
          <w:position w:val="-4"/>
        </w:rPr>
        <w:object w:dxaOrig="260" w:dyaOrig="260" w14:anchorId="7E366A62">
          <v:shape id="_x0000_i1040" type="#_x0000_t75" alt="" style="width:12.9pt;height:12.9pt;mso-width-percent:0;mso-height-percent:0;mso-width-percent:0;mso-height-percent:0" o:ole="" o:preferrelative="f">
            <v:imagedata r:id="rId46" o:title=""/>
            <o:lock v:ext="edit" aspectratio="f"/>
          </v:shape>
          <o:OLEObject Type="Embed" ProgID="Equation.DSMT4" ShapeID="_x0000_i1040" DrawAspect="Content" ObjectID="_1807444780" r:id="rId47"/>
        </w:object>
      </w:r>
      <w:r w:rsidR="005E3351" w:rsidRPr="00425F23">
        <w:rPr>
          <w:noProof/>
        </w:rPr>
        <w:t xml:space="preserve"> for identification</w:t>
      </w:r>
      <w:r w:rsidRPr="00425F23">
        <w:t xml:space="preserve">. </w:t>
      </w:r>
      <w:r w:rsidR="005E3351" w:rsidRPr="00425F23">
        <w:t xml:space="preserve">Since only </w:t>
      </w:r>
      <w:r w:rsidRPr="00425F23">
        <w:t xml:space="preserve">utility differentials matter at each choice occasion, only the elements of the </w:t>
      </w:r>
      <w:r w:rsidR="007578BE" w:rsidRPr="009C27EB">
        <w:rPr>
          <w:noProof/>
          <w:position w:val="-14"/>
        </w:rPr>
        <w:object w:dxaOrig="1640" w:dyaOrig="400" w14:anchorId="66C77B76">
          <v:shape id="_x0000_i1041" type="#_x0000_t75" alt="" style="width:82.2pt;height:20.4pt;mso-width-percent:0;mso-height-percent:0;mso-width-percent:0;mso-height-percent:0" o:ole="" o:preferrelative="f">
            <v:imagedata r:id="rId48" o:title=""/>
            <o:lock v:ext="edit" aspectratio="f"/>
          </v:shape>
          <o:OLEObject Type="Embed" ProgID="Equation.DSMT4" ShapeID="_x0000_i1041" DrawAspect="Content" ObjectID="_1807444781" r:id="rId49"/>
        </w:object>
      </w:r>
      <w:r w:rsidRPr="00425F23">
        <w:t xml:space="preserve"> covariance matrix </w:t>
      </w:r>
      <w:r w:rsidR="007578BE" w:rsidRPr="00546588">
        <w:rPr>
          <w:noProof/>
          <w:position w:val="-4"/>
        </w:rPr>
        <w:object w:dxaOrig="260" w:dyaOrig="320" w14:anchorId="27B1D86B">
          <v:shape id="_x0000_i1042" type="#_x0000_t75" alt="" style="width:12.9pt;height:16.1pt;mso-width-percent:0;mso-height-percent:0;mso-width-percent:0;mso-height-percent:0" o:ole="" o:preferrelative="f">
            <v:imagedata r:id="rId50" o:title=""/>
            <o:lock v:ext="edit" aspectratio="f"/>
          </v:shape>
          <o:OLEObject Type="Embed" ProgID="Equation.DSMT4" ShapeID="_x0000_i1042" DrawAspect="Content" ObjectID="_1807444782" r:id="rId51"/>
        </w:object>
      </w:r>
      <w:r w:rsidRPr="00425F23">
        <w:t xml:space="preserve"> of the error differentials </w:t>
      </w:r>
      <w:r w:rsidR="007578BE" w:rsidRPr="007E4C2F">
        <w:rPr>
          <w:noProof/>
          <w:position w:val="-14"/>
        </w:rPr>
        <w:object w:dxaOrig="1820" w:dyaOrig="420" w14:anchorId="5DC100F2">
          <v:shape id="_x0000_i1043" type="#_x0000_t75" alt="" style="width:90.8pt;height:20.95pt;mso-width-percent:0;mso-height-percent:0;mso-width-percent:0;mso-height-percent:0" o:ole="" o:preferrelative="f">
            <v:imagedata r:id="rId52" o:title=""/>
            <o:lock v:ext="edit" aspectratio="f"/>
          </v:shape>
          <o:OLEObject Type="Embed" ProgID="Equation.DSMT4" ShapeID="_x0000_i1043" DrawAspect="Content" ObjectID="_1807444783" r:id="rId53"/>
        </w:object>
      </w:r>
      <w:r w:rsidRPr="00425F23">
        <w:t xml:space="preserve"> are estimable</w:t>
      </w:r>
      <w:r w:rsidR="005E3351" w:rsidRPr="00425F23">
        <w:t xml:space="preserve"> (with utility differentials taken with respect to the first alternative)</w:t>
      </w:r>
      <w:r w:rsidRPr="00425F23">
        <w:t xml:space="preserve">. </w:t>
      </w:r>
      <w:r w:rsidR="005E3351" w:rsidRPr="00425F23">
        <w:t>Additionally</w:t>
      </w:r>
      <w:r w:rsidRPr="00425F23">
        <w:t xml:space="preserve">, </w:t>
      </w:r>
      <w:r w:rsidR="005E3351" w:rsidRPr="00425F23">
        <w:t>to account for scale invariance</w:t>
      </w:r>
      <w:r w:rsidRPr="00425F23">
        <w:t xml:space="preserve">, the first diagonal element of </w:t>
      </w:r>
      <w:r w:rsidR="007578BE" w:rsidRPr="00546588">
        <w:rPr>
          <w:noProof/>
          <w:position w:val="-4"/>
        </w:rPr>
        <w:object w:dxaOrig="260" w:dyaOrig="320" w14:anchorId="13905BB0">
          <v:shape id="_x0000_i1044" type="#_x0000_t75" alt="" style="width:12.9pt;height:16.1pt;mso-width-percent:0;mso-height-percent:0;mso-width-percent:0;mso-height-percent:0" o:ole="" o:preferrelative="f">
            <v:imagedata r:id="rId54" o:title=""/>
            <o:lock v:ext="edit" aspectratio="f"/>
          </v:shape>
          <o:OLEObject Type="Embed" ProgID="Equation.DSMT4" ShapeID="_x0000_i1044" DrawAspect="Content" ObjectID="_1807444784" r:id="rId55"/>
        </w:object>
      </w:r>
      <w:r w:rsidRPr="00425F23">
        <w:t xml:space="preserve"> is set to 1. </w:t>
      </w:r>
      <w:r w:rsidR="0012504E">
        <w:t xml:space="preserve">In our empirical analysis with </w:t>
      </w:r>
      <w:r w:rsidR="007578BE" w:rsidRPr="00E623BD">
        <w:rPr>
          <w:noProof/>
          <w:position w:val="-6"/>
        </w:rPr>
        <w:object w:dxaOrig="560" w:dyaOrig="279" w14:anchorId="48AA2132">
          <v:shape id="_x0000_i1045" type="#_x0000_t75" alt="" style="width:27.95pt;height:13.45pt;mso-width-percent:0;mso-height-percent:0;mso-width-percent:0;mso-height-percent:0" o:ole="" o:preferrelative="f">
            <v:imagedata r:id="rId17" o:title=""/>
            <o:lock v:ext="edit" aspectratio="f"/>
          </v:shape>
          <o:OLEObject Type="Embed" ProgID="Equation.DSMT4" ShapeID="_x0000_i1045" DrawAspect="Content" ObjectID="_1807444785" r:id="rId56"/>
        </w:object>
      </w:r>
      <w:r w:rsidR="0012504E">
        <w:t xml:space="preserve">, </w:t>
      </w:r>
      <w:r w:rsidR="007578BE" w:rsidRPr="00546588">
        <w:rPr>
          <w:noProof/>
          <w:position w:val="-4"/>
        </w:rPr>
        <w:object w:dxaOrig="260" w:dyaOrig="320" w14:anchorId="04C2A7D5">
          <v:shape id="_x0000_i1046" type="#_x0000_t75" alt="" style="width:12.9pt;height:16.1pt;mso-width-percent:0;mso-height-percent:0;mso-width-percent:0;mso-height-percent:0" o:ole="" o:preferrelative="f">
            <v:imagedata r:id="rId54" o:title=""/>
            <o:lock v:ext="edit" aspectratio="f"/>
          </v:shape>
          <o:OLEObject Type="Embed" ProgID="Equation.DSMT4" ShapeID="_x0000_i1046" DrawAspect="Content" ObjectID="_1807444786" r:id="rId57"/>
        </w:object>
      </w:r>
      <w:r w:rsidR="0012504E">
        <w:rPr>
          <w:noProof/>
        </w:rPr>
        <w:t xml:space="preserve"> takes the following form:</w:t>
      </w:r>
    </w:p>
    <w:p w14:paraId="5A68A608" w14:textId="36A196A9" w:rsidR="00C308B0" w:rsidRPr="00425F23" w:rsidRDefault="007578BE" w:rsidP="004A4122">
      <w:pPr>
        <w:spacing w:before="60" w:after="60"/>
        <w:jc w:val="both"/>
        <w:rPr>
          <w:noProof/>
        </w:rPr>
      </w:pPr>
      <w:r w:rsidRPr="0012504E">
        <w:rPr>
          <w:noProof/>
          <w:position w:val="-32"/>
        </w:rPr>
        <w:object w:dxaOrig="1579" w:dyaOrig="760" w14:anchorId="3EDA404E">
          <v:shape id="_x0000_i1047" type="#_x0000_t75" alt="" style="width:79.5pt;height:38.15pt;mso-width-percent:0;mso-height-percent:0;mso-width-percent:0;mso-height-percent:0" o:ole="" o:preferrelative="f">
            <v:imagedata r:id="rId58" o:title=""/>
            <o:lock v:ext="edit" aspectratio="f"/>
          </v:shape>
          <o:OLEObject Type="Embed" ProgID="Equation.DSMT4" ShapeID="_x0000_i1047" DrawAspect="Content" ObjectID="_1807444787" r:id="rId59"/>
        </w:object>
      </w:r>
      <w:r w:rsidR="00831B94">
        <w:rPr>
          <w:noProof/>
        </w:rPr>
        <w:tab/>
      </w:r>
      <w:r w:rsidR="00831B94">
        <w:rPr>
          <w:noProof/>
        </w:rPr>
        <w:tab/>
      </w:r>
      <w:r w:rsidR="00831B94">
        <w:rPr>
          <w:noProof/>
        </w:rPr>
        <w:tab/>
      </w:r>
      <w:r w:rsidR="00831B94">
        <w:rPr>
          <w:noProof/>
        </w:rPr>
        <w:tab/>
      </w:r>
      <w:r w:rsidR="00831B94">
        <w:rPr>
          <w:noProof/>
        </w:rPr>
        <w:tab/>
      </w:r>
      <w:r w:rsidR="00831B94">
        <w:rPr>
          <w:noProof/>
        </w:rPr>
        <w:tab/>
      </w:r>
      <w:r w:rsidR="00831B94">
        <w:rPr>
          <w:noProof/>
        </w:rPr>
        <w:tab/>
      </w:r>
      <w:r w:rsidR="00831B94">
        <w:rPr>
          <w:noProof/>
        </w:rPr>
        <w:tab/>
      </w:r>
      <w:r w:rsidR="00831B94">
        <w:rPr>
          <w:noProof/>
        </w:rPr>
        <w:tab/>
      </w:r>
      <w:r w:rsidR="00831B94">
        <w:rPr>
          <w:noProof/>
        </w:rPr>
        <w:tab/>
        <w:t xml:space="preserve">      (2)</w:t>
      </w:r>
    </w:p>
    <w:p w14:paraId="110F2FF2" w14:textId="0CE576C0" w:rsidR="00B6138C" w:rsidRPr="00425F23" w:rsidRDefault="00A85E56" w:rsidP="006F2CB1">
      <w:pPr>
        <w:jc w:val="both"/>
      </w:pPr>
      <w:r w:rsidRPr="00425F23">
        <w:tab/>
        <w:t xml:space="preserve">Next, consider the binary outcome representing the permanence of the change in public transit usage. </w:t>
      </w:r>
      <w:r w:rsidR="00B6138C">
        <w:t>D</w:t>
      </w:r>
      <w:r w:rsidRPr="00425F23">
        <w:t xml:space="preserve">efine a latent propensity </w:t>
      </w:r>
      <w:r w:rsidR="007578BE" w:rsidRPr="00890FCA">
        <w:rPr>
          <w:noProof/>
          <w:position w:val="-12"/>
        </w:rPr>
        <w:object w:dxaOrig="279" w:dyaOrig="380" w14:anchorId="7FD94A8F">
          <v:shape id="_x0000_i1048" type="#_x0000_t75" alt="" style="width:13.45pt;height:18.8pt;mso-width-percent:0;mso-height-percent:0;mso-width-percent:0;mso-height-percent:0" o:ole="" o:preferrelative="f">
            <v:imagedata r:id="rId60" o:title=""/>
            <o:lock v:ext="edit" aspectratio="f"/>
          </v:shape>
          <o:OLEObject Type="Embed" ProgID="Equation.DSMT4" ShapeID="_x0000_i1048" DrawAspect="Content" ObjectID="_1807444788" r:id="rId61"/>
        </w:object>
      </w:r>
      <w:r w:rsidRPr="00425F23">
        <w:t xml:space="preserve"> underlying th</w:t>
      </w:r>
      <w:r w:rsidR="00B6138C">
        <w:t>is</w:t>
      </w:r>
      <w:r w:rsidRPr="00425F23">
        <w:t xml:space="preserve"> binary outcome. The latent propensity takes the following structure:</w:t>
      </w:r>
    </w:p>
    <w:p w14:paraId="32B15B0B" w14:textId="77777777" w:rsidR="0074176E" w:rsidRDefault="007578BE" w:rsidP="0074176E">
      <w:pPr>
        <w:tabs>
          <w:tab w:val="right" w:pos="9360"/>
        </w:tabs>
        <w:spacing w:before="120" w:after="120"/>
        <w:jc w:val="both"/>
        <w:rPr>
          <w:noProof/>
        </w:rPr>
      </w:pPr>
      <w:r w:rsidRPr="00B47968">
        <w:rPr>
          <w:noProof/>
          <w:position w:val="-12"/>
        </w:rPr>
        <w:object w:dxaOrig="1180" w:dyaOrig="380" w14:anchorId="6BE4CAA4">
          <v:shape id="_x0000_i1049" type="#_x0000_t75" alt="" style="width:59.1pt;height:18.8pt" o:ole="" o:preferrelative="f">
            <v:imagedata r:id="rId62" o:title=""/>
            <o:lock v:ext="edit" aspectratio="f"/>
          </v:shape>
          <o:OLEObject Type="Embed" ProgID="Equation.DSMT4" ShapeID="_x0000_i1049" DrawAspect="Content" ObjectID="_1807444789" r:id="rId63"/>
        </w:object>
      </w:r>
      <w:r>
        <w:rPr>
          <w:noProof/>
        </w:rPr>
        <w:t>,</w:t>
      </w:r>
      <w:r w:rsidR="0074176E">
        <w:rPr>
          <w:noProof/>
        </w:rPr>
        <w:t xml:space="preserve"> </w:t>
      </w:r>
      <w:r w:rsidR="0074176E">
        <w:rPr>
          <w:noProof/>
        </w:rPr>
        <w:tab/>
      </w:r>
      <w:r w:rsidR="00831B94">
        <w:rPr>
          <w:noProof/>
        </w:rPr>
        <w:t>(3)</w:t>
      </w:r>
    </w:p>
    <w:p w14:paraId="50757316" w14:textId="117AE50A" w:rsidR="00A85E56" w:rsidRPr="00425F23" w:rsidRDefault="00831B94" w:rsidP="0074176E">
      <w:pPr>
        <w:tabs>
          <w:tab w:val="right" w:pos="9360"/>
        </w:tabs>
        <w:jc w:val="both"/>
      </w:pPr>
      <w:r>
        <w:tab/>
      </w:r>
      <w:r w:rsidR="00A85E56" w:rsidRPr="00425F23">
        <w:t xml:space="preserve">where </w:t>
      </w:r>
      <w:r w:rsidR="007578BE" w:rsidRPr="007578BE">
        <w:rPr>
          <w:noProof/>
          <w:position w:val="-10"/>
        </w:rPr>
        <w:object w:dxaOrig="520" w:dyaOrig="320" w14:anchorId="6E1A2E60">
          <v:shape id="_x0000_i1050" type="#_x0000_t75" alt="" style="width:25.8pt;height:16.1pt" o:ole="" o:preferrelative="f">
            <v:imagedata r:id="rId64" o:title=""/>
            <o:lock v:ext="edit" aspectratio="f"/>
          </v:shape>
          <o:OLEObject Type="Embed" ProgID="Equation.DSMT4" ShapeID="_x0000_i1050" DrawAspect="Content" ObjectID="_1807444790" r:id="rId65"/>
        </w:object>
      </w:r>
      <w:r w:rsidR="00A85E56" w:rsidRPr="00425F23">
        <w:t xml:space="preserve"> if </w:t>
      </w:r>
      <w:r w:rsidR="007578BE" w:rsidRPr="00890FCA">
        <w:rPr>
          <w:noProof/>
          <w:position w:val="-12"/>
        </w:rPr>
        <w:object w:dxaOrig="660" w:dyaOrig="380" w14:anchorId="575D72DF">
          <v:shape id="_x0000_i1051" type="#_x0000_t75" alt="" style="width:32.8pt;height:18.8pt;mso-width-percent:0;mso-height-percent:0;mso-width-percent:0;mso-height-percent:0" o:ole="" o:preferrelative="f">
            <v:imagedata r:id="rId66" o:title=""/>
            <o:lock v:ext="edit" aspectratio="f"/>
          </v:shape>
          <o:OLEObject Type="Embed" ProgID="Equation.DSMT4" ShapeID="_x0000_i1051" DrawAspect="Content" ObjectID="_1807444791" r:id="rId67"/>
        </w:object>
      </w:r>
      <w:r w:rsidR="00A85E56" w:rsidRPr="00425F23">
        <w:t xml:space="preserve"> and </w:t>
      </w:r>
      <w:r w:rsidR="00981D73" w:rsidRPr="007578BE">
        <w:rPr>
          <w:noProof/>
          <w:position w:val="-10"/>
        </w:rPr>
        <w:object w:dxaOrig="560" w:dyaOrig="320" w14:anchorId="24B67DD8">
          <v:shape id="_x0000_i1052" type="#_x0000_t75" alt="" style="width:27.95pt;height:16.1pt" o:ole="" o:preferrelative="f">
            <v:imagedata r:id="rId68" o:title=""/>
            <o:lock v:ext="edit" aspectratio="f"/>
          </v:shape>
          <o:OLEObject Type="Embed" ProgID="Equation.DSMT4" ShapeID="_x0000_i1052" DrawAspect="Content" ObjectID="_1807444792" r:id="rId69"/>
        </w:object>
      </w:r>
      <w:r w:rsidR="00A85E56" w:rsidRPr="00425F23">
        <w:t xml:space="preserve"> otherwise. In this case, </w:t>
      </w:r>
      <w:r w:rsidR="00981D73" w:rsidRPr="00981D73">
        <w:rPr>
          <w:noProof/>
          <w:position w:val="-6"/>
        </w:rPr>
        <w:object w:dxaOrig="180" w:dyaOrig="220" w14:anchorId="6AA9A562">
          <v:shape id="_x0000_i1053" type="#_x0000_t75" alt="" style="width:9.65pt;height:10.75pt" o:ole="" o:preferrelative="f">
            <v:imagedata r:id="rId70" o:title=""/>
            <o:lock v:ext="edit" aspectratio="f"/>
          </v:shape>
          <o:OLEObject Type="Embed" ProgID="Equation.DSMT4" ShapeID="_x0000_i1053" DrawAspect="Content" ObjectID="_1807444793" r:id="rId71"/>
        </w:object>
      </w:r>
      <w:r w:rsidR="00A85E56" w:rsidRPr="00425F23">
        <w:t xml:space="preserve"> is a</w:t>
      </w:r>
      <w:r w:rsidR="00B6138C">
        <w:t>n</w:t>
      </w:r>
      <w:r w:rsidR="00A85E56" w:rsidRPr="00425F23">
        <w:t xml:space="preserve"> </w:t>
      </w:r>
      <w:r w:rsidR="007578BE" w:rsidRPr="00890FCA">
        <w:rPr>
          <w:noProof/>
          <w:position w:val="-10"/>
        </w:rPr>
        <w:object w:dxaOrig="639" w:dyaOrig="320" w14:anchorId="03DC62DB">
          <v:shape id="_x0000_i1054" type="#_x0000_t75" alt="" style="width:31.7pt;height:16.1pt;mso-width-percent:0;mso-height-percent:0;mso-width-percent:0;mso-height-percent:0" o:ole="" o:preferrelative="f">
            <v:imagedata r:id="rId72" o:title=""/>
            <o:lock v:ext="edit" aspectratio="f"/>
          </v:shape>
          <o:OLEObject Type="Embed" ProgID="Equation.DSMT4" ShapeID="_x0000_i1054" DrawAspect="Content" ObjectID="_1807444794" r:id="rId73"/>
        </w:object>
      </w:r>
      <w:r w:rsidR="00A85E56" w:rsidRPr="00425F23">
        <w:t xml:space="preserve"> vector of exogenous variables (including a constant), </w:t>
      </w:r>
      <w:r w:rsidR="007578BE" w:rsidRPr="00E56366">
        <w:rPr>
          <w:noProof/>
          <w:position w:val="-10"/>
        </w:rPr>
        <w:object w:dxaOrig="240" w:dyaOrig="320" w14:anchorId="116C0F1B">
          <v:shape id="_x0000_i1055" type="#_x0000_t75" alt="" style="width:11.8pt;height:16.1pt;mso-width-percent:0;mso-height-percent:0;mso-width-percent:0;mso-height-percent:0" o:ole="" o:preferrelative="f">
            <v:imagedata r:id="rId74" o:title=""/>
            <o:lock v:ext="edit" aspectratio="f"/>
          </v:shape>
          <o:OLEObject Type="Embed" ProgID="Equation.DSMT4" ShapeID="_x0000_i1055" DrawAspect="Content" ObjectID="_1807444795" r:id="rId75"/>
        </w:object>
      </w:r>
      <w:r w:rsidR="00682F8D">
        <w:t xml:space="preserve"> </w:t>
      </w:r>
      <w:r w:rsidR="00A85E56" w:rsidRPr="00425F23">
        <w:t xml:space="preserve">is a corresponding </w:t>
      </w:r>
      <w:r w:rsidR="007578BE" w:rsidRPr="00890FCA">
        <w:rPr>
          <w:noProof/>
          <w:position w:val="-10"/>
        </w:rPr>
        <w:object w:dxaOrig="639" w:dyaOrig="320" w14:anchorId="01BF273D">
          <v:shape id="_x0000_i1056" type="#_x0000_t75" alt="" style="width:31.7pt;height:16.1pt;mso-width-percent:0;mso-height-percent:0;mso-width-percent:0;mso-height-percent:0" o:ole="" o:preferrelative="f">
            <v:imagedata r:id="rId72" o:title=""/>
            <o:lock v:ext="edit" aspectratio="f"/>
          </v:shape>
          <o:OLEObject Type="Embed" ProgID="Equation.DSMT4" ShapeID="_x0000_i1056" DrawAspect="Content" ObjectID="_1807444796" r:id="rId76"/>
        </w:object>
      </w:r>
      <w:r w:rsidR="00A85E56" w:rsidRPr="00425F23">
        <w:t xml:space="preserve"> vector of coefficients to be estimated, and </w:t>
      </w:r>
      <w:r w:rsidR="00981D73" w:rsidRPr="00890FCA">
        <w:rPr>
          <w:noProof/>
          <w:position w:val="-12"/>
        </w:rPr>
        <w:object w:dxaOrig="260" w:dyaOrig="360" w14:anchorId="62397D8B">
          <v:shape id="_x0000_i1057" type="#_x0000_t75" alt="" style="width:12.9pt;height:18.25pt;mso-width-percent:0;mso-height-percent:0;mso-width-percent:0;mso-height-percent:0" o:ole="" o:preferrelative="f">
            <v:imagedata r:id="rId77" o:title=""/>
            <o:lock v:ext="edit" aspectratio="f"/>
          </v:shape>
          <o:OLEObject Type="Embed" ProgID="Equation.DSMT4" ShapeID="_x0000_i1057" DrawAspect="Content" ObjectID="_1807444797" r:id="rId78"/>
        </w:object>
      </w:r>
      <w:r w:rsidR="00A85E56" w:rsidRPr="00425F23">
        <w:t xml:space="preserve"> is a random error term assumed to be standard normally distributed (the scale of </w:t>
      </w:r>
      <w:r w:rsidR="00981D73" w:rsidRPr="004967E3">
        <w:rPr>
          <w:noProof/>
          <w:position w:val="-12"/>
        </w:rPr>
        <w:object w:dxaOrig="279" w:dyaOrig="380" w14:anchorId="54AD730B">
          <v:shape id="_x0000_i1058" type="#_x0000_t75" alt="" style="width:13.45pt;height:18.8pt;mso-width-percent:0;mso-height-percent:0;mso-width-percent:0;mso-height-percent:0" o:ole="" o:preferrelative="f">
            <v:imagedata r:id="rId79" o:title=""/>
            <o:lock v:ext="edit" aspectratio="f"/>
          </v:shape>
          <o:OLEObject Type="Embed" ProgID="Equation.DSMT4" ShapeID="_x0000_i1058" DrawAspect="Content" ObjectID="_1807444798" r:id="rId80"/>
        </w:object>
      </w:r>
      <w:r w:rsidR="00B6138C">
        <w:t xml:space="preserve"> </w:t>
      </w:r>
      <w:r w:rsidR="00A85E56" w:rsidRPr="00425F23">
        <w:t xml:space="preserve">is not identified and </w:t>
      </w:r>
      <w:r w:rsidR="00B6138C">
        <w:t xml:space="preserve">so we arbitrarily, and without any loss of generality, </w:t>
      </w:r>
      <w:r w:rsidR="00A85E56" w:rsidRPr="00425F23">
        <w:t xml:space="preserve">set </w:t>
      </w:r>
      <w:r w:rsidR="00B6138C">
        <w:t xml:space="preserve">the variance of </w:t>
      </w:r>
      <w:r w:rsidR="00981D73" w:rsidRPr="00981D73">
        <w:rPr>
          <w:noProof/>
          <w:position w:val="-6"/>
        </w:rPr>
        <w:object w:dxaOrig="200" w:dyaOrig="220" w14:anchorId="0606227C">
          <v:shape id="_x0000_i1059" type="#_x0000_t75" alt="" style="width:9.65pt;height:11.3pt" o:ole="" o:preferrelative="f">
            <v:imagedata r:id="rId81" o:title=""/>
            <o:lock v:ext="edit" aspectratio="f"/>
          </v:shape>
          <o:OLEObject Type="Embed" ProgID="Equation.DSMT4" ShapeID="_x0000_i1059" DrawAspect="Content" ObjectID="_1807444799" r:id="rId82"/>
        </w:object>
      </w:r>
      <w:r w:rsidR="00981D73">
        <w:rPr>
          <w:noProof/>
        </w:rPr>
        <w:t xml:space="preserve"> </w:t>
      </w:r>
      <w:r w:rsidR="00A85E56" w:rsidRPr="00425F23">
        <w:t xml:space="preserve">to one). </w:t>
      </w:r>
    </w:p>
    <w:p w14:paraId="03539F23" w14:textId="053C677A" w:rsidR="002C3D2D" w:rsidRDefault="00B6138C" w:rsidP="00B85EB7">
      <w:pPr>
        <w:ind w:firstLine="720"/>
        <w:jc w:val="both"/>
      </w:pPr>
      <w:r>
        <w:t xml:space="preserve">We now </w:t>
      </w:r>
      <w:r w:rsidR="00A85E56" w:rsidRPr="00425F23">
        <w:t xml:space="preserve">define the </w:t>
      </w:r>
      <w:r w:rsidR="00981D73" w:rsidRPr="00834231">
        <w:rPr>
          <w:noProof/>
          <w:position w:val="-10"/>
        </w:rPr>
        <w:object w:dxaOrig="740" w:dyaOrig="320" w14:anchorId="40AE1330">
          <v:shape id="_x0000_i1060" type="#_x0000_t75" alt="" style="width:37.05pt;height:16.1pt;mso-width-percent:0;mso-height-percent:0;mso-width-percent:0;mso-height-percent:0" o:ole="" o:preferrelative="f">
            <v:imagedata r:id="rId83" o:title=""/>
            <o:lock v:ext="edit" aspectratio="f"/>
          </v:shape>
          <o:OLEObject Type="Embed" ProgID="Equation.DSMT4" ShapeID="_x0000_i1060" DrawAspect="Content" ObjectID="_1807444800" r:id="rId84"/>
        </w:object>
      </w:r>
      <w:r w:rsidR="00A85E56" w:rsidRPr="00425F23">
        <w:t xml:space="preserve"> matrix </w:t>
      </w:r>
      <w:r w:rsidR="00981D73" w:rsidRPr="00834231">
        <w:rPr>
          <w:noProof/>
          <w:position w:val="-12"/>
        </w:rPr>
        <w:object w:dxaOrig="1820" w:dyaOrig="360" w14:anchorId="085A587D">
          <v:shape id="_x0000_i1061" type="#_x0000_t75" alt="" style="width:90.8pt;height:18.25pt;mso-width-percent:0;mso-height-percent:0;mso-width-percent:0;mso-height-percent:0" o:ole="" o:preferrelative="f">
            <v:imagedata r:id="rId85" o:title=""/>
            <o:lock v:ext="edit" aspectratio="f"/>
          </v:shape>
          <o:OLEObject Type="Embed" ProgID="Equation.DSMT4" ShapeID="_x0000_i1061" DrawAspect="Content" ObjectID="_1807444801" r:id="rId86"/>
        </w:object>
      </w:r>
      <w:r w:rsidR="00A85E56" w:rsidRPr="00425F23">
        <w:t xml:space="preserve"> and the </w:t>
      </w:r>
      <w:r w:rsidR="00981D73" w:rsidRPr="00834231">
        <w:rPr>
          <w:noProof/>
          <w:position w:val="-10"/>
        </w:rPr>
        <w:object w:dxaOrig="660" w:dyaOrig="320" w14:anchorId="747C93D2">
          <v:shape id="_x0000_i1062" type="#_x0000_t75" alt="" style="width:32.8pt;height:16.1pt;mso-width-percent:0;mso-height-percent:0;mso-width-percent:0;mso-height-percent:0" o:ole="" o:preferrelative="f">
            <v:imagedata r:id="rId87" o:title=""/>
            <o:lock v:ext="edit" aspectratio="f"/>
          </v:shape>
          <o:OLEObject Type="Embed" ProgID="Equation.DSMT4" ShapeID="_x0000_i1062" DrawAspect="Content" ObjectID="_1807444802" r:id="rId88"/>
        </w:object>
      </w:r>
      <w:r w:rsidR="00A85E56" w:rsidRPr="00425F23">
        <w:t xml:space="preserve"> vector </w:t>
      </w:r>
      <w:r w:rsidR="00981D73" w:rsidRPr="0030543A">
        <w:rPr>
          <w:noProof/>
          <w:position w:val="-12"/>
        </w:rPr>
        <w:object w:dxaOrig="1939" w:dyaOrig="360" w14:anchorId="2418608F">
          <v:shape id="_x0000_i1063" type="#_x0000_t75" alt="" style="width:97.8pt;height:18.25pt;mso-width-percent:0;mso-height-percent:0;mso-width-percent:0;mso-height-percent:0" o:ole="" o:preferrelative="f">
            <v:imagedata r:id="rId89" o:title=""/>
            <o:lock v:ext="edit" aspectratio="f"/>
          </v:shape>
          <o:OLEObject Type="Embed" ProgID="Equation.DSMT4" ShapeID="_x0000_i1063" DrawAspect="Content" ObjectID="_1807444803" r:id="rId90"/>
        </w:object>
      </w:r>
      <w:r w:rsidR="00A85E56" w:rsidRPr="00425F23">
        <w:t xml:space="preserve"> for the nominal variable. </w:t>
      </w:r>
      <w:r>
        <w:t>Also</w:t>
      </w:r>
      <w:r w:rsidR="00A85E56" w:rsidRPr="00425F23">
        <w:t xml:space="preserve">, define the </w:t>
      </w:r>
      <w:r w:rsidR="00981D73" w:rsidRPr="00834231">
        <w:rPr>
          <w:noProof/>
          <w:position w:val="-14"/>
        </w:rPr>
        <w:object w:dxaOrig="1120" w:dyaOrig="400" w14:anchorId="5E4CEFE8">
          <v:shape id="_x0000_i1064" type="#_x0000_t75" alt="" style="width:56.4pt;height:20.4pt;mso-width-percent:0;mso-height-percent:0;mso-width-percent:0;mso-height-percent:0" o:ole="" o:preferrelative="f">
            <v:imagedata r:id="rId91" o:title=""/>
            <o:lock v:ext="edit" aspectratio="f"/>
          </v:shape>
          <o:OLEObject Type="Embed" ProgID="Equation.DSMT4" ShapeID="_x0000_i1064" DrawAspect="Content" ObjectID="_1807444804" r:id="rId92"/>
        </w:object>
      </w:r>
      <w:r w:rsidR="00A85E56" w:rsidRPr="00425F23">
        <w:t xml:space="preserve"> vector </w:t>
      </w:r>
      <w:r w:rsidR="00981D73" w:rsidRPr="00AA14CF">
        <w:rPr>
          <w:noProof/>
          <w:position w:val="-30"/>
        </w:rPr>
        <w:object w:dxaOrig="1020" w:dyaOrig="720" w14:anchorId="5FE8A905">
          <v:shape id="_x0000_i1065" type="#_x0000_t75" alt="" style="width:51.05pt;height:36pt;mso-width-percent:0;mso-height-percent:0;mso-width-percent:0;mso-height-percent:0" o:ole="" o:preferrelative="f">
            <v:imagedata r:id="rId93" o:title=""/>
            <o:lock v:ext="edit" aspectratio="f"/>
          </v:shape>
          <o:OLEObject Type="Embed" ProgID="Equation.DSMT4" ShapeID="_x0000_i1065" DrawAspect="Content" ObjectID="_1807444805" r:id="rId94"/>
        </w:object>
      </w:r>
      <w:r w:rsidR="00A85E56" w:rsidRPr="00425F23">
        <w:t xml:space="preserve"> and the </w:t>
      </w:r>
      <w:r w:rsidR="00981D73" w:rsidRPr="00FA3E67">
        <w:rPr>
          <w:noProof/>
          <w:position w:val="-14"/>
        </w:rPr>
        <w:object w:dxaOrig="740" w:dyaOrig="400" w14:anchorId="23774DA2">
          <v:shape id="_x0000_i1066" type="#_x0000_t75" alt="" style="width:37.05pt;height:20.4pt;mso-width-percent:0;mso-height-percent:0;mso-width-percent:0;mso-height-percent:0" o:ole="" o:preferrelative="f">
            <v:imagedata r:id="rId95" o:title=""/>
            <o:lock v:ext="edit" aspectratio="f"/>
          </v:shape>
          <o:OLEObject Type="Embed" ProgID="Equation.DSMT4" ShapeID="_x0000_i1066" DrawAspect="Content" ObjectID="_1807444806" r:id="rId96"/>
        </w:object>
      </w:r>
      <w:r w:rsidR="00A85E56" w:rsidRPr="00425F23">
        <w:t xml:space="preserve"> matrix</w:t>
      </w:r>
      <w:r w:rsidR="00BB4ECA">
        <w:rPr>
          <w:noProof/>
        </w:rPr>
        <w:t xml:space="preserve"> </w:t>
      </w:r>
      <w:r w:rsidR="00981D73" w:rsidRPr="004967E3">
        <w:rPr>
          <w:noProof/>
          <w:position w:val="-32"/>
        </w:rPr>
        <w:object w:dxaOrig="1219" w:dyaOrig="760" w14:anchorId="362B4342">
          <v:shape id="_x0000_i1067" type="#_x0000_t75" alt="" style="width:61.25pt;height:38.15pt;mso-width-percent:0;mso-height-percent:0;mso-width-percent:0;mso-height-percent:0" o:ole="" o:preferrelative="f">
            <v:imagedata r:id="rId97" o:title=""/>
            <o:lock v:ext="edit" aspectratio="f"/>
          </v:shape>
          <o:OLEObject Type="Embed" ProgID="Equation.DSMT4" ShapeID="_x0000_i1067" DrawAspect="Content" ObjectID="_1807444807" r:id="rId98"/>
        </w:object>
      </w:r>
      <w:r w:rsidR="00A85E56" w:rsidRPr="00425F23">
        <w:t>. In this matrix</w:t>
      </w:r>
      <w:r w:rsidR="0012504E">
        <w:t>,</w:t>
      </w:r>
      <w:r w:rsidR="00A85E56" w:rsidRPr="00425F23">
        <w:t xml:space="preserve"> </w:t>
      </w:r>
      <w:r w:rsidR="00981D73" w:rsidRPr="004967E3">
        <w:rPr>
          <w:noProof/>
          <w:position w:val="-6"/>
        </w:rPr>
        <w:object w:dxaOrig="200" w:dyaOrig="220" w14:anchorId="20B08D34">
          <v:shape id="_x0000_i1068" type="#_x0000_t75" alt="" style="width:9.65pt;height:10.75pt;mso-width-percent:0;mso-height-percent:0;mso-width-percent:0;mso-height-percent:0" o:ole="" o:preferrelative="f">
            <v:imagedata r:id="rId99" o:title=""/>
            <o:lock v:ext="edit" aspectratio="f"/>
          </v:shape>
          <o:OLEObject Type="Embed" ProgID="Equation.DSMT4" ShapeID="_x0000_i1068" DrawAspect="Content" ObjectID="_1807444808" r:id="rId100"/>
        </w:object>
      </w:r>
      <w:r w:rsidR="00BB4ECA">
        <w:t xml:space="preserve"> </w:t>
      </w:r>
      <w:r w:rsidR="00A85E56" w:rsidRPr="00425F23">
        <w:t xml:space="preserve">is a </w:t>
      </w:r>
      <w:r w:rsidR="00981D73" w:rsidRPr="008F4278">
        <w:rPr>
          <w:noProof/>
          <w:position w:val="-14"/>
        </w:rPr>
        <w:object w:dxaOrig="1120" w:dyaOrig="400" w14:anchorId="5E030D29">
          <v:shape id="_x0000_i1069" type="#_x0000_t75" alt="" style="width:56.4pt;height:20.4pt;mso-width-percent:0;mso-height-percent:0;mso-width-percent:0;mso-height-percent:0" o:ole="" o:preferrelative="f">
            <v:imagedata r:id="rId101" o:title=""/>
            <o:lock v:ext="edit" aspectratio="f"/>
          </v:shape>
          <o:OLEObject Type="Embed" ProgID="Equation.DSMT4" ShapeID="_x0000_i1069" DrawAspect="Content" ObjectID="_1807444809" r:id="rId102"/>
        </w:object>
      </w:r>
      <w:r w:rsidR="00A85E56" w:rsidRPr="00425F23">
        <w:t xml:space="preserve"> vector that capture</w:t>
      </w:r>
      <w:r w:rsidR="00465FC4">
        <w:t>s</w:t>
      </w:r>
      <w:r w:rsidR="00A85E56" w:rsidRPr="00425F23">
        <w:t xml:space="preserve"> the </w:t>
      </w:r>
      <w:r w:rsidR="00A85E56" w:rsidRPr="00425F23">
        <w:lastRenderedPageBreak/>
        <w:t>co</w:t>
      </w:r>
      <w:r w:rsidR="00465FC4">
        <w:t>variance</w:t>
      </w:r>
      <w:r w:rsidR="00A85E56" w:rsidRPr="00425F23">
        <w:t xml:space="preserve"> between </w:t>
      </w:r>
      <w:r w:rsidR="00BB4ECA">
        <w:t xml:space="preserve">the </w:t>
      </w:r>
      <w:r w:rsidR="00A85E56" w:rsidRPr="00425F23">
        <w:t xml:space="preserve">nominal outcome </w:t>
      </w:r>
      <w:r w:rsidR="00BB4ECA">
        <w:t xml:space="preserve">utilities </w:t>
      </w:r>
      <w:r w:rsidR="00A85E56" w:rsidRPr="00425F23">
        <w:t xml:space="preserve">(in utility differenced form, with the difference taken with respect to the first alternative) and the binary outcome. </w:t>
      </w:r>
      <w:r w:rsidR="00BB4ECA">
        <w:t xml:space="preserve">In our case with </w:t>
      </w:r>
      <w:r w:rsidR="00981D73" w:rsidRPr="00E623BD">
        <w:rPr>
          <w:noProof/>
          <w:position w:val="-6"/>
        </w:rPr>
        <w:object w:dxaOrig="560" w:dyaOrig="279" w14:anchorId="14FAEE71">
          <v:shape id="_x0000_i1070" type="#_x0000_t75" alt="" style="width:27.95pt;height:13.45pt;mso-width-percent:0;mso-height-percent:0;mso-width-percent:0;mso-height-percent:0" o:ole="" o:preferrelative="f">
            <v:imagedata r:id="rId17" o:title=""/>
            <o:lock v:ext="edit" aspectratio="f"/>
          </v:shape>
          <o:OLEObject Type="Embed" ProgID="Equation.DSMT4" ShapeID="_x0000_i1070" DrawAspect="Content" ObjectID="_1807444810" r:id="rId103"/>
        </w:object>
      </w:r>
      <w:r w:rsidR="00BB4ECA">
        <w:t>,</w:t>
      </w:r>
    </w:p>
    <w:p w14:paraId="145C2CCE" w14:textId="292B1007" w:rsidR="002C3D2D" w:rsidRDefault="00BB4ECA" w:rsidP="004A4122">
      <w:pPr>
        <w:spacing w:before="60" w:after="60"/>
        <w:jc w:val="both"/>
      </w:pPr>
      <w:r>
        <w:t xml:space="preserve"> </w:t>
      </w:r>
      <w:r w:rsidR="00981D73" w:rsidRPr="00BB4ECA">
        <w:rPr>
          <w:noProof/>
          <w:position w:val="-50"/>
        </w:rPr>
        <w:object w:dxaOrig="4560" w:dyaOrig="1120" w14:anchorId="7085B25A">
          <v:shape id="_x0000_i1071" type="#_x0000_t75" alt="" style="width:227.8pt;height:56.4pt" o:ole="" o:preferrelative="f">
            <v:imagedata r:id="rId104" o:title=""/>
            <o:lock v:ext="edit" aspectratio="f"/>
          </v:shape>
          <o:OLEObject Type="Embed" ProgID="Equation.DSMT4" ShapeID="_x0000_i1071" DrawAspect="Content" ObjectID="_1807444811" r:id="rId105"/>
        </w:object>
      </w:r>
      <w:r w:rsidR="00981D73">
        <w:rPr>
          <w:noProof/>
        </w:rPr>
        <w:t>.</w:t>
      </w:r>
      <w:r w:rsidR="002C3D2D">
        <w:rPr>
          <w:noProof/>
        </w:rPr>
        <w:tab/>
      </w:r>
      <w:r w:rsidR="002C3D2D">
        <w:rPr>
          <w:noProof/>
        </w:rPr>
        <w:tab/>
      </w:r>
      <w:r w:rsidR="002C3D2D">
        <w:rPr>
          <w:noProof/>
        </w:rPr>
        <w:tab/>
      </w:r>
      <w:r w:rsidR="002C3D2D">
        <w:rPr>
          <w:noProof/>
        </w:rPr>
        <w:tab/>
      </w:r>
      <w:r w:rsidR="002C3D2D">
        <w:rPr>
          <w:noProof/>
        </w:rPr>
        <w:tab/>
      </w:r>
      <w:r w:rsidR="002C3D2D">
        <w:rPr>
          <w:noProof/>
        </w:rPr>
        <w:tab/>
        <w:t xml:space="preserve">       (4)</w:t>
      </w:r>
    </w:p>
    <w:p w14:paraId="49A6F628" w14:textId="19847E8E" w:rsidR="00965E2C" w:rsidRPr="00425F23" w:rsidRDefault="00A85E56" w:rsidP="00965E2C">
      <w:pPr>
        <w:ind w:firstLine="720"/>
        <w:jc w:val="both"/>
      </w:pPr>
      <w:r w:rsidRPr="00425F23">
        <w:t xml:space="preserve">For ease of presentation, we will present the case of estimation of the model for an individual for whom all outcomes are relevant. That is, they are either using public transit more or less than they did before the pandemic (but not the same as they did before the pandemic), so that they have a response to the permanence of this change. </w:t>
      </w:r>
      <w:r w:rsidR="00303245">
        <w:t>For</w:t>
      </w:r>
      <w:r w:rsidRPr="00425F23">
        <w:t xml:space="preserve"> an individual </w:t>
      </w:r>
      <w:r w:rsidR="00303245">
        <w:t>whose PT use has no</w:t>
      </w:r>
      <w:r w:rsidR="00D57FCD">
        <w:t>t</w:t>
      </w:r>
      <w:r w:rsidR="00303245">
        <w:t xml:space="preserve"> changed through the pandemic</w:t>
      </w:r>
      <w:r w:rsidRPr="00425F23">
        <w:t xml:space="preserve">, the procedure described below needs only to be modified slightly to obtain </w:t>
      </w:r>
      <w:r w:rsidR="00BB4ECA">
        <w:t xml:space="preserve">appropriate </w:t>
      </w:r>
      <w:r w:rsidRPr="00425F23">
        <w:t xml:space="preserve">matrices marginalized to include only the </w:t>
      </w:r>
      <w:r w:rsidR="00BB4ECA">
        <w:t>nominal outcome utilities</w:t>
      </w:r>
      <w:r w:rsidRPr="00425F23">
        <w:t xml:space="preserve">. </w:t>
      </w:r>
      <w:r w:rsidR="007703AC">
        <w:t xml:space="preserve">For these individuals, we need only consider the nominal outcome variable as defined by equation </w:t>
      </w:r>
      <w:r w:rsidR="00D42B73">
        <w:t>(</w:t>
      </w:r>
      <w:r w:rsidR="007703AC">
        <w:t>1</w:t>
      </w:r>
      <w:r w:rsidR="00D42B73">
        <w:t>)</w:t>
      </w:r>
      <w:r w:rsidR="00D41502">
        <w:t>,</w:t>
      </w:r>
      <w:r w:rsidR="007703AC">
        <w:t xml:space="preserve"> rather than the ful</w:t>
      </w:r>
      <w:r w:rsidR="000C297E">
        <w:t>l</w:t>
      </w:r>
      <w:r w:rsidR="007703AC">
        <w:t xml:space="preserve"> joint likelihood considered for those individuals with a full set of outcome variables.</w:t>
      </w:r>
    </w:p>
    <w:p w14:paraId="4DDB8B87" w14:textId="4FDCA843" w:rsidR="00A85E56" w:rsidRPr="00425F23" w:rsidRDefault="00303245" w:rsidP="00981D73">
      <w:pPr>
        <w:ind w:firstLine="720"/>
        <w:jc w:val="both"/>
      </w:pPr>
      <w:r>
        <w:t>T</w:t>
      </w:r>
      <w:r w:rsidR="00A85E56" w:rsidRPr="00425F23">
        <w:t xml:space="preserve">he matrix </w:t>
      </w:r>
      <w:r w:rsidR="00981D73" w:rsidRPr="00546588">
        <w:rPr>
          <w:noProof/>
          <w:position w:val="-4"/>
        </w:rPr>
        <w:object w:dxaOrig="260" w:dyaOrig="320" w14:anchorId="22BA4867">
          <v:shape id="_x0000_i1072" type="#_x0000_t75" alt="" style="width:12.9pt;height:16.1pt;mso-width-percent:0;mso-height-percent:0;mso-width-percent:0;mso-height-percent:0" o:ole="" o:preferrelative="f">
            <v:imagedata r:id="rId50" o:title=""/>
            <o:lock v:ext="edit" aspectratio="f"/>
          </v:shape>
          <o:OLEObject Type="Embed" ProgID="Equation.DSMT4" ShapeID="_x0000_i1072" DrawAspect="Content" ObjectID="_1807444812" r:id="rId106"/>
        </w:object>
      </w:r>
      <w:r w:rsidR="00A85E56" w:rsidRPr="00425F23">
        <w:t xml:space="preserve"> was presented above with error differences taken with respect to the first alternative. However, we need the co</w:t>
      </w:r>
      <w:r>
        <w:t>variance</w:t>
      </w:r>
      <w:r w:rsidR="00A85E56" w:rsidRPr="00425F23">
        <w:t xml:space="preserve"> matrix corresponding to the error term differences taken with respect to the chosen nominal alternative. To achieve this, for each individual</w:t>
      </w:r>
      <w:r>
        <w:t>,</w:t>
      </w:r>
      <w:r w:rsidR="00A85E56" w:rsidRPr="00425F23">
        <w:t xml:space="preserve"> let the chosen alternative for the nominal outcome be </w:t>
      </w:r>
      <w:r w:rsidR="00981D73" w:rsidRPr="00282AE4">
        <w:rPr>
          <w:i/>
          <w:iCs/>
        </w:rPr>
        <w:t>m</w:t>
      </w:r>
      <w:r w:rsidR="00A85E56" w:rsidRPr="00425F23">
        <w:t xml:space="preserve">. To obtain this </w:t>
      </w:r>
      <w:r>
        <w:t>covariance</w:t>
      </w:r>
      <w:r w:rsidR="00A85E56" w:rsidRPr="00425F23">
        <w:t xml:space="preserve"> matrix, first define a matrix </w:t>
      </w:r>
      <w:r w:rsidR="00981D73" w:rsidRPr="00282AE4">
        <w:rPr>
          <w:b/>
          <w:bCs/>
        </w:rPr>
        <w:t>D</w:t>
      </w:r>
      <w:r w:rsidR="00A85E56" w:rsidRPr="00425F23">
        <w:t xml:space="preserve"> of size </w:t>
      </w:r>
      <w:r w:rsidR="00981D73" w:rsidRPr="000B18E5">
        <w:rPr>
          <w:noProof/>
          <w:position w:val="-14"/>
        </w:rPr>
        <w:object w:dxaOrig="1200" w:dyaOrig="400" w14:anchorId="3E6582E5">
          <v:shape id="_x0000_i1073" type="#_x0000_t75" alt="" style="width:60.2pt;height:20.4pt;mso-width-percent:0;mso-height-percent:0;mso-width-percent:0;mso-height-percent:0" o:ole="" o:preferrelative="f">
            <v:imagedata r:id="rId107" o:title=""/>
            <o:lock v:ext="edit" aspectratio="f"/>
          </v:shape>
          <o:OLEObject Type="Embed" ProgID="Equation.DSMT4" ShapeID="_x0000_i1073" DrawAspect="Content" ObjectID="_1807444813" r:id="rId108"/>
        </w:object>
      </w:r>
      <w:r w:rsidR="00A85E56" w:rsidRPr="00425F23">
        <w:rPr>
          <w:noProof/>
        </w:rPr>
        <w:t xml:space="preserve">. This matrix is constructed by first taking an identity matrix of size </w:t>
      </w:r>
      <w:r w:rsidR="00981D73" w:rsidRPr="000B18E5">
        <w:rPr>
          <w:noProof/>
          <w:position w:val="-10"/>
        </w:rPr>
        <w:object w:dxaOrig="720" w:dyaOrig="320" w14:anchorId="3CA5CF7E">
          <v:shape id="_x0000_i1074" type="#_x0000_t75" alt="" style="width:36pt;height:16.1pt;mso-width-percent:0;mso-height-percent:0;mso-width-percent:0;mso-height-percent:0" o:ole="" o:preferrelative="f">
            <v:imagedata r:id="rId109" o:title=""/>
            <o:lock v:ext="edit" aspectratio="f"/>
          </v:shape>
          <o:OLEObject Type="Embed" ProgID="Equation.DSMT4" ShapeID="_x0000_i1074" DrawAspect="Content" ObjectID="_1807444814" r:id="rId110"/>
        </w:object>
      </w:r>
      <w:r w:rsidR="00981D73">
        <w:rPr>
          <w:noProof/>
        </w:rPr>
        <w:t xml:space="preserve"> </w:t>
      </w:r>
      <w:r w:rsidR="00A85E56" w:rsidRPr="00425F23">
        <w:rPr>
          <w:noProof/>
        </w:rPr>
        <w:t xml:space="preserve">and then supplementing it with an additional zero row vector of length </w:t>
      </w:r>
      <w:r w:rsidR="00981D73" w:rsidRPr="000B18E5">
        <w:rPr>
          <w:noProof/>
          <w:position w:val="-14"/>
        </w:rPr>
        <w:object w:dxaOrig="680" w:dyaOrig="400" w14:anchorId="543C076F">
          <v:shape id="_x0000_i1075" type="#_x0000_t75" alt="" style="width:33.85pt;height:20.4pt;mso-width-percent:0;mso-height-percent:0;mso-width-percent:0;mso-height-percent:0" o:ole="" o:preferrelative="f">
            <v:imagedata r:id="rId111" o:title=""/>
            <o:lock v:ext="edit" aspectratio="f"/>
          </v:shape>
          <o:OLEObject Type="Embed" ProgID="Equation.DSMT4" ShapeID="_x0000_i1075" DrawAspect="Content" ObjectID="_1807444815" r:id="rId112"/>
        </w:object>
      </w:r>
      <w:r w:rsidR="00981D73">
        <w:rPr>
          <w:noProof/>
        </w:rPr>
        <w:t xml:space="preserve"> </w:t>
      </w:r>
      <w:r w:rsidR="00A85E56" w:rsidRPr="00425F23">
        <w:rPr>
          <w:noProof/>
        </w:rPr>
        <w:t xml:space="preserve">in the first row. Next, define a matrix </w:t>
      </w:r>
      <w:r w:rsidR="00981D73" w:rsidRPr="00282AE4">
        <w:rPr>
          <w:b/>
          <w:bCs/>
          <w:noProof/>
        </w:rPr>
        <w:t>M</w:t>
      </w:r>
      <w:r w:rsidR="00981D73" w:rsidRPr="00425F23">
        <w:rPr>
          <w:noProof/>
        </w:rPr>
        <w:t xml:space="preserve"> </w:t>
      </w:r>
      <w:r w:rsidR="00A85E56" w:rsidRPr="00425F23">
        <w:rPr>
          <w:noProof/>
        </w:rPr>
        <w:t xml:space="preserve">of size </w:t>
      </w:r>
      <w:r w:rsidR="00981D73" w:rsidRPr="000B18E5">
        <w:rPr>
          <w:noProof/>
          <w:position w:val="-14"/>
        </w:rPr>
        <w:object w:dxaOrig="1200" w:dyaOrig="400" w14:anchorId="73EFB141">
          <v:shape id="_x0000_i1076" type="#_x0000_t75" alt="" style="width:60.2pt;height:20.4pt;mso-width-percent:0;mso-height-percent:0;mso-width-percent:0;mso-height-percent:0" o:ole="" o:preferrelative="f">
            <v:imagedata r:id="rId113" o:title=""/>
            <o:lock v:ext="edit" aspectratio="f"/>
          </v:shape>
          <o:OLEObject Type="Embed" ProgID="Equation.DSMT4" ShapeID="_x0000_i1076" DrawAspect="Content" ObjectID="_1807444816" r:id="rId114"/>
        </w:object>
      </w:r>
      <w:r w:rsidR="00A85E56" w:rsidRPr="00425F23">
        <w:rPr>
          <w:noProof/>
        </w:rPr>
        <w:t>. Fill this matrix with values of zero. Then, in the last</w:t>
      </w:r>
      <w:r w:rsidR="00A85E56" w:rsidRPr="00425F23">
        <w:t xml:space="preserve"> row and column, </w:t>
      </w:r>
      <w:r w:rsidR="00A85E56" w:rsidRPr="00425F23">
        <w:rPr>
          <w:noProof/>
        </w:rPr>
        <w:t xml:space="preserve">insert the value of 1. </w:t>
      </w:r>
      <w:r w:rsidR="00A85E56" w:rsidRPr="00425F23">
        <w:t xml:space="preserve"> Next, consider the first two rows and first three columns. </w:t>
      </w:r>
      <w:r w:rsidR="00A85E56" w:rsidRPr="00425F23">
        <w:rPr>
          <w:noProof/>
        </w:rPr>
        <w:t xml:space="preserve">Insert an identity matrix of size </w:t>
      </w:r>
      <w:r w:rsidR="00981D73" w:rsidRPr="000B18E5">
        <w:rPr>
          <w:noProof/>
          <w:position w:val="-10"/>
        </w:rPr>
        <w:object w:dxaOrig="680" w:dyaOrig="320" w14:anchorId="1985D605">
          <v:shape id="_x0000_i1077" type="#_x0000_t75" alt="" style="width:33.85pt;height:16.1pt;mso-width-percent:0;mso-height-percent:0;mso-width-percent:0;mso-height-percent:0" o:ole="" o:preferrelative="f">
            <v:imagedata r:id="rId115" o:title=""/>
            <o:lock v:ext="edit" aspectratio="f"/>
          </v:shape>
          <o:OLEObject Type="Embed" ProgID="Equation.DSMT4" ShapeID="_x0000_i1077" DrawAspect="Content" ObjectID="_1807444817" r:id="rId116"/>
        </w:object>
      </w:r>
      <w:r w:rsidR="00A85E56" w:rsidRPr="00425F23">
        <w:rPr>
          <w:noProof/>
        </w:rPr>
        <w:t xml:space="preserve"> after supplementing with a column of ‘-1’ values in column </w:t>
      </w:r>
      <w:r w:rsidR="00981D73" w:rsidRPr="00282AE4">
        <w:rPr>
          <w:i/>
          <w:iCs/>
        </w:rPr>
        <w:t>m</w:t>
      </w:r>
      <w:r w:rsidR="00A85E56" w:rsidRPr="00425F23">
        <w:rPr>
          <w:noProof/>
        </w:rPr>
        <w:t xml:space="preserve">. </w:t>
      </w:r>
    </w:p>
    <w:p w14:paraId="7A849334" w14:textId="3777E7B4" w:rsidR="00A85E56" w:rsidRPr="00425F23" w:rsidRDefault="00A85E56" w:rsidP="00B85EB7">
      <w:pPr>
        <w:ind w:firstLine="720"/>
        <w:jc w:val="both"/>
      </w:pPr>
      <w:r w:rsidRPr="00425F23">
        <w:rPr>
          <w:noProof/>
        </w:rPr>
        <w:t xml:space="preserve">Let </w:t>
      </w:r>
      <w:r w:rsidR="00981D73" w:rsidRPr="007E1AFA">
        <w:rPr>
          <w:noProof/>
          <w:position w:val="-6"/>
        </w:rPr>
        <w:object w:dxaOrig="200" w:dyaOrig="279" w14:anchorId="7AC0D6F7">
          <v:shape id="_x0000_i1078" type="#_x0000_t75" alt="" style="width:9.65pt;height:13.45pt;mso-width-percent:0;mso-height-percent:0;mso-width-percent:0;mso-height-percent:0" o:ole="" o:preferrelative="f">
            <v:imagedata r:id="rId117" o:title=""/>
            <o:lock v:ext="edit" aspectratio="f"/>
          </v:shape>
          <o:OLEObject Type="Embed" ProgID="Equation.DSMT4" ShapeID="_x0000_i1078" DrawAspect="Content" ObjectID="_1807444818" r:id="rId118"/>
        </w:object>
      </w:r>
      <w:r w:rsidRPr="00425F23">
        <w:t xml:space="preserve"> </w:t>
      </w:r>
      <w:r w:rsidRPr="00425F23">
        <w:rPr>
          <w:noProof/>
        </w:rPr>
        <w:t xml:space="preserve">be the collection of parameters to be estimated: </w:t>
      </w:r>
      <w:r w:rsidR="00981D73" w:rsidRPr="007E1AFA">
        <w:rPr>
          <w:noProof/>
          <w:position w:val="-26"/>
        </w:rPr>
        <w:object w:dxaOrig="2580" w:dyaOrig="740" w14:anchorId="09EA5132">
          <v:shape id="_x0000_i1079" type="#_x0000_t75" alt="" style="width:128.95pt;height:37.05pt" o:ole="" o:preferrelative="f">
            <v:imagedata r:id="rId119" o:title=""/>
            <o:lock v:ext="edit" aspectratio="f"/>
          </v:shape>
          <o:OLEObject Type="Embed" ProgID="Equation.DSMT4" ShapeID="_x0000_i1079" DrawAspect="Content" ObjectID="_1807444819" r:id="rId120"/>
        </w:object>
      </w:r>
      <w:r w:rsidRPr="00425F23">
        <w:rPr>
          <w:noProof/>
        </w:rPr>
        <w:t>, where the operator</w:t>
      </w:r>
      <w:r w:rsidRPr="00425F23">
        <w:t xml:space="preserve"> </w:t>
      </w:r>
      <w:r w:rsidR="00981D73" w:rsidRPr="007E1AFA">
        <w:rPr>
          <w:noProof/>
          <w:position w:val="-10"/>
        </w:rPr>
        <w:object w:dxaOrig="1040" w:dyaOrig="320" w14:anchorId="47C09998">
          <v:shape id="_x0000_i1080" type="#_x0000_t75" alt="" style="width:51.6pt;height:16.1pt;mso-width-percent:0;mso-height-percent:0;mso-width-percent:0;mso-height-percent:0" o:ole="" o:preferrelative="f">
            <v:imagedata r:id="rId121" o:title=""/>
            <o:lock v:ext="edit" aspectratio="f"/>
          </v:shape>
          <o:OLEObject Type="Embed" ProgID="Equation.DSMT4" ShapeID="_x0000_i1080" DrawAspect="Content" ObjectID="_1807444820" r:id="rId122"/>
        </w:object>
      </w:r>
      <w:r w:rsidRPr="00425F23">
        <w:t xml:space="preserve"> row-vectorizes the non-zero upper diagonal elements of a matrix. Next, define a set of lower thresholds </w:t>
      </w:r>
      <w:r w:rsidR="00981D73" w:rsidRPr="00CE75CE">
        <w:rPr>
          <w:noProof/>
          <w:position w:val="-14"/>
        </w:rPr>
        <w:object w:dxaOrig="1700" w:dyaOrig="499" w14:anchorId="55814594">
          <v:shape id="_x0000_i1081" type="#_x0000_t75" alt="" style="width:84.9pt;height:25.25pt;mso-width-percent:0;mso-height-percent:0;mso-width-percent:0;mso-height-percent:0" o:ole="" o:preferrelative="f">
            <v:imagedata r:id="rId123" o:title=""/>
            <o:lock v:ext="edit" aspectratio="f"/>
          </v:shape>
          <o:OLEObject Type="Embed" ProgID="Equation.DSMT4" ShapeID="_x0000_i1081" DrawAspect="Content" ObjectID="_1807444821" r:id="rId124"/>
        </w:object>
      </w:r>
      <w:r w:rsidRPr="00425F23">
        <w:t xml:space="preserve"> and a set of upper thresholds </w:t>
      </w:r>
      <w:r w:rsidR="00981D73" w:rsidRPr="00CE75CE">
        <w:rPr>
          <w:noProof/>
          <w:position w:val="-14"/>
        </w:rPr>
        <w:object w:dxaOrig="1620" w:dyaOrig="499" w14:anchorId="7E86B22D">
          <v:shape id="_x0000_i1082" type="#_x0000_t75" alt="" style="width:81.15pt;height:25.25pt;mso-width-percent:0;mso-height-percent:0;mso-width-percent:0;mso-height-percent:0" o:ole="" o:preferrelative="f">
            <v:imagedata r:id="rId125" o:title=""/>
            <o:lock v:ext="edit" aspectratio="f"/>
          </v:shape>
          <o:OLEObject Type="Embed" ProgID="Equation.DSMT4" ShapeID="_x0000_i1082" DrawAspect="Content" ObjectID="_1807444822" r:id="rId126"/>
        </w:object>
      </w:r>
      <w:r w:rsidRPr="00425F23">
        <w:t xml:space="preserve">. Then, the likelihood function may be written as </w:t>
      </w:r>
    </w:p>
    <w:p w14:paraId="4B1037F0" w14:textId="34B9E736" w:rsidR="00A85E56" w:rsidRPr="00425F23" w:rsidRDefault="00981D73" w:rsidP="004A4122">
      <w:pPr>
        <w:pStyle w:val="MTDisplayEquation"/>
        <w:spacing w:before="60" w:after="60" w:line="240" w:lineRule="auto"/>
        <w:jc w:val="both"/>
        <w:rPr>
          <w:rFonts w:cs="Times New Roman"/>
        </w:rPr>
      </w:pPr>
      <w:r w:rsidRPr="002A5D89">
        <w:rPr>
          <w:rFonts w:cs="Times New Roman"/>
          <w:noProof/>
          <w:position w:val="-34"/>
          <w14:ligatures w14:val="none"/>
        </w:rPr>
        <w:object w:dxaOrig="3360" w:dyaOrig="620" w14:anchorId="6E51E950">
          <v:shape id="_x0000_i1083" type="#_x0000_t75" alt="" style="width:168.2pt;height:31.15pt;mso-width-percent:0;mso-height-percent:0;mso-width-percent:0;mso-height-percent:0" o:ole="" o:preferrelative="f">
            <v:imagedata r:id="rId127" o:title=""/>
            <o:lock v:ext="edit" aspectratio="f"/>
          </v:shape>
          <o:OLEObject Type="Embed" ProgID="Equation.DSMT4" ShapeID="_x0000_i1083" DrawAspect="Content" ObjectID="_1807444823" r:id="rId128"/>
        </w:object>
      </w:r>
      <w:r>
        <w:rPr>
          <w:rFonts w:cs="Times New Roman"/>
          <w:noProof/>
          <w14:ligatures w14:val="none"/>
        </w:rPr>
        <w:t>,</w:t>
      </w:r>
      <w:r w:rsidR="00A85E56" w:rsidRPr="00425F23">
        <w:rPr>
          <w:rFonts w:cs="Times New Roman"/>
        </w:rPr>
        <w:tab/>
      </w:r>
      <w:r w:rsidR="00A85E56" w:rsidRPr="00425F23">
        <w:rPr>
          <w:rFonts w:cs="Times New Roman"/>
        </w:rPr>
        <w:tab/>
      </w:r>
      <w:r w:rsidR="002C3D2D">
        <w:rPr>
          <w:rFonts w:cs="Times New Roman"/>
        </w:rPr>
        <w:t>(5)</w:t>
      </w:r>
    </w:p>
    <w:p w14:paraId="483ECA61" w14:textId="6ADDBA18" w:rsidR="00A85E56" w:rsidRPr="00425F23" w:rsidRDefault="00A85E56" w:rsidP="00A85E56">
      <w:pPr>
        <w:tabs>
          <w:tab w:val="right" w:pos="9360"/>
        </w:tabs>
        <w:jc w:val="both"/>
      </w:pPr>
      <w:r w:rsidRPr="00425F23">
        <w:rPr>
          <w:noProof/>
        </w:rPr>
        <w:t>where</w:t>
      </w:r>
      <w:r w:rsidR="00981D73" w:rsidRPr="00C15B8D">
        <w:rPr>
          <w:noProof/>
          <w:position w:val="-10"/>
        </w:rPr>
        <w:object w:dxaOrig="420" w:dyaOrig="320" w14:anchorId="6E850F1F">
          <v:shape id="_x0000_i1084" type="#_x0000_t75" alt="P95#yIS4" style="width:20.95pt;height:16.1pt;mso-width-percent:0;mso-height-percent:0;mso-width-percent:0;mso-height-percent:0" o:ole="" o:preferrelative="f">
            <v:imagedata r:id="rId129" o:title=""/>
            <o:lock v:ext="edit" aspectratio="f"/>
          </v:shape>
          <o:OLEObject Type="Embed" ProgID="Equation.DSMT4" ShapeID="_x0000_i1084" DrawAspect="Content" ObjectID="_1807444824" r:id="rId130"/>
        </w:object>
      </w:r>
      <w:r w:rsidRPr="00425F23">
        <w:t>refers to the standard multivariate normal density function,</w:t>
      </w:r>
      <w:r w:rsidRPr="00425F23">
        <w:rPr>
          <w:noProof/>
        </w:rPr>
        <w:t xml:space="preserve"> and the integration domain </w:t>
      </w:r>
      <w:r w:rsidR="00981D73" w:rsidRPr="007E1AFA">
        <w:rPr>
          <w:noProof/>
          <w:position w:val="-14"/>
        </w:rPr>
        <w:object w:dxaOrig="2480" w:dyaOrig="420" w14:anchorId="2BA581D1">
          <v:shape id="_x0000_i1085" type="#_x0000_t75" alt="" style="width:124.1pt;height:20.95pt;mso-width-percent:0;mso-height-percent:0;mso-width-percent:0;mso-height-percent:0" o:ole="" o:preferrelative="f">
            <v:imagedata r:id="rId131" o:title=""/>
            <o:lock v:ext="edit" aspectratio="f"/>
          </v:shape>
          <o:OLEObject Type="Embed" ProgID="Equation.DSMT4" ShapeID="_x0000_i1085" DrawAspect="Content" ObjectID="_1807444825" r:id="rId132"/>
        </w:object>
      </w:r>
      <w:r w:rsidRPr="00425F23">
        <w:rPr>
          <w:noProof/>
        </w:rPr>
        <w:t xml:space="preserve"> is simply the multivariate region of integration determined by the utility differences taken with respect to the utility of the chosen alternative for the multinomial outcome and the observed binary outcome. The likelihood function for the entire sample of </w:t>
      </w:r>
      <w:r w:rsidR="00981D73" w:rsidRPr="00981D73">
        <w:rPr>
          <w:i/>
          <w:iCs/>
          <w:noProof/>
        </w:rPr>
        <w:t>Q</w:t>
      </w:r>
      <w:r w:rsidRPr="00425F23">
        <w:rPr>
          <w:noProof/>
        </w:rPr>
        <w:t xml:space="preserve"> decision-makers is obtained as the product of the individual-level likelihood functions. </w:t>
      </w:r>
      <w:r w:rsidRPr="00425F23">
        <w:t xml:space="preserve">Since a closed form expression does not exist for this five-dimensional integral, we use Bhat’s </w:t>
      </w:r>
      <w:r w:rsidRPr="00425F23">
        <w:fldChar w:fldCharType="begin"/>
      </w:r>
      <w:r w:rsidR="005C565E">
        <w:instrText xml:space="preserve"> ADDIN ZOTERO_ITEM CSL_CITATION {"citationID":"sQeGvxrN","properties":{"formattedCitation":"(2018)","plainCitation":"(2018)","noteIndex":0},"citationItems":[{"id":174,"uris":["http://zotero.org/groups/5345474/items/WCPCCKCS"],"itemData":{"id":174,"type":"article-journal","abstract":"In this paper, we develop a new matrix-based implementation of the Mendell and Elston (ME) analytic approximation to evaluate the multivariate normal cumulative distribution (MVNCD) function, using an LDLT decomposition method followed by a rank 1 update of the LDLT factorization. Our implementation is easy to code for individuals familiar with matrix-based coding. Further, our new matrix-based implementation for the ME algorithm allows us to efficiently write the analytic matrix-based gradients of the approximated MVNCD function with respect to the abscissae and correlation parameters, an issue that is important in econometric model estimation. In addition, we propose four new analytic methods for approximating the MVNCD function. The paper then evaluates the ability of the multiple approximations for individual MVNCD evaluations as well as multinomial probit model estimation. As expected, in our tests for evaluating individual MVNCD functions, we found that the traditional GHK approach degrades rapidly as the dimensionality of integration increases. Concomitant with this degradation in accuracy is a rapid increase in computational time. The analytic approximation methods are also much more stable across different numbers of dimensions of integration, and even the simplest of these methods is superior to the GHK-500 beyond seven dimensions of integration. Based on all the evaluation results in this paper, we recommend the new Two-Variate Bivariate Screening (TVBS) method proposed in this paper as the evaluation approach for MVNCD function evaluation.","container-title":"Transportation Research Part B: Methodological","DOI":"10.1016/j.trb.2018.01.011","ISSN":"0191-2615","page":"238-256","source":"ScienceDirect","title":"New Matrix-Based Methods for the Analytic Evaluation of the Multivariate Cumulative Normal Distribution Function","URL":"https://www.sciencedirect.com/science/article/pii/S0191261517306847","volume":"109","author":[{"family":"Bhat","given":"Chandra R."}],"accessed":{"date-parts":[["2024",1,19]]},"issued":{"date-parts":[["2018",3,1]]}},"label":"page","suppress-author":true}],"schema":"https://github.com/citation-style-language/schema/raw/master/csl-citation.json"} </w:instrText>
      </w:r>
      <w:r w:rsidRPr="00425F23">
        <w:fldChar w:fldCharType="separate"/>
      </w:r>
      <w:r w:rsidRPr="00425F23">
        <w:t>(2018)</w:t>
      </w:r>
      <w:r w:rsidRPr="00425F23">
        <w:fldChar w:fldCharType="end"/>
      </w:r>
      <w:r w:rsidRPr="00425F23">
        <w:t xml:space="preserve"> matrix-based approximation methods for evaluation multivariate normal cumulative distribution to evaluate this integral </w:t>
      </w:r>
      <w:r w:rsidRPr="00425F23">
        <w:fldChar w:fldCharType="begin"/>
      </w:r>
      <w:r w:rsidR="005C565E">
        <w:instrText xml:space="preserve"> ADDIN ZOTERO_ITEM CSL_CITATION {"citationID":"qzHcJwF6","properties":{"formattedCitation":"(Bhat, 2018)","plainCitation":"(Bhat, 2018)","noteIndex":0},"citationItems":[{"id":174,"uris":["http://zotero.org/groups/5345474/items/WCPCCKCS"],"itemData":{"id":174,"type":"article-journal","abstract":"In this paper, we develop a new matrix-based implementation of the Mendell and Elston (ME) analytic approximation to evaluate the multivariate normal cumulative distribution (MVNCD) function, using an LDLT decomposition method followed by a rank 1 update of the LDLT factorization. Our implementation is easy to code for individuals familiar with matrix-based coding. Further, our new matrix-based implementation for the ME algorithm allows us to efficiently write the analytic matrix-based gradients of the approximated MVNCD function with respect to the abscissae and correlation parameters, an issue that is important in econometric model estimation. In addition, we propose four new analytic methods for approximating the MVNCD function. The paper then evaluates the ability of the multiple approximations for individual MVNCD evaluations as well as multinomial probit model estimation. As expected, in our tests for evaluating individual MVNCD functions, we found that the traditional GHK approach degrades rapidly as the dimensionality of integration increases. Concomitant with this degradation in accuracy is a rapid increase in computational time. The analytic approximation methods are also much more stable across different numbers of dimensions of integration, and even the simplest of these methods is superior to the GHK-500 beyond seven dimensions of integration. Based on all the evaluation results in this paper, we recommend the new Two-Variate Bivariate Screening (TVBS) method proposed in this paper as the evaluation approach for MVNCD function evaluation.","container-title":"Transportation Research Part B: Methodological","DOI":"10.1016/j.trb.2018.01.011","ISSN":"0191-2615","page":"238-256","source":"ScienceDirect","title":"New Matrix-Based Methods for the Analytic Evaluation of the Multivariate Cumulative Normal Distribution Function","URL":"https://www.sciencedirect.com/science/article/pii/S0191261517306847","volume":"109","author":[{"family":"Bhat","given":"Chandra R."}],"accessed":{"date-parts":[["2024",1,19]]},"issued":{"date-parts":[["2018",3,1]]}}}],"schema":"https://github.com/citation-style-language/schema/raw/master/csl-citation.json"} </w:instrText>
      </w:r>
      <w:r w:rsidRPr="00425F23">
        <w:fldChar w:fldCharType="separate"/>
      </w:r>
      <w:r w:rsidRPr="00425F23">
        <w:rPr>
          <w:noProof/>
        </w:rPr>
        <w:t>(Bhat, 2018)</w:t>
      </w:r>
      <w:r w:rsidRPr="00425F23">
        <w:fldChar w:fldCharType="end"/>
      </w:r>
      <w:r w:rsidRPr="00425F23">
        <w:t xml:space="preserve">. </w:t>
      </w:r>
    </w:p>
    <w:p w14:paraId="0ADB610B" w14:textId="77777777" w:rsidR="00F4221D" w:rsidRPr="00425F23" w:rsidRDefault="00F4221D" w:rsidP="00537EB8">
      <w:pPr>
        <w:pStyle w:val="NormalWeb"/>
        <w:shd w:val="clear" w:color="auto" w:fill="FFFFFF"/>
        <w:spacing w:before="0" w:beforeAutospacing="0" w:after="0" w:afterAutospacing="0" w:line="235" w:lineRule="atLeast"/>
        <w:jc w:val="both"/>
        <w:rPr>
          <w:b/>
          <w:bCs/>
          <w:color w:val="222222"/>
        </w:rPr>
      </w:pPr>
    </w:p>
    <w:p w14:paraId="029CC430" w14:textId="2633B970" w:rsidR="00537EB8" w:rsidRPr="00425F23" w:rsidRDefault="00537EB8" w:rsidP="00C67E12">
      <w:pPr>
        <w:pStyle w:val="NormalWeb"/>
        <w:shd w:val="clear" w:color="auto" w:fill="FFFFFF"/>
        <w:spacing w:before="0" w:beforeAutospacing="0" w:after="0" w:afterAutospacing="0"/>
        <w:jc w:val="both"/>
        <w:rPr>
          <w:b/>
          <w:bCs/>
          <w:color w:val="222222"/>
        </w:rPr>
      </w:pPr>
      <w:r w:rsidRPr="00425F23">
        <w:rPr>
          <w:b/>
          <w:bCs/>
          <w:color w:val="222222"/>
        </w:rPr>
        <w:lastRenderedPageBreak/>
        <w:t xml:space="preserve">4. </w:t>
      </w:r>
      <w:r w:rsidR="007310EF" w:rsidRPr="00425F23">
        <w:rPr>
          <w:b/>
          <w:bCs/>
          <w:color w:val="222222"/>
        </w:rPr>
        <w:t>MODEL RESULTS</w:t>
      </w:r>
    </w:p>
    <w:p w14:paraId="1B5316B2" w14:textId="04B251AE" w:rsidR="0010175B" w:rsidRPr="00425F23" w:rsidRDefault="0010175B" w:rsidP="00C67E12">
      <w:pPr>
        <w:pStyle w:val="NormalWeb"/>
        <w:shd w:val="clear" w:color="auto" w:fill="FFFFFF"/>
        <w:spacing w:before="0" w:beforeAutospacing="0" w:after="0" w:afterAutospacing="0"/>
        <w:jc w:val="both"/>
        <w:rPr>
          <w:color w:val="222222"/>
        </w:rPr>
      </w:pPr>
      <w:r w:rsidRPr="00425F23">
        <w:rPr>
          <w:color w:val="222222"/>
        </w:rPr>
        <w:t xml:space="preserve">The model specification </w:t>
      </w:r>
      <w:r w:rsidR="003702E0" w:rsidRPr="00425F23">
        <w:rPr>
          <w:color w:val="222222"/>
        </w:rPr>
        <w:t xml:space="preserve">is presented in Table 3 for </w:t>
      </w:r>
      <w:r w:rsidR="005E3351" w:rsidRPr="00425F23">
        <w:rPr>
          <w:color w:val="222222"/>
        </w:rPr>
        <w:t xml:space="preserve">both the impact of the </w:t>
      </w:r>
      <w:r w:rsidR="003702E0" w:rsidRPr="00425F23">
        <w:rPr>
          <w:color w:val="222222"/>
        </w:rPr>
        <w:t>COVID</w:t>
      </w:r>
      <w:r w:rsidR="005E3351" w:rsidRPr="00425F23">
        <w:rPr>
          <w:color w:val="222222"/>
        </w:rPr>
        <w:t>-19 pandemic on transit usage and the expected permanence of this change</w:t>
      </w:r>
      <w:r w:rsidR="000B7592" w:rsidRPr="00425F23">
        <w:rPr>
          <w:color w:val="222222"/>
        </w:rPr>
        <w:t xml:space="preserve">. </w:t>
      </w:r>
      <w:r w:rsidR="003702E0" w:rsidRPr="00425F23">
        <w:rPr>
          <w:color w:val="222222"/>
        </w:rPr>
        <w:t xml:space="preserve">The final specification was based on an iterative process of including exogenous variables in the model in </w:t>
      </w:r>
      <w:r w:rsidR="00265537">
        <w:rPr>
          <w:color w:val="222222"/>
        </w:rPr>
        <w:t xml:space="preserve">different functional </w:t>
      </w:r>
      <w:r w:rsidR="003702E0" w:rsidRPr="00425F23">
        <w:rPr>
          <w:color w:val="222222"/>
        </w:rPr>
        <w:t xml:space="preserve">forms and testing the statistical fit of various combinations of exogenous variables. Categorical </w:t>
      </w:r>
      <w:r w:rsidR="00265537">
        <w:rPr>
          <w:color w:val="222222"/>
        </w:rPr>
        <w:t xml:space="preserve">exogenous </w:t>
      </w:r>
      <w:r w:rsidR="003702E0" w:rsidRPr="00425F23">
        <w:rPr>
          <w:color w:val="222222"/>
        </w:rPr>
        <w:t xml:space="preserve">variables </w:t>
      </w:r>
      <w:r w:rsidRPr="00425F23">
        <w:rPr>
          <w:color w:val="222222"/>
        </w:rPr>
        <w:t xml:space="preserve">were </w:t>
      </w:r>
      <w:r w:rsidR="003702E0" w:rsidRPr="00425F23">
        <w:rPr>
          <w:color w:val="222222"/>
        </w:rPr>
        <w:t xml:space="preserve">included as dummy variables </w:t>
      </w:r>
      <w:r w:rsidR="00265537">
        <w:rPr>
          <w:color w:val="222222"/>
        </w:rPr>
        <w:t xml:space="preserve">in the most disaggregate form available </w:t>
      </w:r>
      <w:r w:rsidR="003702E0" w:rsidRPr="00425F23">
        <w:rPr>
          <w:color w:val="222222"/>
        </w:rPr>
        <w:t xml:space="preserve">and </w:t>
      </w:r>
      <w:r w:rsidR="00265537">
        <w:rPr>
          <w:color w:val="222222"/>
        </w:rPr>
        <w:t xml:space="preserve">then </w:t>
      </w:r>
      <w:r w:rsidRPr="00425F23">
        <w:rPr>
          <w:color w:val="222222"/>
        </w:rPr>
        <w:t xml:space="preserve">combined </w:t>
      </w:r>
      <w:r w:rsidR="00265537">
        <w:rPr>
          <w:color w:val="222222"/>
        </w:rPr>
        <w:t xml:space="preserve">into more aggregate categories </w:t>
      </w:r>
      <w:r w:rsidRPr="00425F23">
        <w:rPr>
          <w:color w:val="222222"/>
        </w:rPr>
        <w:t xml:space="preserve">based on statistical tests. </w:t>
      </w:r>
      <w:r w:rsidR="005E3351" w:rsidRPr="00425F23">
        <w:rPr>
          <w:color w:val="222222"/>
        </w:rPr>
        <w:t>Each</w:t>
      </w:r>
      <w:r w:rsidRPr="00425F23">
        <w:rPr>
          <w:color w:val="222222"/>
        </w:rPr>
        <w:t xml:space="preserve"> “</w:t>
      </w:r>
      <w:r w:rsidR="00550F5A">
        <w:rPr>
          <w:color w:val="222222"/>
        </w:rPr>
        <w:t>—</w:t>
      </w:r>
      <w:r w:rsidRPr="00425F23">
        <w:rPr>
          <w:color w:val="222222"/>
        </w:rPr>
        <w:t>” entr</w:t>
      </w:r>
      <w:r w:rsidR="005E3351" w:rsidRPr="00425F23">
        <w:rPr>
          <w:color w:val="222222"/>
        </w:rPr>
        <w:t>y</w:t>
      </w:r>
      <w:r w:rsidRPr="00425F23">
        <w:rPr>
          <w:color w:val="222222"/>
        </w:rPr>
        <w:t xml:space="preserve"> within the table </w:t>
      </w:r>
      <w:r w:rsidR="005E3351" w:rsidRPr="00425F23">
        <w:rPr>
          <w:color w:val="222222"/>
        </w:rPr>
        <w:t>indicate</w:t>
      </w:r>
      <w:r w:rsidR="00A66CF7">
        <w:rPr>
          <w:color w:val="222222"/>
        </w:rPr>
        <w:t>s</w:t>
      </w:r>
      <w:r w:rsidR="005E3351" w:rsidRPr="00425F23">
        <w:rPr>
          <w:color w:val="222222"/>
        </w:rPr>
        <w:t xml:space="preserve"> that the</w:t>
      </w:r>
      <w:r w:rsidRPr="00425F23">
        <w:rPr>
          <w:color w:val="222222"/>
        </w:rPr>
        <w:t xml:space="preserve"> exogenous </w:t>
      </w:r>
      <w:r w:rsidR="005E3351" w:rsidRPr="00425F23">
        <w:rPr>
          <w:color w:val="222222"/>
        </w:rPr>
        <w:t>variable</w:t>
      </w:r>
      <w:r w:rsidRPr="00425F23">
        <w:rPr>
          <w:color w:val="222222"/>
        </w:rPr>
        <w:t xml:space="preserve"> lack</w:t>
      </w:r>
      <w:r w:rsidR="00A66CF7">
        <w:rPr>
          <w:color w:val="222222"/>
        </w:rPr>
        <w:t>s</w:t>
      </w:r>
      <w:r w:rsidRPr="00425F23">
        <w:rPr>
          <w:color w:val="222222"/>
        </w:rPr>
        <w:t xml:space="preserve"> </w:t>
      </w:r>
      <w:r w:rsidR="003702E0" w:rsidRPr="00425F23">
        <w:rPr>
          <w:color w:val="222222"/>
        </w:rPr>
        <w:t xml:space="preserve">a </w:t>
      </w:r>
      <w:r w:rsidRPr="00425F23">
        <w:rPr>
          <w:color w:val="222222"/>
        </w:rPr>
        <w:t>statistically significant impact on the outcome. Furthermore, a t-statistic threshold of 1.</w:t>
      </w:r>
      <w:r w:rsidR="005E3351" w:rsidRPr="00425F23">
        <w:rPr>
          <w:color w:val="222222"/>
        </w:rPr>
        <w:t>65</w:t>
      </w:r>
      <w:r w:rsidRPr="00425F23">
        <w:rPr>
          <w:color w:val="222222"/>
        </w:rPr>
        <w:t xml:space="preserve"> was also used to either eliminate or retain variables</w:t>
      </w:r>
      <w:r w:rsidR="005E3351" w:rsidRPr="00425F23">
        <w:rPr>
          <w:color w:val="222222"/>
        </w:rPr>
        <w:t xml:space="preserve">, corresponding to a </w:t>
      </w:r>
      <w:r w:rsidR="00110A83">
        <w:rPr>
          <w:color w:val="222222"/>
        </w:rPr>
        <w:t xml:space="preserve">two-tailed </w:t>
      </w:r>
      <w:r w:rsidR="005E3351" w:rsidRPr="00425F23">
        <w:rPr>
          <w:color w:val="222222"/>
        </w:rPr>
        <w:t>confidence level of 9</w:t>
      </w:r>
      <w:r w:rsidR="00110A83">
        <w:rPr>
          <w:color w:val="222222"/>
        </w:rPr>
        <w:t>0</w:t>
      </w:r>
      <w:r w:rsidR="005E3351" w:rsidRPr="00425F23">
        <w:rPr>
          <w:color w:val="222222"/>
        </w:rPr>
        <w:t>%</w:t>
      </w:r>
      <w:r w:rsidR="005E3351" w:rsidRPr="00D92076">
        <w:rPr>
          <w:rStyle w:val="FootnoteReference"/>
        </w:rPr>
        <w:footnoteReference w:id="2"/>
      </w:r>
      <w:r w:rsidRPr="00425F23">
        <w:rPr>
          <w:color w:val="222222"/>
        </w:rPr>
        <w:t xml:space="preserve">. </w:t>
      </w:r>
      <w:r w:rsidR="005E3351" w:rsidRPr="00425F23" w:rsidDel="005E3351">
        <w:rPr>
          <w:color w:val="222222"/>
        </w:rPr>
        <w:t xml:space="preserve"> </w:t>
      </w:r>
    </w:p>
    <w:p w14:paraId="13728998" w14:textId="77777777" w:rsidR="00D846C4" w:rsidRPr="00425F23" w:rsidRDefault="00D846C4" w:rsidP="00C67E12">
      <w:pPr>
        <w:pStyle w:val="NormalWeb"/>
        <w:shd w:val="clear" w:color="auto" w:fill="FFFFFF"/>
        <w:spacing w:before="0" w:beforeAutospacing="0" w:after="0" w:afterAutospacing="0"/>
        <w:jc w:val="both"/>
        <w:rPr>
          <w:color w:val="222222"/>
        </w:rPr>
      </w:pPr>
    </w:p>
    <w:p w14:paraId="2EEC020B" w14:textId="502ECC49" w:rsidR="00C360BD" w:rsidRDefault="0010175B" w:rsidP="00C67E12">
      <w:pPr>
        <w:pStyle w:val="NormalWeb"/>
        <w:shd w:val="clear" w:color="auto" w:fill="FFFFFF"/>
        <w:spacing w:before="0" w:beforeAutospacing="0" w:after="0" w:afterAutospacing="0"/>
        <w:jc w:val="both"/>
        <w:rPr>
          <w:color w:val="222222"/>
        </w:rPr>
      </w:pPr>
      <w:r w:rsidRPr="00425F23">
        <w:rPr>
          <w:b/>
          <w:bCs/>
          <w:color w:val="222222"/>
        </w:rPr>
        <w:t>4.1</w:t>
      </w:r>
      <w:r w:rsidR="00303245">
        <w:rPr>
          <w:b/>
          <w:bCs/>
          <w:color w:val="222222"/>
        </w:rPr>
        <w:t xml:space="preserve"> Empirical Results</w:t>
      </w:r>
    </w:p>
    <w:p w14:paraId="05C95A3E" w14:textId="585360CE" w:rsidR="00110A83" w:rsidRDefault="002142EB" w:rsidP="00C67E12">
      <w:pPr>
        <w:pStyle w:val="NormalWeb"/>
        <w:shd w:val="clear" w:color="auto" w:fill="FFFFFF"/>
        <w:spacing w:before="0" w:beforeAutospacing="0" w:after="0" w:afterAutospacing="0"/>
        <w:jc w:val="both"/>
        <w:rPr>
          <w:color w:val="222222"/>
        </w:rPr>
      </w:pPr>
      <w:r>
        <w:rPr>
          <w:color w:val="222222"/>
        </w:rPr>
        <w:t>The results presented in this section pertain to the effects of exogenous variables on the utility of different alternatives in the nominal outcome</w:t>
      </w:r>
      <w:r w:rsidR="001F6ECB">
        <w:rPr>
          <w:color w:val="222222"/>
        </w:rPr>
        <w:t xml:space="preserve"> (with the “Use PT the same as before” alternative as the base category)</w:t>
      </w:r>
      <w:r>
        <w:rPr>
          <w:color w:val="222222"/>
        </w:rPr>
        <w:t>, and on the latent propensity that the PT use change identified in the nominal outcome is permanent</w:t>
      </w:r>
      <w:r w:rsidR="001F6ECB">
        <w:rPr>
          <w:color w:val="222222"/>
        </w:rPr>
        <w:t xml:space="preserve"> (with the “temporary change” </w:t>
      </w:r>
      <w:r w:rsidR="009C16B1">
        <w:rPr>
          <w:color w:val="222222"/>
        </w:rPr>
        <w:t>alternative as</w:t>
      </w:r>
      <w:r w:rsidR="001F6ECB">
        <w:rPr>
          <w:color w:val="222222"/>
        </w:rPr>
        <w:t xml:space="preserve"> the base</w:t>
      </w:r>
      <w:r w:rsidR="009C16B1">
        <w:rPr>
          <w:color w:val="222222"/>
        </w:rPr>
        <w:t xml:space="preserve"> category</w:t>
      </w:r>
      <w:r w:rsidR="001F6ECB">
        <w:rPr>
          <w:color w:val="222222"/>
        </w:rPr>
        <w:t>)</w:t>
      </w:r>
      <w:r>
        <w:rPr>
          <w:color w:val="222222"/>
        </w:rPr>
        <w:t xml:space="preserve">. The covariance between the nominal alternative utilities and the binary response latent propensity are also discussed. </w:t>
      </w:r>
      <w:r w:rsidR="001F6ECB">
        <w:rPr>
          <w:color w:val="222222"/>
        </w:rPr>
        <w:t xml:space="preserve">Table 3 presents the results with the base categories not appearing (effectively, all the coefficients for the many exogenous variables are set to zero for the base categories, which is needed for identification). </w:t>
      </w:r>
    </w:p>
    <w:p w14:paraId="61B7B3AE" w14:textId="77777777" w:rsidR="002142EB" w:rsidRPr="00425F23" w:rsidRDefault="002142EB" w:rsidP="00C67E12">
      <w:pPr>
        <w:pStyle w:val="NormalWeb"/>
        <w:shd w:val="clear" w:color="auto" w:fill="FFFFFF"/>
        <w:spacing w:before="0" w:beforeAutospacing="0" w:after="0" w:afterAutospacing="0"/>
        <w:jc w:val="both"/>
        <w:rPr>
          <w:color w:val="222222"/>
        </w:rPr>
      </w:pPr>
    </w:p>
    <w:p w14:paraId="1532919F" w14:textId="0F8AD76E" w:rsidR="00C360BD" w:rsidRPr="00425F23" w:rsidRDefault="00C360BD" w:rsidP="00C67E12">
      <w:pPr>
        <w:pStyle w:val="NormalWeb"/>
        <w:shd w:val="clear" w:color="auto" w:fill="FFFFFF"/>
        <w:spacing w:before="0" w:beforeAutospacing="0" w:after="0" w:afterAutospacing="0"/>
        <w:jc w:val="both"/>
        <w:rPr>
          <w:b/>
          <w:bCs/>
          <w:color w:val="222222"/>
        </w:rPr>
      </w:pPr>
      <w:r w:rsidRPr="00425F23">
        <w:rPr>
          <w:b/>
          <w:bCs/>
          <w:color w:val="222222"/>
        </w:rPr>
        <w:t xml:space="preserve">4.1.1 Individual-Level </w:t>
      </w:r>
      <w:r w:rsidR="00303245">
        <w:rPr>
          <w:b/>
          <w:bCs/>
          <w:color w:val="222222"/>
        </w:rPr>
        <w:t xml:space="preserve">Demographic </w:t>
      </w:r>
      <w:r w:rsidR="00110A83">
        <w:rPr>
          <w:b/>
          <w:bCs/>
          <w:color w:val="222222"/>
        </w:rPr>
        <w:t>Effects</w:t>
      </w:r>
    </w:p>
    <w:p w14:paraId="1C903917" w14:textId="7F415443" w:rsidR="009F1782" w:rsidRDefault="00110A83" w:rsidP="00C67E12">
      <w:pPr>
        <w:pStyle w:val="NormalWeb"/>
        <w:shd w:val="clear" w:color="auto" w:fill="FFFFFF"/>
        <w:spacing w:before="0" w:beforeAutospacing="0" w:after="0" w:afterAutospacing="0"/>
        <w:jc w:val="both"/>
        <w:rPr>
          <w:color w:val="222222"/>
        </w:rPr>
      </w:pPr>
      <w:r>
        <w:rPr>
          <w:color w:val="222222"/>
        </w:rPr>
        <w:t xml:space="preserve">Among the individual-level </w:t>
      </w:r>
      <w:r w:rsidR="00303245">
        <w:rPr>
          <w:color w:val="222222"/>
        </w:rPr>
        <w:t>demographic effects</w:t>
      </w:r>
      <w:r>
        <w:rPr>
          <w:color w:val="222222"/>
        </w:rPr>
        <w:t xml:space="preserve">, </w:t>
      </w:r>
      <w:r w:rsidR="00303245">
        <w:rPr>
          <w:color w:val="222222"/>
        </w:rPr>
        <w:t xml:space="preserve">which we discuss first, </w:t>
      </w:r>
      <w:r w:rsidR="009F1782">
        <w:rPr>
          <w:color w:val="222222"/>
        </w:rPr>
        <w:t xml:space="preserve">the results in Table 3 indicate that </w:t>
      </w:r>
      <w:r w:rsidR="00A40D4F" w:rsidRPr="00425F23">
        <w:rPr>
          <w:color w:val="222222"/>
        </w:rPr>
        <w:t xml:space="preserve">women </w:t>
      </w:r>
      <w:r>
        <w:rPr>
          <w:color w:val="222222"/>
        </w:rPr>
        <w:t xml:space="preserve">(compared to men) </w:t>
      </w:r>
      <w:r w:rsidR="009F1782">
        <w:rPr>
          <w:color w:val="222222"/>
        </w:rPr>
        <w:t>and older individuals (relative to younger individuals) exhibit larger declines in PT use after the onset of the pandemic</w:t>
      </w:r>
      <w:r w:rsidR="005157FF" w:rsidRPr="00425F23">
        <w:rPr>
          <w:color w:val="222222"/>
        </w:rPr>
        <w:t>.</w:t>
      </w:r>
      <w:r w:rsidR="00A40D4F" w:rsidRPr="00425F23">
        <w:rPr>
          <w:b/>
          <w:bCs/>
          <w:color w:val="222222"/>
        </w:rPr>
        <w:t xml:space="preserve"> </w:t>
      </w:r>
      <w:r>
        <w:rPr>
          <w:color w:val="222222"/>
        </w:rPr>
        <w:t>The</w:t>
      </w:r>
      <w:r w:rsidR="009F1782">
        <w:rPr>
          <w:color w:val="222222"/>
        </w:rPr>
        <w:t xml:space="preserve">se larger </w:t>
      </w:r>
      <w:r>
        <w:rPr>
          <w:color w:val="222222"/>
        </w:rPr>
        <w:t>decline</w:t>
      </w:r>
      <w:r w:rsidR="009F1782">
        <w:rPr>
          <w:color w:val="222222"/>
        </w:rPr>
        <w:t xml:space="preserve">s </w:t>
      </w:r>
      <w:r w:rsidR="00303245">
        <w:rPr>
          <w:color w:val="222222"/>
        </w:rPr>
        <w:t xml:space="preserve">associated with PT use </w:t>
      </w:r>
      <w:r>
        <w:rPr>
          <w:color w:val="222222"/>
        </w:rPr>
        <w:t>may be associated with</w:t>
      </w:r>
      <w:r w:rsidR="009F1782">
        <w:rPr>
          <w:color w:val="222222"/>
        </w:rPr>
        <w:t xml:space="preserve"> the</w:t>
      </w:r>
      <w:r>
        <w:rPr>
          <w:color w:val="222222"/>
        </w:rPr>
        <w:t xml:space="preserve"> generally elevated health</w:t>
      </w:r>
      <w:r w:rsidR="00C72122">
        <w:rPr>
          <w:color w:val="222222"/>
        </w:rPr>
        <w:t xml:space="preserve"> </w:t>
      </w:r>
      <w:r>
        <w:rPr>
          <w:color w:val="222222"/>
        </w:rPr>
        <w:t xml:space="preserve">consciousness </w:t>
      </w:r>
      <w:r w:rsidR="009F1782">
        <w:rPr>
          <w:color w:val="222222"/>
        </w:rPr>
        <w:t>(and, thus, higher anxiety about contracting COVID</w:t>
      </w:r>
      <w:r w:rsidR="00303245">
        <w:rPr>
          <w:color w:val="222222"/>
        </w:rPr>
        <w:t xml:space="preserve"> on transit vehicles</w:t>
      </w:r>
      <w:r w:rsidR="009F1782">
        <w:rPr>
          <w:color w:val="222222"/>
        </w:rPr>
        <w:t xml:space="preserve">) among </w:t>
      </w:r>
      <w:r w:rsidR="009F1782" w:rsidRPr="00C968AB">
        <w:rPr>
          <w:color w:val="222222"/>
        </w:rPr>
        <w:t xml:space="preserve">women </w:t>
      </w:r>
      <w:r w:rsidR="00550F5A" w:rsidRPr="00C36035">
        <w:rPr>
          <w:color w:val="222222"/>
        </w:rPr>
        <w:fldChar w:fldCharType="begin"/>
      </w:r>
      <w:r w:rsidR="005C565E">
        <w:rPr>
          <w:color w:val="222222"/>
        </w:rPr>
        <w:instrText xml:space="preserve"> ADDIN ZOTERO_ITEM CSL_CITATION {"citationID":"5UH5ZNUN","properties":{"formattedCitation":"(\\uc0\\u268{}virik et al., 2023; Feraco et al., 2024; Maslak\\uc0\\u231{}\\uc0\\u305{} and S\\uc0\\u252{}r\\uc0\\u252{}c\\uc0\\u252{}, 2024)","plainCitation":"(Čvirik et al., 2023; Feraco et al., 2024; Maslakçı and Sürücü, 2024)","noteIndex":0},"citationItems":[{"id":289,"uris":["http://zotero.org/groups/5345474/items/LM4KJUGK"],"itemData":{"id":289,"type":"article-journal","abstract":"The aim of the article is fourfold: (1) to identify the level of health consciousness during the pandemic in Slovakia and Croatia, and to point out the possible influence of selected demographic factors on this rate, (2) to identify the degree of consumer ethnocentrism during the pandemic in Slovakia and Croatia and to examine the impact of selected demographic factors to this extent, (3) to examine the link between health consciousness as a factor affecting consumer ethnocentrism and (4) to identify differences in the studied variables of Croatia and Slovakia. The article is supported by a primary survey based on 459 respondents in Croatia and 429 respondents in Slovakia. Whilst referring to our aims, we formulated research questions and hypotheses, in order to answer and verify them we chose ANOVA test and regression analysis. The results point to a high level of respondents’ health awareness and an average (in the case of Slovakia) and aboveaverage (in the case of Croatia) rate of consumer ethnocentrism. The results indicate a low relationship between the variables examined. Results can be applied both in theory and in practice in various fields.","container-title":"Economic Research-Ekonomska Istraživanja","DOI":"10.1080/1331677X.2022.2090402","ISSN":"1331-677X, 1848-9664","issue":"1","journalAbbreviation":"Economic Research-Ekonomska Istraživanja","language":"en","page":"1510-1526","source":"DOI.org (Crossref)","title":"Influence of health-conscious consumer behaviour on consumer ethnocentrism during the COVID-19 pandemic","URL":"https://www.tandfonline.com/doi/full/10.1080/1331677X.2022.2090402","volume":"36","author":[{"family":"Čvirik","given":"Marián"},{"family":"Naďová Krošláková","given":"Monika"},{"family":"Milić Beran","given":"Ivona"},{"family":"Capor Hrosik","given":"Romana"},{"family":"Drábik","given":"Peter"}],"accessed":{"date-parts":[["2024",6,1]]},"issued":{"date-parts":[["2023",3,31]]}}},{"id":286,"uris":["http://zotero.org/groups/5345474/items/GXRSU8SS"],"itemData":{"id":286,"type":"article-journal","abstract":"The relationship between food tastes, meal preferences, and eating habits has been studied extensively in recent years; however, research on gender differences in these fields still needs to be addressed. The aim of this study was to investigate gender differences in food preferences and eating habits through self-administered questionnaires in a large Italian population sample. The online survey included questions on food tastes, meal preferences, eating habits, and sport involvement.The results of the study underline significant gender-specific dietary tendencies among the 2198 participants (1314 females and 884 males, average age 41.1 ± 12.7 yrs). Our analysis reveals significant gender differences in dietary preferences and eating habits. Men prefer red and processed meat, with significantly higher consumption rates than women. Women, on the other hand, show a greater inclination towards vegetables, whole grains, tofu, and high-cocoa-content dark chocolate, aligning with healthier food choices. The study also found differences in eating behaviors, including the frequency of meals, snacking habits, and hunger pa erns: women tend to eat more frequently and report higher levels of hunger in the morning, while men tend to skip snacks. Furthermore, differences extend to eating contexts, such as the speed of eating, eating out, and eating alone, with men more likely to eat quickly and dine out. Episodes of uncontrolled eating without hunger also differ, with women reporting these behaviors more frequently than men. In addition, the analysis of sports preferences showed distinct pa erns, with a lower percentage of women playing sports and those who do play sports preferring endurance and strength training, while men prefer strength training and endurance sports.These findings elucidate the complex interplay of biological, cultural, and gender-based factors in shaping dietary preferences and eating behaviors. In particular, our study reveals that gender dynamics significantly influence food choice and eating habits: women tend to choose healthier foods and eat regular meals, while men show preferences for specific tastes and meal-related behaviors. Taken together, our results highlight the importance of integrating different perspectives, thus providing valuable insights into the development of public health strategies and tailored nutrition interventions aimed at chronic disease prevention.","container-title":"Frontiers in Nutrition","DOI":"10.3389/fnut.2024.1348456","ISSN":"2296-861X","journalAbbreviation":"Front. Nutr.","language":"English","note":"publisher: Frontiers","source":"Frontiers","title":"Assessing gender differences in food preferences and physical activity: a population-based survey","title-short":"Assessing gender differences in food preferences and physical activity","URL":"https://www.frontiersin.org/articles/10.3389/fnut.2024.1348456","volume":"11","author":[{"family":"Feraco","given":"Alessandra"},{"family":"Armani","given":"Andrea"},{"family":"Amoah","given":"Isaac"},{"family":"Guseva","given":"Elena"},{"family":"Camajani","given":"Elisabetta"},{"family":"Gorini","given":"Stefania"},{"family":"Strollo","given":"Rocky"},{"family":"Padua","given":"Elvira"},{"family":"Caprio","given":"Massimiliano"},{"family":"Lombardo","given":"Mauro"}],"accessed":{"date-parts":[["2024",6,1]]},"issued":{"date-parts":[["2024",2,20]]}}},{"id":294,"uris":["http://zotero.org/groups/5345474/items/T4EHBIXH"],"itemData":{"id":294,"type":"article-journal","abstract":"The fear of the COVID-19 pandemic is associated with negative effects on mental health. The study investigates depression, anxiety, and stress and their relationship to gender among hospitality sector employees in the USA during COVID-19. Fear has been one of the most common psychological responses in the population during the COVID-19 pandemic. The aim of this study is to examine its relationship with depression, anxiety, and stress to combat the fear of COVID-19 between the gender. The study was conducted using an online questionnaire. A sociodemographic data form, the Fear of COVID-19 scale, and the Depression, Anxiety and Stress Scale (DASS-21) were used for data collection. In total, 341 valid questionnaires were analyzed using SPSS version 24. The results showed that the fear of COVID-19 positively and significantly impacted stress (Coeff = .4992, 95% confidence interval (CI): .4409–.5575), anxiety (Coeff = .4825, 95% CI: .4245–.5405), and depression (Coeff = . 4601, 95% CI: .3992–.5210), and these effects differed according to gender. The effects of the fear of COVID-19 on stress and anxiety were higher in women compared with men. This cross-sectional study shows that the psychological effects of the fear of COVID-19 are more significant in women than in men. The study makes significant contributions to the literature in terms of showing the gender differences related to COVID-19 within the hospitality sector. Therefore, women should be prioritized in future psychiatric recovery plans.","container-title":"Trends in Psychology","DOI":"10.1007/s43076-022-00227-x","ISSN":"2358-1883","issue":"1","journalAbbreviation":"Trends in Psychol.","language":"en","page":"152-164","source":"Springer Link","title":"Gender Effects on Depression, Anxiety, and Stress Regarding the Fear of COVID-19","URL":"https://doi.org/10.1007/s43076-022-00227-x","volume":"32","author":[{"family":"Maslakçı","given":"Ahmet"},{"family":"Sürücü","given":"Lütfi"}],"accessed":{"date-parts":[["2024",6,1]]},"issued":{"date-parts":[["2024",3,1]]}}}],"schema":"https://github.com/citation-style-language/schema/raw/master/csl-citation.json"} </w:instrText>
      </w:r>
      <w:r w:rsidR="00550F5A" w:rsidRPr="00C36035">
        <w:rPr>
          <w:color w:val="222222"/>
        </w:rPr>
        <w:fldChar w:fldCharType="separate"/>
      </w:r>
      <w:r w:rsidR="00550F5A" w:rsidRPr="00C968AB">
        <w:rPr>
          <w:color w:val="000000"/>
        </w:rPr>
        <w:t>(Čvirik et al., 2023; Feraco et al., 2024; Maslakçı and Sürücü, 2024)</w:t>
      </w:r>
      <w:r w:rsidR="00550F5A" w:rsidRPr="00C36035">
        <w:rPr>
          <w:color w:val="222222"/>
        </w:rPr>
        <w:fldChar w:fldCharType="end"/>
      </w:r>
      <w:r w:rsidR="00A97818" w:rsidRPr="00C36035">
        <w:rPr>
          <w:color w:val="222222"/>
        </w:rPr>
        <w:t>,</w:t>
      </w:r>
      <w:r w:rsidR="009F1782">
        <w:rPr>
          <w:color w:val="222222"/>
        </w:rPr>
        <w:t xml:space="preserve"> and the higher actual risk of contracting COVID among older adults</w:t>
      </w:r>
      <w:r w:rsidR="00A97818" w:rsidRPr="00CD1513">
        <w:rPr>
          <w:color w:val="222222"/>
        </w:rPr>
        <w:t xml:space="preserve"> </w:t>
      </w:r>
      <w:r w:rsidR="00A97818" w:rsidRPr="00425F23">
        <w:rPr>
          <w:color w:val="222222"/>
        </w:rPr>
        <w:fldChar w:fldCharType="begin"/>
      </w:r>
      <w:r w:rsidR="005C565E">
        <w:rPr>
          <w:color w:val="222222"/>
        </w:rPr>
        <w:instrText xml:space="preserve"> ADDIN ZOTERO_ITEM CSL_CITATION {"citationID":"QURoekqJ","properties":{"formattedCitation":"(Navarrete-Hernandez et al., 2023)","plainCitation":"(Navarrete-Hernandez et al., 2023)","noteIndex":0},"citationItems":[{"id":204,"uris":["http://zotero.org/groups/5345474/items/LLUREVED"],"itemData":{"id":204,"type":"article-journal","abstract":"The coronavirus pandemic has brought about global change in travel behavior. Transit ridership volumes have dropped to record lows. Concerning environmental, health, and social consequences lie in store if transit networks are not able to regain a substantial portion of pre-pandemic users. Transit providers have implemented several interventions aimed at both slowing the spread of the virus and retaining riders as travel restrictions lift. While the effectiveness of these measures has been evaluated with respect to spread rate reduction, little consideration has been given to their impact on riders' feelings of worry regarding virus contraction. By deploying a photo-simulation approach in a randomized control trial, this study finds that level of compliance with safety measures and the conditions of transit spaces themselves significantly impact riders' levels of worry. Given these findings, a series of recommendations are made regarding compliance practices that are expected to lessen rider worry regarding the risks of COVID-19 infection.","container-title":"Transport Policy","DOI":"10.1016/j.tranpol.2022.11.011","ISSN":"0967-070X","journalAbbreviation":"Transport Policy","page":"1-12","source":"ScienceDirect","title":"An evaluation of the impact of COVID-19 safety measures in public transit spaces on riders' Worry of virus contraction","URL":"https://www.sciencedirect.com/science/article/pii/S0967070X22003237","volume":"131","author":[{"family":"Navarrete-Hernandez","given":"Pablo"},{"family":"Rennert","given":"Lindiwe"},{"family":"Balducci","given":"Alessandro"}],"accessed":{"date-parts":[["2024",4,27]]},"issued":{"date-parts":[["2023",2,1]]}}}],"schema":"https://github.com/citation-style-language/schema/raw/master/csl-citation.json"} </w:instrText>
      </w:r>
      <w:r w:rsidR="00A97818" w:rsidRPr="00425F23">
        <w:rPr>
          <w:color w:val="222222"/>
        </w:rPr>
        <w:fldChar w:fldCharType="separate"/>
      </w:r>
      <w:r w:rsidR="00A97818" w:rsidRPr="00425F23">
        <w:rPr>
          <w:noProof/>
          <w:color w:val="222222"/>
        </w:rPr>
        <w:t>(Navarrete-Hernandez et al., 2023)</w:t>
      </w:r>
      <w:r w:rsidR="00A97818" w:rsidRPr="00425F23">
        <w:rPr>
          <w:color w:val="222222"/>
        </w:rPr>
        <w:fldChar w:fldCharType="end"/>
      </w:r>
      <w:r w:rsidR="00215968">
        <w:rPr>
          <w:color w:val="222222"/>
        </w:rPr>
        <w:t xml:space="preserve">. </w:t>
      </w:r>
      <w:r w:rsidR="00A97818">
        <w:rPr>
          <w:color w:val="222222"/>
        </w:rPr>
        <w:t xml:space="preserve">In the case of gender, </w:t>
      </w:r>
      <w:r w:rsidR="00C72122">
        <w:rPr>
          <w:color w:val="222222"/>
        </w:rPr>
        <w:t xml:space="preserve">another contributing factor may be the higher remote work among women post-COVID </w:t>
      </w:r>
      <w:r w:rsidR="00C968AB">
        <w:rPr>
          <w:color w:val="000000"/>
          <w:highlight w:val="yellow"/>
        </w:rPr>
        <w:fldChar w:fldCharType="begin"/>
      </w:r>
      <w:r w:rsidR="005C565E">
        <w:rPr>
          <w:color w:val="000000"/>
          <w:highlight w:val="yellow"/>
        </w:rPr>
        <w:instrText xml:space="preserve"> ADDIN ZOTERO_ITEM CSL_CITATION {"citationID":"u0aJAXj0","properties":{"formattedCitation":"(Astorquiza-Bustos and Quintero-Pe\\uc0\\u241{}a, 2023; Marc\\uc0\\u233{}n and Morales, 2024)","plainCitation":"(Astorquiza-Bustos and Quintero-Peña, 2023; Marcén and Morales, 2024)","dontUpdate":true,"noteIndex":0},"citationItems":[{"id":193,"uris":["http://zotero.org/groups/5345474/items/46GWJBR2"],"itemData":{"id":193,"type":"article-journal","abstract":"The health emergency caused by COVID-19 produced important changes in the way people relate and like they carry out their work activities. Thus, this paper analyzes the probability of carrying out work activities remotely by constructing the Remote Working Index (RWI) in Colombia for the year 2019, using data from 93,927 individuals employed. The above led not only to show the inequalities between regions and economic sectors, but also allowed to establish a social profile of the agents who are most likely to work from home. The results show that ethnic-racial minorities, women, people aged 60 and over and those ones belonging to the health-care contributory system are the least likely to carry out their remote work. Consequently, they are the ones who face the highest disadvantages in the labor market when it faces confinement environments. Our results allow us to profile the population that requires higher attention in environments that restrict work activity, while identifying the work activities most likely to be performed remotely. This consolidates a contribution to the emerging literature on remote work and focuses the discussion on the identification strategy of indicators from Household Surveys.","container-title":"Telecommunications Policy","DOI":"10.1016/j.telpol.2023.102669","ISSN":"0308-5961","issue":"10","journalAbbreviation":"Telecommunications Policy","page":"102669","source":"ScienceDirect","title":"Who can work from home? A remote working index for an emerging economy","title-short":"Who can work from home?","URL":"https://www.sciencedirect.com/science/article/pii/S0308596123001805","volume":"47","author":[{"family":"Astorquiza-Bustos","given":"Bilver Adrian"},{"family":"Quintero-Peña","given":"Jose Wilmar"}],"accessed":{"date-parts":[["2024",4,26]]},"issued":{"date-parts":[["2023",11,1]]}}},{"id":299,"uris":["http://zotero.org/groups/5345474/items/8U5BGM73"],"itemData":{"id":299,"type":"report","abstract":"We examine changes in the gender gap in working from home (WFH) in response to the unanticipated first wave of the COVID-19 pandemic. Using data from the American Time Use Survey, we find a non-negligible widening of the gender gap with WFH being more prevalent among women than among men. Respondents' job traits played a significant role in the gender gap variations, those working in the private sector being the most affected. Young individuals, those more educated, and those living with a dependent person increased the gender gap more in terms of the proportion of time devoted to WFH. We further show evidence suggesting the mitigating effect of non-pharmaceutical interventions during the first wave of the pandemic, positively affecting the WFH tendency for men but not for women. Overall, the gender gap change proves robust to identification checks. In addition, the gender gap response has had a long-lasting impact on the gender gap.","genre":"Working Paper","language":"eng","license":"https://www.econstor.eu/dspace/Nutzungsbedingungen","number":"1379","publisher":"GLO Discussion Paper","source":"www.econstor.eu","title":"The effect of COVID-19 on the gender gap in remote work","URL":"https://www.econstor.eu/handle/10419/281174","author":[{"family":"Marcén","given":"Miriam"},{"family":"Morales","given":"Marina"}],"accessed":{"date-parts":[["2024",6,3]]},"issued":{"date-parts":[["2024"]]}}}],"schema":"https://github.com/citation-style-language/schema/raw/master/csl-citation.json"} </w:instrText>
      </w:r>
      <w:r w:rsidR="00C968AB">
        <w:rPr>
          <w:color w:val="000000"/>
          <w:highlight w:val="yellow"/>
        </w:rPr>
        <w:fldChar w:fldCharType="separate"/>
      </w:r>
      <w:r w:rsidR="00C968AB" w:rsidRPr="00C968AB">
        <w:rPr>
          <w:color w:val="000000"/>
        </w:rPr>
        <w:t>(</w:t>
      </w:r>
      <w:r w:rsidR="00C968AB">
        <w:rPr>
          <w:color w:val="000000"/>
        </w:rPr>
        <w:t xml:space="preserve">see, for example, </w:t>
      </w:r>
      <w:r w:rsidR="00C968AB" w:rsidRPr="00C968AB">
        <w:rPr>
          <w:color w:val="000000"/>
        </w:rPr>
        <w:t>Astorquiza-Bustos and Quintero-Peña, 2023; Marcén and Morales, 2024)</w:t>
      </w:r>
      <w:r w:rsidR="00C968AB">
        <w:rPr>
          <w:color w:val="000000"/>
          <w:highlight w:val="yellow"/>
        </w:rPr>
        <w:fldChar w:fldCharType="end"/>
      </w:r>
      <w:r w:rsidR="00C72122">
        <w:rPr>
          <w:color w:val="000000"/>
        </w:rPr>
        <w:t>.</w:t>
      </w:r>
      <w:r w:rsidR="00215968">
        <w:rPr>
          <w:color w:val="000000"/>
        </w:rPr>
        <w:t xml:space="preserve"> </w:t>
      </w:r>
      <w:r w:rsidR="00A97818">
        <w:rPr>
          <w:color w:val="000000"/>
        </w:rPr>
        <w:t xml:space="preserve">These </w:t>
      </w:r>
      <w:r w:rsidR="00303245">
        <w:rPr>
          <w:color w:val="000000"/>
        </w:rPr>
        <w:t xml:space="preserve">declines </w:t>
      </w:r>
      <w:r w:rsidR="00F1489E">
        <w:rPr>
          <w:color w:val="000000"/>
        </w:rPr>
        <w:t xml:space="preserve">should be of </w:t>
      </w:r>
      <w:r w:rsidR="00A97818">
        <w:rPr>
          <w:color w:val="000000"/>
        </w:rPr>
        <w:t>concern for future PT use</w:t>
      </w:r>
      <w:r w:rsidR="00303245">
        <w:rPr>
          <w:color w:val="000000"/>
        </w:rPr>
        <w:t xml:space="preserve"> on both the gender and age fr</w:t>
      </w:r>
      <w:r w:rsidR="00303245" w:rsidRPr="00D2174A">
        <w:rPr>
          <w:color w:val="000000"/>
        </w:rPr>
        <w:t>onts</w:t>
      </w:r>
      <w:r w:rsidR="00F1489E" w:rsidRPr="00D2174A">
        <w:rPr>
          <w:color w:val="000000"/>
        </w:rPr>
        <w:t>. On the gender front,</w:t>
      </w:r>
      <w:r w:rsidR="00215968" w:rsidRPr="00D2174A">
        <w:rPr>
          <w:color w:val="222222"/>
        </w:rPr>
        <w:t xml:space="preserve"> women were generally more likely to be PT users before the pandemic</w:t>
      </w:r>
      <w:r w:rsidR="00A73FD2">
        <w:rPr>
          <w:color w:val="222222"/>
        </w:rPr>
        <w:t xml:space="preserve">, a result which </w:t>
      </w:r>
      <w:r w:rsidR="00F1489E" w:rsidRPr="00D2174A">
        <w:rPr>
          <w:color w:val="222222"/>
        </w:rPr>
        <w:t xml:space="preserve">has been </w:t>
      </w:r>
      <w:r w:rsidR="00C72122" w:rsidRPr="00D2174A">
        <w:rPr>
          <w:color w:val="222222"/>
        </w:rPr>
        <w:t>attribut</w:t>
      </w:r>
      <w:r w:rsidR="00F1489E" w:rsidRPr="00D2174A">
        <w:rPr>
          <w:color w:val="222222"/>
        </w:rPr>
        <w:t xml:space="preserve">ed </w:t>
      </w:r>
      <w:r w:rsidR="00215968" w:rsidRPr="00D2174A">
        <w:rPr>
          <w:color w:val="222222"/>
        </w:rPr>
        <w:t xml:space="preserve">to </w:t>
      </w:r>
      <w:r w:rsidR="00F1489E" w:rsidRPr="00D2174A">
        <w:rPr>
          <w:color w:val="222222"/>
        </w:rPr>
        <w:t xml:space="preserve">women’s </w:t>
      </w:r>
      <w:r w:rsidR="00215968" w:rsidRPr="00D2174A">
        <w:rPr>
          <w:color w:val="222222"/>
        </w:rPr>
        <w:t>higher green lifestyle tendencies</w:t>
      </w:r>
      <w:r w:rsidR="00DA14F1" w:rsidRPr="00D2174A">
        <w:rPr>
          <w:color w:val="222222"/>
        </w:rPr>
        <w:t>,</w:t>
      </w:r>
      <w:r w:rsidR="00DA14F1">
        <w:rPr>
          <w:color w:val="222222"/>
        </w:rPr>
        <w:t xml:space="preserve"> </w:t>
      </w:r>
      <w:r w:rsidR="00215968">
        <w:rPr>
          <w:color w:val="222222"/>
        </w:rPr>
        <w:t xml:space="preserve">lesser access to </w:t>
      </w:r>
      <w:r w:rsidR="00C72122">
        <w:rPr>
          <w:color w:val="222222"/>
        </w:rPr>
        <w:t xml:space="preserve">household </w:t>
      </w:r>
      <w:r w:rsidR="00215968">
        <w:rPr>
          <w:color w:val="222222"/>
        </w:rPr>
        <w:t>personal vehicles</w:t>
      </w:r>
      <w:r w:rsidR="00DA14F1">
        <w:rPr>
          <w:color w:val="222222"/>
        </w:rPr>
        <w:t xml:space="preserve"> an</w:t>
      </w:r>
      <w:r w:rsidR="002C3D2D">
        <w:rPr>
          <w:color w:val="222222"/>
        </w:rPr>
        <w:t>d</w:t>
      </w:r>
      <w:r w:rsidR="00DA14F1">
        <w:rPr>
          <w:color w:val="222222"/>
        </w:rPr>
        <w:t xml:space="preserve"> gendered household car use dynamics</w:t>
      </w:r>
      <w:r w:rsidR="00AC7A04">
        <w:rPr>
          <w:color w:val="222222"/>
        </w:rPr>
        <w:t xml:space="preserve"> </w:t>
      </w:r>
      <w:r w:rsidR="00AC7A04">
        <w:rPr>
          <w:color w:val="222222"/>
        </w:rPr>
        <w:fldChar w:fldCharType="begin"/>
      </w:r>
      <w:r w:rsidR="005C565E">
        <w:rPr>
          <w:color w:val="222222"/>
        </w:rPr>
        <w:instrText xml:space="preserve"> ADDIN ZOTERO_ITEM CSL_CITATION {"citationID":"C4ALPxPP","properties":{"formattedCitation":"(Bloodhart and Swim, 2020; El Khoury et al., 2023; Palm et al., 2021; Soria et al., 2023)","plainCitation":"(Bloodhart and Swim, 2020; El Khoury et al., 2023; Palm et al., 2021; Soria et al., 2023)","dontUpdate":true,"noteIndex":0},"citationItems":[{"id":301,"uris":["http://zotero.org/groups/5345474/items/R2ZMM9LH"],"itemData":{"id":301,"type":"article-journal","abstract":"Gender plays an important role in considerations of sustainable consumption. Not only are there gender differences in the amount and type of sustainable consumption among women and men, but gender stereotypes and norms shape the way women and men think about the topic, respond to its necessity, and choose to act. Further, differences are embedded in larger lifestyle practices and intersect with other social identities, which can alter the occurrence or manifestations of gender differences in environmentally relevant actions. Finally, efforts to make consumption more sustainable are both influenced by and influence people differently based on gender as well as other marginalized group statuses. We highlight major psychological and social science research on the gendered aspects of sustainable consumption. Our goal is to illuminate social influences on gender differences in behaviors, motivations, and solutions and to emphasize the need for future policies and practices related to sustainable consumption to address and improve issues of gender equality.","container-title":"Journal of Social Issues","DOI":"10.1111/josi.12370","ISSN":"1540-4560","issue":"1","language":"en","license":"© 2020 The Society for the Psychological Study of Social Issues","note":"_eprint: https://onlinelibrary.wiley.com/doi/pdf/10.1111/josi.12370","page":"101-113","source":"Wiley Online Library","title":"Sustainability and Consumption: What's Gender Got to Do with It?","title-short":"Sustainability and Consumption","URL":"https://onlinelibrary.wiley.com/doi/abs/10.1111/josi.12370","volume":"76","author":[{"family":"Bloodhart","given":"Brittany"},{"family":"Swim","given":"Janet K."}],"accessed":{"date-parts":[["2024",6,3]]},"issued":{"date-parts":[["2020"]]}}},{"id":296,"uris":["http://zotero.org/groups/5345474/items/6D6R2XUK"],"itemData":{"id":296,"type":"article-journal","abstract":"Citizens are increasingly concerned with environmental issues and some of them take contentious political actions or adapt their lifestyles to reduce their environmental footprint. Research finds that there is an eco-gender gap in everyday environmental behaviours, with women more active than men. However, studies of the eco-gender gap have infrequently looked at other forms of pro-environmental political behaviours and focused mostly on young people. We contribute to the literature by examining to what extent older women and men differ in a range of pro-environmental political behaviours, using a unique dataset based on a survey of individuals 64 years and older. We find strong evidence of a gender gap in everyday behaviours and political consumerism, but not in relation to contentious forms of political participation. This gender gap in relation to everyday behaviours and political consumerism diminishes with age.","container-title":"Swiss Political Science Review","DOI":"10.1111/spsr.12547","ISSN":"1662-6370","issue":"1","language":"en","license":"© 2022 The Authors. Swiss Political Science Review published by John Wiley &amp; Sons Ltd on behalf of Swiss Political Science Association.","note":"_eprint: https://onlinelibrary.wiley.com/doi/pdf/10.1111/spsr.12547","page":"58-74","source":"Wiley Online Library","title":"The gender gap in pro-environmental political participation among older adults","URL":"https://onlinelibrary.wiley.com/doi/abs/10.1111/spsr.12547","volume":"29","author":[{"family":"El Khoury","given":"Cristina"},{"family":"Felix","given":"Amédée"},{"family":"Lorenzini","given":"Jasmine"},{"family":"Rosset","given":"Jan"}],"accessed":{"date-parts":[["2024",6,1]]},"issued":{"date-parts":[["2023"]]}}},{"id":266,"uris":["http://zotero.org/groups/5345474/items/DSN5JWZD"],"itemData":{"id":266,"type":"article-journal","abstract":"Millions of North Americans stopped riding public transit in response to COVID-19. We treat this crisis as a natural experiment to illustrate the importance of public transit in riders’ abilities to access essential destinations. We measured the impacts of riders forgoing transit through a survey of transportation barriers completed by more than 4,000 transit riders in Toronto and Vancouver (Canada). We used Heckman selection models to predict six dimensions of transport disadvantage and transport-related social exclusions captured in our survey. We then complemented model results with an analysis of survey comments describing barriers that individuals faced. Lack of access to alternative modes is the strongest predictor of a former rider experiencing transport disadvantage, particularly neighborhood walkability and vehicle ownership. Groups at risk of transport disadvantage before COVID-19, particularly women and people in poorer health, were also more likely to report difficulties while avoiding public transit. Barriers described by respondents included former supports no longer offering rides, gendered household car use dynamics, and lack of culturally specific or specialized amenities within walking distance. Policymakers should plan for a level of redundancy in transportation systems that enables residents to access essential destinations when unexpected service losses occur. Designing communities that enable residents to walk to those essential destinations will help reduce the burdens faced by transit riders during crises that render transit unfeasible. At the same time, planners championing active travel as an alternative to transit during such crises also need to devise solutions for former transit riders for whom active travel is ill suited, for example, due to physical challenges with carrying groceries or needing to chaperone children.","container-title":"Journal of the American Planning Association","DOI":"10.1080/01944363.2021.1886974","ISSN":"0194-4363","issue":"4","note":"publisher: Routledge\n_eprint: https://doi.org/10.1080/01944363.2021.1886974","page":"455–469","source":"Taylor and Francis+NEJM","title":"Riders Who Avoided Public Transit During COVID-19: Personal Burdens and Implications for Social Equity","title-short":"Riders Who Avoided Public Transit During COVID-19","URL":"https://doi.org/10.1080/01944363.2021.1886974","volume":"87","author":[{"family":"Palm","given":"Matthew"},{"family":"Allen","given":"Jeff"},{"family":"Liu","given":"Bochu"},{"family":"Zhang","given":"Yixue"},{"family":"Widener","given":"Michael"},{"family":"Farber","given":"Steven"}],"accessed":{"date-parts":[["2024",5,15]]},"issued":{"date-parts":[["2021",10,2]]}}},{"id":162,"uris":["http://zotero.org/groups/5345474/items/6AENFQHK"],"itemData":{"id":162,"type":"article-journal","abstract":"To adhere to health regulations and reduce the risks associated with the COVID-19 pandemic, employers, mobility operators, and travelers alike adopted new strategies such as teleworking, rigorous sanitation, and social distancing. In this research, we examine the individual-level factors contributing to transit ridership abandonment and return decisions. We utilize comprehensive survey-based data of transit users in the Chicago metropolitan area (N = 5648) collected prior to reopening. We investigate three ridership behaviors, namely (1) discontinued public transit ridership, (2) the intent to return to pre-pandemic transit ridership levels once health concerns are alleviated, and (3) the likelihood of using public transit more often if its fare systems are integrated with other mobility services such as ridehailing and micromobility. Examining the role of sociodemographics, employment characteristics, transit investment priorities, and travel behavior before and during the pandemic, this research reveals fine-grained details about transit usage decline, as well as future intentions. The results indicate that teleworking, unemployment, and vehicle access are the major factors behind discontinued transit ridership. Analysis of race, ethnicity, and gender effects reveals that vulnerable users often have a higher risk of abandonment coupled with a lower likelihood of returning. These results point to the need for transit agencies to consider the specific concerns of ethnic/racial minorities and women. Encouragingly, there is an opportunity for agencies to attract more ridership with fare integration. Several respondent segments would use transit more if fare systems are integrated with ridehailing and micromobility, highlighting the importance of lowering the barriers to accessing these mobility services. This research informs several policies that can be adopted by transit agencies and other mobility providers. We discuss the importance of an equitable return to transit, possibilities for Mobility-as-a-Service with fare integration as a starting point and stress the significance of teleworking in future transit policies.","container-title":"Transport Policy","DOI":"10.1016/j.tranpol.2023.02.016","ISSN":"0967-070X","journalAbbreviation":"Transport Policy","page":"139-154","source":"ScienceDirect","title":"Requiem for transit ridership? An examination of who abandoned, who will return, and who will ride more with mobility as a service","title-short":"Requiem for transit ridership?","URL":"https://www.sciencedirect.com/science/article/pii/S0967070X23000471","volume":"134","author":[{"family":"Soria","given":"Jason"},{"family":"Edward","given":"Deirdre"},{"family":"Stathopoulos","given":"Amanda"}],"accessed":{"date-parts":[["2024",3,27]]},"issued":{"date-parts":[["2023",4,1]]}}}],"schema":"https://github.com/citation-style-language/schema/raw/master/csl-citation.json"} </w:instrText>
      </w:r>
      <w:r w:rsidR="00AC7A04">
        <w:rPr>
          <w:color w:val="222222"/>
        </w:rPr>
        <w:fldChar w:fldCharType="separate"/>
      </w:r>
      <w:r w:rsidR="00AC7A04">
        <w:rPr>
          <w:noProof/>
          <w:color w:val="222222"/>
        </w:rPr>
        <w:t>(see Bloodhart and Swim, 2020; El Khoury et al., 2023; Palm et al., 2021; Soria et al., 2023)</w:t>
      </w:r>
      <w:r w:rsidR="00AC7A04">
        <w:rPr>
          <w:color w:val="222222"/>
        </w:rPr>
        <w:fldChar w:fldCharType="end"/>
      </w:r>
      <w:r w:rsidR="00A97818">
        <w:rPr>
          <w:color w:val="222222"/>
        </w:rPr>
        <w:t xml:space="preserve">. </w:t>
      </w:r>
      <w:r w:rsidR="00F1489E">
        <w:rPr>
          <w:color w:val="222222"/>
        </w:rPr>
        <w:t xml:space="preserve">On the age front, </w:t>
      </w:r>
      <w:r w:rsidR="00A97818" w:rsidRPr="00425F23">
        <w:rPr>
          <w:color w:val="222222"/>
        </w:rPr>
        <w:t xml:space="preserve">older adults (65+) are the fastest-growing age group in the U.S, and are projected to account for 20% of the population by 2050 </w:t>
      </w:r>
      <w:r w:rsidR="00A97818" w:rsidRPr="00425F23">
        <w:rPr>
          <w:color w:val="222222"/>
        </w:rPr>
        <w:fldChar w:fldCharType="begin"/>
      </w:r>
      <w:r w:rsidR="005C565E">
        <w:rPr>
          <w:color w:val="222222"/>
        </w:rPr>
        <w:instrText xml:space="preserve"> ADDIN ZOTERO_ITEM CSL_CITATION {"citationID":"O3Oxz55w","properties":{"formattedCitation":"(Etu et al., 2023)","plainCitation":"(Etu et al., 2023)","noteIndex":0},"citationItems":[{"id":187,"uris":["http://zotero.org/groups/5345474/items/VFB3WV2I"],"itemData":{"id":187,"type":"article-journal","abstract":"Introduction\nThe COVID-19 pandemic has significantly affected transportation habits and preferences, particularly among older adults. This study aimed to investigate the impact of the pandemic on older adults’ public transportation usage, the role of mobile technology in supporting their travel needs, and their cognitive, physical, and social activities.\nMethod\nAn online survey was conducted among 108 older adults (average age: 63.4 years) residing in urban areas in the United States.\nResults\nThe results indicated a strong reliance on personal vehicles and a significant interest in public transportation. Key barriers to public transportation usage were identified, with service availability as the primary concern. Mobile technology was found to play an important role in supporting transportation needs during the pandemic. Furthermore, the study revealed that older adults engaged in various cognitive, physical, and social activities during the pandemic.\nConclusion\nThese findings have important implications for transportation providers, policymakers, and future research in addressing the challenges older adults face in accessing transportation services, particularly during public health crises.","container-title":"Journal of Transport &amp; Health","DOI":"10.1016/j.jth.2023.101718","ISSN":"2214-1405","journalAbbreviation":"Journal of Transport &amp; Health","page":"101718","source":"ScienceDirect","title":"What changes the travel pattern: A national survey on the impacts of the COVID-19 pandemic on older adults’ public transportation usage","title-short":"What changes the travel pattern","URL":"https://www.sciencedirect.com/science/article/pii/S2214140523001548","volume":"33","author":[{"family":"Etu","given":"Egbe-Etu"},{"family":"Sureshbabu","given":"Keertana"},{"family":"Summerville","given":"Susan"},{"family":"Parmar","given":"Ankur"},{"family":"Huang","given":"Gaojian"}],"accessed":{"date-parts":[["2024",4,24]]},"issued":{"date-parts":[["2023",11,1]]}}}],"schema":"https://github.com/citation-style-language/schema/raw/master/csl-citation.json"} </w:instrText>
      </w:r>
      <w:r w:rsidR="00A97818" w:rsidRPr="00425F23">
        <w:rPr>
          <w:color w:val="222222"/>
        </w:rPr>
        <w:fldChar w:fldCharType="separate"/>
      </w:r>
      <w:r w:rsidR="00A97818" w:rsidRPr="00425F23">
        <w:rPr>
          <w:noProof/>
          <w:color w:val="222222"/>
        </w:rPr>
        <w:t>(Etu et al., 2023)</w:t>
      </w:r>
      <w:r w:rsidR="00A97818" w:rsidRPr="00425F23">
        <w:rPr>
          <w:color w:val="222222"/>
        </w:rPr>
        <w:fldChar w:fldCharType="end"/>
      </w:r>
      <w:r w:rsidR="00A97818" w:rsidRPr="00425F23">
        <w:rPr>
          <w:color w:val="222222"/>
        </w:rPr>
        <w:t>.</w:t>
      </w:r>
      <w:r w:rsidR="00A97818">
        <w:rPr>
          <w:color w:val="222222"/>
        </w:rPr>
        <w:t xml:space="preserve"> </w:t>
      </w:r>
      <w:r w:rsidR="00C72122">
        <w:rPr>
          <w:color w:val="222222"/>
        </w:rPr>
        <w:t xml:space="preserve">On the positive side, women </w:t>
      </w:r>
      <w:r w:rsidR="00A97818">
        <w:rPr>
          <w:color w:val="222222"/>
        </w:rPr>
        <w:t xml:space="preserve">and older individuals appear to be </w:t>
      </w:r>
      <w:r w:rsidR="00C72122">
        <w:rPr>
          <w:color w:val="222222"/>
        </w:rPr>
        <w:t xml:space="preserve">as open as </w:t>
      </w:r>
      <w:r w:rsidR="00A97818">
        <w:rPr>
          <w:color w:val="222222"/>
        </w:rPr>
        <w:t>their peers</w:t>
      </w:r>
      <w:r w:rsidR="00C72122">
        <w:rPr>
          <w:color w:val="222222"/>
        </w:rPr>
        <w:t xml:space="preserve"> to return to PT (note that gender </w:t>
      </w:r>
      <w:r w:rsidR="00A97818">
        <w:rPr>
          <w:color w:val="222222"/>
        </w:rPr>
        <w:t xml:space="preserve">and age </w:t>
      </w:r>
      <w:r w:rsidR="00C72122">
        <w:rPr>
          <w:color w:val="222222"/>
        </w:rPr>
        <w:t>do not affect the reported permanency of change)</w:t>
      </w:r>
      <w:r w:rsidR="00A97818">
        <w:rPr>
          <w:color w:val="222222"/>
        </w:rPr>
        <w:t xml:space="preserve">, suggesting that customized PT use </w:t>
      </w:r>
      <w:r w:rsidR="00A97818">
        <w:rPr>
          <w:color w:val="222222"/>
        </w:rPr>
        <w:lastRenderedPageBreak/>
        <w:t xml:space="preserve">promotion strategies directed toward </w:t>
      </w:r>
      <w:r w:rsidR="00F1489E">
        <w:rPr>
          <w:color w:val="222222"/>
        </w:rPr>
        <w:t>women and older adults may attract back some of these individuals to public transportation (as discussed later)</w:t>
      </w:r>
      <w:r w:rsidR="00C72122">
        <w:rPr>
          <w:color w:val="222222"/>
        </w:rPr>
        <w:t xml:space="preserve">. </w:t>
      </w:r>
    </w:p>
    <w:p w14:paraId="270D93DC" w14:textId="5E4A4377" w:rsidR="002822A9" w:rsidRPr="00425F23" w:rsidRDefault="009F3FDA" w:rsidP="00C67E12">
      <w:pPr>
        <w:pStyle w:val="NormalWeb"/>
        <w:shd w:val="clear" w:color="auto" w:fill="FFFFFF"/>
        <w:spacing w:before="0" w:beforeAutospacing="0" w:after="0" w:afterAutospacing="0"/>
        <w:jc w:val="both"/>
        <w:rPr>
          <w:color w:val="222222"/>
        </w:rPr>
      </w:pPr>
      <w:r w:rsidRPr="00425F23">
        <w:rPr>
          <w:color w:val="222222"/>
        </w:rPr>
        <w:tab/>
      </w:r>
      <w:r w:rsidR="00A74293" w:rsidRPr="00425F23">
        <w:rPr>
          <w:color w:val="222222"/>
        </w:rPr>
        <w:t xml:space="preserve">Race and ethnicity </w:t>
      </w:r>
      <w:r w:rsidR="00A97818">
        <w:rPr>
          <w:color w:val="222222"/>
        </w:rPr>
        <w:t xml:space="preserve">also have a bearing on PT use change through the pandemic. Compared </w:t>
      </w:r>
      <w:r w:rsidR="00976939">
        <w:rPr>
          <w:color w:val="222222"/>
        </w:rPr>
        <w:t>with</w:t>
      </w:r>
      <w:r w:rsidR="00A97818">
        <w:rPr>
          <w:color w:val="222222"/>
        </w:rPr>
        <w:t xml:space="preserve"> non-Hispanic individuals, </w:t>
      </w:r>
      <w:r w:rsidR="002822A9" w:rsidRPr="00425F23">
        <w:rPr>
          <w:color w:val="222222"/>
        </w:rPr>
        <w:t>Hispanic respondents</w:t>
      </w:r>
      <w:r w:rsidR="009A76BE">
        <w:rPr>
          <w:color w:val="222222"/>
        </w:rPr>
        <w:t xml:space="preserve"> </w:t>
      </w:r>
      <w:r w:rsidR="002C3D2D">
        <w:rPr>
          <w:color w:val="222222"/>
        </w:rPr>
        <w:t xml:space="preserve">report a higher propensity </w:t>
      </w:r>
      <w:r w:rsidR="002822A9" w:rsidRPr="00425F23">
        <w:rPr>
          <w:color w:val="222222"/>
        </w:rPr>
        <w:t xml:space="preserve">to either take public transit less often than before the pandemic or more often, </w:t>
      </w:r>
      <w:r w:rsidR="002C3D2D">
        <w:rPr>
          <w:color w:val="222222"/>
        </w:rPr>
        <w:t xml:space="preserve">with a correspondingly lower propensity </w:t>
      </w:r>
      <w:r w:rsidR="002822A9" w:rsidRPr="00425F23">
        <w:rPr>
          <w:color w:val="222222"/>
        </w:rPr>
        <w:t>to maintain th</w:t>
      </w:r>
      <w:r w:rsidR="009A76BE">
        <w:rPr>
          <w:color w:val="222222"/>
        </w:rPr>
        <w:t xml:space="preserve">e </w:t>
      </w:r>
      <w:r w:rsidR="002822A9" w:rsidRPr="00425F23">
        <w:rPr>
          <w:color w:val="222222"/>
        </w:rPr>
        <w:t xml:space="preserve">same level of use. </w:t>
      </w:r>
      <w:r w:rsidR="009A76BE">
        <w:rPr>
          <w:color w:val="222222"/>
        </w:rPr>
        <w:t xml:space="preserve">A similar </w:t>
      </w:r>
      <w:r w:rsidR="002822A9" w:rsidRPr="00425F23">
        <w:rPr>
          <w:color w:val="222222"/>
        </w:rPr>
        <w:t>trend is evident for Black and Asian respondents</w:t>
      </w:r>
      <w:r w:rsidR="009A76BE">
        <w:rPr>
          <w:color w:val="222222"/>
        </w:rPr>
        <w:t xml:space="preserve"> relative to their white peers.</w:t>
      </w:r>
      <w:r w:rsidR="002822A9" w:rsidRPr="00425F23">
        <w:rPr>
          <w:color w:val="222222"/>
        </w:rPr>
        <w:t xml:space="preserve"> These results suggest that the pandemic caused a much larger disruption to the transportation habits of minority </w:t>
      </w:r>
      <w:r w:rsidR="009A76BE">
        <w:rPr>
          <w:color w:val="222222"/>
        </w:rPr>
        <w:t>ethnic/</w:t>
      </w:r>
      <w:r w:rsidR="002822A9" w:rsidRPr="00425F23">
        <w:rPr>
          <w:color w:val="222222"/>
        </w:rPr>
        <w:t>racial groups</w:t>
      </w:r>
      <w:r w:rsidR="009A76BE">
        <w:rPr>
          <w:color w:val="222222"/>
        </w:rPr>
        <w:t xml:space="preserve">. Also, important to note is that </w:t>
      </w:r>
      <w:r w:rsidR="00A73FD2">
        <w:rPr>
          <w:color w:val="222222"/>
        </w:rPr>
        <w:t xml:space="preserve">individuals belonging to </w:t>
      </w:r>
      <w:r w:rsidR="009A76BE">
        <w:rPr>
          <w:color w:val="222222"/>
        </w:rPr>
        <w:t xml:space="preserve">all these minority groups </w:t>
      </w:r>
      <w:r w:rsidR="002C3D2D">
        <w:rPr>
          <w:color w:val="222222"/>
        </w:rPr>
        <w:t xml:space="preserve">are more likely to report </w:t>
      </w:r>
      <w:r w:rsidR="009A76BE">
        <w:rPr>
          <w:color w:val="222222"/>
        </w:rPr>
        <w:t xml:space="preserve">a decline in PT use </w:t>
      </w:r>
      <w:r w:rsidR="002C3D2D">
        <w:rPr>
          <w:color w:val="222222"/>
        </w:rPr>
        <w:t xml:space="preserve">rather than </w:t>
      </w:r>
      <w:r w:rsidR="009A76BE">
        <w:rPr>
          <w:color w:val="222222"/>
        </w:rPr>
        <w:t>an increase in PT use (note the higher magnitudes of the parameters on these variables in the “less often than before” column compared to the “more often than before” column</w:t>
      </w:r>
      <w:r w:rsidR="00976939">
        <w:rPr>
          <w:color w:val="222222"/>
        </w:rPr>
        <w:t>)</w:t>
      </w:r>
      <w:r w:rsidR="009A76BE">
        <w:rPr>
          <w:color w:val="222222"/>
        </w:rPr>
        <w:t>.</w:t>
      </w:r>
      <w:r w:rsidR="00976939">
        <w:rPr>
          <w:color w:val="222222"/>
        </w:rPr>
        <w:t xml:space="preserve"> This net decline in PT use among minority groups post-COVID may be attributable to public transport service cuts after the onset of the pandemic, but also may be due to the perceived </w:t>
      </w:r>
      <w:r w:rsidR="002822A9" w:rsidRPr="00425F23">
        <w:rPr>
          <w:color w:val="222222"/>
        </w:rPr>
        <w:t xml:space="preserve">vulnerability </w:t>
      </w:r>
      <w:r w:rsidR="00976939">
        <w:rPr>
          <w:color w:val="222222"/>
        </w:rPr>
        <w:t xml:space="preserve">among minority groups </w:t>
      </w:r>
      <w:r w:rsidR="002822A9" w:rsidRPr="00425F23">
        <w:rPr>
          <w:color w:val="222222"/>
        </w:rPr>
        <w:t>in interactions with police</w:t>
      </w:r>
      <w:r w:rsidR="00CD1513">
        <w:rPr>
          <w:color w:val="222222"/>
        </w:rPr>
        <w:t xml:space="preserve"> </w:t>
      </w:r>
      <w:r w:rsidR="00146172">
        <w:rPr>
          <w:color w:val="222222"/>
        </w:rPr>
        <w:t xml:space="preserve">when </w:t>
      </w:r>
      <w:r w:rsidR="00976939">
        <w:rPr>
          <w:color w:val="222222"/>
        </w:rPr>
        <w:t>in relatively less-crowded PT spaces</w:t>
      </w:r>
      <w:r w:rsidR="004F58B6">
        <w:rPr>
          <w:color w:val="222222"/>
        </w:rPr>
        <w:t xml:space="preserve"> during and after the pandemic</w:t>
      </w:r>
      <w:r w:rsidR="00976939">
        <w:rPr>
          <w:color w:val="222222"/>
        </w:rPr>
        <w:t xml:space="preserve"> </w:t>
      </w:r>
      <w:r w:rsidR="002822A9" w:rsidRPr="00425F23">
        <w:rPr>
          <w:color w:val="222222"/>
        </w:rPr>
        <w:fldChar w:fldCharType="begin"/>
      </w:r>
      <w:r w:rsidR="005C565E">
        <w:rPr>
          <w:color w:val="222222"/>
        </w:rPr>
        <w:instrText xml:space="preserve"> ADDIN ZOTERO_ITEM CSL_CITATION {"citationID":"Wb1jhDvH","properties":{"formattedCitation":"(He et al., 2022)","plainCitation":"(He et al., 2022)","noteIndex":0},"citationItems":[{"id":38,"uris":["http://zotero.org/groups/5345474/items/WPRRIT7T"],"itemData":{"id":38,"type":"article-journal","abstract":"The Covid-19 pandemic has decimated public transit service across the United States and caused significant decreases in ridership. Little is known about the reasons for unevenness in pandemic-era mode shifts and the impacts of pandemic-related transit reductions on riders’ day-to-day lives. Using a national survey of U.S. transit riders (n = 500) conducted in fall 2020, this study examines changes in transit use since the pandemic began, the reasons for transit reductions, and the effects of reduced transit use and transit service on transit riders’ ability to meet their travel needs. The Covid-19 pandemic has exacerbated existing transportation burdens for those who have limited mobility options, those facing socioeconomic challenges, Hispanic or Latinx riders, and female, non-binary or genderqueer people. We close with recommendations for strengthening transit service for these groups in the long term as we recover from the pandemic.","container-title":"Transportation Research Part D: Transport and Environment","DOI":"10.1016/j.trd.2022.103217","ISSN":"1361-9209","journalAbbreviation":"Transportation Research Part D: Transport and Environment","page":"103217","source":"ScienceDirect","title":"Covid-19 pandemic impacts on essential transit riders: Findings from a U.S. Survey","title-short":"Covid-19 pandemic impacts on essential transit riders","URL":"https://www.sciencedirect.com/science/article/pii/S1361920922000475","volume":"105","author":[{"family":"He","given":"Qian"},{"family":"Rowangould","given":"Dana"},{"family":"Karner","given":"Alex"},{"family":"Palm","given":"Matthew"},{"family":"LaRue","given":"Seth"}],"accessed":{"date-parts":[["2024",1,17]]},"issued":{"date-parts":[["2022",4,1]]}}}],"schema":"https://github.com/citation-style-language/schema/raw/master/csl-citation.json"} </w:instrText>
      </w:r>
      <w:r w:rsidR="002822A9" w:rsidRPr="00425F23">
        <w:rPr>
          <w:color w:val="222222"/>
        </w:rPr>
        <w:fldChar w:fldCharType="separate"/>
      </w:r>
      <w:r w:rsidR="002822A9" w:rsidRPr="00425F23">
        <w:rPr>
          <w:noProof/>
          <w:color w:val="222222"/>
        </w:rPr>
        <w:t>(He et al., 2022)</w:t>
      </w:r>
      <w:r w:rsidR="002822A9" w:rsidRPr="00425F23">
        <w:rPr>
          <w:color w:val="222222"/>
        </w:rPr>
        <w:fldChar w:fldCharType="end"/>
      </w:r>
      <w:r w:rsidR="002822A9" w:rsidRPr="00425F23">
        <w:rPr>
          <w:color w:val="222222"/>
        </w:rPr>
        <w:t xml:space="preserve">. </w:t>
      </w:r>
      <w:r w:rsidR="00976939">
        <w:rPr>
          <w:color w:val="222222"/>
        </w:rPr>
        <w:t>Again, though, these minority groups do not indicate that the</w:t>
      </w:r>
      <w:r w:rsidR="005A4142">
        <w:rPr>
          <w:color w:val="222222"/>
        </w:rPr>
        <w:t xml:space="preserve"> decline in their PT use is any more permanent than their peers. In fact, </w:t>
      </w:r>
      <w:r w:rsidRPr="00425F23">
        <w:rPr>
          <w:color w:val="222222"/>
        </w:rPr>
        <w:t xml:space="preserve">Black individuals </w:t>
      </w:r>
      <w:r w:rsidR="005A4142">
        <w:rPr>
          <w:color w:val="222222"/>
        </w:rPr>
        <w:t xml:space="preserve">specifically indicate </w:t>
      </w:r>
      <w:r w:rsidR="00146172">
        <w:rPr>
          <w:color w:val="222222"/>
        </w:rPr>
        <w:t xml:space="preserve">that </w:t>
      </w:r>
      <w:r w:rsidR="005A4142">
        <w:rPr>
          <w:color w:val="222222"/>
        </w:rPr>
        <w:t xml:space="preserve">their PT use changes are only temporary. Taken together, and as with gender and age, these results </w:t>
      </w:r>
      <w:r w:rsidR="00146172">
        <w:rPr>
          <w:color w:val="222222"/>
        </w:rPr>
        <w:t xml:space="preserve">again </w:t>
      </w:r>
      <w:r w:rsidR="005A4142">
        <w:rPr>
          <w:color w:val="222222"/>
        </w:rPr>
        <w:t>suggest ample scope for re</w:t>
      </w:r>
      <w:r w:rsidR="00146172">
        <w:rPr>
          <w:color w:val="222222"/>
        </w:rPr>
        <w:t xml:space="preserve">viving </w:t>
      </w:r>
      <w:r w:rsidR="005A4142">
        <w:rPr>
          <w:color w:val="222222"/>
        </w:rPr>
        <w:t xml:space="preserve">PT </w:t>
      </w:r>
      <w:r w:rsidR="00146172">
        <w:rPr>
          <w:color w:val="222222"/>
        </w:rPr>
        <w:t>patronage</w:t>
      </w:r>
      <w:r w:rsidR="005A4142">
        <w:rPr>
          <w:color w:val="222222"/>
        </w:rPr>
        <w:t xml:space="preserve"> among minority groups, especially given that a higher share of individuals in these groups generally do not have personal vehicles in their households. </w:t>
      </w:r>
    </w:p>
    <w:p w14:paraId="1DF945F4" w14:textId="42276BC8" w:rsidR="009F3FDA" w:rsidRPr="00425F23" w:rsidRDefault="00B617AB" w:rsidP="00C67E12">
      <w:pPr>
        <w:pStyle w:val="NormalWeb"/>
        <w:shd w:val="clear" w:color="auto" w:fill="FFFFFF"/>
        <w:spacing w:before="0" w:beforeAutospacing="0" w:after="0" w:afterAutospacing="0"/>
        <w:ind w:firstLine="720"/>
        <w:jc w:val="both"/>
        <w:rPr>
          <w:color w:val="222222"/>
        </w:rPr>
      </w:pPr>
      <w:r w:rsidRPr="00425F23">
        <w:rPr>
          <w:color w:val="222222"/>
        </w:rPr>
        <w:t xml:space="preserve">Finally, </w:t>
      </w:r>
      <w:r w:rsidR="00D85696">
        <w:rPr>
          <w:color w:val="222222"/>
        </w:rPr>
        <w:t xml:space="preserve">individuals </w:t>
      </w:r>
      <w:r w:rsidR="00885AB4" w:rsidRPr="00425F23">
        <w:rPr>
          <w:color w:val="222222"/>
        </w:rPr>
        <w:t xml:space="preserve">without </w:t>
      </w:r>
      <w:r w:rsidR="00BC7C0F">
        <w:rPr>
          <w:color w:val="222222"/>
        </w:rPr>
        <w:t xml:space="preserve">a </w:t>
      </w:r>
      <w:r w:rsidR="00885AB4" w:rsidRPr="00425F23">
        <w:rPr>
          <w:color w:val="222222"/>
        </w:rPr>
        <w:t>driver’s license</w:t>
      </w:r>
      <w:r w:rsidR="001A38AF">
        <w:rPr>
          <w:color w:val="222222"/>
        </w:rPr>
        <w:t xml:space="preserve"> </w:t>
      </w:r>
      <w:r w:rsidR="00BC7C0F">
        <w:rPr>
          <w:color w:val="222222"/>
        </w:rPr>
        <w:t xml:space="preserve">have a higher tendency </w:t>
      </w:r>
      <w:r w:rsidR="001A38AF">
        <w:rPr>
          <w:color w:val="222222"/>
        </w:rPr>
        <w:t xml:space="preserve">relative to their peers </w:t>
      </w:r>
      <w:r w:rsidR="00BC7C0F">
        <w:rPr>
          <w:color w:val="222222"/>
        </w:rPr>
        <w:t xml:space="preserve">to </w:t>
      </w:r>
      <w:r w:rsidR="00885AB4" w:rsidRPr="00425F23">
        <w:rPr>
          <w:color w:val="222222"/>
        </w:rPr>
        <w:t>increase</w:t>
      </w:r>
      <w:r w:rsidR="00BC7C0F">
        <w:rPr>
          <w:color w:val="222222"/>
        </w:rPr>
        <w:t xml:space="preserve"> their</w:t>
      </w:r>
      <w:r w:rsidR="00885AB4" w:rsidRPr="00425F23">
        <w:rPr>
          <w:color w:val="222222"/>
        </w:rPr>
        <w:t xml:space="preserve"> </w:t>
      </w:r>
      <w:r w:rsidR="001A38AF">
        <w:rPr>
          <w:color w:val="222222"/>
        </w:rPr>
        <w:t xml:space="preserve">PT </w:t>
      </w:r>
      <w:r w:rsidR="00885AB4" w:rsidRPr="00425F23">
        <w:rPr>
          <w:color w:val="222222"/>
        </w:rPr>
        <w:t>us</w:t>
      </w:r>
      <w:r w:rsidR="001A38AF">
        <w:rPr>
          <w:color w:val="222222"/>
        </w:rPr>
        <w:t>e</w:t>
      </w:r>
      <w:r w:rsidR="00885AB4" w:rsidRPr="00425F23">
        <w:rPr>
          <w:color w:val="222222"/>
        </w:rPr>
        <w:t xml:space="preserve">, and these changes </w:t>
      </w:r>
      <w:r w:rsidR="00BC7C0F">
        <w:rPr>
          <w:color w:val="222222"/>
        </w:rPr>
        <w:t xml:space="preserve">tend </w:t>
      </w:r>
      <w:r w:rsidR="00885AB4" w:rsidRPr="00425F23">
        <w:rPr>
          <w:color w:val="222222"/>
        </w:rPr>
        <w:t xml:space="preserve">to be permanent. </w:t>
      </w:r>
      <w:r w:rsidR="00354E92">
        <w:rPr>
          <w:color w:val="222222"/>
        </w:rPr>
        <w:t>These</w:t>
      </w:r>
      <w:r w:rsidR="00BC7C0F">
        <w:rPr>
          <w:color w:val="222222"/>
        </w:rPr>
        <w:t xml:space="preserve"> </w:t>
      </w:r>
      <w:r w:rsidR="00DE0B8B" w:rsidRPr="00425F23">
        <w:rPr>
          <w:color w:val="222222"/>
        </w:rPr>
        <w:t>individuals</w:t>
      </w:r>
      <w:r w:rsidR="00BC7C0F">
        <w:rPr>
          <w:color w:val="222222"/>
        </w:rPr>
        <w:t xml:space="preserve"> are likely to have </w:t>
      </w:r>
      <w:r w:rsidR="00146172">
        <w:rPr>
          <w:color w:val="222222"/>
        </w:rPr>
        <w:t xml:space="preserve">used PT services </w:t>
      </w:r>
      <w:r w:rsidR="00BC7C0F">
        <w:rPr>
          <w:color w:val="222222"/>
        </w:rPr>
        <w:t>through</w:t>
      </w:r>
      <w:r w:rsidR="00DE0B8B" w:rsidRPr="00425F23">
        <w:rPr>
          <w:color w:val="222222"/>
        </w:rPr>
        <w:t xml:space="preserve"> the pandemic and </w:t>
      </w:r>
      <w:r w:rsidR="00BC7C0F">
        <w:rPr>
          <w:color w:val="222222"/>
        </w:rPr>
        <w:t xml:space="preserve">may have </w:t>
      </w:r>
      <w:r w:rsidR="00DE0B8B" w:rsidRPr="00425F23">
        <w:rPr>
          <w:color w:val="222222"/>
        </w:rPr>
        <w:t>learned strategies to maintain their safety and security</w:t>
      </w:r>
      <w:r w:rsidR="00F920E9">
        <w:rPr>
          <w:color w:val="222222"/>
        </w:rPr>
        <w:t xml:space="preserve">. </w:t>
      </w:r>
      <w:r w:rsidR="00203E73">
        <w:rPr>
          <w:color w:val="222222"/>
        </w:rPr>
        <w:t xml:space="preserve">Clearly, initiatives to provide </w:t>
      </w:r>
      <w:r w:rsidR="00BC7C0F">
        <w:rPr>
          <w:color w:val="222222"/>
        </w:rPr>
        <w:t xml:space="preserve">good </w:t>
      </w:r>
      <w:r w:rsidR="00203E73">
        <w:rPr>
          <w:color w:val="222222"/>
        </w:rPr>
        <w:t>PT services to this group of riders can</w:t>
      </w:r>
      <w:r w:rsidR="00BC7C0F">
        <w:rPr>
          <w:color w:val="222222"/>
        </w:rPr>
        <w:t xml:space="preserve"> </w:t>
      </w:r>
      <w:r w:rsidR="00203E73">
        <w:rPr>
          <w:color w:val="222222"/>
        </w:rPr>
        <w:t xml:space="preserve">help reduce overall traffic congestion and carbon emissions, </w:t>
      </w:r>
      <w:r w:rsidR="00BC7C0F">
        <w:rPr>
          <w:color w:val="222222"/>
        </w:rPr>
        <w:t xml:space="preserve">while also providing equitable transportation services. </w:t>
      </w:r>
    </w:p>
    <w:p w14:paraId="6EB1857F" w14:textId="77777777" w:rsidR="00C360BD" w:rsidRPr="00425F23" w:rsidRDefault="00C360BD" w:rsidP="00C67E12">
      <w:pPr>
        <w:pStyle w:val="NormalWeb"/>
        <w:shd w:val="clear" w:color="auto" w:fill="FFFFFF"/>
        <w:spacing w:before="0" w:beforeAutospacing="0" w:after="0" w:afterAutospacing="0"/>
        <w:jc w:val="both"/>
        <w:rPr>
          <w:color w:val="222222"/>
        </w:rPr>
      </w:pPr>
    </w:p>
    <w:p w14:paraId="5868CD22" w14:textId="2EC63BFF" w:rsidR="00C360BD" w:rsidRPr="00425F23" w:rsidRDefault="00C360BD" w:rsidP="00C67E12">
      <w:pPr>
        <w:pStyle w:val="NormalWeb"/>
        <w:shd w:val="clear" w:color="auto" w:fill="FFFFFF"/>
        <w:spacing w:before="0" w:beforeAutospacing="0" w:after="0" w:afterAutospacing="0"/>
        <w:jc w:val="both"/>
        <w:rPr>
          <w:b/>
          <w:bCs/>
          <w:color w:val="222222"/>
        </w:rPr>
      </w:pPr>
      <w:r w:rsidRPr="00425F23">
        <w:rPr>
          <w:b/>
          <w:bCs/>
          <w:color w:val="222222"/>
        </w:rPr>
        <w:t>4.</w:t>
      </w:r>
      <w:r w:rsidR="007310EF" w:rsidRPr="00425F23">
        <w:rPr>
          <w:b/>
          <w:bCs/>
          <w:color w:val="222222"/>
        </w:rPr>
        <w:t>1.</w:t>
      </w:r>
      <w:r w:rsidRPr="00425F23">
        <w:rPr>
          <w:b/>
          <w:bCs/>
          <w:color w:val="222222"/>
        </w:rPr>
        <w:t>2 Household Level Effects</w:t>
      </w:r>
    </w:p>
    <w:p w14:paraId="74619D04" w14:textId="7E01F3CA" w:rsidR="000A78C6" w:rsidRDefault="00B617AB" w:rsidP="00C67E12">
      <w:pPr>
        <w:pStyle w:val="NormalWeb"/>
        <w:shd w:val="clear" w:color="auto" w:fill="FFFFFF"/>
        <w:spacing w:before="0" w:beforeAutospacing="0" w:after="0" w:afterAutospacing="0"/>
        <w:jc w:val="both"/>
        <w:rPr>
          <w:color w:val="222222"/>
        </w:rPr>
        <w:sectPr w:rsidR="000A78C6" w:rsidSect="000A78C6">
          <w:pgSz w:w="12240" w:h="15840"/>
          <w:pgMar w:top="1440" w:right="1440" w:bottom="1440" w:left="1440" w:header="720" w:footer="720" w:gutter="0"/>
          <w:cols w:space="720"/>
          <w:titlePg/>
          <w:docGrid w:linePitch="360"/>
        </w:sectPr>
      </w:pPr>
      <w:r w:rsidRPr="00425F23">
        <w:rPr>
          <w:color w:val="222222"/>
        </w:rPr>
        <w:t xml:space="preserve">Moving on to the household-level characteristics, </w:t>
      </w:r>
      <w:r w:rsidR="00146172">
        <w:rPr>
          <w:color w:val="222222"/>
        </w:rPr>
        <w:t xml:space="preserve">the results in Table 3 reveal that </w:t>
      </w:r>
      <w:r w:rsidR="00B84C20">
        <w:rPr>
          <w:color w:val="222222"/>
        </w:rPr>
        <w:t xml:space="preserve">individuals with more adults in the household </w:t>
      </w:r>
      <w:r w:rsidR="00676E4B">
        <w:rPr>
          <w:color w:val="222222"/>
        </w:rPr>
        <w:t xml:space="preserve">and those in </w:t>
      </w:r>
      <w:r w:rsidR="00861B1E">
        <w:rPr>
          <w:color w:val="222222"/>
        </w:rPr>
        <w:t xml:space="preserve">households from “≥75k” annual income </w:t>
      </w:r>
      <w:r w:rsidR="00615213">
        <w:rPr>
          <w:color w:val="222222"/>
        </w:rPr>
        <w:t>are unlikely to increase their PT use</w:t>
      </w:r>
      <w:r w:rsidR="00861B1E">
        <w:rPr>
          <w:color w:val="222222"/>
        </w:rPr>
        <w:t xml:space="preserve"> relative to their peers</w:t>
      </w:r>
      <w:r w:rsidR="00615213">
        <w:rPr>
          <w:color w:val="222222"/>
        </w:rPr>
        <w:t xml:space="preserve">. </w:t>
      </w:r>
      <w:r w:rsidR="00B84C20">
        <w:rPr>
          <w:color w:val="222222"/>
        </w:rPr>
        <w:t xml:space="preserve">This is to be expected, as individuals </w:t>
      </w:r>
      <w:r w:rsidR="00615213">
        <w:rPr>
          <w:color w:val="222222"/>
        </w:rPr>
        <w:t xml:space="preserve">in large households </w:t>
      </w:r>
      <w:r w:rsidR="0002082D">
        <w:rPr>
          <w:color w:val="222222"/>
        </w:rPr>
        <w:t>must</w:t>
      </w:r>
      <w:r w:rsidR="00B84C20">
        <w:rPr>
          <w:color w:val="222222"/>
        </w:rPr>
        <w:t xml:space="preserve"> </w:t>
      </w:r>
      <w:r w:rsidRPr="00425F23">
        <w:rPr>
          <w:color w:val="222222"/>
        </w:rPr>
        <w:t xml:space="preserve">be more aware of </w:t>
      </w:r>
      <w:r w:rsidR="00B84C20">
        <w:rPr>
          <w:color w:val="222222"/>
        </w:rPr>
        <w:t>infection concerns</w:t>
      </w:r>
      <w:r w:rsidR="00615213">
        <w:rPr>
          <w:color w:val="222222"/>
        </w:rPr>
        <w:t xml:space="preserve"> </w:t>
      </w:r>
      <w:r w:rsidR="00B84C20">
        <w:rPr>
          <w:color w:val="222222"/>
        </w:rPr>
        <w:t>affect</w:t>
      </w:r>
      <w:r w:rsidR="00615213">
        <w:rPr>
          <w:color w:val="222222"/>
        </w:rPr>
        <w:t>ing</w:t>
      </w:r>
      <w:r w:rsidR="00B84C20">
        <w:rPr>
          <w:color w:val="222222"/>
        </w:rPr>
        <w:t xml:space="preserve"> the entire family</w:t>
      </w:r>
      <w:r w:rsidR="00615213">
        <w:rPr>
          <w:color w:val="222222"/>
        </w:rPr>
        <w:t xml:space="preserve">, and individuals in higher income households may have </w:t>
      </w:r>
      <w:r w:rsidR="00146172">
        <w:rPr>
          <w:color w:val="222222"/>
        </w:rPr>
        <w:t>elevated</w:t>
      </w:r>
      <w:r w:rsidR="00615213">
        <w:rPr>
          <w:color w:val="222222"/>
        </w:rPr>
        <w:t xml:space="preserve"> teleworking rates </w:t>
      </w:r>
      <w:r w:rsidR="00146172">
        <w:rPr>
          <w:color w:val="222222"/>
        </w:rPr>
        <w:t xml:space="preserve">in the post-COVID period </w:t>
      </w:r>
      <w:r w:rsidR="00AC7A04">
        <w:rPr>
          <w:color w:val="222222"/>
        </w:rPr>
        <w:fldChar w:fldCharType="begin"/>
      </w:r>
      <w:r w:rsidR="005C565E">
        <w:rPr>
          <w:color w:val="222222"/>
        </w:rPr>
        <w:instrText xml:space="preserve"> ADDIN ZOTERO_ITEM CSL_CITATION {"citationID":"2PhJ9PMV","properties":{"formattedCitation":"(Iogansen et al., 2024)","plainCitation":"(Iogansen et al., 2024)","dontUpdate":true,"noteIndex":0},"citationItems":[{"id":252,"uris":["http://zotero.org/groups/5345474/items/S94MGIYG"],"itemData":{"id":252,"type":"article-journal","abstract":"With two repeated cross-sectional datasets collected in Southern California, we investigate changes in work arrangement and commute trip generation across four timepoints before and during the COVID-19 pandemic: fall 2019 (recalled in fall 2020 retrospectively); fall 2020 and summer 2021 (reported at the moment); and summer 2022 (an expectation as of summer 2021 for a near future prospectively). Our results highlight a large shift from physical commutes to exclusively/predominantly remote work for many workers in fall 2020, followed by a transition towards hybrid work (combining in-person work and remote work) in summer 2021. The adoption of remote/hybrid work varied considerably across different types of workers and sociodemographic groups, prominently driven by high-income earners, highly educated individuals, urban residents, full-time workers, and those with white-collar, STEM (science, technology, engineering, and mathematics), and government jobs. As the pandemic subsides, many workers have returned to physical commutes for some of their workdays, but the prevalence of remote/hybrid work is expected to endure into the future. These findings confirm oft-discussed trends and anecdotal evidence in the study region. However, the study provides rigorous quantitative evidence into reasons behind these observations and heterogeneity across groups. We also suggest forward-looking policies to promote transportation equity, reimagine transportation options, and support public transit to adapt to the evolving travel patterns in the post-pandemic society.","container-title":"Transportation Research Interdisciplinary Perspectives","DOI":"10.1016/j.trip.2023.100969","ISSN":"2590-1982","journalAbbreviation":"Transportation Research Interdisciplinary Perspectives","page":"100969","source":"ScienceDirect","title":"Change in work arrangement during the COVID-19 pandemic: A large shift to remote and hybrid work","title-short":"Change in work arrangement during the COVID-19 pandemic","URL":"https://www.sciencedirect.com/science/article/pii/S2590198223002166","volume":"25","author":[{"family":"Iogansen","given":"Xiatian"},{"family":"Malik","given":"Jai K."},{"family":"Lee","given":"Yongsung"},{"family":"Circella","given":"Giovanni"}],"accessed":{"date-parts":[["2024",5,15]]},"issued":{"date-parts":[["2024",5,1]]}}}],"schema":"https://github.com/citation-style-language/schema/raw/master/csl-citation.json"} </w:instrText>
      </w:r>
      <w:r w:rsidR="00AC7A04">
        <w:rPr>
          <w:color w:val="222222"/>
        </w:rPr>
        <w:fldChar w:fldCharType="separate"/>
      </w:r>
      <w:r w:rsidR="00AC7A04">
        <w:rPr>
          <w:noProof/>
          <w:color w:val="222222"/>
        </w:rPr>
        <w:t>(see Iogansen et al., 2024)</w:t>
      </w:r>
      <w:r w:rsidR="00AC7A04">
        <w:rPr>
          <w:color w:val="222222"/>
        </w:rPr>
        <w:fldChar w:fldCharType="end"/>
      </w:r>
      <w:r w:rsidR="00615213">
        <w:rPr>
          <w:color w:val="222222"/>
        </w:rPr>
        <w:t>. Individuals in the highest income bracket (&gt;150</w:t>
      </w:r>
      <w:r w:rsidR="00CD1513">
        <w:rPr>
          <w:color w:val="222222"/>
        </w:rPr>
        <w:t>k</w:t>
      </w:r>
      <w:r w:rsidR="00615213">
        <w:rPr>
          <w:color w:val="222222"/>
        </w:rPr>
        <w:t xml:space="preserve"> annually) </w:t>
      </w:r>
      <w:r w:rsidR="00B64C03">
        <w:rPr>
          <w:color w:val="222222"/>
        </w:rPr>
        <w:t>also state that their move away from PT use is permanent</w:t>
      </w:r>
      <w:r w:rsidR="00B84C20">
        <w:rPr>
          <w:color w:val="222222"/>
        </w:rPr>
        <w:t xml:space="preserve">. On the other hand, individuals with children in the </w:t>
      </w:r>
      <w:r w:rsidR="00DE0B8B" w:rsidRPr="00425F23">
        <w:rPr>
          <w:color w:val="222222"/>
        </w:rPr>
        <w:t>household</w:t>
      </w:r>
      <w:r w:rsidR="00B84C20">
        <w:rPr>
          <w:color w:val="222222"/>
        </w:rPr>
        <w:t xml:space="preserve"> </w:t>
      </w:r>
      <w:r w:rsidR="00200759">
        <w:rPr>
          <w:color w:val="222222"/>
        </w:rPr>
        <w:t xml:space="preserve">are </w:t>
      </w:r>
      <w:r w:rsidR="00861B1E">
        <w:rPr>
          <w:color w:val="222222"/>
        </w:rPr>
        <w:t xml:space="preserve">most likely to remain at their before-COVID state, </w:t>
      </w:r>
      <w:r w:rsidR="00DE0B8B" w:rsidRPr="00425F23">
        <w:rPr>
          <w:color w:val="222222"/>
        </w:rPr>
        <w:t>us</w:t>
      </w:r>
      <w:r w:rsidR="00861B1E">
        <w:rPr>
          <w:color w:val="222222"/>
        </w:rPr>
        <w:t>ing</w:t>
      </w:r>
      <w:r w:rsidR="00DE0B8B" w:rsidRPr="00425F23">
        <w:rPr>
          <w:color w:val="222222"/>
        </w:rPr>
        <w:t xml:space="preserve"> </w:t>
      </w:r>
      <w:r w:rsidR="00146172">
        <w:rPr>
          <w:color w:val="222222"/>
        </w:rPr>
        <w:t xml:space="preserve">public transportation </w:t>
      </w:r>
      <w:r w:rsidR="00DE0B8B" w:rsidRPr="00425F23">
        <w:rPr>
          <w:color w:val="222222"/>
        </w:rPr>
        <w:t>t</w:t>
      </w:r>
      <w:r w:rsidR="006F5198">
        <w:rPr>
          <w:color w:val="222222"/>
        </w:rPr>
        <w:t xml:space="preserve">o the same extent </w:t>
      </w:r>
      <w:r w:rsidR="00DE0B8B" w:rsidRPr="00425F23">
        <w:rPr>
          <w:color w:val="222222"/>
        </w:rPr>
        <w:t>as they did before the pandemi</w:t>
      </w:r>
      <w:r w:rsidR="00200759">
        <w:rPr>
          <w:color w:val="222222"/>
        </w:rPr>
        <w:t>c</w:t>
      </w:r>
      <w:r w:rsidR="00861B1E">
        <w:rPr>
          <w:color w:val="222222"/>
        </w:rPr>
        <w:t xml:space="preserve"> (notice the negative coefficients for the “less often than before” and “more often than before” alternatives</w:t>
      </w:r>
      <w:r w:rsidR="001F6ECB">
        <w:rPr>
          <w:color w:val="222222"/>
        </w:rPr>
        <w:t xml:space="preserve"> in Table 3, relative to the base category of</w:t>
      </w:r>
      <w:r w:rsidR="00D0142A">
        <w:rPr>
          <w:color w:val="222222"/>
        </w:rPr>
        <w:t xml:space="preserve"> </w:t>
      </w:r>
      <w:r w:rsidR="001F6ECB">
        <w:rPr>
          <w:color w:val="222222"/>
        </w:rPr>
        <w:t>“same as before”)</w:t>
      </w:r>
      <w:r w:rsidR="00200759">
        <w:rPr>
          <w:color w:val="222222"/>
        </w:rPr>
        <w:t xml:space="preserve">. This </w:t>
      </w:r>
      <w:r w:rsidR="00146172">
        <w:rPr>
          <w:color w:val="222222"/>
        </w:rPr>
        <w:t xml:space="preserve">last result </w:t>
      </w:r>
      <w:r w:rsidR="00200759">
        <w:rPr>
          <w:color w:val="222222"/>
        </w:rPr>
        <w:t xml:space="preserve">may </w:t>
      </w:r>
      <w:r w:rsidR="006F5198">
        <w:rPr>
          <w:color w:val="222222"/>
        </w:rPr>
        <w:t xml:space="preserve">be explained by </w:t>
      </w:r>
      <w:r w:rsidR="00146172">
        <w:rPr>
          <w:color w:val="222222"/>
        </w:rPr>
        <w:t xml:space="preserve">the </w:t>
      </w:r>
      <w:r w:rsidR="006F5198">
        <w:rPr>
          <w:color w:val="222222"/>
        </w:rPr>
        <w:t xml:space="preserve">relatively </w:t>
      </w:r>
      <w:r w:rsidR="00146172">
        <w:rPr>
          <w:color w:val="222222"/>
        </w:rPr>
        <w:t xml:space="preserve">consistent </w:t>
      </w:r>
      <w:r w:rsidR="00200759">
        <w:rPr>
          <w:color w:val="222222"/>
        </w:rPr>
        <w:t xml:space="preserve">transit dependency </w:t>
      </w:r>
      <w:r w:rsidR="006F5198">
        <w:rPr>
          <w:color w:val="222222"/>
        </w:rPr>
        <w:t xml:space="preserve">over time </w:t>
      </w:r>
      <w:r w:rsidR="001A38AF">
        <w:rPr>
          <w:color w:val="222222"/>
        </w:rPr>
        <w:t xml:space="preserve">of individuals </w:t>
      </w:r>
      <w:r w:rsidR="006F5198">
        <w:rPr>
          <w:color w:val="222222"/>
        </w:rPr>
        <w:t xml:space="preserve">in households with children, </w:t>
      </w:r>
      <w:r w:rsidR="00200759">
        <w:rPr>
          <w:color w:val="222222"/>
        </w:rPr>
        <w:t xml:space="preserve">due to </w:t>
      </w:r>
      <w:r w:rsidR="00DE0B8B" w:rsidRPr="00425F23">
        <w:rPr>
          <w:color w:val="222222"/>
        </w:rPr>
        <w:t xml:space="preserve">the variety </w:t>
      </w:r>
      <w:r w:rsidR="001A38AF">
        <w:rPr>
          <w:color w:val="222222"/>
        </w:rPr>
        <w:t>in</w:t>
      </w:r>
      <w:r w:rsidR="00DE0B8B" w:rsidRPr="00425F23">
        <w:rPr>
          <w:color w:val="222222"/>
        </w:rPr>
        <w:t xml:space="preserve"> travel needs of both children and parents,</w:t>
      </w:r>
      <w:r w:rsidR="00200759">
        <w:rPr>
          <w:color w:val="222222"/>
        </w:rPr>
        <w:t xml:space="preserve"> </w:t>
      </w:r>
      <w:r w:rsidR="00DE0B8B" w:rsidRPr="00425F23">
        <w:rPr>
          <w:color w:val="222222"/>
        </w:rPr>
        <w:t>ma</w:t>
      </w:r>
      <w:r w:rsidR="00200759">
        <w:rPr>
          <w:color w:val="222222"/>
        </w:rPr>
        <w:t>king</w:t>
      </w:r>
      <w:r w:rsidR="00DE0B8B" w:rsidRPr="00425F23">
        <w:rPr>
          <w:color w:val="222222"/>
        </w:rPr>
        <w:t xml:space="preserve"> </w:t>
      </w:r>
      <w:r w:rsidR="00200759">
        <w:rPr>
          <w:color w:val="222222"/>
        </w:rPr>
        <w:t>travel mode changes less likely</w:t>
      </w:r>
      <w:r w:rsidR="00DE0B8B" w:rsidRPr="00425F23">
        <w:rPr>
          <w:color w:val="222222"/>
        </w:rPr>
        <w:t xml:space="preserve"> </w:t>
      </w:r>
      <w:r w:rsidR="00DE0B8B" w:rsidRPr="00425F23">
        <w:rPr>
          <w:color w:val="222222"/>
        </w:rPr>
        <w:fldChar w:fldCharType="begin"/>
      </w:r>
      <w:r w:rsidR="005C565E">
        <w:rPr>
          <w:color w:val="222222"/>
        </w:rPr>
        <w:instrText xml:space="preserve"> ADDIN ZOTERO_ITEM CSL_CITATION {"citationID":"2tUWPMLm","properties":{"formattedCitation":"(Barthelmes et al., 2023)","plainCitation":"(Barthelmes et al., 2023)","noteIndex":0},"citationItems":[{"id":232,"uris":["http://zotero.org/groups/5345474/items/TEUXYZBW"],"itemData":{"id":232,"type":"article-journal","abstract":"The role of public transit (PT) is increasingly important in large cities from the perspective of transport planning as the population in urban areas worldwide is growing continuously. A well-developed PT, working as a mass transport mode, is needed to satisfy peoples’ mobility requirements. Hence, the aim of this study was to investigate factors influencing people to use or not to use PT in Berlin (Germany) in order to derive measures for a more attractive PT. In contrast to other studies we aimed at a holistic approach considering sociodemographic, spatial-structural as well as psychological characteristics of individuals. The research used data that was collected in Berlin applying the innovative survey design of a travel skeleton. Hereby, a total of 600 respondents provided information on their everyday travel behavior and their attitudes towards PT. Based on a factor analysis autonomy and public transit privacy were extracted from the psychological item set as latent variables. Together with sociodemographic and spatial-structural characteristics the latent variables were integrated in an ordered hybrid choice model. We found that particularly autonomy strongly affects the use of PT while public transit privacy plays a minor role in Berlin. In addition, we see that living in high dense urban areas leads to a lower use of PT.","container-title":"AIP Conference Proceedings","DOI":"10.1063/5.0170513","ISSN":"0094-243X","issue":"1","journalAbbreviation":"AIP Conference Proceedings","page":"190002","source":"Silverchair","title":"Insights into public transit use in Berlin – The role of autonomy and public transit privacy","URL":"https://doi.org/10.1063/5.0170513","volume":"2928","author":[{"family":"Barthelmes","given":"Lukas"},{"family":"Behren","given":"Sascha","dropping-particle":"von"},{"family":"Magdolen","given":"Miriam"},{"family":"Soylu","given":"Tamer"},{"family":"Chlond","given":"Bastian"},{"family":"Kagerbauer","given":"Martin"}],"accessed":{"date-parts":[["2024",5,10]]},"issued":{"date-parts":[["2023",9,27]]}}}],"schema":"https://github.com/citation-style-language/schema/raw/master/csl-citation.json"} </w:instrText>
      </w:r>
      <w:r w:rsidR="00DE0B8B" w:rsidRPr="00425F23">
        <w:rPr>
          <w:color w:val="222222"/>
        </w:rPr>
        <w:fldChar w:fldCharType="separate"/>
      </w:r>
      <w:r w:rsidR="00DE0B8B" w:rsidRPr="00425F23">
        <w:rPr>
          <w:noProof/>
          <w:color w:val="222222"/>
        </w:rPr>
        <w:t>(Barthelmes et al., 2023)</w:t>
      </w:r>
      <w:r w:rsidR="00DE0B8B" w:rsidRPr="00425F23">
        <w:rPr>
          <w:color w:val="222222"/>
        </w:rPr>
        <w:fldChar w:fldCharType="end"/>
      </w:r>
      <w:r w:rsidR="00DE0B8B" w:rsidRPr="00425F23">
        <w:rPr>
          <w:color w:val="222222"/>
        </w:rPr>
        <w:t xml:space="preserve">.  </w:t>
      </w:r>
    </w:p>
    <w:p w14:paraId="5EE88D67" w14:textId="74ACFE75" w:rsidR="000A78C6" w:rsidRPr="00C67E12" w:rsidRDefault="000A78C6" w:rsidP="00C67E12">
      <w:pPr>
        <w:pStyle w:val="NormalWeb"/>
        <w:shd w:val="clear" w:color="auto" w:fill="FFFFFF"/>
        <w:spacing w:before="0" w:beforeAutospacing="0" w:after="120" w:afterAutospacing="0" w:line="235" w:lineRule="atLeast"/>
        <w:rPr>
          <w:b/>
          <w:bCs/>
          <w:color w:val="222222"/>
        </w:rPr>
      </w:pPr>
      <w:r w:rsidRPr="000A78C6">
        <w:rPr>
          <w:b/>
          <w:bCs/>
          <w:color w:val="222222"/>
        </w:rPr>
        <w:lastRenderedPageBreak/>
        <w:t>Table 3 - COVID-era Impacts on Public Transit Use</w:t>
      </w:r>
    </w:p>
    <w:tbl>
      <w:tblPr>
        <w:tblW w:w="12590" w:type="dxa"/>
        <w:tblLayout w:type="fixed"/>
        <w:tblLook w:val="04A0" w:firstRow="1" w:lastRow="0" w:firstColumn="1" w:lastColumn="0" w:noHBand="0" w:noVBand="1"/>
      </w:tblPr>
      <w:tblGrid>
        <w:gridCol w:w="3980"/>
        <w:gridCol w:w="1435"/>
        <w:gridCol w:w="1435"/>
        <w:gridCol w:w="1435"/>
        <w:gridCol w:w="1435"/>
        <w:gridCol w:w="1435"/>
        <w:gridCol w:w="1435"/>
      </w:tblGrid>
      <w:tr w:rsidR="000A78C6" w:rsidRPr="00425F23" w14:paraId="45F14CC3" w14:textId="77777777" w:rsidTr="007D0895">
        <w:trPr>
          <w:trHeight w:val="68"/>
        </w:trPr>
        <w:tc>
          <w:tcPr>
            <w:tcW w:w="39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A857E70" w14:textId="77777777" w:rsidR="000A78C6" w:rsidRPr="00425F23" w:rsidRDefault="000A78C6" w:rsidP="005C565E">
            <w:pPr>
              <w:jc w:val="center"/>
              <w:rPr>
                <w:b/>
                <w:bCs/>
                <w:color w:val="000000"/>
                <w:sz w:val="20"/>
                <w:szCs w:val="20"/>
              </w:rPr>
            </w:pPr>
            <w:r w:rsidRPr="00425F23">
              <w:rPr>
                <w:b/>
                <w:bCs/>
                <w:color w:val="000000"/>
                <w:sz w:val="20"/>
                <w:szCs w:val="20"/>
              </w:rPr>
              <w:t>Exogenous Variables (base category)</w:t>
            </w:r>
          </w:p>
        </w:tc>
        <w:tc>
          <w:tcPr>
            <w:tcW w:w="287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E50563F" w14:textId="77777777" w:rsidR="000A78C6" w:rsidRPr="00425F23" w:rsidRDefault="000A78C6" w:rsidP="005C565E">
            <w:pPr>
              <w:jc w:val="center"/>
              <w:rPr>
                <w:b/>
                <w:bCs/>
                <w:color w:val="000000"/>
                <w:sz w:val="20"/>
                <w:szCs w:val="20"/>
              </w:rPr>
            </w:pPr>
            <w:r w:rsidRPr="00425F23">
              <w:rPr>
                <w:b/>
                <w:bCs/>
                <w:color w:val="000000"/>
                <w:sz w:val="20"/>
                <w:szCs w:val="20"/>
              </w:rPr>
              <w:t>Use Less Often Than Before</w:t>
            </w:r>
          </w:p>
        </w:tc>
        <w:tc>
          <w:tcPr>
            <w:tcW w:w="287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B097445" w14:textId="77777777" w:rsidR="000A78C6" w:rsidRPr="00425F23" w:rsidRDefault="000A78C6" w:rsidP="005C565E">
            <w:pPr>
              <w:jc w:val="center"/>
              <w:rPr>
                <w:b/>
                <w:bCs/>
                <w:color w:val="000000"/>
                <w:sz w:val="20"/>
                <w:szCs w:val="20"/>
              </w:rPr>
            </w:pPr>
            <w:r w:rsidRPr="00425F23">
              <w:rPr>
                <w:b/>
                <w:bCs/>
                <w:color w:val="000000"/>
                <w:sz w:val="20"/>
                <w:szCs w:val="20"/>
              </w:rPr>
              <w:t>Use More Often Than Before</w:t>
            </w:r>
          </w:p>
        </w:tc>
        <w:tc>
          <w:tcPr>
            <w:tcW w:w="287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4BE5C8C" w14:textId="77777777" w:rsidR="000A78C6" w:rsidRPr="00425F23" w:rsidRDefault="000A78C6" w:rsidP="005C565E">
            <w:pPr>
              <w:jc w:val="center"/>
              <w:rPr>
                <w:b/>
                <w:bCs/>
                <w:color w:val="000000"/>
                <w:sz w:val="20"/>
                <w:szCs w:val="20"/>
              </w:rPr>
            </w:pPr>
            <w:r w:rsidRPr="00425F23">
              <w:rPr>
                <w:b/>
                <w:bCs/>
                <w:color w:val="000000"/>
                <w:sz w:val="20"/>
                <w:szCs w:val="20"/>
              </w:rPr>
              <w:t>Permanence of Change</w:t>
            </w:r>
          </w:p>
        </w:tc>
      </w:tr>
      <w:tr w:rsidR="000A78C6" w:rsidRPr="00425F23" w14:paraId="00F02A06" w14:textId="77777777" w:rsidTr="007D0895">
        <w:trPr>
          <w:trHeight w:val="68"/>
        </w:trPr>
        <w:tc>
          <w:tcPr>
            <w:tcW w:w="3980" w:type="dxa"/>
            <w:vMerge/>
            <w:tcBorders>
              <w:top w:val="single" w:sz="8" w:space="0" w:color="auto"/>
              <w:left w:val="single" w:sz="8" w:space="0" w:color="auto"/>
              <w:bottom w:val="single" w:sz="8" w:space="0" w:color="000000"/>
              <w:right w:val="single" w:sz="8" w:space="0" w:color="auto"/>
            </w:tcBorders>
            <w:vAlign w:val="center"/>
            <w:hideMark/>
          </w:tcPr>
          <w:p w14:paraId="551AAFE0" w14:textId="77777777" w:rsidR="000A78C6" w:rsidRPr="00425F23" w:rsidRDefault="000A78C6" w:rsidP="005C565E">
            <w:pPr>
              <w:rPr>
                <w:b/>
                <w:bCs/>
                <w:color w:val="000000"/>
                <w:sz w:val="20"/>
                <w:szCs w:val="20"/>
              </w:rPr>
            </w:pPr>
          </w:p>
        </w:tc>
        <w:tc>
          <w:tcPr>
            <w:tcW w:w="1435" w:type="dxa"/>
            <w:tcBorders>
              <w:top w:val="nil"/>
              <w:left w:val="nil"/>
              <w:bottom w:val="nil"/>
              <w:right w:val="nil"/>
            </w:tcBorders>
            <w:shd w:val="clear" w:color="auto" w:fill="auto"/>
            <w:noWrap/>
            <w:vAlign w:val="center"/>
            <w:hideMark/>
          </w:tcPr>
          <w:p w14:paraId="7BDA18CF" w14:textId="77777777" w:rsidR="000A78C6" w:rsidRPr="00425F23" w:rsidRDefault="000A78C6" w:rsidP="005C565E">
            <w:pPr>
              <w:jc w:val="center"/>
              <w:rPr>
                <w:color w:val="000000"/>
                <w:sz w:val="20"/>
                <w:szCs w:val="20"/>
              </w:rPr>
            </w:pPr>
            <w:r w:rsidRPr="00425F23">
              <w:rPr>
                <w:color w:val="000000"/>
                <w:sz w:val="20"/>
                <w:szCs w:val="20"/>
              </w:rPr>
              <w:t>Coeff.</w:t>
            </w:r>
          </w:p>
        </w:tc>
        <w:tc>
          <w:tcPr>
            <w:tcW w:w="1435" w:type="dxa"/>
            <w:tcBorders>
              <w:top w:val="nil"/>
              <w:left w:val="single" w:sz="8" w:space="0" w:color="auto"/>
              <w:bottom w:val="nil"/>
              <w:right w:val="single" w:sz="8" w:space="0" w:color="auto"/>
            </w:tcBorders>
            <w:shd w:val="clear" w:color="auto" w:fill="auto"/>
            <w:noWrap/>
            <w:vAlign w:val="center"/>
            <w:hideMark/>
          </w:tcPr>
          <w:p w14:paraId="78F6C7BD" w14:textId="77777777" w:rsidR="000A78C6" w:rsidRPr="00425F23" w:rsidRDefault="000A78C6" w:rsidP="005C565E">
            <w:pPr>
              <w:jc w:val="center"/>
              <w:rPr>
                <w:color w:val="000000"/>
                <w:sz w:val="20"/>
                <w:szCs w:val="20"/>
              </w:rPr>
            </w:pPr>
            <w:r w:rsidRPr="00425F23">
              <w:rPr>
                <w:color w:val="000000"/>
                <w:sz w:val="20"/>
                <w:szCs w:val="20"/>
              </w:rPr>
              <w:t>T-Stat</w:t>
            </w:r>
          </w:p>
        </w:tc>
        <w:tc>
          <w:tcPr>
            <w:tcW w:w="1435" w:type="dxa"/>
            <w:tcBorders>
              <w:top w:val="nil"/>
              <w:left w:val="nil"/>
              <w:bottom w:val="nil"/>
              <w:right w:val="nil"/>
            </w:tcBorders>
            <w:shd w:val="clear" w:color="auto" w:fill="auto"/>
            <w:noWrap/>
            <w:vAlign w:val="center"/>
            <w:hideMark/>
          </w:tcPr>
          <w:p w14:paraId="2E599852" w14:textId="77777777" w:rsidR="000A78C6" w:rsidRPr="00425F23" w:rsidRDefault="000A78C6" w:rsidP="005C565E">
            <w:pPr>
              <w:jc w:val="center"/>
              <w:rPr>
                <w:color w:val="000000"/>
                <w:sz w:val="20"/>
                <w:szCs w:val="20"/>
              </w:rPr>
            </w:pPr>
            <w:r w:rsidRPr="00425F23">
              <w:rPr>
                <w:color w:val="000000"/>
                <w:sz w:val="20"/>
                <w:szCs w:val="20"/>
              </w:rPr>
              <w:t>Coeff.</w:t>
            </w:r>
          </w:p>
        </w:tc>
        <w:tc>
          <w:tcPr>
            <w:tcW w:w="1435" w:type="dxa"/>
            <w:tcBorders>
              <w:top w:val="nil"/>
              <w:left w:val="single" w:sz="8" w:space="0" w:color="auto"/>
              <w:bottom w:val="nil"/>
              <w:right w:val="single" w:sz="8" w:space="0" w:color="auto"/>
            </w:tcBorders>
            <w:shd w:val="clear" w:color="auto" w:fill="auto"/>
            <w:noWrap/>
            <w:vAlign w:val="center"/>
            <w:hideMark/>
          </w:tcPr>
          <w:p w14:paraId="3E35429A" w14:textId="77777777" w:rsidR="000A78C6" w:rsidRPr="00425F23" w:rsidRDefault="000A78C6" w:rsidP="005C565E">
            <w:pPr>
              <w:jc w:val="center"/>
              <w:rPr>
                <w:color w:val="000000"/>
                <w:sz w:val="20"/>
                <w:szCs w:val="20"/>
              </w:rPr>
            </w:pPr>
            <w:r w:rsidRPr="00425F23">
              <w:rPr>
                <w:color w:val="000000"/>
                <w:sz w:val="20"/>
                <w:szCs w:val="20"/>
              </w:rPr>
              <w:t>T-Stat</w:t>
            </w:r>
          </w:p>
        </w:tc>
        <w:tc>
          <w:tcPr>
            <w:tcW w:w="1435" w:type="dxa"/>
            <w:tcBorders>
              <w:top w:val="nil"/>
              <w:left w:val="nil"/>
              <w:bottom w:val="nil"/>
              <w:right w:val="single" w:sz="8" w:space="0" w:color="auto"/>
            </w:tcBorders>
            <w:shd w:val="clear" w:color="auto" w:fill="auto"/>
            <w:noWrap/>
            <w:vAlign w:val="center"/>
            <w:hideMark/>
          </w:tcPr>
          <w:p w14:paraId="1C48EC5C" w14:textId="77777777" w:rsidR="000A78C6" w:rsidRPr="00425F23" w:rsidRDefault="000A78C6" w:rsidP="005C565E">
            <w:pPr>
              <w:jc w:val="center"/>
              <w:rPr>
                <w:color w:val="000000"/>
                <w:sz w:val="20"/>
                <w:szCs w:val="20"/>
              </w:rPr>
            </w:pPr>
            <w:r w:rsidRPr="00425F23">
              <w:rPr>
                <w:color w:val="000000"/>
                <w:sz w:val="20"/>
                <w:szCs w:val="20"/>
              </w:rPr>
              <w:t>Coeff.</w:t>
            </w:r>
          </w:p>
        </w:tc>
        <w:tc>
          <w:tcPr>
            <w:tcW w:w="1435" w:type="dxa"/>
            <w:tcBorders>
              <w:top w:val="nil"/>
              <w:left w:val="nil"/>
              <w:bottom w:val="nil"/>
              <w:right w:val="single" w:sz="8" w:space="0" w:color="auto"/>
            </w:tcBorders>
            <w:shd w:val="clear" w:color="auto" w:fill="auto"/>
            <w:noWrap/>
            <w:vAlign w:val="center"/>
            <w:hideMark/>
          </w:tcPr>
          <w:p w14:paraId="34A033CE" w14:textId="77777777" w:rsidR="000A78C6" w:rsidRPr="00425F23" w:rsidRDefault="000A78C6" w:rsidP="005C565E">
            <w:pPr>
              <w:jc w:val="center"/>
              <w:rPr>
                <w:color w:val="000000"/>
                <w:sz w:val="20"/>
                <w:szCs w:val="20"/>
              </w:rPr>
            </w:pPr>
            <w:r w:rsidRPr="00425F23">
              <w:rPr>
                <w:color w:val="000000"/>
                <w:sz w:val="20"/>
                <w:szCs w:val="20"/>
              </w:rPr>
              <w:t>T-Stat</w:t>
            </w:r>
          </w:p>
        </w:tc>
      </w:tr>
      <w:tr w:rsidR="000A78C6" w:rsidRPr="00425F23" w14:paraId="435C86E2" w14:textId="77777777" w:rsidTr="007D0895">
        <w:trPr>
          <w:trHeight w:val="68"/>
        </w:trPr>
        <w:tc>
          <w:tcPr>
            <w:tcW w:w="3980" w:type="dxa"/>
            <w:tcBorders>
              <w:top w:val="nil"/>
              <w:left w:val="single" w:sz="8" w:space="0" w:color="auto"/>
              <w:bottom w:val="nil"/>
              <w:right w:val="nil"/>
            </w:tcBorders>
            <w:shd w:val="clear" w:color="auto" w:fill="auto"/>
            <w:noWrap/>
            <w:vAlign w:val="center"/>
            <w:hideMark/>
          </w:tcPr>
          <w:p w14:paraId="1888E6E6" w14:textId="77777777" w:rsidR="000A78C6" w:rsidRPr="00425F23" w:rsidRDefault="000A78C6" w:rsidP="005C565E">
            <w:pPr>
              <w:rPr>
                <w:b/>
                <w:bCs/>
                <w:i/>
                <w:iCs/>
                <w:color w:val="000000"/>
                <w:sz w:val="20"/>
                <w:szCs w:val="20"/>
                <w:u w:val="single"/>
              </w:rPr>
            </w:pPr>
            <w:r w:rsidRPr="00425F23">
              <w:rPr>
                <w:b/>
                <w:bCs/>
                <w:i/>
                <w:iCs/>
                <w:color w:val="000000"/>
                <w:sz w:val="20"/>
                <w:szCs w:val="20"/>
                <w:u w:val="single"/>
              </w:rPr>
              <w:t>Individual-Level Demographics</w:t>
            </w:r>
          </w:p>
        </w:tc>
        <w:tc>
          <w:tcPr>
            <w:tcW w:w="1435" w:type="dxa"/>
            <w:tcBorders>
              <w:top w:val="single" w:sz="8" w:space="0" w:color="auto"/>
              <w:left w:val="single" w:sz="8" w:space="0" w:color="auto"/>
              <w:bottom w:val="nil"/>
              <w:right w:val="nil"/>
            </w:tcBorders>
            <w:shd w:val="clear" w:color="auto" w:fill="auto"/>
            <w:noWrap/>
            <w:vAlign w:val="center"/>
            <w:hideMark/>
          </w:tcPr>
          <w:p w14:paraId="570EBA4E"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single" w:sz="8" w:space="0" w:color="auto"/>
              <w:left w:val="single" w:sz="8" w:space="0" w:color="auto"/>
              <w:bottom w:val="nil"/>
              <w:right w:val="single" w:sz="8" w:space="0" w:color="auto"/>
            </w:tcBorders>
            <w:shd w:val="clear" w:color="auto" w:fill="auto"/>
            <w:noWrap/>
            <w:vAlign w:val="center"/>
            <w:hideMark/>
          </w:tcPr>
          <w:p w14:paraId="6B0E22E1"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single" w:sz="8" w:space="0" w:color="auto"/>
              <w:left w:val="nil"/>
              <w:bottom w:val="nil"/>
              <w:right w:val="single" w:sz="8" w:space="0" w:color="auto"/>
            </w:tcBorders>
            <w:shd w:val="clear" w:color="auto" w:fill="auto"/>
            <w:noWrap/>
            <w:vAlign w:val="center"/>
            <w:hideMark/>
          </w:tcPr>
          <w:p w14:paraId="185D007C"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single" w:sz="8" w:space="0" w:color="auto"/>
              <w:left w:val="nil"/>
              <w:bottom w:val="nil"/>
              <w:right w:val="single" w:sz="8" w:space="0" w:color="auto"/>
            </w:tcBorders>
            <w:shd w:val="clear" w:color="auto" w:fill="auto"/>
            <w:noWrap/>
            <w:vAlign w:val="center"/>
            <w:hideMark/>
          </w:tcPr>
          <w:p w14:paraId="42E85A81"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single" w:sz="8" w:space="0" w:color="auto"/>
              <w:left w:val="nil"/>
              <w:bottom w:val="nil"/>
              <w:right w:val="single" w:sz="8" w:space="0" w:color="auto"/>
            </w:tcBorders>
            <w:shd w:val="clear" w:color="auto" w:fill="auto"/>
            <w:noWrap/>
            <w:vAlign w:val="center"/>
            <w:hideMark/>
          </w:tcPr>
          <w:p w14:paraId="66E4EF50"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single" w:sz="8" w:space="0" w:color="auto"/>
              <w:left w:val="nil"/>
              <w:bottom w:val="nil"/>
              <w:right w:val="single" w:sz="8" w:space="0" w:color="auto"/>
            </w:tcBorders>
            <w:shd w:val="clear" w:color="auto" w:fill="auto"/>
            <w:noWrap/>
            <w:vAlign w:val="center"/>
            <w:hideMark/>
          </w:tcPr>
          <w:p w14:paraId="77BDB1D7" w14:textId="77777777" w:rsidR="000A78C6" w:rsidRPr="00425F23" w:rsidRDefault="000A78C6" w:rsidP="005C565E">
            <w:pPr>
              <w:jc w:val="center"/>
              <w:rPr>
                <w:color w:val="000000"/>
                <w:sz w:val="20"/>
                <w:szCs w:val="20"/>
              </w:rPr>
            </w:pPr>
            <w:r w:rsidRPr="00425F23">
              <w:rPr>
                <w:color w:val="000000"/>
                <w:sz w:val="20"/>
                <w:szCs w:val="20"/>
              </w:rPr>
              <w:t> </w:t>
            </w:r>
          </w:p>
        </w:tc>
      </w:tr>
      <w:tr w:rsidR="000A78C6" w:rsidRPr="00425F23" w14:paraId="44CB1CDD" w14:textId="77777777" w:rsidTr="007D0895">
        <w:trPr>
          <w:trHeight w:val="320"/>
        </w:trPr>
        <w:tc>
          <w:tcPr>
            <w:tcW w:w="3980" w:type="dxa"/>
            <w:tcBorders>
              <w:top w:val="nil"/>
              <w:left w:val="single" w:sz="8" w:space="0" w:color="auto"/>
              <w:bottom w:val="nil"/>
              <w:right w:val="nil"/>
            </w:tcBorders>
            <w:shd w:val="clear" w:color="auto" w:fill="auto"/>
            <w:noWrap/>
            <w:vAlign w:val="center"/>
            <w:hideMark/>
          </w:tcPr>
          <w:p w14:paraId="4FAF56A8" w14:textId="727103D5" w:rsidR="000A78C6" w:rsidRPr="00425F23" w:rsidRDefault="000A78C6" w:rsidP="005C565E">
            <w:pPr>
              <w:rPr>
                <w:b/>
                <w:bCs/>
                <w:color w:val="000000"/>
                <w:sz w:val="20"/>
                <w:szCs w:val="20"/>
              </w:rPr>
            </w:pPr>
            <w:r w:rsidRPr="00425F23">
              <w:rPr>
                <w:b/>
                <w:bCs/>
                <w:color w:val="000000"/>
                <w:sz w:val="20"/>
                <w:szCs w:val="20"/>
              </w:rPr>
              <w:t>Gender (</w:t>
            </w:r>
            <w:r w:rsidR="00C67E12">
              <w:rPr>
                <w:b/>
                <w:bCs/>
                <w:color w:val="000000"/>
                <w:sz w:val="20"/>
                <w:szCs w:val="20"/>
              </w:rPr>
              <w:t>M</w:t>
            </w:r>
            <w:r w:rsidRPr="00425F23">
              <w:rPr>
                <w:b/>
                <w:bCs/>
                <w:color w:val="000000"/>
                <w:sz w:val="20"/>
                <w:szCs w:val="20"/>
              </w:rPr>
              <w:t>ale)</w:t>
            </w:r>
          </w:p>
        </w:tc>
        <w:tc>
          <w:tcPr>
            <w:tcW w:w="1435" w:type="dxa"/>
            <w:tcBorders>
              <w:top w:val="nil"/>
              <w:left w:val="single" w:sz="8" w:space="0" w:color="auto"/>
              <w:bottom w:val="nil"/>
              <w:right w:val="nil"/>
            </w:tcBorders>
            <w:shd w:val="clear" w:color="auto" w:fill="auto"/>
            <w:noWrap/>
            <w:vAlign w:val="center"/>
            <w:hideMark/>
          </w:tcPr>
          <w:p w14:paraId="149C3A9C"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single" w:sz="8" w:space="0" w:color="auto"/>
              <w:bottom w:val="nil"/>
              <w:right w:val="single" w:sz="8" w:space="0" w:color="auto"/>
            </w:tcBorders>
            <w:shd w:val="clear" w:color="auto" w:fill="auto"/>
            <w:noWrap/>
            <w:vAlign w:val="center"/>
            <w:hideMark/>
          </w:tcPr>
          <w:p w14:paraId="48812267"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1D1197F2"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46FEE02D"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3AEB0034"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6473AD45" w14:textId="77777777" w:rsidR="000A78C6" w:rsidRPr="00425F23" w:rsidRDefault="000A78C6" w:rsidP="005C565E">
            <w:pPr>
              <w:jc w:val="center"/>
              <w:rPr>
                <w:color w:val="000000"/>
                <w:sz w:val="20"/>
                <w:szCs w:val="20"/>
              </w:rPr>
            </w:pPr>
            <w:r w:rsidRPr="00425F23">
              <w:rPr>
                <w:color w:val="000000"/>
                <w:sz w:val="20"/>
                <w:szCs w:val="20"/>
              </w:rPr>
              <w:t> </w:t>
            </w:r>
          </w:p>
        </w:tc>
      </w:tr>
      <w:tr w:rsidR="000A78C6" w:rsidRPr="00425F23" w14:paraId="0DD54413" w14:textId="77777777" w:rsidTr="007D0895">
        <w:trPr>
          <w:trHeight w:val="88"/>
        </w:trPr>
        <w:tc>
          <w:tcPr>
            <w:tcW w:w="3980" w:type="dxa"/>
            <w:tcBorders>
              <w:top w:val="nil"/>
              <w:left w:val="single" w:sz="8" w:space="0" w:color="auto"/>
              <w:bottom w:val="nil"/>
              <w:right w:val="nil"/>
            </w:tcBorders>
            <w:shd w:val="clear" w:color="auto" w:fill="auto"/>
            <w:noWrap/>
            <w:vAlign w:val="center"/>
            <w:hideMark/>
          </w:tcPr>
          <w:p w14:paraId="3F1F1A3C" w14:textId="77777777" w:rsidR="000A78C6" w:rsidRPr="00425F23" w:rsidRDefault="000A78C6" w:rsidP="005C565E">
            <w:pPr>
              <w:rPr>
                <w:color w:val="000000"/>
                <w:sz w:val="20"/>
                <w:szCs w:val="20"/>
              </w:rPr>
            </w:pPr>
            <w:r w:rsidRPr="00425F23">
              <w:rPr>
                <w:color w:val="000000"/>
                <w:sz w:val="20"/>
                <w:szCs w:val="20"/>
              </w:rPr>
              <w:t>Female</w:t>
            </w:r>
          </w:p>
        </w:tc>
        <w:tc>
          <w:tcPr>
            <w:tcW w:w="1435" w:type="dxa"/>
            <w:tcBorders>
              <w:top w:val="nil"/>
              <w:left w:val="single" w:sz="8" w:space="0" w:color="auto"/>
              <w:bottom w:val="nil"/>
              <w:right w:val="nil"/>
            </w:tcBorders>
            <w:shd w:val="clear" w:color="auto" w:fill="auto"/>
            <w:noWrap/>
            <w:vAlign w:val="center"/>
            <w:hideMark/>
          </w:tcPr>
          <w:p w14:paraId="273E425F" w14:textId="77777777" w:rsidR="000A78C6" w:rsidRPr="00425F23" w:rsidRDefault="000A78C6" w:rsidP="005C565E">
            <w:pPr>
              <w:jc w:val="center"/>
              <w:rPr>
                <w:color w:val="000000"/>
                <w:sz w:val="20"/>
                <w:szCs w:val="20"/>
              </w:rPr>
            </w:pPr>
            <w:r w:rsidRPr="00425F23">
              <w:rPr>
                <w:color w:val="000000"/>
                <w:sz w:val="20"/>
                <w:szCs w:val="20"/>
              </w:rPr>
              <w:t>0.</w:t>
            </w:r>
            <w:r>
              <w:rPr>
                <w:color w:val="000000"/>
                <w:sz w:val="20"/>
                <w:szCs w:val="20"/>
              </w:rPr>
              <w:t>339</w:t>
            </w:r>
          </w:p>
        </w:tc>
        <w:tc>
          <w:tcPr>
            <w:tcW w:w="1435" w:type="dxa"/>
            <w:tcBorders>
              <w:top w:val="nil"/>
              <w:left w:val="single" w:sz="8" w:space="0" w:color="auto"/>
              <w:bottom w:val="nil"/>
              <w:right w:val="single" w:sz="8" w:space="0" w:color="auto"/>
            </w:tcBorders>
            <w:shd w:val="clear" w:color="auto" w:fill="auto"/>
            <w:noWrap/>
            <w:vAlign w:val="center"/>
            <w:hideMark/>
          </w:tcPr>
          <w:p w14:paraId="1A84F06F" w14:textId="77777777" w:rsidR="000A78C6" w:rsidRPr="00425F23" w:rsidRDefault="000A78C6" w:rsidP="005C565E">
            <w:pPr>
              <w:jc w:val="center"/>
              <w:rPr>
                <w:color w:val="000000"/>
                <w:sz w:val="20"/>
                <w:szCs w:val="20"/>
              </w:rPr>
            </w:pPr>
            <w:r w:rsidRPr="00425F23">
              <w:rPr>
                <w:color w:val="000000"/>
                <w:sz w:val="20"/>
                <w:szCs w:val="20"/>
              </w:rPr>
              <w:t>1.8</w:t>
            </w:r>
            <w:r>
              <w:rPr>
                <w:color w:val="000000"/>
                <w:sz w:val="20"/>
                <w:szCs w:val="20"/>
              </w:rPr>
              <w:t>83</w:t>
            </w:r>
          </w:p>
        </w:tc>
        <w:tc>
          <w:tcPr>
            <w:tcW w:w="1435" w:type="dxa"/>
            <w:tcBorders>
              <w:top w:val="nil"/>
              <w:left w:val="nil"/>
              <w:bottom w:val="nil"/>
              <w:right w:val="single" w:sz="8" w:space="0" w:color="auto"/>
            </w:tcBorders>
            <w:shd w:val="clear" w:color="auto" w:fill="auto"/>
            <w:noWrap/>
            <w:vAlign w:val="center"/>
            <w:hideMark/>
          </w:tcPr>
          <w:p w14:paraId="79089575"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nil"/>
              <w:right w:val="single" w:sz="8" w:space="0" w:color="auto"/>
            </w:tcBorders>
            <w:shd w:val="clear" w:color="auto" w:fill="auto"/>
            <w:noWrap/>
            <w:vAlign w:val="center"/>
            <w:hideMark/>
          </w:tcPr>
          <w:p w14:paraId="595AA01D"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nil"/>
              <w:right w:val="single" w:sz="8" w:space="0" w:color="auto"/>
            </w:tcBorders>
            <w:shd w:val="clear" w:color="auto" w:fill="auto"/>
            <w:noWrap/>
            <w:vAlign w:val="center"/>
            <w:hideMark/>
          </w:tcPr>
          <w:p w14:paraId="04BD670F"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nil"/>
              <w:right w:val="single" w:sz="8" w:space="0" w:color="auto"/>
            </w:tcBorders>
            <w:shd w:val="clear" w:color="auto" w:fill="auto"/>
            <w:noWrap/>
            <w:vAlign w:val="center"/>
            <w:hideMark/>
          </w:tcPr>
          <w:p w14:paraId="71275ADA" w14:textId="77777777" w:rsidR="000A78C6" w:rsidRPr="00425F23" w:rsidRDefault="000A78C6" w:rsidP="005C565E">
            <w:pPr>
              <w:jc w:val="center"/>
              <w:rPr>
                <w:color w:val="000000"/>
                <w:sz w:val="20"/>
                <w:szCs w:val="20"/>
              </w:rPr>
            </w:pPr>
            <w:r w:rsidRPr="00425F23">
              <w:rPr>
                <w:color w:val="000000"/>
                <w:sz w:val="20"/>
                <w:szCs w:val="20"/>
              </w:rPr>
              <w:t>--</w:t>
            </w:r>
          </w:p>
        </w:tc>
      </w:tr>
      <w:tr w:rsidR="000A78C6" w:rsidRPr="00425F23" w14:paraId="092D40B9" w14:textId="77777777" w:rsidTr="007D0895">
        <w:trPr>
          <w:trHeight w:val="88"/>
        </w:trPr>
        <w:tc>
          <w:tcPr>
            <w:tcW w:w="3980" w:type="dxa"/>
            <w:tcBorders>
              <w:top w:val="nil"/>
              <w:left w:val="single" w:sz="8" w:space="0" w:color="auto"/>
              <w:bottom w:val="nil"/>
              <w:right w:val="nil"/>
            </w:tcBorders>
            <w:shd w:val="clear" w:color="auto" w:fill="auto"/>
            <w:noWrap/>
            <w:vAlign w:val="center"/>
            <w:hideMark/>
          </w:tcPr>
          <w:p w14:paraId="49A14F83" w14:textId="77777777" w:rsidR="000A78C6" w:rsidRPr="00425F23" w:rsidRDefault="000A78C6" w:rsidP="005C565E">
            <w:pPr>
              <w:rPr>
                <w:b/>
                <w:bCs/>
                <w:color w:val="000000"/>
                <w:sz w:val="20"/>
                <w:szCs w:val="20"/>
              </w:rPr>
            </w:pPr>
            <w:r w:rsidRPr="00425F23">
              <w:rPr>
                <w:b/>
                <w:bCs/>
                <w:color w:val="000000"/>
                <w:sz w:val="20"/>
                <w:szCs w:val="20"/>
              </w:rPr>
              <w:t>Age (</w:t>
            </w:r>
            <w:r>
              <w:rPr>
                <w:b/>
                <w:bCs/>
                <w:color w:val="000000"/>
                <w:sz w:val="20"/>
                <w:szCs w:val="20"/>
              </w:rPr>
              <w:t>18-34</w:t>
            </w:r>
            <w:r w:rsidRPr="00425F23">
              <w:rPr>
                <w:b/>
                <w:bCs/>
                <w:color w:val="000000"/>
                <w:sz w:val="20"/>
                <w:szCs w:val="20"/>
              </w:rPr>
              <w:t>)</w:t>
            </w:r>
          </w:p>
        </w:tc>
        <w:tc>
          <w:tcPr>
            <w:tcW w:w="1435" w:type="dxa"/>
            <w:tcBorders>
              <w:top w:val="nil"/>
              <w:left w:val="single" w:sz="8" w:space="0" w:color="auto"/>
              <w:bottom w:val="nil"/>
              <w:right w:val="nil"/>
            </w:tcBorders>
            <w:shd w:val="clear" w:color="auto" w:fill="auto"/>
            <w:noWrap/>
            <w:vAlign w:val="center"/>
            <w:hideMark/>
          </w:tcPr>
          <w:p w14:paraId="4C7440C9"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single" w:sz="8" w:space="0" w:color="auto"/>
              <w:bottom w:val="nil"/>
              <w:right w:val="single" w:sz="8" w:space="0" w:color="auto"/>
            </w:tcBorders>
            <w:shd w:val="clear" w:color="auto" w:fill="auto"/>
            <w:noWrap/>
            <w:vAlign w:val="center"/>
            <w:hideMark/>
          </w:tcPr>
          <w:p w14:paraId="22E643F3"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76C98E73"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2D6AD56E"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768A95FA"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3DA8A0CA" w14:textId="77777777" w:rsidR="000A78C6" w:rsidRPr="00425F23" w:rsidRDefault="000A78C6" w:rsidP="005C565E">
            <w:pPr>
              <w:jc w:val="center"/>
              <w:rPr>
                <w:color w:val="000000"/>
                <w:sz w:val="20"/>
                <w:szCs w:val="20"/>
              </w:rPr>
            </w:pPr>
            <w:r w:rsidRPr="00425F23">
              <w:rPr>
                <w:color w:val="000000"/>
                <w:sz w:val="20"/>
                <w:szCs w:val="20"/>
              </w:rPr>
              <w:t> </w:t>
            </w:r>
          </w:p>
        </w:tc>
      </w:tr>
      <w:tr w:rsidR="000A78C6" w:rsidRPr="00425F23" w14:paraId="29EA933B" w14:textId="77777777" w:rsidTr="007D0895">
        <w:trPr>
          <w:trHeight w:val="88"/>
        </w:trPr>
        <w:tc>
          <w:tcPr>
            <w:tcW w:w="3980" w:type="dxa"/>
            <w:tcBorders>
              <w:top w:val="nil"/>
              <w:left w:val="single" w:sz="8" w:space="0" w:color="auto"/>
              <w:bottom w:val="nil"/>
              <w:right w:val="nil"/>
            </w:tcBorders>
            <w:shd w:val="clear" w:color="auto" w:fill="auto"/>
            <w:noWrap/>
            <w:vAlign w:val="center"/>
            <w:hideMark/>
          </w:tcPr>
          <w:p w14:paraId="2818BCCB" w14:textId="77777777" w:rsidR="000A78C6" w:rsidRPr="00425F23" w:rsidRDefault="000A78C6" w:rsidP="005C565E">
            <w:pPr>
              <w:rPr>
                <w:color w:val="000000"/>
                <w:sz w:val="20"/>
                <w:szCs w:val="20"/>
              </w:rPr>
            </w:pPr>
            <w:r w:rsidRPr="00425F23">
              <w:rPr>
                <w:color w:val="000000"/>
                <w:sz w:val="20"/>
                <w:szCs w:val="20"/>
              </w:rPr>
              <w:t>35-</w:t>
            </w:r>
            <w:r>
              <w:rPr>
                <w:color w:val="000000"/>
                <w:sz w:val="20"/>
                <w:szCs w:val="20"/>
              </w:rPr>
              <w:t>6</w:t>
            </w:r>
            <w:r w:rsidRPr="00425F23">
              <w:rPr>
                <w:color w:val="000000"/>
                <w:sz w:val="20"/>
                <w:szCs w:val="20"/>
              </w:rPr>
              <w:t>4</w:t>
            </w:r>
          </w:p>
        </w:tc>
        <w:tc>
          <w:tcPr>
            <w:tcW w:w="1435" w:type="dxa"/>
            <w:tcBorders>
              <w:top w:val="nil"/>
              <w:left w:val="single" w:sz="8" w:space="0" w:color="auto"/>
              <w:bottom w:val="nil"/>
              <w:right w:val="nil"/>
            </w:tcBorders>
            <w:shd w:val="clear" w:color="auto" w:fill="auto"/>
            <w:noWrap/>
            <w:vAlign w:val="center"/>
            <w:hideMark/>
          </w:tcPr>
          <w:p w14:paraId="580F8B71" w14:textId="77777777" w:rsidR="000A78C6" w:rsidRPr="00425F23" w:rsidRDefault="000A78C6" w:rsidP="005C565E">
            <w:pPr>
              <w:jc w:val="center"/>
              <w:rPr>
                <w:color w:val="000000"/>
                <w:sz w:val="20"/>
                <w:szCs w:val="20"/>
              </w:rPr>
            </w:pPr>
            <w:r w:rsidRPr="00425F23">
              <w:rPr>
                <w:color w:val="000000"/>
                <w:sz w:val="20"/>
                <w:szCs w:val="20"/>
              </w:rPr>
              <w:t>0.</w:t>
            </w:r>
            <w:r>
              <w:rPr>
                <w:color w:val="000000"/>
                <w:sz w:val="20"/>
                <w:szCs w:val="20"/>
              </w:rPr>
              <w:t>550</w:t>
            </w:r>
          </w:p>
        </w:tc>
        <w:tc>
          <w:tcPr>
            <w:tcW w:w="1435" w:type="dxa"/>
            <w:tcBorders>
              <w:top w:val="nil"/>
              <w:left w:val="single" w:sz="8" w:space="0" w:color="auto"/>
              <w:bottom w:val="nil"/>
              <w:right w:val="single" w:sz="8" w:space="0" w:color="auto"/>
            </w:tcBorders>
            <w:shd w:val="clear" w:color="auto" w:fill="auto"/>
            <w:noWrap/>
            <w:vAlign w:val="center"/>
            <w:hideMark/>
          </w:tcPr>
          <w:p w14:paraId="676543C4" w14:textId="77777777" w:rsidR="000A78C6" w:rsidRPr="00425F23" w:rsidRDefault="000A78C6" w:rsidP="005C565E">
            <w:pPr>
              <w:jc w:val="center"/>
              <w:rPr>
                <w:color w:val="000000"/>
                <w:sz w:val="20"/>
                <w:szCs w:val="20"/>
              </w:rPr>
            </w:pPr>
            <w:r w:rsidRPr="00425F23">
              <w:rPr>
                <w:color w:val="000000"/>
                <w:sz w:val="20"/>
                <w:szCs w:val="20"/>
              </w:rPr>
              <w:t>2.</w:t>
            </w:r>
            <w:r>
              <w:rPr>
                <w:color w:val="000000"/>
                <w:sz w:val="20"/>
                <w:szCs w:val="20"/>
              </w:rPr>
              <w:t>108</w:t>
            </w:r>
          </w:p>
        </w:tc>
        <w:tc>
          <w:tcPr>
            <w:tcW w:w="1435" w:type="dxa"/>
            <w:tcBorders>
              <w:top w:val="nil"/>
              <w:left w:val="nil"/>
              <w:bottom w:val="nil"/>
              <w:right w:val="single" w:sz="8" w:space="0" w:color="auto"/>
            </w:tcBorders>
            <w:shd w:val="clear" w:color="auto" w:fill="auto"/>
            <w:noWrap/>
            <w:vAlign w:val="center"/>
            <w:hideMark/>
          </w:tcPr>
          <w:p w14:paraId="32E5AE9D"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nil"/>
              <w:right w:val="single" w:sz="8" w:space="0" w:color="auto"/>
            </w:tcBorders>
            <w:shd w:val="clear" w:color="auto" w:fill="auto"/>
            <w:noWrap/>
            <w:vAlign w:val="center"/>
            <w:hideMark/>
          </w:tcPr>
          <w:p w14:paraId="306892E7"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nil"/>
              <w:right w:val="single" w:sz="8" w:space="0" w:color="auto"/>
            </w:tcBorders>
            <w:shd w:val="clear" w:color="auto" w:fill="auto"/>
            <w:noWrap/>
            <w:vAlign w:val="center"/>
            <w:hideMark/>
          </w:tcPr>
          <w:p w14:paraId="36D887E7"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nil"/>
              <w:right w:val="single" w:sz="8" w:space="0" w:color="auto"/>
            </w:tcBorders>
            <w:shd w:val="clear" w:color="auto" w:fill="auto"/>
            <w:noWrap/>
            <w:vAlign w:val="center"/>
            <w:hideMark/>
          </w:tcPr>
          <w:p w14:paraId="2BE2768C" w14:textId="77777777" w:rsidR="000A78C6" w:rsidRPr="00425F23" w:rsidRDefault="000A78C6" w:rsidP="005C565E">
            <w:pPr>
              <w:jc w:val="center"/>
              <w:rPr>
                <w:color w:val="000000"/>
                <w:sz w:val="20"/>
                <w:szCs w:val="20"/>
              </w:rPr>
            </w:pPr>
            <w:r w:rsidRPr="00425F23">
              <w:rPr>
                <w:color w:val="000000"/>
                <w:sz w:val="20"/>
                <w:szCs w:val="20"/>
              </w:rPr>
              <w:t>--</w:t>
            </w:r>
          </w:p>
        </w:tc>
      </w:tr>
      <w:tr w:rsidR="000A78C6" w:rsidRPr="00425F23" w14:paraId="263E2BEA" w14:textId="77777777" w:rsidTr="007D0895">
        <w:trPr>
          <w:trHeight w:val="320"/>
        </w:trPr>
        <w:tc>
          <w:tcPr>
            <w:tcW w:w="3980" w:type="dxa"/>
            <w:tcBorders>
              <w:top w:val="nil"/>
              <w:left w:val="single" w:sz="8" w:space="0" w:color="auto"/>
              <w:bottom w:val="nil"/>
              <w:right w:val="nil"/>
            </w:tcBorders>
            <w:shd w:val="clear" w:color="auto" w:fill="auto"/>
            <w:noWrap/>
            <w:vAlign w:val="center"/>
            <w:hideMark/>
          </w:tcPr>
          <w:p w14:paraId="271F0505" w14:textId="77777777" w:rsidR="000A78C6" w:rsidRPr="00425F23" w:rsidRDefault="000A78C6" w:rsidP="005C565E">
            <w:pPr>
              <w:rPr>
                <w:color w:val="000000"/>
                <w:sz w:val="20"/>
                <w:szCs w:val="20"/>
              </w:rPr>
            </w:pPr>
            <w:r>
              <w:rPr>
                <w:color w:val="000000"/>
                <w:sz w:val="20"/>
                <w:szCs w:val="20"/>
              </w:rPr>
              <w:t>65+</w:t>
            </w:r>
          </w:p>
        </w:tc>
        <w:tc>
          <w:tcPr>
            <w:tcW w:w="1435" w:type="dxa"/>
            <w:tcBorders>
              <w:top w:val="nil"/>
              <w:left w:val="single" w:sz="8" w:space="0" w:color="auto"/>
              <w:bottom w:val="nil"/>
              <w:right w:val="nil"/>
            </w:tcBorders>
            <w:shd w:val="clear" w:color="auto" w:fill="auto"/>
            <w:noWrap/>
            <w:vAlign w:val="center"/>
            <w:hideMark/>
          </w:tcPr>
          <w:p w14:paraId="6C104856" w14:textId="77777777" w:rsidR="000A78C6" w:rsidRPr="00425F23" w:rsidRDefault="000A78C6" w:rsidP="005C565E">
            <w:pPr>
              <w:jc w:val="center"/>
              <w:rPr>
                <w:color w:val="000000"/>
                <w:sz w:val="20"/>
                <w:szCs w:val="20"/>
              </w:rPr>
            </w:pPr>
            <w:r>
              <w:rPr>
                <w:color w:val="000000"/>
                <w:sz w:val="20"/>
                <w:szCs w:val="20"/>
              </w:rPr>
              <w:t>1.767</w:t>
            </w:r>
          </w:p>
        </w:tc>
        <w:tc>
          <w:tcPr>
            <w:tcW w:w="1435" w:type="dxa"/>
            <w:tcBorders>
              <w:top w:val="nil"/>
              <w:left w:val="single" w:sz="8" w:space="0" w:color="auto"/>
              <w:bottom w:val="nil"/>
              <w:right w:val="single" w:sz="8" w:space="0" w:color="auto"/>
            </w:tcBorders>
            <w:shd w:val="clear" w:color="auto" w:fill="auto"/>
            <w:noWrap/>
            <w:vAlign w:val="center"/>
            <w:hideMark/>
          </w:tcPr>
          <w:p w14:paraId="47B3FBEF" w14:textId="77777777" w:rsidR="000A78C6" w:rsidRPr="00425F23" w:rsidRDefault="000A78C6" w:rsidP="005C565E">
            <w:pPr>
              <w:jc w:val="center"/>
              <w:rPr>
                <w:color w:val="000000"/>
                <w:sz w:val="20"/>
                <w:szCs w:val="20"/>
              </w:rPr>
            </w:pPr>
            <w:r>
              <w:rPr>
                <w:color w:val="000000"/>
                <w:sz w:val="20"/>
                <w:szCs w:val="20"/>
              </w:rPr>
              <w:t>2.929</w:t>
            </w:r>
          </w:p>
        </w:tc>
        <w:tc>
          <w:tcPr>
            <w:tcW w:w="1435" w:type="dxa"/>
            <w:tcBorders>
              <w:top w:val="nil"/>
              <w:left w:val="nil"/>
              <w:bottom w:val="nil"/>
              <w:right w:val="single" w:sz="8" w:space="0" w:color="auto"/>
            </w:tcBorders>
            <w:shd w:val="clear" w:color="auto" w:fill="auto"/>
            <w:noWrap/>
            <w:vAlign w:val="center"/>
            <w:hideMark/>
          </w:tcPr>
          <w:p w14:paraId="5ED4E0DB"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nil"/>
              <w:right w:val="single" w:sz="8" w:space="0" w:color="auto"/>
            </w:tcBorders>
            <w:shd w:val="clear" w:color="auto" w:fill="auto"/>
            <w:noWrap/>
            <w:vAlign w:val="center"/>
            <w:hideMark/>
          </w:tcPr>
          <w:p w14:paraId="27C31404"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nil"/>
              <w:right w:val="single" w:sz="8" w:space="0" w:color="auto"/>
            </w:tcBorders>
            <w:shd w:val="clear" w:color="auto" w:fill="auto"/>
            <w:noWrap/>
            <w:vAlign w:val="center"/>
            <w:hideMark/>
          </w:tcPr>
          <w:p w14:paraId="01E3AADC"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nil"/>
              <w:right w:val="single" w:sz="8" w:space="0" w:color="auto"/>
            </w:tcBorders>
            <w:shd w:val="clear" w:color="auto" w:fill="auto"/>
            <w:noWrap/>
            <w:vAlign w:val="center"/>
            <w:hideMark/>
          </w:tcPr>
          <w:p w14:paraId="161E5F64" w14:textId="77777777" w:rsidR="000A78C6" w:rsidRPr="00425F23" w:rsidRDefault="000A78C6" w:rsidP="005C565E">
            <w:pPr>
              <w:jc w:val="center"/>
              <w:rPr>
                <w:color w:val="000000"/>
                <w:sz w:val="20"/>
                <w:szCs w:val="20"/>
              </w:rPr>
            </w:pPr>
            <w:r w:rsidRPr="00425F23">
              <w:rPr>
                <w:color w:val="000000"/>
                <w:sz w:val="20"/>
                <w:szCs w:val="20"/>
              </w:rPr>
              <w:t>--</w:t>
            </w:r>
          </w:p>
        </w:tc>
      </w:tr>
      <w:tr w:rsidR="000A78C6" w:rsidRPr="00425F23" w14:paraId="5780CA44" w14:textId="77777777" w:rsidTr="007D0895">
        <w:trPr>
          <w:trHeight w:val="88"/>
        </w:trPr>
        <w:tc>
          <w:tcPr>
            <w:tcW w:w="3980" w:type="dxa"/>
            <w:tcBorders>
              <w:top w:val="nil"/>
              <w:left w:val="single" w:sz="8" w:space="0" w:color="auto"/>
              <w:bottom w:val="nil"/>
              <w:right w:val="nil"/>
            </w:tcBorders>
            <w:shd w:val="clear" w:color="auto" w:fill="auto"/>
            <w:noWrap/>
            <w:vAlign w:val="center"/>
            <w:hideMark/>
          </w:tcPr>
          <w:p w14:paraId="3A277D69" w14:textId="197E4476" w:rsidR="000A78C6" w:rsidRPr="00425F23" w:rsidRDefault="000A78C6" w:rsidP="005C565E">
            <w:pPr>
              <w:rPr>
                <w:b/>
                <w:bCs/>
                <w:color w:val="000000"/>
                <w:sz w:val="20"/>
                <w:szCs w:val="20"/>
              </w:rPr>
            </w:pPr>
            <w:r w:rsidRPr="00425F23">
              <w:rPr>
                <w:b/>
                <w:bCs/>
                <w:color w:val="000000"/>
                <w:sz w:val="20"/>
                <w:szCs w:val="20"/>
              </w:rPr>
              <w:t>Ethnicity (</w:t>
            </w:r>
            <w:r w:rsidR="00C67E12">
              <w:rPr>
                <w:b/>
                <w:bCs/>
                <w:color w:val="000000"/>
                <w:sz w:val="20"/>
                <w:szCs w:val="20"/>
              </w:rPr>
              <w:t>N</w:t>
            </w:r>
            <w:r w:rsidRPr="00425F23">
              <w:rPr>
                <w:b/>
                <w:bCs/>
                <w:color w:val="000000"/>
                <w:sz w:val="20"/>
                <w:szCs w:val="20"/>
              </w:rPr>
              <w:t>on-Hispanic)</w:t>
            </w:r>
          </w:p>
        </w:tc>
        <w:tc>
          <w:tcPr>
            <w:tcW w:w="1435" w:type="dxa"/>
            <w:tcBorders>
              <w:top w:val="nil"/>
              <w:left w:val="single" w:sz="8" w:space="0" w:color="auto"/>
              <w:bottom w:val="nil"/>
              <w:right w:val="nil"/>
            </w:tcBorders>
            <w:shd w:val="clear" w:color="auto" w:fill="auto"/>
            <w:noWrap/>
            <w:vAlign w:val="center"/>
            <w:hideMark/>
          </w:tcPr>
          <w:p w14:paraId="1802F0FA"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single" w:sz="8" w:space="0" w:color="auto"/>
              <w:bottom w:val="nil"/>
              <w:right w:val="single" w:sz="8" w:space="0" w:color="auto"/>
            </w:tcBorders>
            <w:shd w:val="clear" w:color="auto" w:fill="auto"/>
            <w:noWrap/>
            <w:vAlign w:val="center"/>
            <w:hideMark/>
          </w:tcPr>
          <w:p w14:paraId="43E35367"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0303732F"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3666809B"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15608C6F"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33F84BCD" w14:textId="77777777" w:rsidR="000A78C6" w:rsidRPr="00425F23" w:rsidRDefault="000A78C6" w:rsidP="005C565E">
            <w:pPr>
              <w:jc w:val="center"/>
              <w:rPr>
                <w:color w:val="000000"/>
                <w:sz w:val="20"/>
                <w:szCs w:val="20"/>
              </w:rPr>
            </w:pPr>
            <w:r w:rsidRPr="00425F23">
              <w:rPr>
                <w:color w:val="000000"/>
                <w:sz w:val="20"/>
                <w:szCs w:val="20"/>
              </w:rPr>
              <w:t> </w:t>
            </w:r>
          </w:p>
        </w:tc>
      </w:tr>
      <w:tr w:rsidR="000A78C6" w:rsidRPr="00425F23" w14:paraId="1C458CD7" w14:textId="77777777" w:rsidTr="007D0895">
        <w:trPr>
          <w:trHeight w:val="88"/>
        </w:trPr>
        <w:tc>
          <w:tcPr>
            <w:tcW w:w="3980" w:type="dxa"/>
            <w:tcBorders>
              <w:top w:val="nil"/>
              <w:left w:val="single" w:sz="8" w:space="0" w:color="auto"/>
              <w:bottom w:val="nil"/>
              <w:right w:val="nil"/>
            </w:tcBorders>
            <w:shd w:val="clear" w:color="auto" w:fill="auto"/>
            <w:noWrap/>
            <w:vAlign w:val="center"/>
            <w:hideMark/>
          </w:tcPr>
          <w:p w14:paraId="02DC87E5" w14:textId="77777777" w:rsidR="000A78C6" w:rsidRPr="00425F23" w:rsidRDefault="000A78C6" w:rsidP="005C565E">
            <w:pPr>
              <w:rPr>
                <w:color w:val="000000"/>
                <w:sz w:val="20"/>
                <w:szCs w:val="20"/>
              </w:rPr>
            </w:pPr>
            <w:r w:rsidRPr="00425F23">
              <w:rPr>
                <w:color w:val="000000"/>
                <w:sz w:val="20"/>
                <w:szCs w:val="20"/>
              </w:rPr>
              <w:t>Hispanic</w:t>
            </w:r>
          </w:p>
        </w:tc>
        <w:tc>
          <w:tcPr>
            <w:tcW w:w="1435" w:type="dxa"/>
            <w:tcBorders>
              <w:top w:val="nil"/>
              <w:left w:val="single" w:sz="8" w:space="0" w:color="auto"/>
              <w:bottom w:val="nil"/>
              <w:right w:val="nil"/>
            </w:tcBorders>
            <w:shd w:val="clear" w:color="auto" w:fill="auto"/>
            <w:noWrap/>
            <w:vAlign w:val="center"/>
            <w:hideMark/>
          </w:tcPr>
          <w:p w14:paraId="615612F6" w14:textId="77777777" w:rsidR="000A78C6" w:rsidRPr="00425F23" w:rsidRDefault="000A78C6" w:rsidP="005C565E">
            <w:pPr>
              <w:jc w:val="center"/>
              <w:rPr>
                <w:color w:val="000000"/>
                <w:sz w:val="20"/>
                <w:szCs w:val="20"/>
              </w:rPr>
            </w:pPr>
            <w:r>
              <w:rPr>
                <w:color w:val="000000"/>
                <w:sz w:val="20"/>
                <w:szCs w:val="20"/>
              </w:rPr>
              <w:t>1</w:t>
            </w:r>
            <w:r w:rsidRPr="00425F23">
              <w:rPr>
                <w:color w:val="000000"/>
                <w:sz w:val="20"/>
                <w:szCs w:val="20"/>
              </w:rPr>
              <w:t>.</w:t>
            </w:r>
            <w:r>
              <w:rPr>
                <w:color w:val="000000"/>
                <w:sz w:val="20"/>
                <w:szCs w:val="20"/>
              </w:rPr>
              <w:t>014</w:t>
            </w:r>
          </w:p>
        </w:tc>
        <w:tc>
          <w:tcPr>
            <w:tcW w:w="1435" w:type="dxa"/>
            <w:tcBorders>
              <w:top w:val="nil"/>
              <w:left w:val="single" w:sz="8" w:space="0" w:color="auto"/>
              <w:bottom w:val="nil"/>
              <w:right w:val="single" w:sz="8" w:space="0" w:color="auto"/>
            </w:tcBorders>
            <w:shd w:val="clear" w:color="auto" w:fill="auto"/>
            <w:noWrap/>
            <w:vAlign w:val="center"/>
            <w:hideMark/>
          </w:tcPr>
          <w:p w14:paraId="3E225F1B" w14:textId="77777777" w:rsidR="000A78C6" w:rsidRPr="00425F23" w:rsidRDefault="000A78C6" w:rsidP="005C565E">
            <w:pPr>
              <w:jc w:val="center"/>
              <w:rPr>
                <w:color w:val="000000"/>
                <w:sz w:val="20"/>
                <w:szCs w:val="20"/>
              </w:rPr>
            </w:pPr>
            <w:r w:rsidRPr="00425F23">
              <w:rPr>
                <w:color w:val="000000"/>
                <w:sz w:val="20"/>
                <w:szCs w:val="20"/>
              </w:rPr>
              <w:t>2.</w:t>
            </w:r>
            <w:r>
              <w:rPr>
                <w:color w:val="000000"/>
                <w:sz w:val="20"/>
                <w:szCs w:val="20"/>
              </w:rPr>
              <w:t>243</w:t>
            </w:r>
          </w:p>
        </w:tc>
        <w:tc>
          <w:tcPr>
            <w:tcW w:w="1435" w:type="dxa"/>
            <w:tcBorders>
              <w:top w:val="nil"/>
              <w:left w:val="nil"/>
              <w:bottom w:val="nil"/>
              <w:right w:val="single" w:sz="8" w:space="0" w:color="auto"/>
            </w:tcBorders>
            <w:shd w:val="clear" w:color="auto" w:fill="auto"/>
            <w:noWrap/>
            <w:vAlign w:val="center"/>
            <w:hideMark/>
          </w:tcPr>
          <w:p w14:paraId="47A76354" w14:textId="77777777" w:rsidR="000A78C6" w:rsidRPr="00425F23" w:rsidRDefault="000A78C6" w:rsidP="005C565E">
            <w:pPr>
              <w:jc w:val="center"/>
              <w:rPr>
                <w:color w:val="000000"/>
                <w:sz w:val="20"/>
                <w:szCs w:val="20"/>
              </w:rPr>
            </w:pPr>
            <w:r>
              <w:rPr>
                <w:color w:val="000000"/>
                <w:sz w:val="20"/>
                <w:szCs w:val="20"/>
              </w:rPr>
              <w:t xml:space="preserve">  </w:t>
            </w:r>
            <w:r w:rsidRPr="00425F23">
              <w:rPr>
                <w:color w:val="000000"/>
                <w:sz w:val="20"/>
                <w:szCs w:val="20"/>
              </w:rPr>
              <w:t>0.1</w:t>
            </w:r>
            <w:r>
              <w:rPr>
                <w:color w:val="000000"/>
                <w:sz w:val="20"/>
                <w:szCs w:val="20"/>
              </w:rPr>
              <w:t>58</w:t>
            </w:r>
          </w:p>
        </w:tc>
        <w:tc>
          <w:tcPr>
            <w:tcW w:w="1435" w:type="dxa"/>
            <w:tcBorders>
              <w:top w:val="nil"/>
              <w:left w:val="nil"/>
              <w:bottom w:val="nil"/>
              <w:right w:val="single" w:sz="8" w:space="0" w:color="auto"/>
            </w:tcBorders>
            <w:shd w:val="clear" w:color="auto" w:fill="auto"/>
            <w:noWrap/>
            <w:vAlign w:val="center"/>
            <w:hideMark/>
          </w:tcPr>
          <w:p w14:paraId="7B9A6328" w14:textId="77777777" w:rsidR="000A78C6" w:rsidRPr="00425F23" w:rsidRDefault="000A78C6" w:rsidP="005C565E">
            <w:pPr>
              <w:jc w:val="center"/>
              <w:rPr>
                <w:color w:val="000000"/>
                <w:sz w:val="20"/>
                <w:szCs w:val="20"/>
              </w:rPr>
            </w:pPr>
            <w:r>
              <w:rPr>
                <w:color w:val="000000"/>
                <w:sz w:val="20"/>
                <w:szCs w:val="20"/>
              </w:rPr>
              <w:t xml:space="preserve">  </w:t>
            </w:r>
            <w:r w:rsidRPr="00425F23">
              <w:rPr>
                <w:color w:val="000000"/>
                <w:sz w:val="20"/>
                <w:szCs w:val="20"/>
              </w:rPr>
              <w:t>2.</w:t>
            </w:r>
            <w:r>
              <w:rPr>
                <w:color w:val="000000"/>
                <w:sz w:val="20"/>
                <w:szCs w:val="20"/>
              </w:rPr>
              <w:t>350</w:t>
            </w:r>
          </w:p>
        </w:tc>
        <w:tc>
          <w:tcPr>
            <w:tcW w:w="1435" w:type="dxa"/>
            <w:tcBorders>
              <w:top w:val="nil"/>
              <w:left w:val="nil"/>
              <w:bottom w:val="nil"/>
              <w:right w:val="single" w:sz="8" w:space="0" w:color="auto"/>
            </w:tcBorders>
            <w:shd w:val="clear" w:color="auto" w:fill="auto"/>
            <w:noWrap/>
            <w:vAlign w:val="center"/>
            <w:hideMark/>
          </w:tcPr>
          <w:p w14:paraId="6CDAE6F8"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nil"/>
              <w:right w:val="single" w:sz="8" w:space="0" w:color="auto"/>
            </w:tcBorders>
            <w:shd w:val="clear" w:color="auto" w:fill="auto"/>
            <w:noWrap/>
            <w:vAlign w:val="center"/>
            <w:hideMark/>
          </w:tcPr>
          <w:p w14:paraId="24DBB899" w14:textId="77777777" w:rsidR="000A78C6" w:rsidRPr="00425F23" w:rsidRDefault="000A78C6" w:rsidP="005C565E">
            <w:pPr>
              <w:jc w:val="center"/>
              <w:rPr>
                <w:color w:val="000000"/>
                <w:sz w:val="20"/>
                <w:szCs w:val="20"/>
              </w:rPr>
            </w:pPr>
            <w:r w:rsidRPr="00425F23">
              <w:rPr>
                <w:color w:val="000000"/>
                <w:sz w:val="20"/>
                <w:szCs w:val="20"/>
              </w:rPr>
              <w:t>--</w:t>
            </w:r>
          </w:p>
        </w:tc>
      </w:tr>
      <w:tr w:rsidR="000A78C6" w:rsidRPr="00425F23" w14:paraId="5AE4897C" w14:textId="77777777" w:rsidTr="007D0895">
        <w:trPr>
          <w:trHeight w:val="88"/>
        </w:trPr>
        <w:tc>
          <w:tcPr>
            <w:tcW w:w="3980" w:type="dxa"/>
            <w:tcBorders>
              <w:top w:val="nil"/>
              <w:left w:val="single" w:sz="8" w:space="0" w:color="auto"/>
              <w:bottom w:val="nil"/>
              <w:right w:val="nil"/>
            </w:tcBorders>
            <w:shd w:val="clear" w:color="auto" w:fill="auto"/>
            <w:noWrap/>
            <w:vAlign w:val="center"/>
            <w:hideMark/>
          </w:tcPr>
          <w:p w14:paraId="3338E3FB" w14:textId="28799651" w:rsidR="000A78C6" w:rsidRPr="00425F23" w:rsidRDefault="000A78C6" w:rsidP="005C565E">
            <w:pPr>
              <w:rPr>
                <w:b/>
                <w:bCs/>
                <w:color w:val="000000"/>
                <w:sz w:val="20"/>
                <w:szCs w:val="20"/>
              </w:rPr>
            </w:pPr>
            <w:r w:rsidRPr="00425F23">
              <w:rPr>
                <w:b/>
                <w:bCs/>
                <w:color w:val="000000"/>
                <w:sz w:val="20"/>
                <w:szCs w:val="20"/>
              </w:rPr>
              <w:t>Race (</w:t>
            </w:r>
            <w:r w:rsidR="00C67E12">
              <w:rPr>
                <w:b/>
                <w:bCs/>
                <w:color w:val="000000"/>
                <w:sz w:val="20"/>
                <w:szCs w:val="20"/>
              </w:rPr>
              <w:t>W</w:t>
            </w:r>
            <w:r w:rsidRPr="00425F23">
              <w:rPr>
                <w:b/>
                <w:bCs/>
                <w:color w:val="000000"/>
                <w:sz w:val="20"/>
                <w:szCs w:val="20"/>
              </w:rPr>
              <w:t>hite)</w:t>
            </w:r>
          </w:p>
        </w:tc>
        <w:tc>
          <w:tcPr>
            <w:tcW w:w="1435" w:type="dxa"/>
            <w:tcBorders>
              <w:top w:val="nil"/>
              <w:left w:val="single" w:sz="8" w:space="0" w:color="auto"/>
              <w:bottom w:val="nil"/>
              <w:right w:val="nil"/>
            </w:tcBorders>
            <w:shd w:val="clear" w:color="auto" w:fill="auto"/>
            <w:noWrap/>
            <w:vAlign w:val="center"/>
            <w:hideMark/>
          </w:tcPr>
          <w:p w14:paraId="288EDFCA"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single" w:sz="8" w:space="0" w:color="auto"/>
              <w:bottom w:val="nil"/>
              <w:right w:val="single" w:sz="8" w:space="0" w:color="auto"/>
            </w:tcBorders>
            <w:shd w:val="clear" w:color="auto" w:fill="auto"/>
            <w:noWrap/>
            <w:vAlign w:val="center"/>
            <w:hideMark/>
          </w:tcPr>
          <w:p w14:paraId="0C2C066D"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0FFF465D"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4F3B0B31"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2729337D"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72A91055" w14:textId="77777777" w:rsidR="000A78C6" w:rsidRPr="00425F23" w:rsidRDefault="000A78C6" w:rsidP="005C565E">
            <w:pPr>
              <w:jc w:val="center"/>
              <w:rPr>
                <w:color w:val="000000"/>
                <w:sz w:val="20"/>
                <w:szCs w:val="20"/>
              </w:rPr>
            </w:pPr>
            <w:r w:rsidRPr="00425F23">
              <w:rPr>
                <w:color w:val="000000"/>
                <w:sz w:val="20"/>
                <w:szCs w:val="20"/>
              </w:rPr>
              <w:t> </w:t>
            </w:r>
          </w:p>
        </w:tc>
      </w:tr>
      <w:tr w:rsidR="000A78C6" w:rsidRPr="00425F23" w14:paraId="4663A4A1" w14:textId="77777777" w:rsidTr="007D0895">
        <w:trPr>
          <w:trHeight w:val="88"/>
        </w:trPr>
        <w:tc>
          <w:tcPr>
            <w:tcW w:w="3980" w:type="dxa"/>
            <w:tcBorders>
              <w:top w:val="nil"/>
              <w:left w:val="single" w:sz="8" w:space="0" w:color="auto"/>
              <w:bottom w:val="nil"/>
              <w:right w:val="nil"/>
            </w:tcBorders>
            <w:shd w:val="clear" w:color="auto" w:fill="auto"/>
            <w:noWrap/>
            <w:vAlign w:val="center"/>
            <w:hideMark/>
          </w:tcPr>
          <w:p w14:paraId="0C7B3696" w14:textId="77777777" w:rsidR="000A78C6" w:rsidRPr="00425F23" w:rsidRDefault="000A78C6" w:rsidP="005C565E">
            <w:pPr>
              <w:rPr>
                <w:color w:val="000000"/>
                <w:sz w:val="20"/>
                <w:szCs w:val="20"/>
              </w:rPr>
            </w:pPr>
            <w:r w:rsidRPr="00425F23">
              <w:rPr>
                <w:color w:val="000000"/>
                <w:sz w:val="20"/>
                <w:szCs w:val="20"/>
              </w:rPr>
              <w:t>Black or African American</w:t>
            </w:r>
          </w:p>
        </w:tc>
        <w:tc>
          <w:tcPr>
            <w:tcW w:w="1435" w:type="dxa"/>
            <w:tcBorders>
              <w:top w:val="nil"/>
              <w:left w:val="single" w:sz="8" w:space="0" w:color="auto"/>
              <w:bottom w:val="nil"/>
              <w:right w:val="nil"/>
            </w:tcBorders>
            <w:shd w:val="clear" w:color="auto" w:fill="auto"/>
            <w:noWrap/>
            <w:vAlign w:val="center"/>
            <w:hideMark/>
          </w:tcPr>
          <w:p w14:paraId="6DE9D87A" w14:textId="77777777" w:rsidR="000A78C6" w:rsidRPr="00425F23" w:rsidRDefault="000A78C6" w:rsidP="005C565E">
            <w:pPr>
              <w:jc w:val="center"/>
              <w:rPr>
                <w:color w:val="000000"/>
                <w:sz w:val="20"/>
                <w:szCs w:val="20"/>
              </w:rPr>
            </w:pPr>
            <w:r w:rsidRPr="00425F23">
              <w:rPr>
                <w:color w:val="000000"/>
                <w:sz w:val="20"/>
                <w:szCs w:val="20"/>
              </w:rPr>
              <w:t>2.</w:t>
            </w:r>
            <w:r>
              <w:rPr>
                <w:color w:val="000000"/>
                <w:sz w:val="20"/>
                <w:szCs w:val="20"/>
              </w:rPr>
              <w:t>278</w:t>
            </w:r>
          </w:p>
        </w:tc>
        <w:tc>
          <w:tcPr>
            <w:tcW w:w="1435" w:type="dxa"/>
            <w:tcBorders>
              <w:top w:val="nil"/>
              <w:left w:val="single" w:sz="8" w:space="0" w:color="auto"/>
              <w:bottom w:val="nil"/>
              <w:right w:val="single" w:sz="8" w:space="0" w:color="auto"/>
            </w:tcBorders>
            <w:shd w:val="clear" w:color="auto" w:fill="auto"/>
            <w:noWrap/>
            <w:vAlign w:val="center"/>
            <w:hideMark/>
          </w:tcPr>
          <w:p w14:paraId="3F22C52B" w14:textId="77777777" w:rsidR="000A78C6" w:rsidRPr="00425F23" w:rsidRDefault="000A78C6" w:rsidP="005C565E">
            <w:pPr>
              <w:jc w:val="center"/>
              <w:rPr>
                <w:color w:val="000000"/>
                <w:sz w:val="20"/>
                <w:szCs w:val="20"/>
              </w:rPr>
            </w:pPr>
            <w:r>
              <w:rPr>
                <w:color w:val="000000"/>
                <w:sz w:val="20"/>
                <w:szCs w:val="20"/>
              </w:rPr>
              <w:t>2</w:t>
            </w:r>
            <w:r w:rsidRPr="00425F23">
              <w:rPr>
                <w:color w:val="000000"/>
                <w:sz w:val="20"/>
                <w:szCs w:val="20"/>
              </w:rPr>
              <w:t>.</w:t>
            </w:r>
            <w:r>
              <w:rPr>
                <w:color w:val="000000"/>
                <w:sz w:val="20"/>
                <w:szCs w:val="20"/>
              </w:rPr>
              <w:t>892</w:t>
            </w:r>
          </w:p>
        </w:tc>
        <w:tc>
          <w:tcPr>
            <w:tcW w:w="1435" w:type="dxa"/>
            <w:tcBorders>
              <w:top w:val="nil"/>
              <w:left w:val="nil"/>
              <w:bottom w:val="nil"/>
              <w:right w:val="single" w:sz="8" w:space="0" w:color="auto"/>
            </w:tcBorders>
            <w:shd w:val="clear" w:color="auto" w:fill="auto"/>
            <w:noWrap/>
            <w:vAlign w:val="center"/>
            <w:hideMark/>
          </w:tcPr>
          <w:p w14:paraId="33F2DE69" w14:textId="77777777" w:rsidR="000A78C6" w:rsidRPr="00425F23" w:rsidRDefault="000A78C6" w:rsidP="005C565E">
            <w:pPr>
              <w:jc w:val="center"/>
              <w:rPr>
                <w:color w:val="000000"/>
                <w:sz w:val="20"/>
                <w:szCs w:val="20"/>
              </w:rPr>
            </w:pPr>
            <w:r>
              <w:rPr>
                <w:color w:val="000000"/>
                <w:sz w:val="20"/>
                <w:szCs w:val="20"/>
              </w:rPr>
              <w:t xml:space="preserve">  </w:t>
            </w:r>
            <w:r w:rsidRPr="00425F23">
              <w:rPr>
                <w:color w:val="000000"/>
                <w:sz w:val="20"/>
                <w:szCs w:val="20"/>
              </w:rPr>
              <w:t>0.</w:t>
            </w:r>
            <w:r>
              <w:rPr>
                <w:color w:val="000000"/>
                <w:sz w:val="20"/>
                <w:szCs w:val="20"/>
              </w:rPr>
              <w:t>534</w:t>
            </w:r>
          </w:p>
        </w:tc>
        <w:tc>
          <w:tcPr>
            <w:tcW w:w="1435" w:type="dxa"/>
            <w:tcBorders>
              <w:top w:val="nil"/>
              <w:left w:val="nil"/>
              <w:bottom w:val="nil"/>
              <w:right w:val="single" w:sz="8" w:space="0" w:color="auto"/>
            </w:tcBorders>
            <w:shd w:val="clear" w:color="auto" w:fill="auto"/>
            <w:noWrap/>
            <w:vAlign w:val="center"/>
            <w:hideMark/>
          </w:tcPr>
          <w:p w14:paraId="074B292E" w14:textId="77777777" w:rsidR="000A78C6" w:rsidRPr="00425F23" w:rsidRDefault="000A78C6" w:rsidP="005C565E">
            <w:pPr>
              <w:jc w:val="center"/>
              <w:rPr>
                <w:color w:val="000000"/>
                <w:sz w:val="20"/>
                <w:szCs w:val="20"/>
              </w:rPr>
            </w:pPr>
            <w:r>
              <w:rPr>
                <w:color w:val="000000"/>
                <w:sz w:val="20"/>
                <w:szCs w:val="20"/>
              </w:rPr>
              <w:t xml:space="preserve">  </w:t>
            </w:r>
            <w:r w:rsidRPr="00425F23">
              <w:rPr>
                <w:color w:val="000000"/>
                <w:sz w:val="20"/>
                <w:szCs w:val="20"/>
              </w:rPr>
              <w:t>6.</w:t>
            </w:r>
            <w:r>
              <w:rPr>
                <w:color w:val="000000"/>
                <w:sz w:val="20"/>
                <w:szCs w:val="20"/>
              </w:rPr>
              <w:t>742</w:t>
            </w:r>
          </w:p>
        </w:tc>
        <w:tc>
          <w:tcPr>
            <w:tcW w:w="1435" w:type="dxa"/>
            <w:tcBorders>
              <w:top w:val="nil"/>
              <w:left w:val="nil"/>
              <w:bottom w:val="nil"/>
              <w:right w:val="single" w:sz="8" w:space="0" w:color="auto"/>
            </w:tcBorders>
            <w:shd w:val="clear" w:color="auto" w:fill="auto"/>
            <w:noWrap/>
            <w:vAlign w:val="center"/>
            <w:hideMark/>
          </w:tcPr>
          <w:p w14:paraId="697784AD" w14:textId="77777777" w:rsidR="000A78C6" w:rsidRPr="00425F23" w:rsidRDefault="000A78C6" w:rsidP="005C565E">
            <w:pPr>
              <w:jc w:val="center"/>
              <w:rPr>
                <w:color w:val="000000"/>
                <w:sz w:val="20"/>
                <w:szCs w:val="20"/>
              </w:rPr>
            </w:pPr>
            <w:r w:rsidRPr="00425F23">
              <w:rPr>
                <w:color w:val="000000"/>
                <w:sz w:val="20"/>
                <w:szCs w:val="20"/>
              </w:rPr>
              <w:t>-0.</w:t>
            </w:r>
            <w:r>
              <w:rPr>
                <w:color w:val="000000"/>
                <w:sz w:val="20"/>
                <w:szCs w:val="20"/>
              </w:rPr>
              <w:t>316</w:t>
            </w:r>
          </w:p>
        </w:tc>
        <w:tc>
          <w:tcPr>
            <w:tcW w:w="1435" w:type="dxa"/>
            <w:tcBorders>
              <w:top w:val="nil"/>
              <w:left w:val="nil"/>
              <w:bottom w:val="nil"/>
              <w:right w:val="single" w:sz="8" w:space="0" w:color="auto"/>
            </w:tcBorders>
            <w:shd w:val="clear" w:color="auto" w:fill="auto"/>
            <w:noWrap/>
            <w:vAlign w:val="center"/>
            <w:hideMark/>
          </w:tcPr>
          <w:p w14:paraId="2929DF2E" w14:textId="77777777" w:rsidR="000A78C6" w:rsidRPr="00425F23" w:rsidRDefault="000A78C6" w:rsidP="005C565E">
            <w:pPr>
              <w:jc w:val="center"/>
              <w:rPr>
                <w:color w:val="000000"/>
                <w:sz w:val="20"/>
                <w:szCs w:val="20"/>
              </w:rPr>
            </w:pPr>
            <w:r w:rsidRPr="00425F23">
              <w:rPr>
                <w:color w:val="000000"/>
                <w:sz w:val="20"/>
                <w:szCs w:val="20"/>
              </w:rPr>
              <w:t>-</w:t>
            </w:r>
            <w:r>
              <w:rPr>
                <w:color w:val="000000"/>
                <w:sz w:val="20"/>
                <w:szCs w:val="20"/>
              </w:rPr>
              <w:t>3.286</w:t>
            </w:r>
          </w:p>
        </w:tc>
      </w:tr>
      <w:tr w:rsidR="000A78C6" w:rsidRPr="00425F23" w14:paraId="35B5A4F0" w14:textId="77777777" w:rsidTr="007D0895">
        <w:trPr>
          <w:trHeight w:val="88"/>
        </w:trPr>
        <w:tc>
          <w:tcPr>
            <w:tcW w:w="3980" w:type="dxa"/>
            <w:tcBorders>
              <w:top w:val="nil"/>
              <w:left w:val="single" w:sz="8" w:space="0" w:color="auto"/>
              <w:bottom w:val="nil"/>
              <w:right w:val="nil"/>
            </w:tcBorders>
            <w:shd w:val="clear" w:color="auto" w:fill="auto"/>
            <w:noWrap/>
            <w:vAlign w:val="center"/>
            <w:hideMark/>
          </w:tcPr>
          <w:p w14:paraId="77AF81D0" w14:textId="77777777" w:rsidR="000A78C6" w:rsidRPr="00425F23" w:rsidRDefault="000A78C6" w:rsidP="005C565E">
            <w:pPr>
              <w:rPr>
                <w:color w:val="000000"/>
                <w:sz w:val="20"/>
                <w:szCs w:val="20"/>
              </w:rPr>
            </w:pPr>
            <w:r w:rsidRPr="00425F23">
              <w:rPr>
                <w:color w:val="000000"/>
                <w:sz w:val="20"/>
                <w:szCs w:val="20"/>
              </w:rPr>
              <w:t>Asian</w:t>
            </w:r>
          </w:p>
        </w:tc>
        <w:tc>
          <w:tcPr>
            <w:tcW w:w="1435" w:type="dxa"/>
            <w:tcBorders>
              <w:top w:val="nil"/>
              <w:left w:val="single" w:sz="8" w:space="0" w:color="auto"/>
              <w:bottom w:val="nil"/>
              <w:right w:val="nil"/>
            </w:tcBorders>
            <w:shd w:val="clear" w:color="auto" w:fill="auto"/>
            <w:noWrap/>
            <w:vAlign w:val="center"/>
            <w:hideMark/>
          </w:tcPr>
          <w:p w14:paraId="2313F3C9" w14:textId="77777777" w:rsidR="000A78C6" w:rsidRPr="00425F23" w:rsidRDefault="000A78C6" w:rsidP="005C565E">
            <w:pPr>
              <w:jc w:val="center"/>
              <w:rPr>
                <w:color w:val="000000"/>
                <w:sz w:val="20"/>
                <w:szCs w:val="20"/>
              </w:rPr>
            </w:pPr>
            <w:r w:rsidRPr="00425F23">
              <w:rPr>
                <w:color w:val="000000"/>
                <w:sz w:val="20"/>
                <w:szCs w:val="20"/>
              </w:rPr>
              <w:t>1.8</w:t>
            </w:r>
            <w:r>
              <w:rPr>
                <w:color w:val="000000"/>
                <w:sz w:val="20"/>
                <w:szCs w:val="20"/>
              </w:rPr>
              <w:t>51</w:t>
            </w:r>
          </w:p>
        </w:tc>
        <w:tc>
          <w:tcPr>
            <w:tcW w:w="1435" w:type="dxa"/>
            <w:tcBorders>
              <w:top w:val="nil"/>
              <w:left w:val="single" w:sz="8" w:space="0" w:color="auto"/>
              <w:bottom w:val="nil"/>
              <w:right w:val="single" w:sz="8" w:space="0" w:color="auto"/>
            </w:tcBorders>
            <w:shd w:val="clear" w:color="auto" w:fill="auto"/>
            <w:noWrap/>
            <w:vAlign w:val="center"/>
            <w:hideMark/>
          </w:tcPr>
          <w:p w14:paraId="4F7C3D29" w14:textId="77777777" w:rsidR="000A78C6" w:rsidRPr="00425F23" w:rsidRDefault="000A78C6" w:rsidP="005C565E">
            <w:pPr>
              <w:jc w:val="center"/>
              <w:rPr>
                <w:color w:val="000000"/>
                <w:sz w:val="20"/>
                <w:szCs w:val="20"/>
              </w:rPr>
            </w:pPr>
            <w:r>
              <w:rPr>
                <w:color w:val="000000"/>
                <w:sz w:val="20"/>
                <w:szCs w:val="20"/>
              </w:rPr>
              <w:t>2</w:t>
            </w:r>
            <w:r w:rsidRPr="00425F23">
              <w:rPr>
                <w:color w:val="000000"/>
                <w:sz w:val="20"/>
                <w:szCs w:val="20"/>
              </w:rPr>
              <w:t>.</w:t>
            </w:r>
            <w:r>
              <w:rPr>
                <w:color w:val="000000"/>
                <w:sz w:val="20"/>
                <w:szCs w:val="20"/>
              </w:rPr>
              <w:t>7</w:t>
            </w:r>
            <w:r w:rsidRPr="00425F23">
              <w:rPr>
                <w:color w:val="000000"/>
                <w:sz w:val="20"/>
                <w:szCs w:val="20"/>
              </w:rPr>
              <w:t>3</w:t>
            </w:r>
            <w:r>
              <w:rPr>
                <w:color w:val="000000"/>
                <w:sz w:val="20"/>
                <w:szCs w:val="20"/>
              </w:rPr>
              <w:t>5</w:t>
            </w:r>
          </w:p>
        </w:tc>
        <w:tc>
          <w:tcPr>
            <w:tcW w:w="1435" w:type="dxa"/>
            <w:tcBorders>
              <w:top w:val="nil"/>
              <w:left w:val="nil"/>
              <w:bottom w:val="nil"/>
              <w:right w:val="single" w:sz="8" w:space="0" w:color="auto"/>
            </w:tcBorders>
            <w:shd w:val="clear" w:color="auto" w:fill="auto"/>
            <w:noWrap/>
            <w:vAlign w:val="center"/>
            <w:hideMark/>
          </w:tcPr>
          <w:p w14:paraId="6C43313F" w14:textId="77777777" w:rsidR="000A78C6" w:rsidRPr="00425F23" w:rsidRDefault="000A78C6" w:rsidP="005C565E">
            <w:pPr>
              <w:jc w:val="center"/>
              <w:rPr>
                <w:color w:val="000000"/>
                <w:sz w:val="20"/>
                <w:szCs w:val="20"/>
              </w:rPr>
            </w:pPr>
            <w:r>
              <w:rPr>
                <w:color w:val="000000"/>
                <w:sz w:val="20"/>
                <w:szCs w:val="20"/>
              </w:rPr>
              <w:t xml:space="preserve">  </w:t>
            </w:r>
            <w:r w:rsidRPr="00425F23">
              <w:rPr>
                <w:color w:val="000000"/>
                <w:sz w:val="20"/>
                <w:szCs w:val="20"/>
              </w:rPr>
              <w:t>0.</w:t>
            </w:r>
            <w:r>
              <w:rPr>
                <w:color w:val="000000"/>
                <w:sz w:val="20"/>
                <w:szCs w:val="20"/>
              </w:rPr>
              <w:t>421</w:t>
            </w:r>
          </w:p>
        </w:tc>
        <w:tc>
          <w:tcPr>
            <w:tcW w:w="1435" w:type="dxa"/>
            <w:tcBorders>
              <w:top w:val="nil"/>
              <w:left w:val="nil"/>
              <w:bottom w:val="nil"/>
              <w:right w:val="single" w:sz="8" w:space="0" w:color="auto"/>
            </w:tcBorders>
            <w:shd w:val="clear" w:color="auto" w:fill="auto"/>
            <w:noWrap/>
            <w:vAlign w:val="center"/>
            <w:hideMark/>
          </w:tcPr>
          <w:p w14:paraId="68C5388B" w14:textId="77777777" w:rsidR="000A78C6" w:rsidRPr="00425F23" w:rsidRDefault="000A78C6" w:rsidP="005C565E">
            <w:pPr>
              <w:jc w:val="center"/>
              <w:rPr>
                <w:color w:val="000000"/>
                <w:sz w:val="20"/>
                <w:szCs w:val="20"/>
              </w:rPr>
            </w:pPr>
            <w:r>
              <w:rPr>
                <w:color w:val="000000"/>
                <w:sz w:val="20"/>
                <w:szCs w:val="20"/>
              </w:rPr>
              <w:t xml:space="preserve">  </w:t>
            </w:r>
            <w:r w:rsidRPr="00425F23">
              <w:rPr>
                <w:color w:val="000000"/>
                <w:sz w:val="20"/>
                <w:szCs w:val="20"/>
              </w:rPr>
              <w:t>5.</w:t>
            </w:r>
            <w:r>
              <w:rPr>
                <w:color w:val="000000"/>
                <w:sz w:val="20"/>
                <w:szCs w:val="20"/>
              </w:rPr>
              <w:t>336</w:t>
            </w:r>
          </w:p>
        </w:tc>
        <w:tc>
          <w:tcPr>
            <w:tcW w:w="1435" w:type="dxa"/>
            <w:tcBorders>
              <w:top w:val="nil"/>
              <w:left w:val="nil"/>
              <w:bottom w:val="nil"/>
              <w:right w:val="single" w:sz="8" w:space="0" w:color="auto"/>
            </w:tcBorders>
            <w:shd w:val="clear" w:color="auto" w:fill="auto"/>
            <w:noWrap/>
            <w:vAlign w:val="center"/>
            <w:hideMark/>
          </w:tcPr>
          <w:p w14:paraId="711713AB"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nil"/>
              <w:right w:val="single" w:sz="8" w:space="0" w:color="auto"/>
            </w:tcBorders>
            <w:shd w:val="clear" w:color="auto" w:fill="auto"/>
            <w:noWrap/>
            <w:vAlign w:val="center"/>
            <w:hideMark/>
          </w:tcPr>
          <w:p w14:paraId="1D5A8BE5" w14:textId="77777777" w:rsidR="000A78C6" w:rsidRPr="00425F23" w:rsidRDefault="000A78C6" w:rsidP="005C565E">
            <w:pPr>
              <w:jc w:val="center"/>
              <w:rPr>
                <w:color w:val="000000"/>
                <w:sz w:val="20"/>
                <w:szCs w:val="20"/>
              </w:rPr>
            </w:pPr>
            <w:r w:rsidRPr="00425F23">
              <w:rPr>
                <w:color w:val="000000"/>
                <w:sz w:val="20"/>
                <w:szCs w:val="20"/>
              </w:rPr>
              <w:t>--</w:t>
            </w:r>
          </w:p>
        </w:tc>
      </w:tr>
      <w:tr w:rsidR="000A78C6" w:rsidRPr="00425F23" w14:paraId="1C28B969" w14:textId="77777777" w:rsidTr="007D0895">
        <w:trPr>
          <w:trHeight w:val="88"/>
        </w:trPr>
        <w:tc>
          <w:tcPr>
            <w:tcW w:w="3980" w:type="dxa"/>
            <w:tcBorders>
              <w:top w:val="nil"/>
              <w:left w:val="single" w:sz="8" w:space="0" w:color="auto"/>
              <w:bottom w:val="nil"/>
              <w:right w:val="nil"/>
            </w:tcBorders>
            <w:shd w:val="clear" w:color="auto" w:fill="auto"/>
            <w:noWrap/>
            <w:vAlign w:val="center"/>
            <w:hideMark/>
          </w:tcPr>
          <w:p w14:paraId="14854F60" w14:textId="23DB0391" w:rsidR="000A78C6" w:rsidRPr="00425F23" w:rsidRDefault="000A78C6" w:rsidP="005C565E">
            <w:pPr>
              <w:rPr>
                <w:color w:val="000000"/>
                <w:sz w:val="20"/>
                <w:szCs w:val="20"/>
              </w:rPr>
            </w:pPr>
            <w:r>
              <w:rPr>
                <w:b/>
                <w:bCs/>
                <w:color w:val="000000"/>
                <w:sz w:val="20"/>
                <w:szCs w:val="20"/>
              </w:rPr>
              <w:t>Driver Status</w:t>
            </w:r>
            <w:r w:rsidRPr="00425F23">
              <w:rPr>
                <w:b/>
                <w:bCs/>
                <w:color w:val="000000"/>
                <w:sz w:val="20"/>
                <w:szCs w:val="20"/>
              </w:rPr>
              <w:t xml:space="preserve"> (</w:t>
            </w:r>
            <w:r w:rsidR="00C67E12">
              <w:rPr>
                <w:b/>
                <w:bCs/>
                <w:color w:val="000000"/>
                <w:sz w:val="20"/>
                <w:szCs w:val="20"/>
              </w:rPr>
              <w:t>D</w:t>
            </w:r>
            <w:r w:rsidRPr="00425F23">
              <w:rPr>
                <w:b/>
                <w:bCs/>
                <w:color w:val="000000"/>
                <w:sz w:val="20"/>
                <w:szCs w:val="20"/>
              </w:rPr>
              <w:t>river)</w:t>
            </w:r>
          </w:p>
        </w:tc>
        <w:tc>
          <w:tcPr>
            <w:tcW w:w="1435" w:type="dxa"/>
            <w:tcBorders>
              <w:top w:val="nil"/>
              <w:left w:val="single" w:sz="8" w:space="0" w:color="auto"/>
              <w:bottom w:val="nil"/>
              <w:right w:val="nil"/>
            </w:tcBorders>
            <w:shd w:val="clear" w:color="auto" w:fill="auto"/>
            <w:noWrap/>
            <w:vAlign w:val="center"/>
            <w:hideMark/>
          </w:tcPr>
          <w:p w14:paraId="5942D497"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single" w:sz="8" w:space="0" w:color="auto"/>
              <w:bottom w:val="nil"/>
              <w:right w:val="single" w:sz="8" w:space="0" w:color="auto"/>
            </w:tcBorders>
            <w:shd w:val="clear" w:color="auto" w:fill="auto"/>
            <w:noWrap/>
            <w:vAlign w:val="center"/>
            <w:hideMark/>
          </w:tcPr>
          <w:p w14:paraId="73E27FF7"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53542223"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5DAE78D9"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095EF866"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1B6C132F" w14:textId="77777777" w:rsidR="000A78C6" w:rsidRPr="00425F23" w:rsidRDefault="000A78C6" w:rsidP="005C565E">
            <w:pPr>
              <w:jc w:val="center"/>
              <w:rPr>
                <w:color w:val="000000"/>
                <w:sz w:val="20"/>
                <w:szCs w:val="20"/>
              </w:rPr>
            </w:pPr>
            <w:r w:rsidRPr="00425F23">
              <w:rPr>
                <w:color w:val="000000"/>
                <w:sz w:val="20"/>
                <w:szCs w:val="20"/>
              </w:rPr>
              <w:t> </w:t>
            </w:r>
          </w:p>
        </w:tc>
      </w:tr>
      <w:tr w:rsidR="000A78C6" w:rsidRPr="00425F23" w14:paraId="4878BA86" w14:textId="77777777" w:rsidTr="007D0895">
        <w:trPr>
          <w:trHeight w:val="88"/>
        </w:trPr>
        <w:tc>
          <w:tcPr>
            <w:tcW w:w="3980" w:type="dxa"/>
            <w:tcBorders>
              <w:top w:val="nil"/>
              <w:left w:val="single" w:sz="8" w:space="0" w:color="auto"/>
              <w:bottom w:val="single" w:sz="8" w:space="0" w:color="auto"/>
              <w:right w:val="nil"/>
            </w:tcBorders>
            <w:shd w:val="clear" w:color="auto" w:fill="auto"/>
            <w:noWrap/>
            <w:vAlign w:val="center"/>
            <w:hideMark/>
          </w:tcPr>
          <w:p w14:paraId="615DA19F" w14:textId="77777777" w:rsidR="000A78C6" w:rsidRPr="00425F23" w:rsidRDefault="000A78C6" w:rsidP="005C565E">
            <w:pPr>
              <w:rPr>
                <w:b/>
                <w:bCs/>
                <w:color w:val="000000"/>
                <w:sz w:val="20"/>
                <w:szCs w:val="20"/>
              </w:rPr>
            </w:pPr>
            <w:r>
              <w:rPr>
                <w:color w:val="000000"/>
                <w:sz w:val="20"/>
                <w:szCs w:val="20"/>
              </w:rPr>
              <w:t>Non-Driver</w:t>
            </w:r>
          </w:p>
        </w:tc>
        <w:tc>
          <w:tcPr>
            <w:tcW w:w="1435" w:type="dxa"/>
            <w:tcBorders>
              <w:top w:val="nil"/>
              <w:left w:val="single" w:sz="8" w:space="0" w:color="auto"/>
              <w:bottom w:val="single" w:sz="8" w:space="0" w:color="auto"/>
              <w:right w:val="nil"/>
            </w:tcBorders>
            <w:shd w:val="clear" w:color="auto" w:fill="auto"/>
            <w:noWrap/>
            <w:vAlign w:val="center"/>
            <w:hideMark/>
          </w:tcPr>
          <w:p w14:paraId="600E3E9B"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single" w:sz="8" w:space="0" w:color="auto"/>
              <w:bottom w:val="single" w:sz="8" w:space="0" w:color="auto"/>
              <w:right w:val="single" w:sz="8" w:space="0" w:color="auto"/>
            </w:tcBorders>
            <w:shd w:val="clear" w:color="auto" w:fill="auto"/>
            <w:noWrap/>
            <w:vAlign w:val="center"/>
            <w:hideMark/>
          </w:tcPr>
          <w:p w14:paraId="1D84A517"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single" w:sz="8" w:space="0" w:color="auto"/>
              <w:right w:val="single" w:sz="8" w:space="0" w:color="auto"/>
            </w:tcBorders>
            <w:shd w:val="clear" w:color="auto" w:fill="auto"/>
            <w:noWrap/>
            <w:vAlign w:val="center"/>
            <w:hideMark/>
          </w:tcPr>
          <w:p w14:paraId="04BE2299" w14:textId="77777777" w:rsidR="000A78C6" w:rsidRPr="00425F23" w:rsidRDefault="000A78C6" w:rsidP="005C565E">
            <w:pPr>
              <w:jc w:val="center"/>
              <w:rPr>
                <w:color w:val="000000"/>
                <w:sz w:val="20"/>
                <w:szCs w:val="20"/>
              </w:rPr>
            </w:pPr>
            <w:r>
              <w:rPr>
                <w:color w:val="000000"/>
                <w:sz w:val="20"/>
                <w:szCs w:val="20"/>
              </w:rPr>
              <w:t xml:space="preserve">  </w:t>
            </w:r>
            <w:r w:rsidRPr="00425F23">
              <w:rPr>
                <w:color w:val="000000"/>
                <w:sz w:val="20"/>
                <w:szCs w:val="20"/>
              </w:rPr>
              <w:t>0.</w:t>
            </w:r>
            <w:r>
              <w:rPr>
                <w:color w:val="000000"/>
                <w:sz w:val="20"/>
                <w:szCs w:val="20"/>
              </w:rPr>
              <w:t>264</w:t>
            </w:r>
          </w:p>
        </w:tc>
        <w:tc>
          <w:tcPr>
            <w:tcW w:w="1435" w:type="dxa"/>
            <w:tcBorders>
              <w:top w:val="nil"/>
              <w:left w:val="nil"/>
              <w:bottom w:val="single" w:sz="8" w:space="0" w:color="auto"/>
              <w:right w:val="single" w:sz="8" w:space="0" w:color="auto"/>
            </w:tcBorders>
            <w:shd w:val="clear" w:color="auto" w:fill="auto"/>
            <w:noWrap/>
            <w:vAlign w:val="center"/>
            <w:hideMark/>
          </w:tcPr>
          <w:p w14:paraId="0D4206C0" w14:textId="77777777" w:rsidR="000A78C6" w:rsidRPr="00425F23" w:rsidRDefault="000A78C6" w:rsidP="005C565E">
            <w:pPr>
              <w:jc w:val="center"/>
              <w:rPr>
                <w:color w:val="000000"/>
                <w:sz w:val="20"/>
                <w:szCs w:val="20"/>
              </w:rPr>
            </w:pPr>
            <w:r>
              <w:rPr>
                <w:color w:val="000000"/>
                <w:sz w:val="20"/>
                <w:szCs w:val="20"/>
              </w:rPr>
              <w:t xml:space="preserve">  4.050</w:t>
            </w:r>
          </w:p>
        </w:tc>
        <w:tc>
          <w:tcPr>
            <w:tcW w:w="1435" w:type="dxa"/>
            <w:tcBorders>
              <w:top w:val="nil"/>
              <w:left w:val="nil"/>
              <w:bottom w:val="single" w:sz="8" w:space="0" w:color="auto"/>
              <w:right w:val="single" w:sz="8" w:space="0" w:color="auto"/>
            </w:tcBorders>
            <w:shd w:val="clear" w:color="auto" w:fill="auto"/>
            <w:noWrap/>
            <w:vAlign w:val="center"/>
            <w:hideMark/>
          </w:tcPr>
          <w:p w14:paraId="3909ABF2" w14:textId="77777777" w:rsidR="000A78C6" w:rsidRPr="00425F23" w:rsidRDefault="000A78C6" w:rsidP="005C565E">
            <w:pPr>
              <w:jc w:val="center"/>
              <w:rPr>
                <w:color w:val="000000"/>
                <w:sz w:val="20"/>
                <w:szCs w:val="20"/>
              </w:rPr>
            </w:pPr>
            <w:r w:rsidRPr="00425F23">
              <w:rPr>
                <w:color w:val="000000"/>
                <w:sz w:val="20"/>
                <w:szCs w:val="20"/>
              </w:rPr>
              <w:t>0.</w:t>
            </w:r>
            <w:r>
              <w:rPr>
                <w:color w:val="000000"/>
                <w:sz w:val="20"/>
                <w:szCs w:val="20"/>
              </w:rPr>
              <w:t>214</w:t>
            </w:r>
          </w:p>
        </w:tc>
        <w:tc>
          <w:tcPr>
            <w:tcW w:w="1435" w:type="dxa"/>
            <w:tcBorders>
              <w:top w:val="nil"/>
              <w:left w:val="nil"/>
              <w:bottom w:val="single" w:sz="8" w:space="0" w:color="auto"/>
              <w:right w:val="single" w:sz="8" w:space="0" w:color="auto"/>
            </w:tcBorders>
            <w:shd w:val="clear" w:color="auto" w:fill="auto"/>
            <w:noWrap/>
            <w:vAlign w:val="center"/>
            <w:hideMark/>
          </w:tcPr>
          <w:p w14:paraId="43164598" w14:textId="77777777" w:rsidR="000A78C6" w:rsidRPr="00425F23" w:rsidRDefault="000A78C6" w:rsidP="005C565E">
            <w:pPr>
              <w:jc w:val="center"/>
              <w:rPr>
                <w:color w:val="000000"/>
                <w:sz w:val="20"/>
                <w:szCs w:val="20"/>
              </w:rPr>
            </w:pPr>
            <w:r>
              <w:rPr>
                <w:color w:val="000000"/>
                <w:sz w:val="20"/>
                <w:szCs w:val="20"/>
              </w:rPr>
              <w:t>2.705</w:t>
            </w:r>
          </w:p>
        </w:tc>
      </w:tr>
      <w:tr w:rsidR="000A78C6" w:rsidRPr="00425F23" w14:paraId="3FAE40E7" w14:textId="77777777" w:rsidTr="007D0895">
        <w:trPr>
          <w:trHeight w:val="88"/>
        </w:trPr>
        <w:tc>
          <w:tcPr>
            <w:tcW w:w="3980" w:type="dxa"/>
            <w:tcBorders>
              <w:top w:val="nil"/>
              <w:left w:val="single" w:sz="8" w:space="0" w:color="auto"/>
              <w:bottom w:val="nil"/>
              <w:right w:val="single" w:sz="8" w:space="0" w:color="auto"/>
            </w:tcBorders>
            <w:shd w:val="clear" w:color="auto" w:fill="auto"/>
            <w:noWrap/>
            <w:vAlign w:val="center"/>
            <w:hideMark/>
          </w:tcPr>
          <w:p w14:paraId="5A988C82" w14:textId="77777777" w:rsidR="000A78C6" w:rsidRPr="00425F23" w:rsidRDefault="000A78C6" w:rsidP="005C565E">
            <w:pPr>
              <w:rPr>
                <w:color w:val="000000"/>
                <w:sz w:val="20"/>
                <w:szCs w:val="20"/>
              </w:rPr>
            </w:pPr>
            <w:r w:rsidRPr="00425F23">
              <w:rPr>
                <w:b/>
                <w:bCs/>
                <w:i/>
                <w:iCs/>
                <w:color w:val="000000"/>
                <w:sz w:val="20"/>
                <w:szCs w:val="20"/>
                <w:u w:val="single"/>
              </w:rPr>
              <w:t>Household-Level Demographics</w:t>
            </w:r>
          </w:p>
        </w:tc>
        <w:tc>
          <w:tcPr>
            <w:tcW w:w="1435" w:type="dxa"/>
            <w:tcBorders>
              <w:top w:val="nil"/>
              <w:left w:val="nil"/>
              <w:bottom w:val="nil"/>
              <w:right w:val="nil"/>
            </w:tcBorders>
            <w:shd w:val="clear" w:color="auto" w:fill="auto"/>
            <w:noWrap/>
            <w:vAlign w:val="center"/>
            <w:hideMark/>
          </w:tcPr>
          <w:p w14:paraId="29532B4C"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single" w:sz="8" w:space="0" w:color="auto"/>
              <w:bottom w:val="nil"/>
              <w:right w:val="single" w:sz="8" w:space="0" w:color="auto"/>
            </w:tcBorders>
            <w:shd w:val="clear" w:color="auto" w:fill="auto"/>
            <w:noWrap/>
            <w:vAlign w:val="center"/>
            <w:hideMark/>
          </w:tcPr>
          <w:p w14:paraId="76B0D4CD"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nil"/>
            </w:tcBorders>
            <w:shd w:val="clear" w:color="auto" w:fill="auto"/>
            <w:noWrap/>
            <w:vAlign w:val="center"/>
            <w:hideMark/>
          </w:tcPr>
          <w:p w14:paraId="78E0C6A3" w14:textId="77777777" w:rsidR="000A78C6" w:rsidRPr="00425F23" w:rsidRDefault="000A78C6" w:rsidP="005C565E">
            <w:pPr>
              <w:jc w:val="center"/>
              <w:rPr>
                <w:color w:val="000000"/>
                <w:sz w:val="20"/>
                <w:szCs w:val="20"/>
              </w:rPr>
            </w:pPr>
          </w:p>
        </w:tc>
        <w:tc>
          <w:tcPr>
            <w:tcW w:w="1435" w:type="dxa"/>
            <w:tcBorders>
              <w:top w:val="nil"/>
              <w:left w:val="single" w:sz="8" w:space="0" w:color="auto"/>
              <w:bottom w:val="nil"/>
              <w:right w:val="nil"/>
            </w:tcBorders>
            <w:shd w:val="clear" w:color="auto" w:fill="auto"/>
            <w:noWrap/>
            <w:vAlign w:val="center"/>
            <w:hideMark/>
          </w:tcPr>
          <w:p w14:paraId="62315951"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single" w:sz="8" w:space="0" w:color="auto"/>
              <w:bottom w:val="nil"/>
              <w:right w:val="single" w:sz="8" w:space="0" w:color="auto"/>
            </w:tcBorders>
            <w:shd w:val="clear" w:color="auto" w:fill="auto"/>
            <w:noWrap/>
            <w:vAlign w:val="center"/>
            <w:hideMark/>
          </w:tcPr>
          <w:p w14:paraId="1A3C6D3E"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1B379DD2" w14:textId="77777777" w:rsidR="000A78C6" w:rsidRPr="00425F23" w:rsidRDefault="000A78C6" w:rsidP="005C565E">
            <w:pPr>
              <w:jc w:val="center"/>
              <w:rPr>
                <w:color w:val="000000"/>
                <w:sz w:val="20"/>
                <w:szCs w:val="20"/>
              </w:rPr>
            </w:pPr>
            <w:r w:rsidRPr="00425F23">
              <w:rPr>
                <w:color w:val="000000"/>
                <w:sz w:val="20"/>
                <w:szCs w:val="20"/>
              </w:rPr>
              <w:t> </w:t>
            </w:r>
          </w:p>
        </w:tc>
      </w:tr>
      <w:tr w:rsidR="000A78C6" w:rsidRPr="00425F23" w14:paraId="069ABDE2" w14:textId="77777777" w:rsidTr="007D0895">
        <w:trPr>
          <w:trHeight w:val="68"/>
        </w:trPr>
        <w:tc>
          <w:tcPr>
            <w:tcW w:w="3980" w:type="dxa"/>
            <w:tcBorders>
              <w:top w:val="nil"/>
              <w:left w:val="single" w:sz="8" w:space="0" w:color="auto"/>
              <w:bottom w:val="nil"/>
              <w:right w:val="single" w:sz="8" w:space="0" w:color="auto"/>
            </w:tcBorders>
            <w:shd w:val="clear" w:color="auto" w:fill="auto"/>
            <w:noWrap/>
            <w:vAlign w:val="center"/>
            <w:hideMark/>
          </w:tcPr>
          <w:p w14:paraId="1AFCBFED" w14:textId="77777777" w:rsidR="000A78C6" w:rsidRPr="00425F23" w:rsidRDefault="000A78C6" w:rsidP="005C565E">
            <w:pPr>
              <w:rPr>
                <w:b/>
                <w:bCs/>
                <w:i/>
                <w:iCs/>
                <w:color w:val="000000"/>
                <w:sz w:val="20"/>
                <w:szCs w:val="20"/>
                <w:u w:val="single"/>
              </w:rPr>
            </w:pPr>
            <w:r w:rsidRPr="00425F23">
              <w:rPr>
                <w:b/>
                <w:bCs/>
                <w:color w:val="000000"/>
                <w:sz w:val="20"/>
                <w:szCs w:val="20"/>
              </w:rPr>
              <w:t>Number of Adults (1 adult)</w:t>
            </w:r>
          </w:p>
        </w:tc>
        <w:tc>
          <w:tcPr>
            <w:tcW w:w="1435" w:type="dxa"/>
            <w:tcBorders>
              <w:top w:val="nil"/>
              <w:left w:val="nil"/>
              <w:bottom w:val="nil"/>
              <w:right w:val="nil"/>
            </w:tcBorders>
            <w:shd w:val="clear" w:color="auto" w:fill="auto"/>
            <w:noWrap/>
            <w:vAlign w:val="center"/>
            <w:hideMark/>
          </w:tcPr>
          <w:p w14:paraId="6D5BB10D"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single" w:sz="8" w:space="0" w:color="auto"/>
              <w:bottom w:val="nil"/>
              <w:right w:val="single" w:sz="8" w:space="0" w:color="auto"/>
            </w:tcBorders>
            <w:shd w:val="clear" w:color="auto" w:fill="auto"/>
            <w:noWrap/>
            <w:vAlign w:val="center"/>
            <w:hideMark/>
          </w:tcPr>
          <w:p w14:paraId="71A42446"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nil"/>
            </w:tcBorders>
            <w:shd w:val="clear" w:color="auto" w:fill="auto"/>
            <w:noWrap/>
            <w:vAlign w:val="center"/>
            <w:hideMark/>
          </w:tcPr>
          <w:p w14:paraId="411088A4" w14:textId="77777777" w:rsidR="000A78C6" w:rsidRPr="00425F23" w:rsidRDefault="000A78C6" w:rsidP="005C565E">
            <w:pPr>
              <w:jc w:val="center"/>
              <w:rPr>
                <w:color w:val="000000"/>
                <w:sz w:val="20"/>
                <w:szCs w:val="20"/>
              </w:rPr>
            </w:pPr>
          </w:p>
        </w:tc>
        <w:tc>
          <w:tcPr>
            <w:tcW w:w="1435" w:type="dxa"/>
            <w:tcBorders>
              <w:top w:val="nil"/>
              <w:left w:val="single" w:sz="8" w:space="0" w:color="auto"/>
              <w:bottom w:val="nil"/>
              <w:right w:val="nil"/>
            </w:tcBorders>
            <w:shd w:val="clear" w:color="auto" w:fill="auto"/>
            <w:noWrap/>
            <w:vAlign w:val="center"/>
            <w:hideMark/>
          </w:tcPr>
          <w:p w14:paraId="3256D51E"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single" w:sz="8" w:space="0" w:color="auto"/>
              <w:bottom w:val="nil"/>
              <w:right w:val="single" w:sz="8" w:space="0" w:color="auto"/>
            </w:tcBorders>
            <w:shd w:val="clear" w:color="auto" w:fill="auto"/>
            <w:noWrap/>
            <w:vAlign w:val="center"/>
            <w:hideMark/>
          </w:tcPr>
          <w:p w14:paraId="483ABC0F"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104D7553" w14:textId="77777777" w:rsidR="000A78C6" w:rsidRPr="00425F23" w:rsidRDefault="000A78C6" w:rsidP="005C565E">
            <w:pPr>
              <w:jc w:val="center"/>
              <w:rPr>
                <w:color w:val="000000"/>
                <w:sz w:val="20"/>
                <w:szCs w:val="20"/>
              </w:rPr>
            </w:pPr>
            <w:r w:rsidRPr="00425F23">
              <w:rPr>
                <w:color w:val="000000"/>
                <w:sz w:val="20"/>
                <w:szCs w:val="20"/>
              </w:rPr>
              <w:t> </w:t>
            </w:r>
          </w:p>
        </w:tc>
      </w:tr>
      <w:tr w:rsidR="000A78C6" w:rsidRPr="00425F23" w14:paraId="5C8D771F" w14:textId="77777777" w:rsidTr="007D0895">
        <w:trPr>
          <w:trHeight w:val="88"/>
        </w:trPr>
        <w:tc>
          <w:tcPr>
            <w:tcW w:w="3980" w:type="dxa"/>
            <w:tcBorders>
              <w:top w:val="nil"/>
              <w:left w:val="single" w:sz="8" w:space="0" w:color="auto"/>
              <w:bottom w:val="nil"/>
              <w:right w:val="single" w:sz="8" w:space="0" w:color="auto"/>
            </w:tcBorders>
            <w:shd w:val="clear" w:color="auto" w:fill="auto"/>
            <w:noWrap/>
            <w:vAlign w:val="center"/>
            <w:hideMark/>
          </w:tcPr>
          <w:p w14:paraId="79733A93" w14:textId="77777777" w:rsidR="000A78C6" w:rsidRPr="00425F23" w:rsidRDefault="000A78C6" w:rsidP="005C565E">
            <w:pPr>
              <w:rPr>
                <w:b/>
                <w:bCs/>
                <w:color w:val="000000"/>
                <w:sz w:val="20"/>
                <w:szCs w:val="20"/>
              </w:rPr>
            </w:pPr>
            <w:r w:rsidRPr="00425F23">
              <w:rPr>
                <w:color w:val="000000"/>
                <w:sz w:val="20"/>
                <w:szCs w:val="20"/>
              </w:rPr>
              <w:t>2</w:t>
            </w:r>
          </w:p>
        </w:tc>
        <w:tc>
          <w:tcPr>
            <w:tcW w:w="1435" w:type="dxa"/>
            <w:tcBorders>
              <w:top w:val="nil"/>
              <w:left w:val="nil"/>
              <w:bottom w:val="nil"/>
              <w:right w:val="nil"/>
            </w:tcBorders>
            <w:shd w:val="clear" w:color="auto" w:fill="auto"/>
            <w:noWrap/>
            <w:vAlign w:val="center"/>
            <w:hideMark/>
          </w:tcPr>
          <w:p w14:paraId="549B1170"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single" w:sz="8" w:space="0" w:color="auto"/>
              <w:bottom w:val="nil"/>
              <w:right w:val="single" w:sz="8" w:space="0" w:color="auto"/>
            </w:tcBorders>
            <w:shd w:val="clear" w:color="auto" w:fill="auto"/>
            <w:noWrap/>
            <w:vAlign w:val="center"/>
            <w:hideMark/>
          </w:tcPr>
          <w:p w14:paraId="5BF8CF3A"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nil"/>
              <w:right w:val="nil"/>
            </w:tcBorders>
            <w:shd w:val="clear" w:color="auto" w:fill="auto"/>
            <w:noWrap/>
            <w:vAlign w:val="center"/>
            <w:hideMark/>
          </w:tcPr>
          <w:p w14:paraId="7332C03B" w14:textId="77777777" w:rsidR="000A78C6" w:rsidRPr="00425F23" w:rsidRDefault="000A78C6" w:rsidP="005C565E">
            <w:pPr>
              <w:jc w:val="center"/>
              <w:rPr>
                <w:color w:val="000000"/>
                <w:sz w:val="20"/>
                <w:szCs w:val="20"/>
              </w:rPr>
            </w:pPr>
            <w:r>
              <w:rPr>
                <w:color w:val="000000"/>
                <w:sz w:val="20"/>
                <w:szCs w:val="20"/>
              </w:rPr>
              <w:t xml:space="preserve"> </w:t>
            </w:r>
            <w:r w:rsidRPr="00425F23">
              <w:rPr>
                <w:color w:val="000000"/>
                <w:sz w:val="20"/>
                <w:szCs w:val="20"/>
              </w:rPr>
              <w:t>-0.</w:t>
            </w:r>
            <w:r>
              <w:rPr>
                <w:color w:val="000000"/>
                <w:sz w:val="20"/>
                <w:szCs w:val="20"/>
              </w:rPr>
              <w:t>166</w:t>
            </w:r>
          </w:p>
        </w:tc>
        <w:tc>
          <w:tcPr>
            <w:tcW w:w="1435" w:type="dxa"/>
            <w:tcBorders>
              <w:top w:val="nil"/>
              <w:left w:val="single" w:sz="8" w:space="0" w:color="auto"/>
              <w:bottom w:val="nil"/>
              <w:right w:val="nil"/>
            </w:tcBorders>
            <w:shd w:val="clear" w:color="auto" w:fill="auto"/>
            <w:noWrap/>
            <w:vAlign w:val="center"/>
            <w:hideMark/>
          </w:tcPr>
          <w:p w14:paraId="7D05814E" w14:textId="77777777" w:rsidR="000A78C6" w:rsidRPr="00425F23" w:rsidRDefault="000A78C6" w:rsidP="005C565E">
            <w:pPr>
              <w:jc w:val="center"/>
              <w:rPr>
                <w:color w:val="000000"/>
                <w:sz w:val="20"/>
                <w:szCs w:val="20"/>
              </w:rPr>
            </w:pPr>
            <w:r w:rsidRPr="00425F23">
              <w:rPr>
                <w:color w:val="000000"/>
                <w:sz w:val="20"/>
                <w:szCs w:val="20"/>
              </w:rPr>
              <w:t>-</w:t>
            </w:r>
            <w:r>
              <w:rPr>
                <w:color w:val="000000"/>
                <w:sz w:val="20"/>
                <w:szCs w:val="20"/>
              </w:rPr>
              <w:t>3</w:t>
            </w:r>
            <w:r w:rsidRPr="00425F23">
              <w:rPr>
                <w:color w:val="000000"/>
                <w:sz w:val="20"/>
                <w:szCs w:val="20"/>
              </w:rPr>
              <w:t>.</w:t>
            </w:r>
            <w:r>
              <w:rPr>
                <w:color w:val="000000"/>
                <w:sz w:val="20"/>
                <w:szCs w:val="20"/>
              </w:rPr>
              <w:t>718</w:t>
            </w:r>
          </w:p>
        </w:tc>
        <w:tc>
          <w:tcPr>
            <w:tcW w:w="1435" w:type="dxa"/>
            <w:tcBorders>
              <w:top w:val="nil"/>
              <w:left w:val="single" w:sz="8" w:space="0" w:color="auto"/>
              <w:bottom w:val="nil"/>
              <w:right w:val="single" w:sz="8" w:space="0" w:color="auto"/>
            </w:tcBorders>
            <w:shd w:val="clear" w:color="auto" w:fill="auto"/>
            <w:noWrap/>
            <w:vAlign w:val="center"/>
            <w:hideMark/>
          </w:tcPr>
          <w:p w14:paraId="573E8080"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nil"/>
              <w:right w:val="single" w:sz="8" w:space="0" w:color="auto"/>
            </w:tcBorders>
            <w:shd w:val="clear" w:color="auto" w:fill="auto"/>
            <w:noWrap/>
            <w:vAlign w:val="center"/>
            <w:hideMark/>
          </w:tcPr>
          <w:p w14:paraId="13D48F63" w14:textId="77777777" w:rsidR="000A78C6" w:rsidRPr="00425F23" w:rsidRDefault="000A78C6" w:rsidP="005C565E">
            <w:pPr>
              <w:jc w:val="center"/>
              <w:rPr>
                <w:color w:val="000000"/>
                <w:sz w:val="20"/>
                <w:szCs w:val="20"/>
              </w:rPr>
            </w:pPr>
            <w:r w:rsidRPr="00425F23">
              <w:rPr>
                <w:color w:val="000000"/>
                <w:sz w:val="20"/>
                <w:szCs w:val="20"/>
              </w:rPr>
              <w:t>--</w:t>
            </w:r>
          </w:p>
        </w:tc>
      </w:tr>
      <w:tr w:rsidR="000A78C6" w:rsidRPr="00425F23" w14:paraId="3B2B7B37" w14:textId="77777777" w:rsidTr="007D0895">
        <w:trPr>
          <w:trHeight w:val="88"/>
        </w:trPr>
        <w:tc>
          <w:tcPr>
            <w:tcW w:w="3980" w:type="dxa"/>
            <w:tcBorders>
              <w:top w:val="nil"/>
              <w:left w:val="single" w:sz="8" w:space="0" w:color="auto"/>
              <w:bottom w:val="nil"/>
              <w:right w:val="single" w:sz="8" w:space="0" w:color="auto"/>
            </w:tcBorders>
            <w:shd w:val="clear" w:color="auto" w:fill="auto"/>
            <w:noWrap/>
            <w:vAlign w:val="center"/>
            <w:hideMark/>
          </w:tcPr>
          <w:p w14:paraId="3A1FB5E8" w14:textId="77777777" w:rsidR="000A78C6" w:rsidRPr="00425F23" w:rsidRDefault="000A78C6" w:rsidP="005C565E">
            <w:pPr>
              <w:rPr>
                <w:color w:val="000000"/>
                <w:sz w:val="20"/>
                <w:szCs w:val="20"/>
              </w:rPr>
            </w:pPr>
            <w:r w:rsidRPr="00425F23">
              <w:rPr>
                <w:color w:val="000000"/>
                <w:sz w:val="20"/>
                <w:szCs w:val="20"/>
              </w:rPr>
              <w:t>3+</w:t>
            </w:r>
          </w:p>
        </w:tc>
        <w:tc>
          <w:tcPr>
            <w:tcW w:w="1435" w:type="dxa"/>
            <w:tcBorders>
              <w:top w:val="nil"/>
              <w:left w:val="nil"/>
              <w:bottom w:val="nil"/>
              <w:right w:val="nil"/>
            </w:tcBorders>
            <w:shd w:val="clear" w:color="auto" w:fill="auto"/>
            <w:noWrap/>
            <w:vAlign w:val="center"/>
            <w:hideMark/>
          </w:tcPr>
          <w:p w14:paraId="6D92505B"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single" w:sz="8" w:space="0" w:color="auto"/>
              <w:bottom w:val="nil"/>
              <w:right w:val="single" w:sz="8" w:space="0" w:color="auto"/>
            </w:tcBorders>
            <w:shd w:val="clear" w:color="auto" w:fill="auto"/>
            <w:noWrap/>
            <w:vAlign w:val="center"/>
            <w:hideMark/>
          </w:tcPr>
          <w:p w14:paraId="2121B36A"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nil"/>
              <w:right w:val="nil"/>
            </w:tcBorders>
            <w:shd w:val="clear" w:color="auto" w:fill="auto"/>
            <w:noWrap/>
            <w:vAlign w:val="center"/>
            <w:hideMark/>
          </w:tcPr>
          <w:p w14:paraId="24ECA2D4" w14:textId="77777777" w:rsidR="000A78C6" w:rsidRPr="00425F23" w:rsidRDefault="000A78C6" w:rsidP="005C565E">
            <w:pPr>
              <w:jc w:val="center"/>
              <w:rPr>
                <w:color w:val="000000"/>
                <w:sz w:val="20"/>
                <w:szCs w:val="20"/>
              </w:rPr>
            </w:pPr>
            <w:r>
              <w:rPr>
                <w:color w:val="000000"/>
                <w:sz w:val="20"/>
                <w:szCs w:val="20"/>
              </w:rPr>
              <w:t xml:space="preserve"> </w:t>
            </w:r>
            <w:r w:rsidRPr="00425F23">
              <w:rPr>
                <w:color w:val="000000"/>
                <w:sz w:val="20"/>
                <w:szCs w:val="20"/>
              </w:rPr>
              <w:t>-0.</w:t>
            </w:r>
            <w:r>
              <w:rPr>
                <w:color w:val="000000"/>
                <w:sz w:val="20"/>
                <w:szCs w:val="20"/>
              </w:rPr>
              <w:t>224</w:t>
            </w:r>
          </w:p>
        </w:tc>
        <w:tc>
          <w:tcPr>
            <w:tcW w:w="1435" w:type="dxa"/>
            <w:tcBorders>
              <w:top w:val="nil"/>
              <w:left w:val="single" w:sz="8" w:space="0" w:color="auto"/>
              <w:bottom w:val="nil"/>
              <w:right w:val="nil"/>
            </w:tcBorders>
            <w:shd w:val="clear" w:color="auto" w:fill="auto"/>
            <w:noWrap/>
            <w:vAlign w:val="center"/>
            <w:hideMark/>
          </w:tcPr>
          <w:p w14:paraId="252F7722" w14:textId="77777777" w:rsidR="000A78C6" w:rsidRPr="00425F23" w:rsidRDefault="000A78C6" w:rsidP="005C565E">
            <w:pPr>
              <w:jc w:val="center"/>
              <w:rPr>
                <w:color w:val="000000"/>
                <w:sz w:val="20"/>
                <w:szCs w:val="20"/>
              </w:rPr>
            </w:pPr>
            <w:r w:rsidRPr="00425F23">
              <w:rPr>
                <w:color w:val="000000"/>
                <w:sz w:val="20"/>
                <w:szCs w:val="20"/>
              </w:rPr>
              <w:t>-</w:t>
            </w:r>
            <w:r>
              <w:rPr>
                <w:color w:val="000000"/>
                <w:sz w:val="20"/>
                <w:szCs w:val="20"/>
              </w:rPr>
              <w:t>4</w:t>
            </w:r>
            <w:r w:rsidRPr="00425F23">
              <w:rPr>
                <w:color w:val="000000"/>
                <w:sz w:val="20"/>
                <w:szCs w:val="20"/>
              </w:rPr>
              <w:t>.</w:t>
            </w:r>
            <w:r>
              <w:rPr>
                <w:color w:val="000000"/>
                <w:sz w:val="20"/>
                <w:szCs w:val="20"/>
              </w:rPr>
              <w:t>006</w:t>
            </w:r>
          </w:p>
        </w:tc>
        <w:tc>
          <w:tcPr>
            <w:tcW w:w="1435" w:type="dxa"/>
            <w:tcBorders>
              <w:top w:val="nil"/>
              <w:left w:val="single" w:sz="8" w:space="0" w:color="auto"/>
              <w:bottom w:val="nil"/>
              <w:right w:val="single" w:sz="8" w:space="0" w:color="auto"/>
            </w:tcBorders>
            <w:shd w:val="clear" w:color="auto" w:fill="auto"/>
            <w:noWrap/>
            <w:vAlign w:val="center"/>
            <w:hideMark/>
          </w:tcPr>
          <w:p w14:paraId="28FA1E35"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nil"/>
              <w:right w:val="single" w:sz="8" w:space="0" w:color="auto"/>
            </w:tcBorders>
            <w:shd w:val="clear" w:color="auto" w:fill="auto"/>
            <w:noWrap/>
            <w:vAlign w:val="center"/>
            <w:hideMark/>
          </w:tcPr>
          <w:p w14:paraId="1E659C57" w14:textId="77777777" w:rsidR="000A78C6" w:rsidRPr="00425F23" w:rsidRDefault="000A78C6" w:rsidP="005C565E">
            <w:pPr>
              <w:jc w:val="center"/>
              <w:rPr>
                <w:color w:val="000000"/>
                <w:sz w:val="20"/>
                <w:szCs w:val="20"/>
              </w:rPr>
            </w:pPr>
            <w:r w:rsidRPr="00425F23">
              <w:rPr>
                <w:color w:val="000000"/>
                <w:sz w:val="20"/>
                <w:szCs w:val="20"/>
              </w:rPr>
              <w:t>--</w:t>
            </w:r>
          </w:p>
        </w:tc>
      </w:tr>
      <w:tr w:rsidR="000A78C6" w:rsidRPr="00425F23" w14:paraId="601FCDB4" w14:textId="77777777" w:rsidTr="007D0895">
        <w:trPr>
          <w:trHeight w:val="88"/>
        </w:trPr>
        <w:tc>
          <w:tcPr>
            <w:tcW w:w="3980" w:type="dxa"/>
            <w:tcBorders>
              <w:top w:val="nil"/>
              <w:left w:val="single" w:sz="8" w:space="0" w:color="auto"/>
              <w:bottom w:val="nil"/>
              <w:right w:val="single" w:sz="8" w:space="0" w:color="auto"/>
            </w:tcBorders>
            <w:shd w:val="clear" w:color="auto" w:fill="auto"/>
            <w:noWrap/>
            <w:vAlign w:val="center"/>
          </w:tcPr>
          <w:p w14:paraId="0E22BD02" w14:textId="77777777" w:rsidR="000A78C6" w:rsidRPr="00425F23" w:rsidRDefault="000A78C6" w:rsidP="005C565E">
            <w:pPr>
              <w:rPr>
                <w:b/>
                <w:bCs/>
                <w:color w:val="000000"/>
                <w:sz w:val="20"/>
                <w:szCs w:val="20"/>
              </w:rPr>
            </w:pPr>
            <w:r w:rsidRPr="00425F23">
              <w:rPr>
                <w:b/>
                <w:bCs/>
                <w:color w:val="000000"/>
                <w:sz w:val="20"/>
                <w:szCs w:val="20"/>
              </w:rPr>
              <w:t>Household Income (&lt;$75,000)</w:t>
            </w:r>
          </w:p>
        </w:tc>
        <w:tc>
          <w:tcPr>
            <w:tcW w:w="1435" w:type="dxa"/>
            <w:tcBorders>
              <w:top w:val="nil"/>
              <w:left w:val="nil"/>
              <w:bottom w:val="nil"/>
              <w:right w:val="nil"/>
            </w:tcBorders>
            <w:shd w:val="clear" w:color="auto" w:fill="auto"/>
            <w:noWrap/>
            <w:vAlign w:val="center"/>
          </w:tcPr>
          <w:p w14:paraId="65B9A8E7"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single" w:sz="8" w:space="0" w:color="auto"/>
              <w:bottom w:val="nil"/>
              <w:right w:val="single" w:sz="8" w:space="0" w:color="auto"/>
            </w:tcBorders>
            <w:shd w:val="clear" w:color="auto" w:fill="auto"/>
            <w:noWrap/>
            <w:vAlign w:val="center"/>
          </w:tcPr>
          <w:p w14:paraId="1E918215"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nil"/>
            </w:tcBorders>
            <w:shd w:val="clear" w:color="auto" w:fill="auto"/>
            <w:noWrap/>
            <w:vAlign w:val="center"/>
          </w:tcPr>
          <w:p w14:paraId="4F382324" w14:textId="77777777" w:rsidR="000A78C6" w:rsidRPr="00425F23" w:rsidRDefault="000A78C6" w:rsidP="005C565E">
            <w:pPr>
              <w:jc w:val="center"/>
              <w:rPr>
                <w:color w:val="000000"/>
                <w:sz w:val="20"/>
                <w:szCs w:val="20"/>
              </w:rPr>
            </w:pPr>
          </w:p>
        </w:tc>
        <w:tc>
          <w:tcPr>
            <w:tcW w:w="1435" w:type="dxa"/>
            <w:tcBorders>
              <w:top w:val="nil"/>
              <w:left w:val="single" w:sz="8" w:space="0" w:color="auto"/>
              <w:bottom w:val="nil"/>
              <w:right w:val="nil"/>
            </w:tcBorders>
            <w:shd w:val="clear" w:color="auto" w:fill="auto"/>
            <w:noWrap/>
            <w:vAlign w:val="center"/>
          </w:tcPr>
          <w:p w14:paraId="37A8E8CE"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single" w:sz="8" w:space="0" w:color="auto"/>
              <w:bottom w:val="nil"/>
              <w:right w:val="single" w:sz="8" w:space="0" w:color="auto"/>
            </w:tcBorders>
            <w:shd w:val="clear" w:color="auto" w:fill="auto"/>
            <w:noWrap/>
            <w:vAlign w:val="center"/>
          </w:tcPr>
          <w:p w14:paraId="65F800AC"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tcPr>
          <w:p w14:paraId="763EBE84" w14:textId="77777777" w:rsidR="000A78C6" w:rsidRPr="00425F23" w:rsidRDefault="000A78C6" w:rsidP="005C565E">
            <w:pPr>
              <w:jc w:val="center"/>
              <w:rPr>
                <w:color w:val="000000"/>
                <w:sz w:val="20"/>
                <w:szCs w:val="20"/>
              </w:rPr>
            </w:pPr>
            <w:r w:rsidRPr="00425F23">
              <w:rPr>
                <w:color w:val="000000"/>
                <w:sz w:val="20"/>
                <w:szCs w:val="20"/>
              </w:rPr>
              <w:t> </w:t>
            </w:r>
          </w:p>
        </w:tc>
      </w:tr>
      <w:tr w:rsidR="000A78C6" w:rsidRPr="00425F23" w14:paraId="74C775B7" w14:textId="77777777" w:rsidTr="007D0895">
        <w:trPr>
          <w:trHeight w:val="88"/>
        </w:trPr>
        <w:tc>
          <w:tcPr>
            <w:tcW w:w="3980" w:type="dxa"/>
            <w:tcBorders>
              <w:top w:val="nil"/>
              <w:left w:val="single" w:sz="8" w:space="0" w:color="auto"/>
              <w:bottom w:val="nil"/>
              <w:right w:val="single" w:sz="8" w:space="0" w:color="auto"/>
            </w:tcBorders>
            <w:shd w:val="clear" w:color="auto" w:fill="auto"/>
            <w:noWrap/>
            <w:vAlign w:val="center"/>
          </w:tcPr>
          <w:p w14:paraId="3F23670E" w14:textId="77777777" w:rsidR="000A78C6" w:rsidRPr="00425F23" w:rsidRDefault="000A78C6" w:rsidP="005C565E">
            <w:pPr>
              <w:rPr>
                <w:b/>
                <w:bCs/>
                <w:color w:val="000000"/>
                <w:sz w:val="20"/>
                <w:szCs w:val="20"/>
              </w:rPr>
            </w:pPr>
            <w:r w:rsidRPr="00425F23">
              <w:rPr>
                <w:color w:val="000000"/>
                <w:sz w:val="20"/>
                <w:szCs w:val="20"/>
              </w:rPr>
              <w:t>$75,000-$99,000</w:t>
            </w:r>
          </w:p>
        </w:tc>
        <w:tc>
          <w:tcPr>
            <w:tcW w:w="1435" w:type="dxa"/>
            <w:tcBorders>
              <w:top w:val="nil"/>
              <w:left w:val="nil"/>
              <w:bottom w:val="nil"/>
              <w:right w:val="nil"/>
            </w:tcBorders>
            <w:shd w:val="clear" w:color="auto" w:fill="auto"/>
            <w:noWrap/>
            <w:vAlign w:val="center"/>
          </w:tcPr>
          <w:p w14:paraId="4C3556CE"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single" w:sz="8" w:space="0" w:color="auto"/>
              <w:bottom w:val="nil"/>
              <w:right w:val="single" w:sz="8" w:space="0" w:color="auto"/>
            </w:tcBorders>
            <w:shd w:val="clear" w:color="auto" w:fill="auto"/>
            <w:noWrap/>
            <w:vAlign w:val="center"/>
          </w:tcPr>
          <w:p w14:paraId="35500B0E"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nil"/>
              <w:right w:val="nil"/>
            </w:tcBorders>
            <w:shd w:val="clear" w:color="auto" w:fill="auto"/>
            <w:noWrap/>
            <w:vAlign w:val="center"/>
          </w:tcPr>
          <w:p w14:paraId="5AC4F957" w14:textId="77777777" w:rsidR="000A78C6" w:rsidRPr="00425F23" w:rsidRDefault="000A78C6" w:rsidP="005C565E">
            <w:pPr>
              <w:jc w:val="center"/>
              <w:rPr>
                <w:color w:val="000000"/>
                <w:sz w:val="20"/>
                <w:szCs w:val="20"/>
              </w:rPr>
            </w:pPr>
            <w:r>
              <w:rPr>
                <w:color w:val="000000"/>
                <w:sz w:val="20"/>
                <w:szCs w:val="20"/>
              </w:rPr>
              <w:t xml:space="preserve"> </w:t>
            </w:r>
            <w:r w:rsidRPr="00425F23">
              <w:rPr>
                <w:color w:val="000000"/>
                <w:sz w:val="20"/>
                <w:szCs w:val="20"/>
              </w:rPr>
              <w:t>-0.</w:t>
            </w:r>
            <w:r>
              <w:rPr>
                <w:color w:val="000000"/>
                <w:sz w:val="20"/>
                <w:szCs w:val="20"/>
              </w:rPr>
              <w:t>234</w:t>
            </w:r>
          </w:p>
        </w:tc>
        <w:tc>
          <w:tcPr>
            <w:tcW w:w="1435" w:type="dxa"/>
            <w:tcBorders>
              <w:top w:val="nil"/>
              <w:left w:val="single" w:sz="8" w:space="0" w:color="auto"/>
              <w:bottom w:val="nil"/>
              <w:right w:val="nil"/>
            </w:tcBorders>
            <w:shd w:val="clear" w:color="auto" w:fill="auto"/>
            <w:noWrap/>
          </w:tcPr>
          <w:p w14:paraId="519E75F7" w14:textId="77777777" w:rsidR="000A78C6" w:rsidRPr="00425F23" w:rsidRDefault="000A78C6" w:rsidP="005C565E">
            <w:pPr>
              <w:jc w:val="center"/>
              <w:rPr>
                <w:color w:val="000000"/>
                <w:sz w:val="20"/>
                <w:szCs w:val="20"/>
              </w:rPr>
            </w:pPr>
            <w:r>
              <w:rPr>
                <w:color w:val="000000"/>
                <w:sz w:val="20"/>
              </w:rPr>
              <w:t xml:space="preserve">-3.986 </w:t>
            </w:r>
          </w:p>
        </w:tc>
        <w:tc>
          <w:tcPr>
            <w:tcW w:w="1435" w:type="dxa"/>
            <w:tcBorders>
              <w:top w:val="nil"/>
              <w:left w:val="single" w:sz="8" w:space="0" w:color="auto"/>
              <w:bottom w:val="nil"/>
              <w:right w:val="single" w:sz="8" w:space="0" w:color="auto"/>
            </w:tcBorders>
            <w:shd w:val="clear" w:color="auto" w:fill="auto"/>
            <w:noWrap/>
            <w:vAlign w:val="center"/>
          </w:tcPr>
          <w:p w14:paraId="47206C22"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nil"/>
              <w:right w:val="single" w:sz="8" w:space="0" w:color="auto"/>
            </w:tcBorders>
            <w:shd w:val="clear" w:color="auto" w:fill="auto"/>
            <w:noWrap/>
            <w:vAlign w:val="center"/>
          </w:tcPr>
          <w:p w14:paraId="41E1214E" w14:textId="77777777" w:rsidR="000A78C6" w:rsidRPr="00425F23" w:rsidRDefault="000A78C6" w:rsidP="005C565E">
            <w:pPr>
              <w:jc w:val="center"/>
              <w:rPr>
                <w:color w:val="000000"/>
                <w:sz w:val="20"/>
                <w:szCs w:val="20"/>
              </w:rPr>
            </w:pPr>
            <w:r w:rsidRPr="00425F23">
              <w:rPr>
                <w:color w:val="000000"/>
                <w:sz w:val="20"/>
                <w:szCs w:val="20"/>
              </w:rPr>
              <w:t>--</w:t>
            </w:r>
          </w:p>
        </w:tc>
      </w:tr>
      <w:tr w:rsidR="000A78C6" w:rsidRPr="00425F23" w14:paraId="79C438DA" w14:textId="77777777" w:rsidTr="007D0895">
        <w:trPr>
          <w:trHeight w:val="88"/>
        </w:trPr>
        <w:tc>
          <w:tcPr>
            <w:tcW w:w="3980" w:type="dxa"/>
            <w:tcBorders>
              <w:top w:val="nil"/>
              <w:left w:val="single" w:sz="8" w:space="0" w:color="auto"/>
              <w:bottom w:val="nil"/>
              <w:right w:val="single" w:sz="8" w:space="0" w:color="auto"/>
            </w:tcBorders>
            <w:shd w:val="clear" w:color="auto" w:fill="auto"/>
            <w:noWrap/>
            <w:vAlign w:val="center"/>
          </w:tcPr>
          <w:p w14:paraId="22FBD928" w14:textId="77777777" w:rsidR="000A78C6" w:rsidRPr="00425F23" w:rsidRDefault="000A78C6" w:rsidP="005C565E">
            <w:pPr>
              <w:rPr>
                <w:b/>
                <w:bCs/>
                <w:color w:val="000000"/>
                <w:sz w:val="20"/>
                <w:szCs w:val="20"/>
              </w:rPr>
            </w:pPr>
            <w:r w:rsidRPr="00425F23">
              <w:rPr>
                <w:color w:val="000000"/>
                <w:sz w:val="20"/>
                <w:szCs w:val="20"/>
              </w:rPr>
              <w:t>$100,000-$1</w:t>
            </w:r>
            <w:r>
              <w:rPr>
                <w:color w:val="000000"/>
                <w:sz w:val="20"/>
                <w:szCs w:val="20"/>
              </w:rPr>
              <w:t>49,999</w:t>
            </w:r>
          </w:p>
        </w:tc>
        <w:tc>
          <w:tcPr>
            <w:tcW w:w="1435" w:type="dxa"/>
            <w:tcBorders>
              <w:top w:val="nil"/>
              <w:left w:val="nil"/>
              <w:bottom w:val="nil"/>
              <w:right w:val="nil"/>
            </w:tcBorders>
            <w:shd w:val="clear" w:color="auto" w:fill="auto"/>
            <w:noWrap/>
            <w:vAlign w:val="center"/>
          </w:tcPr>
          <w:p w14:paraId="32C687C2"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single" w:sz="8" w:space="0" w:color="auto"/>
              <w:bottom w:val="nil"/>
              <w:right w:val="single" w:sz="8" w:space="0" w:color="auto"/>
            </w:tcBorders>
            <w:shd w:val="clear" w:color="auto" w:fill="auto"/>
            <w:noWrap/>
            <w:vAlign w:val="center"/>
          </w:tcPr>
          <w:p w14:paraId="0552E81C"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nil"/>
              <w:right w:val="nil"/>
            </w:tcBorders>
            <w:shd w:val="clear" w:color="auto" w:fill="auto"/>
            <w:noWrap/>
            <w:vAlign w:val="center"/>
          </w:tcPr>
          <w:p w14:paraId="589F2A59" w14:textId="77777777" w:rsidR="000A78C6" w:rsidRPr="00425F23" w:rsidRDefault="000A78C6" w:rsidP="005C565E">
            <w:pPr>
              <w:jc w:val="center"/>
              <w:rPr>
                <w:color w:val="000000"/>
                <w:sz w:val="20"/>
                <w:szCs w:val="20"/>
              </w:rPr>
            </w:pPr>
            <w:r>
              <w:rPr>
                <w:color w:val="000000"/>
                <w:sz w:val="20"/>
                <w:szCs w:val="20"/>
              </w:rPr>
              <w:t xml:space="preserve"> </w:t>
            </w:r>
            <w:r w:rsidRPr="00425F23">
              <w:rPr>
                <w:color w:val="000000"/>
                <w:sz w:val="20"/>
                <w:szCs w:val="20"/>
              </w:rPr>
              <w:t>-0.</w:t>
            </w:r>
            <w:r>
              <w:rPr>
                <w:color w:val="000000"/>
                <w:sz w:val="20"/>
                <w:szCs w:val="20"/>
              </w:rPr>
              <w:t>150</w:t>
            </w:r>
          </w:p>
        </w:tc>
        <w:tc>
          <w:tcPr>
            <w:tcW w:w="1435" w:type="dxa"/>
            <w:tcBorders>
              <w:top w:val="nil"/>
              <w:left w:val="single" w:sz="8" w:space="0" w:color="auto"/>
              <w:bottom w:val="nil"/>
              <w:right w:val="nil"/>
            </w:tcBorders>
            <w:shd w:val="clear" w:color="auto" w:fill="auto"/>
            <w:noWrap/>
          </w:tcPr>
          <w:p w14:paraId="6D2890AA" w14:textId="77777777" w:rsidR="000A78C6" w:rsidRPr="00425F23" w:rsidRDefault="000A78C6" w:rsidP="005C565E">
            <w:pPr>
              <w:jc w:val="center"/>
              <w:rPr>
                <w:color w:val="000000"/>
                <w:sz w:val="20"/>
                <w:szCs w:val="20"/>
              </w:rPr>
            </w:pPr>
            <w:r>
              <w:rPr>
                <w:color w:val="000000"/>
                <w:sz w:val="20"/>
              </w:rPr>
              <w:t xml:space="preserve">-3.179 </w:t>
            </w:r>
          </w:p>
        </w:tc>
        <w:tc>
          <w:tcPr>
            <w:tcW w:w="1435" w:type="dxa"/>
            <w:tcBorders>
              <w:top w:val="nil"/>
              <w:left w:val="single" w:sz="8" w:space="0" w:color="auto"/>
              <w:bottom w:val="nil"/>
              <w:right w:val="single" w:sz="8" w:space="0" w:color="auto"/>
            </w:tcBorders>
            <w:shd w:val="clear" w:color="auto" w:fill="auto"/>
            <w:noWrap/>
            <w:vAlign w:val="center"/>
          </w:tcPr>
          <w:p w14:paraId="4842BF05"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nil"/>
              <w:right w:val="single" w:sz="8" w:space="0" w:color="auto"/>
            </w:tcBorders>
            <w:shd w:val="clear" w:color="auto" w:fill="auto"/>
            <w:noWrap/>
            <w:vAlign w:val="center"/>
          </w:tcPr>
          <w:p w14:paraId="43A706FF" w14:textId="77777777" w:rsidR="000A78C6" w:rsidRPr="00425F23" w:rsidRDefault="000A78C6" w:rsidP="005C565E">
            <w:pPr>
              <w:jc w:val="center"/>
              <w:rPr>
                <w:color w:val="000000"/>
                <w:sz w:val="20"/>
                <w:szCs w:val="20"/>
              </w:rPr>
            </w:pPr>
            <w:r w:rsidRPr="00425F23">
              <w:rPr>
                <w:color w:val="000000"/>
                <w:sz w:val="20"/>
                <w:szCs w:val="20"/>
              </w:rPr>
              <w:t>--</w:t>
            </w:r>
          </w:p>
        </w:tc>
      </w:tr>
      <w:tr w:rsidR="000A78C6" w:rsidRPr="00425F23" w14:paraId="24211944" w14:textId="77777777" w:rsidTr="007D0895">
        <w:trPr>
          <w:trHeight w:val="88"/>
        </w:trPr>
        <w:tc>
          <w:tcPr>
            <w:tcW w:w="3980" w:type="dxa"/>
            <w:tcBorders>
              <w:top w:val="nil"/>
              <w:left w:val="single" w:sz="8" w:space="0" w:color="auto"/>
              <w:bottom w:val="nil"/>
              <w:right w:val="single" w:sz="8" w:space="0" w:color="auto"/>
            </w:tcBorders>
            <w:shd w:val="clear" w:color="auto" w:fill="auto"/>
            <w:noWrap/>
            <w:vAlign w:val="center"/>
          </w:tcPr>
          <w:p w14:paraId="77C609B0" w14:textId="77777777" w:rsidR="000A78C6" w:rsidRPr="00425F23" w:rsidRDefault="000A78C6" w:rsidP="005C565E">
            <w:pPr>
              <w:rPr>
                <w:b/>
                <w:bCs/>
                <w:color w:val="000000"/>
                <w:sz w:val="20"/>
                <w:szCs w:val="20"/>
              </w:rPr>
            </w:pPr>
            <w:r w:rsidRPr="00425F23">
              <w:rPr>
                <w:color w:val="000000"/>
                <w:sz w:val="20"/>
                <w:szCs w:val="20"/>
              </w:rPr>
              <w:t>≥$150,000</w:t>
            </w:r>
          </w:p>
        </w:tc>
        <w:tc>
          <w:tcPr>
            <w:tcW w:w="1435" w:type="dxa"/>
            <w:tcBorders>
              <w:top w:val="nil"/>
              <w:left w:val="nil"/>
              <w:bottom w:val="nil"/>
              <w:right w:val="nil"/>
            </w:tcBorders>
            <w:shd w:val="clear" w:color="auto" w:fill="auto"/>
            <w:noWrap/>
            <w:vAlign w:val="center"/>
          </w:tcPr>
          <w:p w14:paraId="036EA6F1"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single" w:sz="8" w:space="0" w:color="auto"/>
              <w:bottom w:val="nil"/>
              <w:right w:val="single" w:sz="8" w:space="0" w:color="auto"/>
            </w:tcBorders>
            <w:shd w:val="clear" w:color="auto" w:fill="auto"/>
            <w:noWrap/>
            <w:vAlign w:val="center"/>
          </w:tcPr>
          <w:p w14:paraId="470724B9"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nil"/>
              <w:right w:val="nil"/>
            </w:tcBorders>
            <w:shd w:val="clear" w:color="auto" w:fill="auto"/>
            <w:noWrap/>
            <w:vAlign w:val="center"/>
          </w:tcPr>
          <w:p w14:paraId="78189762" w14:textId="77777777" w:rsidR="000A78C6" w:rsidRPr="00425F23" w:rsidRDefault="000A78C6" w:rsidP="005C565E">
            <w:pPr>
              <w:jc w:val="center"/>
              <w:rPr>
                <w:color w:val="000000"/>
                <w:sz w:val="20"/>
                <w:szCs w:val="20"/>
              </w:rPr>
            </w:pPr>
            <w:r>
              <w:rPr>
                <w:color w:val="000000"/>
                <w:sz w:val="20"/>
                <w:szCs w:val="20"/>
              </w:rPr>
              <w:t xml:space="preserve"> </w:t>
            </w:r>
            <w:r w:rsidRPr="00425F23">
              <w:rPr>
                <w:color w:val="000000"/>
                <w:sz w:val="20"/>
                <w:szCs w:val="20"/>
              </w:rPr>
              <w:t>-0.</w:t>
            </w:r>
            <w:r>
              <w:rPr>
                <w:color w:val="000000"/>
                <w:sz w:val="20"/>
                <w:szCs w:val="20"/>
              </w:rPr>
              <w:t>217</w:t>
            </w:r>
          </w:p>
        </w:tc>
        <w:tc>
          <w:tcPr>
            <w:tcW w:w="1435" w:type="dxa"/>
            <w:tcBorders>
              <w:top w:val="nil"/>
              <w:left w:val="single" w:sz="8" w:space="0" w:color="auto"/>
              <w:bottom w:val="nil"/>
              <w:right w:val="nil"/>
            </w:tcBorders>
            <w:shd w:val="clear" w:color="auto" w:fill="auto"/>
            <w:noWrap/>
          </w:tcPr>
          <w:p w14:paraId="6274840F" w14:textId="77777777" w:rsidR="000A78C6" w:rsidRPr="00425F23" w:rsidRDefault="000A78C6" w:rsidP="005C565E">
            <w:pPr>
              <w:jc w:val="center"/>
              <w:rPr>
                <w:color w:val="000000"/>
                <w:sz w:val="20"/>
                <w:szCs w:val="20"/>
              </w:rPr>
            </w:pPr>
            <w:r>
              <w:rPr>
                <w:color w:val="000000"/>
                <w:sz w:val="20"/>
              </w:rPr>
              <w:t xml:space="preserve">-4.274 </w:t>
            </w:r>
          </w:p>
        </w:tc>
        <w:tc>
          <w:tcPr>
            <w:tcW w:w="1435" w:type="dxa"/>
            <w:tcBorders>
              <w:top w:val="nil"/>
              <w:left w:val="single" w:sz="8" w:space="0" w:color="auto"/>
              <w:bottom w:val="nil"/>
              <w:right w:val="single" w:sz="8" w:space="0" w:color="auto"/>
            </w:tcBorders>
            <w:shd w:val="clear" w:color="auto" w:fill="auto"/>
            <w:noWrap/>
            <w:vAlign w:val="center"/>
          </w:tcPr>
          <w:p w14:paraId="2AFB1E39" w14:textId="77777777" w:rsidR="000A78C6" w:rsidRPr="00425F23" w:rsidRDefault="000A78C6" w:rsidP="005C565E">
            <w:pPr>
              <w:jc w:val="center"/>
              <w:rPr>
                <w:color w:val="000000"/>
                <w:sz w:val="20"/>
                <w:szCs w:val="20"/>
              </w:rPr>
            </w:pPr>
            <w:r w:rsidRPr="00425F23">
              <w:rPr>
                <w:color w:val="000000"/>
                <w:sz w:val="20"/>
                <w:szCs w:val="20"/>
              </w:rPr>
              <w:t>0.</w:t>
            </w:r>
            <w:r>
              <w:rPr>
                <w:color w:val="000000"/>
                <w:sz w:val="20"/>
              </w:rPr>
              <w:t xml:space="preserve"> 242</w:t>
            </w:r>
          </w:p>
        </w:tc>
        <w:tc>
          <w:tcPr>
            <w:tcW w:w="1435" w:type="dxa"/>
            <w:tcBorders>
              <w:top w:val="nil"/>
              <w:left w:val="nil"/>
              <w:bottom w:val="nil"/>
              <w:right w:val="single" w:sz="8" w:space="0" w:color="auto"/>
            </w:tcBorders>
            <w:shd w:val="clear" w:color="auto" w:fill="auto"/>
            <w:noWrap/>
            <w:vAlign w:val="center"/>
          </w:tcPr>
          <w:p w14:paraId="7EC34453" w14:textId="77777777" w:rsidR="000A78C6" w:rsidRPr="00425F23" w:rsidRDefault="000A78C6" w:rsidP="005C565E">
            <w:pPr>
              <w:jc w:val="center"/>
              <w:rPr>
                <w:color w:val="000000"/>
                <w:sz w:val="20"/>
                <w:szCs w:val="20"/>
              </w:rPr>
            </w:pPr>
            <w:r w:rsidRPr="00425F23">
              <w:rPr>
                <w:color w:val="000000"/>
                <w:sz w:val="20"/>
                <w:szCs w:val="20"/>
              </w:rPr>
              <w:t>4</w:t>
            </w:r>
            <w:r>
              <w:rPr>
                <w:color w:val="000000"/>
                <w:sz w:val="20"/>
                <w:szCs w:val="20"/>
              </w:rPr>
              <w:t>.155</w:t>
            </w:r>
          </w:p>
        </w:tc>
      </w:tr>
      <w:tr w:rsidR="000A78C6" w:rsidRPr="00425F23" w14:paraId="7B8D3C7F" w14:textId="77777777" w:rsidTr="007D0895">
        <w:trPr>
          <w:trHeight w:val="88"/>
        </w:trPr>
        <w:tc>
          <w:tcPr>
            <w:tcW w:w="3980" w:type="dxa"/>
            <w:tcBorders>
              <w:top w:val="nil"/>
              <w:left w:val="single" w:sz="8" w:space="0" w:color="auto"/>
              <w:bottom w:val="nil"/>
              <w:right w:val="single" w:sz="8" w:space="0" w:color="auto"/>
            </w:tcBorders>
            <w:shd w:val="clear" w:color="auto" w:fill="auto"/>
            <w:noWrap/>
            <w:vAlign w:val="center"/>
            <w:hideMark/>
          </w:tcPr>
          <w:p w14:paraId="24D31BF3" w14:textId="77777777" w:rsidR="000A78C6" w:rsidRPr="00425F23" w:rsidRDefault="000A78C6" w:rsidP="005C565E">
            <w:pPr>
              <w:rPr>
                <w:color w:val="000000"/>
                <w:sz w:val="20"/>
                <w:szCs w:val="20"/>
              </w:rPr>
            </w:pPr>
            <w:r w:rsidRPr="00425F23">
              <w:rPr>
                <w:b/>
                <w:bCs/>
                <w:color w:val="000000"/>
                <w:sz w:val="20"/>
                <w:szCs w:val="20"/>
              </w:rPr>
              <w:t>Presence of Children (no children)</w:t>
            </w:r>
          </w:p>
        </w:tc>
        <w:tc>
          <w:tcPr>
            <w:tcW w:w="1435" w:type="dxa"/>
            <w:tcBorders>
              <w:top w:val="nil"/>
              <w:left w:val="nil"/>
              <w:bottom w:val="nil"/>
              <w:right w:val="nil"/>
            </w:tcBorders>
            <w:shd w:val="clear" w:color="auto" w:fill="auto"/>
            <w:noWrap/>
            <w:vAlign w:val="center"/>
            <w:hideMark/>
          </w:tcPr>
          <w:p w14:paraId="51E3EF60"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single" w:sz="8" w:space="0" w:color="auto"/>
              <w:bottom w:val="nil"/>
              <w:right w:val="single" w:sz="8" w:space="0" w:color="auto"/>
            </w:tcBorders>
            <w:shd w:val="clear" w:color="auto" w:fill="auto"/>
            <w:noWrap/>
            <w:vAlign w:val="center"/>
            <w:hideMark/>
          </w:tcPr>
          <w:p w14:paraId="30631543"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nil"/>
            </w:tcBorders>
            <w:shd w:val="clear" w:color="auto" w:fill="auto"/>
            <w:noWrap/>
            <w:vAlign w:val="center"/>
            <w:hideMark/>
          </w:tcPr>
          <w:p w14:paraId="64336795" w14:textId="77777777" w:rsidR="000A78C6" w:rsidRPr="00425F23" w:rsidRDefault="000A78C6" w:rsidP="005C565E">
            <w:pPr>
              <w:jc w:val="center"/>
              <w:rPr>
                <w:color w:val="000000"/>
                <w:sz w:val="20"/>
                <w:szCs w:val="20"/>
              </w:rPr>
            </w:pPr>
          </w:p>
        </w:tc>
        <w:tc>
          <w:tcPr>
            <w:tcW w:w="1435" w:type="dxa"/>
            <w:tcBorders>
              <w:top w:val="nil"/>
              <w:left w:val="single" w:sz="8" w:space="0" w:color="auto"/>
              <w:bottom w:val="nil"/>
              <w:right w:val="nil"/>
            </w:tcBorders>
            <w:shd w:val="clear" w:color="auto" w:fill="auto"/>
            <w:noWrap/>
            <w:vAlign w:val="center"/>
            <w:hideMark/>
          </w:tcPr>
          <w:p w14:paraId="23199A78"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single" w:sz="8" w:space="0" w:color="auto"/>
              <w:bottom w:val="nil"/>
              <w:right w:val="single" w:sz="8" w:space="0" w:color="auto"/>
            </w:tcBorders>
            <w:shd w:val="clear" w:color="auto" w:fill="auto"/>
            <w:noWrap/>
            <w:vAlign w:val="center"/>
            <w:hideMark/>
          </w:tcPr>
          <w:p w14:paraId="2847B12E"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61650567" w14:textId="77777777" w:rsidR="000A78C6" w:rsidRPr="00425F23" w:rsidRDefault="000A78C6" w:rsidP="005C565E">
            <w:pPr>
              <w:jc w:val="center"/>
              <w:rPr>
                <w:color w:val="000000"/>
                <w:sz w:val="20"/>
                <w:szCs w:val="20"/>
              </w:rPr>
            </w:pPr>
            <w:r w:rsidRPr="00425F23">
              <w:rPr>
                <w:color w:val="000000"/>
                <w:sz w:val="20"/>
                <w:szCs w:val="20"/>
              </w:rPr>
              <w:t> </w:t>
            </w:r>
          </w:p>
        </w:tc>
      </w:tr>
      <w:tr w:rsidR="000A78C6" w:rsidRPr="00425F23" w14:paraId="1033349B" w14:textId="77777777" w:rsidTr="007D0895">
        <w:trPr>
          <w:trHeight w:val="88"/>
        </w:trPr>
        <w:tc>
          <w:tcPr>
            <w:tcW w:w="3980" w:type="dxa"/>
            <w:tcBorders>
              <w:top w:val="nil"/>
              <w:left w:val="single" w:sz="8" w:space="0" w:color="auto"/>
              <w:bottom w:val="nil"/>
              <w:right w:val="single" w:sz="8" w:space="0" w:color="auto"/>
            </w:tcBorders>
            <w:shd w:val="clear" w:color="auto" w:fill="auto"/>
            <w:noWrap/>
            <w:vAlign w:val="center"/>
            <w:hideMark/>
          </w:tcPr>
          <w:p w14:paraId="7456CC8B" w14:textId="77777777" w:rsidR="000A78C6" w:rsidRPr="00425F23" w:rsidRDefault="000A78C6" w:rsidP="005C565E">
            <w:pPr>
              <w:rPr>
                <w:b/>
                <w:bCs/>
                <w:color w:val="000000"/>
                <w:sz w:val="20"/>
                <w:szCs w:val="20"/>
              </w:rPr>
            </w:pPr>
            <w:r w:rsidRPr="00425F23">
              <w:rPr>
                <w:color w:val="000000"/>
                <w:sz w:val="20"/>
                <w:szCs w:val="20"/>
              </w:rPr>
              <w:t>Children</w:t>
            </w:r>
          </w:p>
        </w:tc>
        <w:tc>
          <w:tcPr>
            <w:tcW w:w="1435" w:type="dxa"/>
            <w:tcBorders>
              <w:top w:val="nil"/>
              <w:left w:val="nil"/>
              <w:bottom w:val="nil"/>
              <w:right w:val="nil"/>
            </w:tcBorders>
            <w:shd w:val="clear" w:color="auto" w:fill="auto"/>
            <w:noWrap/>
            <w:vAlign w:val="center"/>
            <w:hideMark/>
          </w:tcPr>
          <w:p w14:paraId="40F1ECCD" w14:textId="77777777" w:rsidR="000A78C6" w:rsidRPr="00425F23" w:rsidRDefault="000A78C6" w:rsidP="005C565E">
            <w:pPr>
              <w:jc w:val="center"/>
              <w:rPr>
                <w:color w:val="000000"/>
                <w:sz w:val="20"/>
                <w:szCs w:val="20"/>
              </w:rPr>
            </w:pPr>
            <w:r w:rsidRPr="00425F23">
              <w:rPr>
                <w:color w:val="000000"/>
                <w:sz w:val="20"/>
                <w:szCs w:val="20"/>
              </w:rPr>
              <w:t>-1.</w:t>
            </w:r>
            <w:r>
              <w:rPr>
                <w:color w:val="000000"/>
                <w:sz w:val="20"/>
                <w:szCs w:val="20"/>
              </w:rPr>
              <w:t>221</w:t>
            </w:r>
          </w:p>
        </w:tc>
        <w:tc>
          <w:tcPr>
            <w:tcW w:w="1435" w:type="dxa"/>
            <w:tcBorders>
              <w:top w:val="nil"/>
              <w:left w:val="single" w:sz="8" w:space="0" w:color="auto"/>
              <w:bottom w:val="nil"/>
              <w:right w:val="single" w:sz="8" w:space="0" w:color="auto"/>
            </w:tcBorders>
            <w:shd w:val="clear" w:color="auto" w:fill="auto"/>
            <w:noWrap/>
            <w:vAlign w:val="center"/>
            <w:hideMark/>
          </w:tcPr>
          <w:p w14:paraId="1C165B80" w14:textId="77777777" w:rsidR="000A78C6" w:rsidRPr="00425F23" w:rsidRDefault="000A78C6" w:rsidP="005C565E">
            <w:pPr>
              <w:jc w:val="center"/>
              <w:rPr>
                <w:color w:val="000000"/>
                <w:sz w:val="20"/>
                <w:szCs w:val="20"/>
              </w:rPr>
            </w:pPr>
            <w:r w:rsidRPr="00425F23">
              <w:rPr>
                <w:color w:val="000000"/>
                <w:sz w:val="20"/>
                <w:szCs w:val="20"/>
              </w:rPr>
              <w:t>-</w:t>
            </w:r>
            <w:r>
              <w:rPr>
                <w:color w:val="000000"/>
                <w:sz w:val="20"/>
                <w:szCs w:val="20"/>
              </w:rPr>
              <w:t>2.771</w:t>
            </w:r>
          </w:p>
        </w:tc>
        <w:tc>
          <w:tcPr>
            <w:tcW w:w="1435" w:type="dxa"/>
            <w:tcBorders>
              <w:top w:val="nil"/>
              <w:left w:val="nil"/>
              <w:bottom w:val="nil"/>
              <w:right w:val="nil"/>
            </w:tcBorders>
            <w:shd w:val="clear" w:color="auto" w:fill="auto"/>
            <w:noWrap/>
            <w:vAlign w:val="center"/>
            <w:hideMark/>
          </w:tcPr>
          <w:p w14:paraId="20C10DFA" w14:textId="77777777" w:rsidR="000A78C6" w:rsidRPr="00425F23" w:rsidRDefault="000A78C6" w:rsidP="005C565E">
            <w:pPr>
              <w:jc w:val="center"/>
              <w:rPr>
                <w:color w:val="000000"/>
                <w:sz w:val="20"/>
                <w:szCs w:val="20"/>
              </w:rPr>
            </w:pPr>
            <w:r>
              <w:rPr>
                <w:color w:val="000000"/>
                <w:sz w:val="20"/>
                <w:szCs w:val="20"/>
              </w:rPr>
              <w:t xml:space="preserve"> </w:t>
            </w:r>
            <w:r w:rsidRPr="00425F23">
              <w:rPr>
                <w:color w:val="000000"/>
                <w:sz w:val="20"/>
                <w:szCs w:val="20"/>
              </w:rPr>
              <w:t>-0.28</w:t>
            </w:r>
            <w:r>
              <w:rPr>
                <w:color w:val="000000"/>
                <w:sz w:val="20"/>
                <w:szCs w:val="20"/>
              </w:rPr>
              <w:t>5</w:t>
            </w:r>
          </w:p>
        </w:tc>
        <w:tc>
          <w:tcPr>
            <w:tcW w:w="1435" w:type="dxa"/>
            <w:tcBorders>
              <w:top w:val="nil"/>
              <w:left w:val="single" w:sz="8" w:space="0" w:color="auto"/>
              <w:bottom w:val="nil"/>
              <w:right w:val="nil"/>
            </w:tcBorders>
            <w:shd w:val="clear" w:color="auto" w:fill="auto"/>
            <w:noWrap/>
            <w:vAlign w:val="center"/>
            <w:hideMark/>
          </w:tcPr>
          <w:p w14:paraId="2941E672" w14:textId="77777777" w:rsidR="000A78C6" w:rsidRPr="00425F23" w:rsidRDefault="000A78C6" w:rsidP="005C565E">
            <w:pPr>
              <w:jc w:val="center"/>
              <w:rPr>
                <w:color w:val="000000"/>
                <w:sz w:val="20"/>
                <w:szCs w:val="20"/>
              </w:rPr>
            </w:pPr>
            <w:r w:rsidRPr="00425F23">
              <w:rPr>
                <w:color w:val="000000"/>
                <w:sz w:val="20"/>
                <w:szCs w:val="20"/>
              </w:rPr>
              <w:t>-</w:t>
            </w:r>
            <w:r>
              <w:rPr>
                <w:color w:val="000000"/>
                <w:sz w:val="20"/>
                <w:szCs w:val="20"/>
              </w:rPr>
              <w:t>5</w:t>
            </w:r>
            <w:r w:rsidRPr="00425F23">
              <w:rPr>
                <w:color w:val="000000"/>
                <w:sz w:val="20"/>
                <w:szCs w:val="20"/>
              </w:rPr>
              <w:t>.</w:t>
            </w:r>
            <w:r>
              <w:rPr>
                <w:color w:val="000000"/>
                <w:sz w:val="20"/>
                <w:szCs w:val="20"/>
              </w:rPr>
              <w:t>546</w:t>
            </w:r>
          </w:p>
        </w:tc>
        <w:tc>
          <w:tcPr>
            <w:tcW w:w="1435" w:type="dxa"/>
            <w:tcBorders>
              <w:top w:val="nil"/>
              <w:left w:val="single" w:sz="8" w:space="0" w:color="auto"/>
              <w:bottom w:val="nil"/>
              <w:right w:val="single" w:sz="8" w:space="0" w:color="auto"/>
            </w:tcBorders>
            <w:shd w:val="clear" w:color="auto" w:fill="auto"/>
            <w:noWrap/>
            <w:vAlign w:val="center"/>
            <w:hideMark/>
          </w:tcPr>
          <w:p w14:paraId="603266D9"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nil"/>
              <w:right w:val="single" w:sz="8" w:space="0" w:color="auto"/>
            </w:tcBorders>
            <w:shd w:val="clear" w:color="auto" w:fill="auto"/>
            <w:noWrap/>
            <w:vAlign w:val="center"/>
            <w:hideMark/>
          </w:tcPr>
          <w:p w14:paraId="08A07EF5" w14:textId="77777777" w:rsidR="000A78C6" w:rsidRPr="00425F23" w:rsidRDefault="000A78C6" w:rsidP="005C565E">
            <w:pPr>
              <w:jc w:val="center"/>
              <w:rPr>
                <w:color w:val="000000"/>
                <w:sz w:val="20"/>
                <w:szCs w:val="20"/>
              </w:rPr>
            </w:pPr>
            <w:r w:rsidRPr="00425F23">
              <w:rPr>
                <w:color w:val="000000"/>
                <w:sz w:val="20"/>
                <w:szCs w:val="20"/>
              </w:rPr>
              <w:t>--</w:t>
            </w:r>
          </w:p>
        </w:tc>
      </w:tr>
      <w:tr w:rsidR="000A78C6" w:rsidRPr="00425F23" w14:paraId="4ADC68BC" w14:textId="77777777" w:rsidTr="007D0895">
        <w:trPr>
          <w:trHeight w:val="88"/>
        </w:trPr>
        <w:tc>
          <w:tcPr>
            <w:tcW w:w="3980" w:type="dxa"/>
            <w:tcBorders>
              <w:top w:val="nil"/>
              <w:left w:val="single" w:sz="8" w:space="0" w:color="auto"/>
              <w:bottom w:val="nil"/>
              <w:right w:val="single" w:sz="8" w:space="0" w:color="auto"/>
            </w:tcBorders>
            <w:shd w:val="clear" w:color="auto" w:fill="auto"/>
            <w:noWrap/>
            <w:vAlign w:val="center"/>
            <w:hideMark/>
          </w:tcPr>
          <w:p w14:paraId="1775C93F" w14:textId="0AF7BFCB" w:rsidR="000A78C6" w:rsidRPr="00425F23" w:rsidRDefault="000A78C6" w:rsidP="005C565E">
            <w:pPr>
              <w:rPr>
                <w:color w:val="000000"/>
                <w:sz w:val="20"/>
                <w:szCs w:val="20"/>
              </w:rPr>
            </w:pPr>
            <w:r w:rsidRPr="00425F23">
              <w:rPr>
                <w:b/>
                <w:bCs/>
                <w:color w:val="000000"/>
                <w:sz w:val="20"/>
                <w:szCs w:val="20"/>
              </w:rPr>
              <w:t>Resident Location (</w:t>
            </w:r>
            <w:r w:rsidR="006C0E33">
              <w:rPr>
                <w:b/>
                <w:bCs/>
                <w:color w:val="000000"/>
                <w:sz w:val="20"/>
                <w:szCs w:val="20"/>
              </w:rPr>
              <w:t>rural</w:t>
            </w:r>
            <w:r w:rsidRPr="00425F23">
              <w:rPr>
                <w:b/>
                <w:bCs/>
                <w:color w:val="000000"/>
                <w:sz w:val="20"/>
                <w:szCs w:val="20"/>
              </w:rPr>
              <w:t>)</w:t>
            </w:r>
          </w:p>
        </w:tc>
        <w:tc>
          <w:tcPr>
            <w:tcW w:w="1435" w:type="dxa"/>
            <w:tcBorders>
              <w:top w:val="nil"/>
              <w:left w:val="nil"/>
              <w:bottom w:val="nil"/>
              <w:right w:val="nil"/>
            </w:tcBorders>
            <w:shd w:val="clear" w:color="auto" w:fill="auto"/>
            <w:noWrap/>
            <w:vAlign w:val="center"/>
            <w:hideMark/>
          </w:tcPr>
          <w:p w14:paraId="1CB62C70"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single" w:sz="8" w:space="0" w:color="auto"/>
              <w:bottom w:val="nil"/>
              <w:right w:val="single" w:sz="8" w:space="0" w:color="auto"/>
            </w:tcBorders>
            <w:shd w:val="clear" w:color="auto" w:fill="auto"/>
            <w:noWrap/>
            <w:vAlign w:val="center"/>
            <w:hideMark/>
          </w:tcPr>
          <w:p w14:paraId="13D38128"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nil"/>
            </w:tcBorders>
            <w:shd w:val="clear" w:color="auto" w:fill="auto"/>
            <w:noWrap/>
            <w:vAlign w:val="center"/>
            <w:hideMark/>
          </w:tcPr>
          <w:p w14:paraId="340EA569" w14:textId="77777777" w:rsidR="000A78C6" w:rsidRPr="00425F23" w:rsidRDefault="000A78C6" w:rsidP="005C565E">
            <w:pPr>
              <w:jc w:val="center"/>
              <w:rPr>
                <w:color w:val="000000"/>
                <w:sz w:val="20"/>
                <w:szCs w:val="20"/>
              </w:rPr>
            </w:pPr>
          </w:p>
        </w:tc>
        <w:tc>
          <w:tcPr>
            <w:tcW w:w="1435" w:type="dxa"/>
            <w:tcBorders>
              <w:top w:val="nil"/>
              <w:left w:val="single" w:sz="8" w:space="0" w:color="auto"/>
              <w:bottom w:val="nil"/>
              <w:right w:val="nil"/>
            </w:tcBorders>
            <w:shd w:val="clear" w:color="auto" w:fill="auto"/>
            <w:noWrap/>
            <w:vAlign w:val="center"/>
            <w:hideMark/>
          </w:tcPr>
          <w:p w14:paraId="30EC8ABB"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single" w:sz="8" w:space="0" w:color="auto"/>
              <w:bottom w:val="nil"/>
              <w:right w:val="single" w:sz="8" w:space="0" w:color="auto"/>
            </w:tcBorders>
            <w:shd w:val="clear" w:color="auto" w:fill="auto"/>
            <w:noWrap/>
            <w:vAlign w:val="center"/>
            <w:hideMark/>
          </w:tcPr>
          <w:p w14:paraId="7D92FCC0"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0AF74345" w14:textId="77777777" w:rsidR="000A78C6" w:rsidRPr="00425F23" w:rsidRDefault="000A78C6" w:rsidP="005C565E">
            <w:pPr>
              <w:jc w:val="center"/>
              <w:rPr>
                <w:color w:val="000000"/>
                <w:sz w:val="20"/>
                <w:szCs w:val="20"/>
              </w:rPr>
            </w:pPr>
            <w:r w:rsidRPr="00425F23">
              <w:rPr>
                <w:color w:val="000000"/>
                <w:sz w:val="20"/>
                <w:szCs w:val="20"/>
              </w:rPr>
              <w:t> </w:t>
            </w:r>
          </w:p>
        </w:tc>
      </w:tr>
      <w:tr w:rsidR="000A78C6" w:rsidRPr="00425F23" w14:paraId="561A916F" w14:textId="77777777" w:rsidTr="007D0895">
        <w:trPr>
          <w:trHeight w:val="88"/>
        </w:trPr>
        <w:tc>
          <w:tcPr>
            <w:tcW w:w="3980" w:type="dxa"/>
            <w:tcBorders>
              <w:top w:val="nil"/>
              <w:left w:val="single" w:sz="8" w:space="0" w:color="auto"/>
              <w:bottom w:val="nil"/>
              <w:right w:val="single" w:sz="8" w:space="0" w:color="auto"/>
            </w:tcBorders>
            <w:shd w:val="clear" w:color="auto" w:fill="auto"/>
            <w:noWrap/>
            <w:vAlign w:val="center"/>
            <w:hideMark/>
          </w:tcPr>
          <w:p w14:paraId="04AAD6C2" w14:textId="77777777" w:rsidR="000A78C6" w:rsidRPr="00425F23" w:rsidRDefault="000A78C6" w:rsidP="005C565E">
            <w:pPr>
              <w:rPr>
                <w:b/>
                <w:bCs/>
                <w:color w:val="000000"/>
                <w:sz w:val="20"/>
                <w:szCs w:val="20"/>
              </w:rPr>
            </w:pPr>
            <w:r w:rsidRPr="00425F23">
              <w:rPr>
                <w:color w:val="000000"/>
                <w:sz w:val="20"/>
                <w:szCs w:val="20"/>
              </w:rPr>
              <w:t>Urban</w:t>
            </w:r>
          </w:p>
        </w:tc>
        <w:tc>
          <w:tcPr>
            <w:tcW w:w="1435" w:type="dxa"/>
            <w:tcBorders>
              <w:top w:val="nil"/>
              <w:left w:val="nil"/>
              <w:bottom w:val="nil"/>
              <w:right w:val="nil"/>
            </w:tcBorders>
            <w:shd w:val="clear" w:color="auto" w:fill="auto"/>
            <w:noWrap/>
            <w:vAlign w:val="center"/>
            <w:hideMark/>
          </w:tcPr>
          <w:p w14:paraId="28FD7784"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single" w:sz="8" w:space="0" w:color="auto"/>
              <w:bottom w:val="nil"/>
              <w:right w:val="single" w:sz="8" w:space="0" w:color="auto"/>
            </w:tcBorders>
            <w:shd w:val="clear" w:color="auto" w:fill="auto"/>
            <w:noWrap/>
            <w:vAlign w:val="center"/>
            <w:hideMark/>
          </w:tcPr>
          <w:p w14:paraId="1EDECEC8"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nil"/>
              <w:right w:val="nil"/>
            </w:tcBorders>
            <w:shd w:val="clear" w:color="auto" w:fill="auto"/>
            <w:noWrap/>
            <w:vAlign w:val="center"/>
            <w:hideMark/>
          </w:tcPr>
          <w:p w14:paraId="64AFA19A" w14:textId="77777777" w:rsidR="000A78C6" w:rsidRPr="00425F23" w:rsidRDefault="000A78C6" w:rsidP="005C565E">
            <w:pPr>
              <w:jc w:val="center"/>
              <w:rPr>
                <w:color w:val="000000"/>
                <w:sz w:val="20"/>
                <w:szCs w:val="20"/>
              </w:rPr>
            </w:pPr>
            <w:r>
              <w:rPr>
                <w:color w:val="000000"/>
                <w:sz w:val="20"/>
                <w:szCs w:val="20"/>
              </w:rPr>
              <w:t xml:space="preserve">  </w:t>
            </w:r>
            <w:r w:rsidRPr="00425F23">
              <w:rPr>
                <w:color w:val="000000"/>
                <w:sz w:val="20"/>
                <w:szCs w:val="20"/>
              </w:rPr>
              <w:t>0.</w:t>
            </w:r>
            <w:r>
              <w:rPr>
                <w:color w:val="000000"/>
                <w:sz w:val="20"/>
                <w:szCs w:val="20"/>
              </w:rPr>
              <w:t>217</w:t>
            </w:r>
          </w:p>
        </w:tc>
        <w:tc>
          <w:tcPr>
            <w:tcW w:w="1435" w:type="dxa"/>
            <w:tcBorders>
              <w:top w:val="nil"/>
              <w:left w:val="single" w:sz="8" w:space="0" w:color="auto"/>
              <w:bottom w:val="nil"/>
              <w:right w:val="nil"/>
            </w:tcBorders>
            <w:shd w:val="clear" w:color="auto" w:fill="auto"/>
            <w:noWrap/>
            <w:vAlign w:val="center"/>
            <w:hideMark/>
          </w:tcPr>
          <w:p w14:paraId="40D76DB5" w14:textId="77777777" w:rsidR="000A78C6" w:rsidRPr="00425F23" w:rsidRDefault="000A78C6" w:rsidP="005C565E">
            <w:pPr>
              <w:jc w:val="center"/>
              <w:rPr>
                <w:color w:val="000000"/>
                <w:sz w:val="20"/>
                <w:szCs w:val="20"/>
              </w:rPr>
            </w:pPr>
            <w:r>
              <w:rPr>
                <w:color w:val="000000"/>
                <w:sz w:val="20"/>
                <w:szCs w:val="20"/>
              </w:rPr>
              <w:t xml:space="preserve">  3</w:t>
            </w:r>
            <w:r w:rsidRPr="00425F23">
              <w:rPr>
                <w:color w:val="000000"/>
                <w:sz w:val="20"/>
                <w:szCs w:val="20"/>
              </w:rPr>
              <w:t>.</w:t>
            </w:r>
            <w:r>
              <w:rPr>
                <w:color w:val="000000"/>
                <w:sz w:val="20"/>
                <w:szCs w:val="20"/>
              </w:rPr>
              <w:t>867</w:t>
            </w:r>
          </w:p>
        </w:tc>
        <w:tc>
          <w:tcPr>
            <w:tcW w:w="1435" w:type="dxa"/>
            <w:tcBorders>
              <w:top w:val="nil"/>
              <w:left w:val="single" w:sz="8" w:space="0" w:color="auto"/>
              <w:bottom w:val="nil"/>
              <w:right w:val="single" w:sz="8" w:space="0" w:color="auto"/>
            </w:tcBorders>
            <w:shd w:val="clear" w:color="auto" w:fill="auto"/>
            <w:noWrap/>
            <w:vAlign w:val="center"/>
            <w:hideMark/>
          </w:tcPr>
          <w:p w14:paraId="23988DA6"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nil"/>
              <w:right w:val="single" w:sz="8" w:space="0" w:color="auto"/>
            </w:tcBorders>
            <w:shd w:val="clear" w:color="auto" w:fill="auto"/>
            <w:noWrap/>
            <w:vAlign w:val="center"/>
            <w:hideMark/>
          </w:tcPr>
          <w:p w14:paraId="2E7EEB6D" w14:textId="77777777" w:rsidR="000A78C6" w:rsidRPr="00425F23" w:rsidRDefault="000A78C6" w:rsidP="005C565E">
            <w:pPr>
              <w:jc w:val="center"/>
              <w:rPr>
                <w:color w:val="000000"/>
                <w:sz w:val="20"/>
                <w:szCs w:val="20"/>
              </w:rPr>
            </w:pPr>
            <w:r w:rsidRPr="00425F23">
              <w:rPr>
                <w:color w:val="000000"/>
                <w:sz w:val="20"/>
                <w:szCs w:val="20"/>
              </w:rPr>
              <w:t>--</w:t>
            </w:r>
          </w:p>
        </w:tc>
      </w:tr>
      <w:tr w:rsidR="000A78C6" w:rsidRPr="00425F23" w14:paraId="63AD10FA" w14:textId="77777777" w:rsidTr="007D0895">
        <w:trPr>
          <w:trHeight w:val="88"/>
        </w:trPr>
        <w:tc>
          <w:tcPr>
            <w:tcW w:w="3980" w:type="dxa"/>
            <w:tcBorders>
              <w:top w:val="nil"/>
              <w:left w:val="single" w:sz="8" w:space="0" w:color="auto"/>
              <w:bottom w:val="nil"/>
              <w:right w:val="single" w:sz="8" w:space="0" w:color="auto"/>
            </w:tcBorders>
            <w:shd w:val="clear" w:color="auto" w:fill="auto"/>
            <w:noWrap/>
            <w:vAlign w:val="center"/>
            <w:hideMark/>
          </w:tcPr>
          <w:p w14:paraId="544A2B2F" w14:textId="77777777" w:rsidR="000A78C6" w:rsidRPr="00425F23" w:rsidRDefault="000A78C6" w:rsidP="005C565E">
            <w:pPr>
              <w:rPr>
                <w:color w:val="000000"/>
                <w:sz w:val="20"/>
                <w:szCs w:val="20"/>
              </w:rPr>
            </w:pPr>
            <w:r w:rsidRPr="00425F23">
              <w:rPr>
                <w:b/>
                <w:bCs/>
                <w:color w:val="000000"/>
                <w:sz w:val="20"/>
                <w:szCs w:val="20"/>
              </w:rPr>
              <w:t>Number of Vehicles &lt; Drivers (</w:t>
            </w:r>
            <w:r>
              <w:rPr>
                <w:b/>
                <w:bCs/>
                <w:color w:val="000000"/>
                <w:sz w:val="20"/>
                <w:szCs w:val="20"/>
              </w:rPr>
              <w:t>n</w:t>
            </w:r>
            <w:r w:rsidRPr="00425F23">
              <w:rPr>
                <w:b/>
                <w:bCs/>
                <w:color w:val="000000"/>
                <w:sz w:val="20"/>
                <w:szCs w:val="20"/>
              </w:rPr>
              <w:t>o)</w:t>
            </w:r>
          </w:p>
        </w:tc>
        <w:tc>
          <w:tcPr>
            <w:tcW w:w="1435" w:type="dxa"/>
            <w:tcBorders>
              <w:top w:val="nil"/>
              <w:left w:val="nil"/>
              <w:bottom w:val="nil"/>
              <w:right w:val="nil"/>
            </w:tcBorders>
            <w:shd w:val="clear" w:color="auto" w:fill="auto"/>
            <w:noWrap/>
            <w:vAlign w:val="center"/>
            <w:hideMark/>
          </w:tcPr>
          <w:p w14:paraId="3C679E70"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single" w:sz="8" w:space="0" w:color="auto"/>
              <w:bottom w:val="nil"/>
              <w:right w:val="single" w:sz="8" w:space="0" w:color="auto"/>
            </w:tcBorders>
            <w:shd w:val="clear" w:color="auto" w:fill="auto"/>
            <w:noWrap/>
            <w:vAlign w:val="center"/>
            <w:hideMark/>
          </w:tcPr>
          <w:p w14:paraId="6E360BE5"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nil"/>
            </w:tcBorders>
            <w:shd w:val="clear" w:color="auto" w:fill="auto"/>
            <w:noWrap/>
            <w:vAlign w:val="center"/>
            <w:hideMark/>
          </w:tcPr>
          <w:p w14:paraId="2A734EE6" w14:textId="77777777" w:rsidR="000A78C6" w:rsidRPr="00425F23" w:rsidRDefault="000A78C6" w:rsidP="005C565E">
            <w:pPr>
              <w:jc w:val="center"/>
              <w:rPr>
                <w:color w:val="000000"/>
                <w:sz w:val="20"/>
                <w:szCs w:val="20"/>
              </w:rPr>
            </w:pPr>
          </w:p>
        </w:tc>
        <w:tc>
          <w:tcPr>
            <w:tcW w:w="1435" w:type="dxa"/>
            <w:tcBorders>
              <w:top w:val="nil"/>
              <w:left w:val="single" w:sz="8" w:space="0" w:color="auto"/>
              <w:bottom w:val="nil"/>
              <w:right w:val="nil"/>
            </w:tcBorders>
            <w:shd w:val="clear" w:color="auto" w:fill="auto"/>
            <w:noWrap/>
            <w:vAlign w:val="center"/>
            <w:hideMark/>
          </w:tcPr>
          <w:p w14:paraId="24A68707"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single" w:sz="8" w:space="0" w:color="auto"/>
              <w:bottom w:val="nil"/>
              <w:right w:val="single" w:sz="8" w:space="0" w:color="auto"/>
            </w:tcBorders>
            <w:shd w:val="clear" w:color="auto" w:fill="auto"/>
            <w:noWrap/>
            <w:vAlign w:val="center"/>
            <w:hideMark/>
          </w:tcPr>
          <w:p w14:paraId="2396D73C" w14:textId="77777777" w:rsidR="000A78C6" w:rsidRPr="00425F23" w:rsidRDefault="000A78C6" w:rsidP="005C565E">
            <w:pPr>
              <w:jc w:val="center"/>
              <w:rPr>
                <w:color w:val="000000"/>
                <w:sz w:val="20"/>
                <w:szCs w:val="20"/>
              </w:rPr>
            </w:pPr>
            <w:r w:rsidRPr="00425F23">
              <w:rPr>
                <w:color w:val="000000"/>
                <w:sz w:val="20"/>
                <w:szCs w:val="20"/>
              </w:rPr>
              <w:t> </w:t>
            </w:r>
          </w:p>
        </w:tc>
        <w:tc>
          <w:tcPr>
            <w:tcW w:w="1435" w:type="dxa"/>
            <w:tcBorders>
              <w:top w:val="nil"/>
              <w:left w:val="nil"/>
              <w:bottom w:val="nil"/>
              <w:right w:val="single" w:sz="8" w:space="0" w:color="auto"/>
            </w:tcBorders>
            <w:shd w:val="clear" w:color="auto" w:fill="auto"/>
            <w:noWrap/>
            <w:vAlign w:val="center"/>
            <w:hideMark/>
          </w:tcPr>
          <w:p w14:paraId="6CCBDB68" w14:textId="77777777" w:rsidR="000A78C6" w:rsidRPr="00425F23" w:rsidRDefault="000A78C6" w:rsidP="005C565E">
            <w:pPr>
              <w:jc w:val="center"/>
              <w:rPr>
                <w:color w:val="000000"/>
                <w:sz w:val="20"/>
                <w:szCs w:val="20"/>
              </w:rPr>
            </w:pPr>
            <w:r w:rsidRPr="00425F23">
              <w:rPr>
                <w:color w:val="000000"/>
                <w:sz w:val="20"/>
                <w:szCs w:val="20"/>
              </w:rPr>
              <w:t> </w:t>
            </w:r>
          </w:p>
        </w:tc>
      </w:tr>
      <w:tr w:rsidR="000A78C6" w:rsidRPr="00425F23" w14:paraId="0BCB34DF" w14:textId="77777777" w:rsidTr="007D0895">
        <w:trPr>
          <w:trHeight w:val="88"/>
        </w:trPr>
        <w:tc>
          <w:tcPr>
            <w:tcW w:w="3980" w:type="dxa"/>
            <w:tcBorders>
              <w:top w:val="nil"/>
              <w:left w:val="single" w:sz="8" w:space="0" w:color="auto"/>
              <w:bottom w:val="nil"/>
              <w:right w:val="single" w:sz="8" w:space="0" w:color="auto"/>
            </w:tcBorders>
            <w:shd w:val="clear" w:color="auto" w:fill="auto"/>
            <w:vAlign w:val="center"/>
            <w:hideMark/>
          </w:tcPr>
          <w:p w14:paraId="01712BC1" w14:textId="77777777" w:rsidR="000A78C6" w:rsidRPr="00425F23" w:rsidRDefault="000A78C6" w:rsidP="005C565E">
            <w:pPr>
              <w:rPr>
                <w:b/>
                <w:bCs/>
                <w:color w:val="000000"/>
                <w:sz w:val="20"/>
                <w:szCs w:val="20"/>
              </w:rPr>
            </w:pPr>
            <w:r w:rsidRPr="00425F23">
              <w:rPr>
                <w:color w:val="000000"/>
                <w:sz w:val="20"/>
                <w:szCs w:val="20"/>
              </w:rPr>
              <w:t>Yes</w:t>
            </w:r>
          </w:p>
        </w:tc>
        <w:tc>
          <w:tcPr>
            <w:tcW w:w="1435" w:type="dxa"/>
            <w:tcBorders>
              <w:top w:val="nil"/>
              <w:left w:val="nil"/>
              <w:bottom w:val="nil"/>
              <w:right w:val="nil"/>
            </w:tcBorders>
            <w:shd w:val="clear" w:color="auto" w:fill="auto"/>
            <w:noWrap/>
            <w:vAlign w:val="center"/>
            <w:hideMark/>
          </w:tcPr>
          <w:p w14:paraId="6DA831EC"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single" w:sz="8" w:space="0" w:color="auto"/>
              <w:bottom w:val="nil"/>
              <w:right w:val="single" w:sz="8" w:space="0" w:color="auto"/>
            </w:tcBorders>
            <w:shd w:val="clear" w:color="auto" w:fill="auto"/>
            <w:noWrap/>
            <w:vAlign w:val="center"/>
            <w:hideMark/>
          </w:tcPr>
          <w:p w14:paraId="68902E62" w14:textId="77777777" w:rsidR="000A78C6" w:rsidRPr="00425F23" w:rsidRDefault="000A78C6" w:rsidP="005C565E">
            <w:pPr>
              <w:jc w:val="center"/>
              <w:rPr>
                <w:color w:val="000000"/>
                <w:sz w:val="20"/>
                <w:szCs w:val="20"/>
              </w:rPr>
            </w:pPr>
            <w:r w:rsidRPr="00425F23">
              <w:rPr>
                <w:color w:val="000000"/>
                <w:sz w:val="20"/>
                <w:szCs w:val="20"/>
              </w:rPr>
              <w:t>--</w:t>
            </w:r>
          </w:p>
        </w:tc>
        <w:tc>
          <w:tcPr>
            <w:tcW w:w="1435" w:type="dxa"/>
            <w:tcBorders>
              <w:top w:val="nil"/>
              <w:left w:val="nil"/>
              <w:bottom w:val="nil"/>
              <w:right w:val="nil"/>
            </w:tcBorders>
            <w:shd w:val="clear" w:color="auto" w:fill="auto"/>
            <w:noWrap/>
            <w:vAlign w:val="center"/>
            <w:hideMark/>
          </w:tcPr>
          <w:p w14:paraId="7E505085" w14:textId="77777777" w:rsidR="000A78C6" w:rsidRPr="00425F23" w:rsidRDefault="000A78C6" w:rsidP="005C565E">
            <w:pPr>
              <w:jc w:val="center"/>
              <w:rPr>
                <w:color w:val="000000"/>
                <w:sz w:val="20"/>
                <w:szCs w:val="20"/>
              </w:rPr>
            </w:pPr>
            <w:r>
              <w:rPr>
                <w:color w:val="000000"/>
                <w:sz w:val="20"/>
                <w:szCs w:val="20"/>
              </w:rPr>
              <w:t xml:space="preserve">  </w:t>
            </w:r>
            <w:r w:rsidRPr="00425F23">
              <w:rPr>
                <w:color w:val="000000"/>
                <w:sz w:val="20"/>
                <w:szCs w:val="20"/>
              </w:rPr>
              <w:t>0.</w:t>
            </w:r>
            <w:r>
              <w:rPr>
                <w:color w:val="000000"/>
                <w:sz w:val="20"/>
                <w:szCs w:val="20"/>
              </w:rPr>
              <w:t>307</w:t>
            </w:r>
          </w:p>
        </w:tc>
        <w:tc>
          <w:tcPr>
            <w:tcW w:w="1435" w:type="dxa"/>
            <w:tcBorders>
              <w:top w:val="nil"/>
              <w:left w:val="single" w:sz="8" w:space="0" w:color="auto"/>
              <w:bottom w:val="nil"/>
              <w:right w:val="nil"/>
            </w:tcBorders>
            <w:shd w:val="clear" w:color="auto" w:fill="auto"/>
            <w:noWrap/>
            <w:vAlign w:val="center"/>
            <w:hideMark/>
          </w:tcPr>
          <w:p w14:paraId="6A2E063C" w14:textId="77777777" w:rsidR="000A78C6" w:rsidRPr="00425F23" w:rsidRDefault="000A78C6" w:rsidP="005C565E">
            <w:pPr>
              <w:jc w:val="center"/>
              <w:rPr>
                <w:color w:val="000000"/>
                <w:sz w:val="20"/>
                <w:szCs w:val="20"/>
              </w:rPr>
            </w:pPr>
            <w:r>
              <w:rPr>
                <w:color w:val="000000"/>
                <w:sz w:val="20"/>
                <w:szCs w:val="20"/>
              </w:rPr>
              <w:t xml:space="preserve">  5</w:t>
            </w:r>
            <w:r w:rsidRPr="00425F23">
              <w:rPr>
                <w:color w:val="000000"/>
                <w:sz w:val="20"/>
                <w:szCs w:val="20"/>
              </w:rPr>
              <w:t>.</w:t>
            </w:r>
            <w:r>
              <w:rPr>
                <w:color w:val="000000"/>
                <w:sz w:val="20"/>
                <w:szCs w:val="20"/>
              </w:rPr>
              <w:t>173</w:t>
            </w:r>
          </w:p>
        </w:tc>
        <w:tc>
          <w:tcPr>
            <w:tcW w:w="1435" w:type="dxa"/>
            <w:tcBorders>
              <w:top w:val="nil"/>
              <w:left w:val="single" w:sz="8" w:space="0" w:color="auto"/>
              <w:bottom w:val="nil"/>
              <w:right w:val="single" w:sz="8" w:space="0" w:color="auto"/>
            </w:tcBorders>
            <w:shd w:val="clear" w:color="auto" w:fill="auto"/>
            <w:noWrap/>
            <w:vAlign w:val="center"/>
            <w:hideMark/>
          </w:tcPr>
          <w:p w14:paraId="02B218D2" w14:textId="77777777" w:rsidR="000A78C6" w:rsidRPr="00425F23" w:rsidRDefault="000A78C6" w:rsidP="005C565E">
            <w:pPr>
              <w:jc w:val="center"/>
              <w:rPr>
                <w:color w:val="000000"/>
                <w:sz w:val="20"/>
                <w:szCs w:val="20"/>
              </w:rPr>
            </w:pPr>
            <w:r w:rsidRPr="00425F23">
              <w:rPr>
                <w:color w:val="000000"/>
                <w:sz w:val="20"/>
                <w:szCs w:val="20"/>
              </w:rPr>
              <w:t>0.1</w:t>
            </w:r>
            <w:r>
              <w:rPr>
                <w:color w:val="000000"/>
                <w:sz w:val="20"/>
                <w:szCs w:val="20"/>
              </w:rPr>
              <w:t>25</w:t>
            </w:r>
          </w:p>
        </w:tc>
        <w:tc>
          <w:tcPr>
            <w:tcW w:w="1435" w:type="dxa"/>
            <w:tcBorders>
              <w:top w:val="nil"/>
              <w:left w:val="nil"/>
              <w:bottom w:val="nil"/>
              <w:right w:val="single" w:sz="8" w:space="0" w:color="auto"/>
            </w:tcBorders>
            <w:shd w:val="clear" w:color="auto" w:fill="auto"/>
            <w:noWrap/>
            <w:vAlign w:val="center"/>
            <w:hideMark/>
          </w:tcPr>
          <w:p w14:paraId="056EEEC8" w14:textId="77777777" w:rsidR="000A78C6" w:rsidRPr="00425F23" w:rsidRDefault="000A78C6" w:rsidP="005C565E">
            <w:pPr>
              <w:jc w:val="center"/>
              <w:rPr>
                <w:color w:val="000000"/>
                <w:sz w:val="20"/>
                <w:szCs w:val="20"/>
              </w:rPr>
            </w:pPr>
            <w:r w:rsidRPr="00425F23">
              <w:rPr>
                <w:color w:val="000000"/>
                <w:sz w:val="20"/>
                <w:szCs w:val="20"/>
              </w:rPr>
              <w:t>2.</w:t>
            </w:r>
            <w:r>
              <w:rPr>
                <w:color w:val="000000"/>
                <w:sz w:val="20"/>
                <w:szCs w:val="20"/>
              </w:rPr>
              <w:t>015</w:t>
            </w:r>
          </w:p>
        </w:tc>
      </w:tr>
      <w:tr w:rsidR="000A78C6" w:rsidRPr="00425F23" w14:paraId="37998768" w14:textId="77777777" w:rsidTr="007D0895">
        <w:trPr>
          <w:trHeight w:val="295"/>
        </w:trPr>
        <w:tc>
          <w:tcPr>
            <w:tcW w:w="398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DB7FAB0" w14:textId="77777777" w:rsidR="000A78C6" w:rsidRPr="00425F23" w:rsidRDefault="000A78C6" w:rsidP="005C565E">
            <w:pPr>
              <w:rPr>
                <w:b/>
                <w:bCs/>
                <w:color w:val="000000"/>
                <w:sz w:val="20"/>
                <w:szCs w:val="20"/>
              </w:rPr>
            </w:pPr>
            <w:r w:rsidRPr="00425F23">
              <w:rPr>
                <w:b/>
                <w:bCs/>
                <w:color w:val="000000"/>
                <w:sz w:val="20"/>
                <w:szCs w:val="20"/>
              </w:rPr>
              <w:t>Constant</w:t>
            </w:r>
          </w:p>
        </w:tc>
        <w:tc>
          <w:tcPr>
            <w:tcW w:w="1435" w:type="dxa"/>
            <w:tcBorders>
              <w:top w:val="single" w:sz="8" w:space="0" w:color="auto"/>
              <w:left w:val="nil"/>
              <w:bottom w:val="single" w:sz="4" w:space="0" w:color="auto"/>
              <w:right w:val="nil"/>
            </w:tcBorders>
            <w:shd w:val="clear" w:color="auto" w:fill="auto"/>
            <w:noWrap/>
            <w:vAlign w:val="center"/>
          </w:tcPr>
          <w:p w14:paraId="6618F88C" w14:textId="77777777" w:rsidR="000A78C6" w:rsidRPr="00425F23" w:rsidRDefault="000A78C6" w:rsidP="005C565E">
            <w:pPr>
              <w:jc w:val="center"/>
              <w:rPr>
                <w:color w:val="000000"/>
                <w:sz w:val="20"/>
                <w:szCs w:val="20"/>
              </w:rPr>
            </w:pPr>
            <w:r w:rsidRPr="00425F23">
              <w:rPr>
                <w:color w:val="000000"/>
                <w:sz w:val="20"/>
                <w:szCs w:val="20"/>
              </w:rPr>
              <w:t>-</w:t>
            </w:r>
            <w:r>
              <w:rPr>
                <w:color w:val="000000"/>
                <w:sz w:val="20"/>
                <w:szCs w:val="20"/>
              </w:rPr>
              <w:t>2</w:t>
            </w:r>
            <w:r w:rsidRPr="00425F23">
              <w:rPr>
                <w:color w:val="000000"/>
                <w:sz w:val="20"/>
                <w:szCs w:val="20"/>
              </w:rPr>
              <w:t>.0</w:t>
            </w:r>
            <w:r>
              <w:rPr>
                <w:color w:val="000000"/>
                <w:sz w:val="20"/>
                <w:szCs w:val="20"/>
              </w:rPr>
              <w:t>62</w:t>
            </w:r>
          </w:p>
        </w:tc>
        <w:tc>
          <w:tcPr>
            <w:tcW w:w="1435" w:type="dxa"/>
            <w:tcBorders>
              <w:top w:val="single" w:sz="8" w:space="0" w:color="auto"/>
              <w:left w:val="single" w:sz="8" w:space="0" w:color="auto"/>
              <w:bottom w:val="single" w:sz="4" w:space="0" w:color="auto"/>
              <w:right w:val="single" w:sz="8" w:space="0" w:color="auto"/>
            </w:tcBorders>
            <w:shd w:val="clear" w:color="auto" w:fill="auto"/>
            <w:noWrap/>
            <w:vAlign w:val="center"/>
          </w:tcPr>
          <w:p w14:paraId="6703F829" w14:textId="77777777" w:rsidR="000A78C6" w:rsidRPr="00425F23" w:rsidRDefault="000A78C6" w:rsidP="005C565E">
            <w:pPr>
              <w:jc w:val="center"/>
              <w:rPr>
                <w:color w:val="000000"/>
                <w:sz w:val="20"/>
                <w:szCs w:val="20"/>
              </w:rPr>
            </w:pPr>
            <w:r w:rsidRPr="00425F23">
              <w:rPr>
                <w:color w:val="000000"/>
                <w:sz w:val="20"/>
                <w:szCs w:val="20"/>
              </w:rPr>
              <w:t>-</w:t>
            </w:r>
            <w:r>
              <w:rPr>
                <w:color w:val="000000"/>
                <w:sz w:val="20"/>
                <w:szCs w:val="20"/>
              </w:rPr>
              <w:t>3</w:t>
            </w:r>
            <w:r w:rsidRPr="00425F23">
              <w:rPr>
                <w:color w:val="000000"/>
                <w:sz w:val="20"/>
                <w:szCs w:val="20"/>
              </w:rPr>
              <w:t>.</w:t>
            </w:r>
            <w:r>
              <w:rPr>
                <w:color w:val="000000"/>
                <w:sz w:val="20"/>
                <w:szCs w:val="20"/>
              </w:rPr>
              <w:t>271</w:t>
            </w:r>
          </w:p>
        </w:tc>
        <w:tc>
          <w:tcPr>
            <w:tcW w:w="1435" w:type="dxa"/>
            <w:tcBorders>
              <w:top w:val="single" w:sz="8" w:space="0" w:color="auto"/>
              <w:left w:val="nil"/>
              <w:bottom w:val="single" w:sz="4" w:space="0" w:color="auto"/>
              <w:right w:val="nil"/>
            </w:tcBorders>
            <w:shd w:val="clear" w:color="auto" w:fill="auto"/>
            <w:noWrap/>
            <w:vAlign w:val="center"/>
          </w:tcPr>
          <w:p w14:paraId="1E542CEA" w14:textId="77777777" w:rsidR="000A78C6" w:rsidRPr="00425F23" w:rsidRDefault="000A78C6" w:rsidP="005C565E">
            <w:pPr>
              <w:jc w:val="center"/>
              <w:rPr>
                <w:color w:val="000000"/>
                <w:sz w:val="20"/>
                <w:szCs w:val="20"/>
              </w:rPr>
            </w:pPr>
            <w:r w:rsidRPr="00425F23">
              <w:rPr>
                <w:color w:val="000000"/>
                <w:sz w:val="20"/>
                <w:szCs w:val="20"/>
              </w:rPr>
              <w:t>-</w:t>
            </w:r>
            <w:r>
              <w:rPr>
                <w:color w:val="000000"/>
                <w:sz w:val="20"/>
                <w:szCs w:val="20"/>
              </w:rPr>
              <w:t>1.062</w:t>
            </w:r>
          </w:p>
        </w:tc>
        <w:tc>
          <w:tcPr>
            <w:tcW w:w="1435" w:type="dxa"/>
            <w:tcBorders>
              <w:top w:val="single" w:sz="8" w:space="0" w:color="auto"/>
              <w:left w:val="single" w:sz="8" w:space="0" w:color="auto"/>
              <w:bottom w:val="single" w:sz="4" w:space="0" w:color="auto"/>
              <w:right w:val="nil"/>
            </w:tcBorders>
            <w:shd w:val="clear" w:color="auto" w:fill="auto"/>
            <w:noWrap/>
            <w:vAlign w:val="center"/>
          </w:tcPr>
          <w:p w14:paraId="1E4BD5B1" w14:textId="77777777" w:rsidR="000A78C6" w:rsidRPr="00425F23" w:rsidRDefault="000A78C6" w:rsidP="005C565E">
            <w:pPr>
              <w:jc w:val="center"/>
              <w:rPr>
                <w:color w:val="000000"/>
                <w:sz w:val="20"/>
                <w:szCs w:val="20"/>
              </w:rPr>
            </w:pPr>
            <w:r w:rsidRPr="00425F23">
              <w:rPr>
                <w:color w:val="000000"/>
                <w:sz w:val="20"/>
                <w:szCs w:val="20"/>
              </w:rPr>
              <w:t>-</w:t>
            </w:r>
            <w:r>
              <w:rPr>
                <w:color w:val="000000"/>
                <w:sz w:val="20"/>
                <w:szCs w:val="20"/>
              </w:rPr>
              <w:t>5</w:t>
            </w:r>
            <w:r w:rsidRPr="00425F23">
              <w:rPr>
                <w:color w:val="000000"/>
                <w:sz w:val="20"/>
                <w:szCs w:val="20"/>
              </w:rPr>
              <w:t>.0</w:t>
            </w:r>
            <w:r>
              <w:rPr>
                <w:color w:val="000000"/>
                <w:sz w:val="20"/>
                <w:szCs w:val="20"/>
              </w:rPr>
              <w:t>64</w:t>
            </w:r>
          </w:p>
        </w:tc>
        <w:tc>
          <w:tcPr>
            <w:tcW w:w="1435"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E51A21E" w14:textId="77777777" w:rsidR="000A78C6" w:rsidRPr="00425F23" w:rsidRDefault="000A78C6" w:rsidP="005C565E">
            <w:pPr>
              <w:jc w:val="center"/>
              <w:rPr>
                <w:color w:val="000000"/>
                <w:sz w:val="20"/>
                <w:szCs w:val="20"/>
              </w:rPr>
            </w:pPr>
            <w:r w:rsidRPr="00425F23">
              <w:rPr>
                <w:color w:val="000000"/>
                <w:sz w:val="20"/>
                <w:szCs w:val="20"/>
              </w:rPr>
              <w:t>0.</w:t>
            </w:r>
            <w:r>
              <w:rPr>
                <w:color w:val="000000"/>
                <w:sz w:val="20"/>
                <w:szCs w:val="20"/>
              </w:rPr>
              <w:t>165</w:t>
            </w:r>
          </w:p>
        </w:tc>
        <w:tc>
          <w:tcPr>
            <w:tcW w:w="1435" w:type="dxa"/>
            <w:tcBorders>
              <w:top w:val="single" w:sz="8" w:space="0" w:color="auto"/>
              <w:left w:val="nil"/>
              <w:bottom w:val="single" w:sz="4" w:space="0" w:color="auto"/>
              <w:right w:val="single" w:sz="8" w:space="0" w:color="auto"/>
            </w:tcBorders>
            <w:shd w:val="clear" w:color="auto" w:fill="auto"/>
            <w:noWrap/>
            <w:vAlign w:val="center"/>
          </w:tcPr>
          <w:p w14:paraId="7CC5494A" w14:textId="77777777" w:rsidR="000A78C6" w:rsidRPr="00425F23" w:rsidRDefault="000A78C6" w:rsidP="005C565E">
            <w:pPr>
              <w:jc w:val="center"/>
              <w:rPr>
                <w:color w:val="000000"/>
                <w:sz w:val="20"/>
                <w:szCs w:val="20"/>
              </w:rPr>
            </w:pPr>
            <w:r w:rsidRPr="00425F23">
              <w:rPr>
                <w:color w:val="000000"/>
                <w:sz w:val="20"/>
                <w:szCs w:val="20"/>
              </w:rPr>
              <w:t>1.</w:t>
            </w:r>
            <w:r>
              <w:rPr>
                <w:color w:val="000000"/>
                <w:sz w:val="20"/>
                <w:szCs w:val="20"/>
              </w:rPr>
              <w:t>144</w:t>
            </w:r>
          </w:p>
        </w:tc>
      </w:tr>
    </w:tbl>
    <w:p w14:paraId="6E52D54A" w14:textId="77777777" w:rsidR="000A78C6" w:rsidRDefault="000A78C6" w:rsidP="00D846C4">
      <w:pPr>
        <w:pStyle w:val="NormalWeb"/>
        <w:shd w:val="clear" w:color="auto" w:fill="FFFFFF"/>
        <w:spacing w:before="0" w:beforeAutospacing="0" w:after="0" w:afterAutospacing="0" w:line="235" w:lineRule="atLeast"/>
        <w:jc w:val="both"/>
        <w:rPr>
          <w:color w:val="222222"/>
        </w:rPr>
        <w:sectPr w:rsidR="000A78C6" w:rsidSect="000A78C6">
          <w:pgSz w:w="15840" w:h="12240" w:orient="landscape"/>
          <w:pgMar w:top="1440" w:right="1440" w:bottom="1440" w:left="1440" w:header="720" w:footer="720" w:gutter="0"/>
          <w:cols w:space="720"/>
          <w:titlePg/>
          <w:docGrid w:linePitch="360"/>
        </w:sectPr>
      </w:pPr>
    </w:p>
    <w:p w14:paraId="641F2FFB" w14:textId="58D9E55B" w:rsidR="00DA3BB6" w:rsidRDefault="009507BF" w:rsidP="004A4122">
      <w:pPr>
        <w:pStyle w:val="NormalWeb"/>
        <w:shd w:val="clear" w:color="auto" w:fill="FFFFFF"/>
        <w:spacing w:before="0" w:beforeAutospacing="0" w:after="0" w:afterAutospacing="0"/>
        <w:ind w:firstLine="720"/>
        <w:jc w:val="both"/>
        <w:rPr>
          <w:color w:val="222222"/>
        </w:rPr>
      </w:pPr>
      <w:r>
        <w:rPr>
          <w:color w:val="222222"/>
        </w:rPr>
        <w:lastRenderedPageBreak/>
        <w:t xml:space="preserve">Table 3 also indicates that those </w:t>
      </w:r>
      <w:r w:rsidRPr="00425F23">
        <w:rPr>
          <w:color w:val="222222"/>
        </w:rPr>
        <w:t xml:space="preserve">living in urban areas </w:t>
      </w:r>
      <w:r>
        <w:rPr>
          <w:color w:val="222222"/>
        </w:rPr>
        <w:t xml:space="preserve">and </w:t>
      </w:r>
      <w:r w:rsidRPr="00C7230D">
        <w:rPr>
          <w:color w:val="222222"/>
        </w:rPr>
        <w:t>in vehicle-constrained households</w:t>
      </w:r>
      <w:r w:rsidR="00AC7A04">
        <w:rPr>
          <w:color w:val="222222"/>
        </w:rPr>
        <w:t xml:space="preserve"> (fewer vehicles than number of drivers)</w:t>
      </w:r>
      <w:r w:rsidRPr="00C7230D">
        <w:rPr>
          <w:color w:val="222222"/>
        </w:rPr>
        <w:t xml:space="preserve"> have increased PT use in the post-COVID period, with this change</w:t>
      </w:r>
      <w:r>
        <w:rPr>
          <w:color w:val="222222"/>
        </w:rPr>
        <w:t xml:space="preserve"> being more permanent for vehicle-constrained households</w:t>
      </w:r>
      <w:r w:rsidR="00A3481D">
        <w:rPr>
          <w:color w:val="222222"/>
        </w:rPr>
        <w:t xml:space="preserve">. </w:t>
      </w:r>
      <w:r w:rsidR="00DA3BB6">
        <w:rPr>
          <w:color w:val="222222"/>
        </w:rPr>
        <w:t>In regard to</w:t>
      </w:r>
      <w:r w:rsidR="00A3481D">
        <w:rPr>
          <w:color w:val="222222"/>
        </w:rPr>
        <w:t xml:space="preserve"> urban residency, </w:t>
      </w:r>
      <w:r w:rsidR="00DA3BB6">
        <w:rPr>
          <w:color w:val="222222"/>
        </w:rPr>
        <w:t xml:space="preserve">service declines were much smaller in urban areas, where larger transit services were better able to accommodate ridership declines and </w:t>
      </w:r>
      <w:r w:rsidR="00B0153B">
        <w:rPr>
          <w:color w:val="222222"/>
        </w:rPr>
        <w:t>were more likely to maintain services to support essential workers.</w:t>
      </w:r>
      <w:r w:rsidR="00991C02">
        <w:rPr>
          <w:color w:val="222222"/>
        </w:rPr>
        <w:t xml:space="preserve"> A greater pre-pandemic reliance on transit for some urban PT users also </w:t>
      </w:r>
      <w:r w:rsidR="00644E29">
        <w:rPr>
          <w:color w:val="222222"/>
        </w:rPr>
        <w:t>may have left some individuals located in urban areas with few other mobility alternatives, particularly at the onset of the pandemic</w:t>
      </w:r>
      <w:r w:rsidR="00744793">
        <w:rPr>
          <w:color w:val="222222"/>
        </w:rPr>
        <w:t xml:space="preserve"> </w:t>
      </w:r>
      <w:r w:rsidR="007E3DFD">
        <w:rPr>
          <w:color w:val="222222"/>
        </w:rPr>
        <w:fldChar w:fldCharType="begin"/>
      </w:r>
      <w:r w:rsidR="005C565E">
        <w:rPr>
          <w:color w:val="222222"/>
        </w:rPr>
        <w:instrText xml:space="preserve"> ADDIN ZOTERO_ITEM CSL_CITATION {"citationID":"yDg6N6az","properties":{"formattedCitation":"(Molina et al., 2021; Speroni et al., 2023)","plainCitation":"(Molina et al., 2021; Speroni et al., 2023)","noteIndex":0},"citationItems":[{"id":314,"uris":["http://zotero.org/groups/5345474/items/8Z2TW3D5"],"itemData":{"id":314,"type":"report","abstract":"This study examines public opinion toward transit during the COVID-19 pandemic, changes in rider behavior, and responses by transit agencies. This was accomplished through two surveys. First, a survey of transit riders and the public was conducted to examine response to the pandemic. It focused on the use of public transit and strategies that transit agencies could employ to increase post-pandemic ridership. This survey was conducted largely of transit users in the Fargo-Moorhead (ND-MN) metro area but also included responses from around the country. Results showed that many had reduced or stopped their usage of transit. While respondents were generally satisfied with the response of transit agencies and felt that their health was being protected, many also gave recommendations for what transit agencies could do to increase their likelihood of using transit. Second, a survey of transit agencies was conducted to identify how they were impacted by COVID-19. This survey focused on rural and small urban systems, and most responses were from North Dakota. Results show the substantial decrease in ridership and revenue, the challenges faced by transit agencies, and the actions taken.","call-number":"dot:59792","language":"English","number":"Staff Paper No. 188","source":"ROSA P","title":"Surveys of Transit Riders and Agencies During the COVID-19 Pandemic","URL":"https://rosap.ntl.bts.gov/view/dot/59792","author":[{"family":"Molina","given":"Antonio"},{"family":"Malalgoda","given":"Narendra"},{"family":"Taleqani","given":"Ali Rahim"},{"family":"Mattson","given":"Jeremy"},{"family":"Ezekwem","given":"Kenechukwu"},{"family":"Askarzadeh","given":"Taraneh"},{"family":"Hough","given":"Jill"},{"literal":"Small Urban and Rural Center on Mobility"},{"literal":"Upper Great Plains Transportation Institute"},{"literal":"North Dakota State University"}],"accessed":{"date-parts":[["2024",6,4]]},"issued":{"date-parts":[["2021",8,1]]}}},{"id":313,"uris":["http://zotero.org/groups/5345474/items/RNQGX8AV"],"itemData":{"id":313,"type":"chapter","abstract":"While the COVID-19 pandemic in some way affected every person and enterprise on the planet, the temporary hollowing out of concentrated economic, political, and cultural agglomerations in cities dealt a devastating and potentially enduring blow to the public transit systems that depend on them for so many of their customers. This chapter draws on a survey of 72 U.S. public transit systems and semi-structured interviews with 12 transit agency staff, both conducted in the late summer and early fall of 2020, to consider how the pandemic shocked the transit industry at the outset, and how the industry adapted to deliver transit services. We find that: transit agencies adapted quickly, and many of their changes are now standard operating procedure; the pandemic tended to affect large and small transit agencies differently; transit’s role as a social service provider took on increased visibility and importance; and financial collapse has been averted, but funding shortfalls may become a pressing issue in the years ahead when federal emergency funding runs out. We conclude that while transit systems have adapted remarkably to dramatic change and that federal funding has largely forestalled fiscal crises, the longer term future of public transit in the U.S. remains very uncertain.","container-title":"Pandemic in the Metropolis: Transportation Impacts and Recovery","event-place":"Cham","ISBN":"978-3-031-00148-2","language":"en","note":"DOI: 10.1007/978-3-031-00148-2_17","page":"267-281","publisher":"Springer International Publishing","publisher-place":"Cham","source":"Springer Link","title":"Pandemic Transit: A National Look at the Shock, Adaptation, and Prospects for Recovery","title-short":"Pandemic Transit","URL":"https://doi.org/10.1007/978-3-031-00148-2_17","author":[{"family":"Speroni","given":"Samuel"},{"family":"Taylor","given":"Brian D."},{"family":"Hwang","given":"Yu Hong"}],"editor":[{"family":"Loukaitou-Sideris","given":"Anastasia"},{"family":"Bayen","given":"Alexandre M."},{"family":"Circella","given":"Giovanni"},{"family":"Jayakrishnan","given":"R."}],"accessed":{"date-parts":[["2024",6,4]]},"issued":{"date-parts":[["2023"]]}}}],"schema":"https://github.com/citation-style-language/schema/raw/master/csl-citation.json"} </w:instrText>
      </w:r>
      <w:r w:rsidR="007E3DFD">
        <w:rPr>
          <w:color w:val="222222"/>
        </w:rPr>
        <w:fldChar w:fldCharType="separate"/>
      </w:r>
      <w:r w:rsidR="007E3DFD" w:rsidRPr="007E3DFD">
        <w:t>(Molina et al., 2021; Speroni et al., 2023)</w:t>
      </w:r>
      <w:r w:rsidR="007E3DFD">
        <w:rPr>
          <w:color w:val="222222"/>
        </w:rPr>
        <w:fldChar w:fldCharType="end"/>
      </w:r>
      <w:r w:rsidR="00644E29">
        <w:rPr>
          <w:color w:val="222222"/>
        </w:rPr>
        <w:t xml:space="preserve">. Similarly, vehicle-constrained households may have been more likely to increase their ridership during the pandemic because </w:t>
      </w:r>
      <w:r w:rsidR="004C198F">
        <w:rPr>
          <w:color w:val="222222"/>
        </w:rPr>
        <w:t>their existing limited mobility gave them few alternatives to adapt to pandemic-era conditions</w:t>
      </w:r>
      <w:r w:rsidR="00862BBF">
        <w:rPr>
          <w:color w:val="222222"/>
        </w:rPr>
        <w:t xml:space="preserve"> and these households are most likely to be essential workers who had to maintain higher levels of travel throughout the pandemic </w:t>
      </w:r>
      <w:r w:rsidR="00027C0C">
        <w:rPr>
          <w:color w:val="222222"/>
        </w:rPr>
        <w:fldChar w:fldCharType="begin"/>
      </w:r>
      <w:r w:rsidR="005C565E">
        <w:rPr>
          <w:color w:val="222222"/>
        </w:rPr>
        <w:instrText xml:space="preserve"> ADDIN ZOTERO_ITEM CSL_CITATION {"citationID":"AD4NSMdY","properties":{"formattedCitation":"(Harrington and Hadjiconstantinou, 2022; Tahlyan et al., 2022)","plainCitation":"(Harrington and Hadjiconstantinou, 2022; Tahlyan et al., 2022)","noteIndex":0},"citationItems":[{"id":312,"uris":["http://zotero.org/groups/5345474/items/BW7JRGEQ"],"itemData":{"id":312,"type":"article-journal","abstract":"Background\nThe UK Government restrictions on non-essential work in response to the coronavirus disease 2019 (COVID-19) pandemic forced millions of working aged-adults into an unplanned lifestyle change. We present data on changes in commuting behaviour in response to COVID-19 and describe the facilitators and barriers to switching commuting behaviours, with a specific focus on cycling and walking.\nMethods\nAn online survey queried individuals’ transport mode to/from work before and when becoming aware of COVID-19, when restrictions were in place and the transport mode they may use once restrictions are lifted. Free-form text responses were collected on why they may switch to a sustainable commute mode in the future and what would help/allow them to achieve this. Quantitative and qualitative data on those who commuted by car (single occupant) and public transport (bus/rail/park &amp; ride) were analysed and presented separately.\nResults\nOverall, 725 car and public transport commuters responded; 72.4% were car commuters and 27.6% were public transport commuters before COVID-19. Of the car commuters, 81.9% may continue travelling by car once restrictions are lifted while 3.6% and 6.5% might change to walking and cycling, respectively. Of the public transport commuters, 49.0% might switch modes. From the free-form text responses three themes were identified: (a) perceived behavioural control towards cycling and walking (infrastructure and safety of roads, distance, weather) (b) key motivators to encourage a switch to cycling and walking (provision to support cycling, personal and environmental benefits); (c) the demands of current lifestyle (job requirements, family and lifestyle commitments).\nConclusion\nThese UK data show how the COVID-19 pandemic has been an “external shock” causing some individuals to reassess their commuting mode. This provides an opportunity for theory-based behaviour change interventions tackling motivations, barriers and beliefs towards changing commute mode.","container-title":"Journal of Transport &amp; Health","DOI":"10.1016/j.jth.2021.101313","ISSN":"2214-1405","journalAbbreviation":"Journal of Transport &amp; Health","page":"101313","source":"ScienceDirect","title":"Changes in commuting behaviours in response to the COVID-19 pandemic in the UK","URL":"https://www.sciencedirect.com/science/article/pii/S2214140521003431","volume":"24","author":[{"family":"Harrington","given":"Deirdre M."},{"family":"Hadjiconstantinou","given":"Michelle"}],"accessed":{"date-parts":[["2024",6,4]]},"issued":{"date-parts":[["2022",3,1]]}}},{"id":"3sTwnh0R/140mz8Ro","uris":["http://zotero.org/users/12832277/items/8E3Z58R4"],"itemData":{"id":534,"type":"article-journal","abstract":"The COVID-19 pandemic required employees and businesses across the world to rapidly transition to work from home over extended periods, reaching what is likely the upper bound of telework in many sectors. Past studies have identified both advantages and disadvantages of teleworking. The pandemic experience offers a unique opportunity to examine employees’ experiences and perceptions of telework given the broad participation duration and extent. While employer strategies will play a major role in defining the future forms and adoption of telework, employee preferences and constraints, such as access to appropriate technology to work from home or the home environment, are also going to be important factors. Using data from a U.S. representative sample of 318 working adults, this study uses a Multiple Indicator Multiple Cause Model (MIMIC) to understand employee satisfaction with telework. The presented model links telework satisfaction with experienced and perceived benefits and barriers related to telework, and hence provide a causal structure to our understanding of telework satisfaction. We also present an ordered probit model without latent variables that help us understand the systematic heterogeneity in telework satisfaction across various socio-demographic groups. The results suggest younger and older aged individuals experienced/perceived lower benefits and higher barriers to teleworking compared to middle aged individuals. The results also suggest a disproportionate impact on Hispanic or Latino and Black respondents as well as on those with children attending online school from home. Accordingly, this study highlights important factors impacting telework adoption that employers and policy makers should consider in planning future work arrangements and policies in a post-pandemic world.","container-title":"Transportation Research Part A: Policy and Practice","DOI":"10.1016/j.tra.2021.11.025","ISSN":"0965-8564","language":"en","page":"387-402","source":"ScienceDirect","title":"For Whom Did Telework Not Work During the Pandemic? Understanding the Factors Impacting Telework Satisfaction in the US Using a Multiple Indicator Multiple Cause (MIMIC) Model","title-short":"For Whom Did Telework Not Work During the Pandemic?","volume":"155","author":[{"family":"Tahlyan","given":"Divyakant"},{"family":"Said","given":"Maher"},{"family":"Mahmassani","given":"Hani"},{"family":"Stathopoulos","given":"Amanda"},{"family":"Walker","given":"Joan"},{"family":"Shaheen","given":"Susan"}],"issued":{"date-parts":[["2022",1,1]]}}}],"schema":"https://github.com/citation-style-language/schema/raw/master/csl-citation.json"} </w:instrText>
      </w:r>
      <w:r w:rsidR="00027C0C">
        <w:rPr>
          <w:color w:val="222222"/>
        </w:rPr>
        <w:fldChar w:fldCharType="separate"/>
      </w:r>
      <w:r w:rsidR="00027C0C" w:rsidRPr="00027C0C">
        <w:t>(Harrington and Hadjiconstantinou, 2022; Tahlyan et al., 2022)</w:t>
      </w:r>
      <w:r w:rsidR="00027C0C">
        <w:rPr>
          <w:color w:val="222222"/>
        </w:rPr>
        <w:fldChar w:fldCharType="end"/>
      </w:r>
      <w:r w:rsidR="004C198F">
        <w:rPr>
          <w:color w:val="222222"/>
        </w:rPr>
        <w:t xml:space="preserve">. </w:t>
      </w:r>
    </w:p>
    <w:p w14:paraId="5A4F8770" w14:textId="77777777" w:rsidR="001A38AF" w:rsidRPr="00425F23" w:rsidRDefault="001A38AF" w:rsidP="00C67E12">
      <w:pPr>
        <w:pStyle w:val="NormalWeb"/>
        <w:shd w:val="clear" w:color="auto" w:fill="FFFFFF"/>
        <w:spacing w:before="0" w:beforeAutospacing="0" w:after="0" w:afterAutospacing="0"/>
        <w:jc w:val="both"/>
        <w:rPr>
          <w:color w:val="222222"/>
        </w:rPr>
      </w:pPr>
    </w:p>
    <w:p w14:paraId="5ADAA18C" w14:textId="39C3ABE4" w:rsidR="00A53A9E" w:rsidRDefault="00A53A9E" w:rsidP="00C67E12">
      <w:pPr>
        <w:pStyle w:val="NormalWeb"/>
        <w:shd w:val="clear" w:color="auto" w:fill="FFFFFF"/>
        <w:spacing w:before="0" w:beforeAutospacing="0" w:after="0" w:afterAutospacing="0"/>
        <w:jc w:val="both"/>
        <w:rPr>
          <w:b/>
          <w:bCs/>
          <w:color w:val="222222"/>
        </w:rPr>
      </w:pPr>
      <w:r w:rsidRPr="00425F23">
        <w:rPr>
          <w:b/>
          <w:bCs/>
          <w:color w:val="222222"/>
        </w:rPr>
        <w:t>4.1.3 Co</w:t>
      </w:r>
      <w:r w:rsidR="00BB4ECA">
        <w:rPr>
          <w:b/>
          <w:bCs/>
          <w:color w:val="222222"/>
        </w:rPr>
        <w:t>variance Terms</w:t>
      </w:r>
    </w:p>
    <w:p w14:paraId="53EC1192" w14:textId="484B878E" w:rsidR="00BF4258" w:rsidRPr="00425F23" w:rsidRDefault="00F10121" w:rsidP="00C67E12">
      <w:pPr>
        <w:pStyle w:val="NormalWeb"/>
        <w:shd w:val="clear" w:color="auto" w:fill="FFFFFF"/>
        <w:spacing w:before="0" w:beforeAutospacing="0" w:after="0" w:afterAutospacing="0"/>
        <w:jc w:val="both"/>
        <w:rPr>
          <w:color w:val="222222"/>
        </w:rPr>
      </w:pPr>
      <w:r>
        <w:rPr>
          <w:color w:val="222222"/>
        </w:rPr>
        <w:t>The covariance matrix</w:t>
      </w:r>
      <w:r w:rsidR="00061C71" w:rsidRPr="00425F23">
        <w:rPr>
          <w:color w:val="222222"/>
        </w:rPr>
        <w:t xml:space="preserve"> </w:t>
      </w:r>
      <w:r w:rsidR="00A53A9E" w:rsidRPr="00425F23">
        <w:rPr>
          <w:color w:val="222222"/>
        </w:rPr>
        <w:t xml:space="preserve">terms for the </w:t>
      </w:r>
      <w:r w:rsidR="002B3766">
        <w:rPr>
          <w:color w:val="222222"/>
        </w:rPr>
        <w:t>multinomial</w:t>
      </w:r>
      <w:r w:rsidR="002B3766" w:rsidRPr="00425F23">
        <w:rPr>
          <w:color w:val="222222"/>
        </w:rPr>
        <w:t xml:space="preserve"> </w:t>
      </w:r>
      <w:r w:rsidR="00A53A9E" w:rsidRPr="00425F23">
        <w:rPr>
          <w:color w:val="222222"/>
        </w:rPr>
        <w:t>outcome</w:t>
      </w:r>
      <w:r w:rsidR="002B3766">
        <w:rPr>
          <w:color w:val="222222"/>
        </w:rPr>
        <w:t xml:space="preserve"> corresponding to the change in PT use</w:t>
      </w:r>
      <w:r w:rsidR="00A53A9E" w:rsidRPr="00425F23">
        <w:rPr>
          <w:color w:val="222222"/>
        </w:rPr>
        <w:t xml:space="preserve"> were estimated </w:t>
      </w:r>
      <w:r w:rsidR="00B54194">
        <w:rPr>
          <w:color w:val="222222"/>
        </w:rPr>
        <w:t xml:space="preserve">based </w:t>
      </w:r>
      <w:r w:rsidR="00BB7144">
        <w:rPr>
          <w:color w:val="222222"/>
        </w:rPr>
        <w:t xml:space="preserve">on </w:t>
      </w:r>
      <w:r w:rsidR="00BB7144" w:rsidRPr="00425F23">
        <w:rPr>
          <w:color w:val="222222"/>
        </w:rPr>
        <w:t>the</w:t>
      </w:r>
      <w:r w:rsidR="00B54194">
        <w:rPr>
          <w:color w:val="222222"/>
        </w:rPr>
        <w:t xml:space="preserve"> </w:t>
      </w:r>
      <w:r w:rsidR="00D96BBA">
        <w:rPr>
          <w:color w:val="222222"/>
        </w:rPr>
        <w:t xml:space="preserve">error </w:t>
      </w:r>
      <w:r w:rsidR="00B54194">
        <w:rPr>
          <w:color w:val="222222"/>
        </w:rPr>
        <w:t>difference</w:t>
      </w:r>
      <w:r w:rsidR="00D96BBA">
        <w:rPr>
          <w:color w:val="222222"/>
        </w:rPr>
        <w:t>s</w:t>
      </w:r>
      <w:r w:rsidR="00B54194">
        <w:rPr>
          <w:color w:val="222222"/>
        </w:rPr>
        <w:t xml:space="preserve"> from the </w:t>
      </w:r>
      <w:r w:rsidR="00A53A9E" w:rsidRPr="00425F23">
        <w:rPr>
          <w:color w:val="222222"/>
        </w:rPr>
        <w:t>base</w:t>
      </w:r>
      <w:r w:rsidR="00B54194">
        <w:rPr>
          <w:color w:val="222222"/>
        </w:rPr>
        <w:t>line</w:t>
      </w:r>
      <w:r w:rsidR="00A53A9E" w:rsidRPr="00425F23">
        <w:rPr>
          <w:color w:val="222222"/>
        </w:rPr>
        <w:t xml:space="preserve"> outcome of using public transit the same as before the pandemic. </w:t>
      </w:r>
      <w:r w:rsidR="00B54194">
        <w:rPr>
          <w:color w:val="222222"/>
        </w:rPr>
        <w:t>Due to the possibility of</w:t>
      </w:r>
      <w:r w:rsidR="00B54194" w:rsidRPr="00425F23">
        <w:rPr>
          <w:color w:val="222222"/>
        </w:rPr>
        <w:t xml:space="preserve"> </w:t>
      </w:r>
      <w:r w:rsidR="00A53A9E" w:rsidRPr="00425F23">
        <w:rPr>
          <w:color w:val="222222"/>
        </w:rPr>
        <w:t xml:space="preserve">many non-differenced matrices </w:t>
      </w:r>
      <w:r w:rsidR="00B54194">
        <w:rPr>
          <w:color w:val="222222"/>
        </w:rPr>
        <w:t xml:space="preserve">yielding identical </w:t>
      </w:r>
      <w:r w:rsidR="00A53A9E" w:rsidRPr="00425F23">
        <w:rPr>
          <w:color w:val="222222"/>
        </w:rPr>
        <w:t>differenced matri</w:t>
      </w:r>
      <w:r w:rsidR="00C1763E">
        <w:rPr>
          <w:color w:val="222222"/>
        </w:rPr>
        <w:t>ces</w:t>
      </w:r>
      <w:r w:rsidR="00A53A9E" w:rsidRPr="00425F23">
        <w:rPr>
          <w:color w:val="222222"/>
        </w:rPr>
        <w:t xml:space="preserve">, the elements of the </w:t>
      </w:r>
      <w:r w:rsidR="0052109C" w:rsidRPr="00425F23">
        <w:rPr>
          <w:color w:val="222222"/>
        </w:rPr>
        <w:t>c</w:t>
      </w:r>
      <w:r w:rsidR="0052109C">
        <w:rPr>
          <w:color w:val="222222"/>
        </w:rPr>
        <w:t>ovariance</w:t>
      </w:r>
      <w:r w:rsidR="0052109C" w:rsidRPr="00425F23">
        <w:rPr>
          <w:color w:val="222222"/>
        </w:rPr>
        <w:t xml:space="preserve"> </w:t>
      </w:r>
      <w:r w:rsidR="00A53A9E" w:rsidRPr="00425F23">
        <w:rPr>
          <w:color w:val="222222"/>
        </w:rPr>
        <w:t xml:space="preserve">matrix are not </w:t>
      </w:r>
      <w:r w:rsidR="007A7548" w:rsidRPr="00425F23">
        <w:rPr>
          <w:color w:val="222222"/>
        </w:rPr>
        <w:t>interpretable</w:t>
      </w:r>
      <w:r w:rsidR="00D667D2">
        <w:rPr>
          <w:color w:val="222222"/>
        </w:rPr>
        <w:t xml:space="preserve"> except if some untestable assumptions are placed. Specifically, we assume here </w:t>
      </w:r>
      <w:r w:rsidR="007A7548" w:rsidRPr="00425F23">
        <w:rPr>
          <w:color w:val="222222"/>
        </w:rPr>
        <w:t xml:space="preserve">that the error term for the “use public transit the same as before the pandemic” </w:t>
      </w:r>
      <w:r w:rsidR="00D667D2">
        <w:rPr>
          <w:color w:val="222222"/>
        </w:rPr>
        <w:t>alternative</w:t>
      </w:r>
      <w:r w:rsidR="007A7548" w:rsidRPr="00425F23">
        <w:rPr>
          <w:color w:val="222222"/>
        </w:rPr>
        <w:t xml:space="preserve"> </w:t>
      </w:r>
      <w:r w:rsidR="00D667D2">
        <w:rPr>
          <w:color w:val="222222"/>
        </w:rPr>
        <w:t>(the base category for the nominal outcome) has</w:t>
      </w:r>
      <w:r w:rsidR="007A7548" w:rsidRPr="00425F23">
        <w:rPr>
          <w:color w:val="222222"/>
        </w:rPr>
        <w:t xml:space="preserve"> small </w:t>
      </w:r>
      <w:r w:rsidR="00D667D2">
        <w:rPr>
          <w:color w:val="222222"/>
        </w:rPr>
        <w:t xml:space="preserve">variance </w:t>
      </w:r>
      <w:r w:rsidR="007A7548" w:rsidRPr="00425F23">
        <w:rPr>
          <w:color w:val="222222"/>
        </w:rPr>
        <w:t xml:space="preserve">and </w:t>
      </w:r>
      <w:r w:rsidR="00D667D2">
        <w:rPr>
          <w:color w:val="222222"/>
        </w:rPr>
        <w:t xml:space="preserve">is </w:t>
      </w:r>
      <w:r w:rsidR="007A7548" w:rsidRPr="00425F23">
        <w:rPr>
          <w:color w:val="222222"/>
        </w:rPr>
        <w:t xml:space="preserve">uncorrelated with the other error terms. </w:t>
      </w:r>
      <w:r w:rsidR="00D667D2">
        <w:rPr>
          <w:color w:val="222222"/>
        </w:rPr>
        <w:t xml:space="preserve">With this assumption, </w:t>
      </w:r>
      <w:r w:rsidR="00BF4B94">
        <w:rPr>
          <w:color w:val="222222"/>
        </w:rPr>
        <w:t xml:space="preserve">the </w:t>
      </w:r>
      <w:r w:rsidR="00D667D2">
        <w:rPr>
          <w:color w:val="222222"/>
        </w:rPr>
        <w:t xml:space="preserve">utility </w:t>
      </w:r>
      <w:r w:rsidR="00BF4B94">
        <w:rPr>
          <w:color w:val="222222"/>
        </w:rPr>
        <w:t>variance for the “use public transit mor</w:t>
      </w:r>
      <w:r w:rsidR="00BF4B94" w:rsidRPr="0076224C">
        <w:rPr>
          <w:color w:val="222222"/>
        </w:rPr>
        <w:t xml:space="preserve">e than before the pandemic” </w:t>
      </w:r>
      <w:r w:rsidR="00D667D2">
        <w:rPr>
          <w:color w:val="222222"/>
        </w:rPr>
        <w:t xml:space="preserve">alternative </w:t>
      </w:r>
      <w:r w:rsidR="00BF4B94" w:rsidRPr="0076224C">
        <w:rPr>
          <w:color w:val="222222"/>
        </w:rPr>
        <w:t>is relatively large (</w:t>
      </w:r>
      <w:r w:rsidR="00C67E12" w:rsidRPr="001E03BA">
        <w:rPr>
          <w:noProof/>
          <w:position w:val="-12"/>
        </w:rPr>
        <w:object w:dxaOrig="260" w:dyaOrig="360" w14:anchorId="04696E2F">
          <v:shape id="_x0000_i1086" type="#_x0000_t75" alt="" style="width:12.9pt;height:18.25pt;mso-width-percent:0;mso-height-percent:0;mso-width-percent:0;mso-height-percent:0" o:ole="" o:preferrelative="f">
            <v:imagedata r:id="rId133" o:title=""/>
            <o:lock v:ext="edit" aspectratio="f"/>
          </v:shape>
          <o:OLEObject Type="Embed" ProgID="Equation.DSMT4" ShapeID="_x0000_i1086" DrawAspect="Content" ObjectID="_1807444826" r:id="rId134"/>
        </w:object>
      </w:r>
      <w:r w:rsidR="00D667D2">
        <w:t xml:space="preserve"> in Equation (4)</w:t>
      </w:r>
      <w:r w:rsidR="00C67E12">
        <w:t xml:space="preserve"> </w:t>
      </w:r>
      <w:r w:rsidR="009A29BA">
        <w:t>=</w:t>
      </w:r>
      <w:r w:rsidR="00C67E12">
        <w:t xml:space="preserve"> </w:t>
      </w:r>
      <w:r w:rsidR="00BF4B94" w:rsidRPr="0076224C">
        <w:rPr>
          <w:color w:val="222222"/>
        </w:rPr>
        <w:t xml:space="preserve">5.087), indicating </w:t>
      </w:r>
      <w:r w:rsidR="00E97027" w:rsidRPr="0076224C">
        <w:rPr>
          <w:color w:val="222222"/>
        </w:rPr>
        <w:t xml:space="preserve">the presence of unobserved factors </w:t>
      </w:r>
      <w:r w:rsidR="009D25BF" w:rsidRPr="0076224C">
        <w:rPr>
          <w:color w:val="222222"/>
        </w:rPr>
        <w:t xml:space="preserve">impacting this alternative to a greater extent than the other PT use change alternatives. </w:t>
      </w:r>
      <w:r w:rsidR="00D667D2">
        <w:rPr>
          <w:color w:val="222222"/>
        </w:rPr>
        <w:t xml:space="preserve">This is intuitive, given </w:t>
      </w:r>
      <w:r w:rsidR="009A29BA">
        <w:rPr>
          <w:color w:val="222222"/>
        </w:rPr>
        <w:t xml:space="preserve">the very small share of individuals reporting higher PT </w:t>
      </w:r>
      <w:r w:rsidR="004F58B6">
        <w:rPr>
          <w:color w:val="222222"/>
        </w:rPr>
        <w:t xml:space="preserve">use </w:t>
      </w:r>
      <w:r w:rsidR="009A29BA">
        <w:rPr>
          <w:color w:val="222222"/>
        </w:rPr>
        <w:t xml:space="preserve">in the after-COVID period relative to the before-COVID period). </w:t>
      </w:r>
      <w:r w:rsidR="00C308B0">
        <w:rPr>
          <w:color w:val="222222"/>
        </w:rPr>
        <w:t xml:space="preserve">The covariance </w:t>
      </w:r>
      <w:r w:rsidR="00C308B0" w:rsidRPr="0076224C">
        <w:rPr>
          <w:color w:val="222222"/>
        </w:rPr>
        <w:t xml:space="preserve">between the </w:t>
      </w:r>
      <w:r w:rsidR="004F58B6" w:rsidRPr="0076224C">
        <w:rPr>
          <w:color w:val="222222"/>
        </w:rPr>
        <w:t xml:space="preserve">decreased public transit use </w:t>
      </w:r>
      <w:r w:rsidR="004F58B6">
        <w:rPr>
          <w:color w:val="222222"/>
        </w:rPr>
        <w:t xml:space="preserve">and </w:t>
      </w:r>
      <w:r w:rsidR="00C308B0" w:rsidRPr="0076224C">
        <w:rPr>
          <w:color w:val="222222"/>
        </w:rPr>
        <w:t xml:space="preserve">increased public transit use </w:t>
      </w:r>
      <w:r w:rsidR="00C308B0">
        <w:rPr>
          <w:color w:val="222222"/>
        </w:rPr>
        <w:t xml:space="preserve">utilities turned out to be negative </w:t>
      </w:r>
      <w:r w:rsidR="007A7548" w:rsidRPr="0076224C">
        <w:rPr>
          <w:color w:val="222222"/>
        </w:rPr>
        <w:t>(</w:t>
      </w:r>
      <w:r w:rsidR="00C67E12" w:rsidRPr="001E03BA">
        <w:rPr>
          <w:noProof/>
          <w:position w:val="-12"/>
        </w:rPr>
        <w:object w:dxaOrig="340" w:dyaOrig="360" w14:anchorId="12197A9F">
          <v:shape id="_x0000_i1087" type="#_x0000_t75" alt="" style="width:17.2pt;height:18.25pt;mso-width-percent:0;mso-height-percent:0;mso-width-percent:0;mso-height-percent:0" o:ole="" o:preferrelative="f">
            <v:imagedata r:id="rId135" o:title=""/>
            <o:lock v:ext="edit" aspectratio="f"/>
          </v:shape>
          <o:OLEObject Type="Embed" ProgID="Equation.DSMT4" ShapeID="_x0000_i1087" DrawAspect="Content" ObjectID="_1807444827" r:id="rId136"/>
        </w:object>
      </w:r>
      <w:r w:rsidR="009A29BA">
        <w:t xml:space="preserve">in Equation (4) = </w:t>
      </w:r>
      <w:r w:rsidR="007A7548" w:rsidRPr="0076224C">
        <w:rPr>
          <w:color w:val="222222"/>
        </w:rPr>
        <w:t>-0.</w:t>
      </w:r>
      <w:r w:rsidR="00E041E6" w:rsidRPr="0076224C">
        <w:rPr>
          <w:color w:val="222222"/>
        </w:rPr>
        <w:t>648</w:t>
      </w:r>
      <w:r w:rsidR="007A7548" w:rsidRPr="0076224C">
        <w:rPr>
          <w:color w:val="222222"/>
        </w:rPr>
        <w:t>)</w:t>
      </w:r>
      <w:r w:rsidR="00C308B0">
        <w:rPr>
          <w:color w:val="222222"/>
        </w:rPr>
        <w:t xml:space="preserve">, as would be expected. </w:t>
      </w:r>
      <w:r w:rsidR="007A7548" w:rsidRPr="0076224C">
        <w:rPr>
          <w:color w:val="222222"/>
        </w:rPr>
        <w:t xml:space="preserve">The </w:t>
      </w:r>
      <w:r w:rsidR="005C6B14" w:rsidRPr="0076224C">
        <w:rPr>
          <w:color w:val="222222"/>
        </w:rPr>
        <w:t xml:space="preserve">covariance </w:t>
      </w:r>
      <w:r w:rsidR="007A7548" w:rsidRPr="0076224C">
        <w:rPr>
          <w:color w:val="222222"/>
        </w:rPr>
        <w:t xml:space="preserve">between </w:t>
      </w:r>
      <w:r w:rsidR="00864269">
        <w:rPr>
          <w:color w:val="222222"/>
        </w:rPr>
        <w:t>“</w:t>
      </w:r>
      <w:r w:rsidR="007A7548" w:rsidRPr="0076224C">
        <w:rPr>
          <w:color w:val="222222"/>
        </w:rPr>
        <w:t xml:space="preserve">reduced </w:t>
      </w:r>
      <w:r w:rsidR="00BF4258">
        <w:rPr>
          <w:color w:val="222222"/>
        </w:rPr>
        <w:t xml:space="preserve">PT </w:t>
      </w:r>
      <w:r w:rsidR="007A7548" w:rsidRPr="0076224C">
        <w:rPr>
          <w:color w:val="222222"/>
        </w:rPr>
        <w:t>use</w:t>
      </w:r>
      <w:r w:rsidR="00A73FD2">
        <w:rPr>
          <w:color w:val="222222"/>
        </w:rPr>
        <w:t>”</w:t>
      </w:r>
      <w:r w:rsidR="00BF4258">
        <w:rPr>
          <w:color w:val="222222"/>
        </w:rPr>
        <w:t xml:space="preserve"> utility</w:t>
      </w:r>
      <w:r w:rsidR="007A7548" w:rsidRPr="0076224C">
        <w:rPr>
          <w:color w:val="222222"/>
        </w:rPr>
        <w:t xml:space="preserve"> and the </w:t>
      </w:r>
      <w:r w:rsidR="00864269">
        <w:rPr>
          <w:color w:val="222222"/>
        </w:rPr>
        <w:t>“</w:t>
      </w:r>
      <w:r w:rsidR="007A7548" w:rsidRPr="0076224C">
        <w:rPr>
          <w:color w:val="222222"/>
        </w:rPr>
        <w:t>permanence</w:t>
      </w:r>
      <w:r w:rsidR="00864269">
        <w:rPr>
          <w:color w:val="222222"/>
        </w:rPr>
        <w:t>”</w:t>
      </w:r>
      <w:r w:rsidR="007A7548" w:rsidRPr="0076224C">
        <w:rPr>
          <w:color w:val="222222"/>
        </w:rPr>
        <w:t xml:space="preserve"> dimension </w:t>
      </w:r>
      <w:proofErr w:type="gramStart"/>
      <w:r w:rsidR="007A7548" w:rsidRPr="0076224C">
        <w:rPr>
          <w:color w:val="222222"/>
        </w:rPr>
        <w:t>is</w:t>
      </w:r>
      <w:proofErr w:type="gramEnd"/>
      <w:r w:rsidR="007A7548" w:rsidRPr="0076224C">
        <w:rPr>
          <w:color w:val="222222"/>
        </w:rPr>
        <w:t xml:space="preserve"> negative </w:t>
      </w:r>
      <w:r w:rsidR="00C308B0" w:rsidRPr="0076224C">
        <w:rPr>
          <w:color w:val="222222"/>
        </w:rPr>
        <w:t>(</w:t>
      </w:r>
      <w:r w:rsidR="00C67E12" w:rsidRPr="001E03BA">
        <w:rPr>
          <w:noProof/>
          <w:position w:val="-12"/>
        </w:rPr>
        <w:object w:dxaOrig="380" w:dyaOrig="360" w14:anchorId="07EF7543">
          <v:shape id="_x0000_i1088" type="#_x0000_t75" alt="" style="width:18.8pt;height:18.25pt;mso-width-percent:0;mso-height-percent:0;mso-width-percent:0;mso-height-percent:0" o:ole="" o:preferrelative="f">
            <v:imagedata r:id="rId137" o:title=""/>
            <o:lock v:ext="edit" aspectratio="f"/>
          </v:shape>
          <o:OLEObject Type="Embed" ProgID="Equation.DSMT4" ShapeID="_x0000_i1088" DrawAspect="Content" ObjectID="_1807444828" r:id="rId138"/>
        </w:object>
      </w:r>
      <w:r w:rsidR="00C308B0">
        <w:t xml:space="preserve"> in Equation (4) = </w:t>
      </w:r>
      <w:r w:rsidR="007A7548" w:rsidRPr="0076224C">
        <w:rPr>
          <w:color w:val="222222"/>
        </w:rPr>
        <w:t>-0.</w:t>
      </w:r>
      <w:r w:rsidR="0076224C" w:rsidRPr="0076224C">
        <w:rPr>
          <w:color w:val="222222"/>
        </w:rPr>
        <w:t>361</w:t>
      </w:r>
      <w:r w:rsidR="007A7548" w:rsidRPr="0076224C">
        <w:rPr>
          <w:color w:val="222222"/>
        </w:rPr>
        <w:t xml:space="preserve">), </w:t>
      </w:r>
      <w:r w:rsidR="00864269">
        <w:rPr>
          <w:color w:val="222222"/>
        </w:rPr>
        <w:t xml:space="preserve">signifying </w:t>
      </w:r>
      <w:r w:rsidR="007A7548" w:rsidRPr="0076224C">
        <w:rPr>
          <w:color w:val="222222"/>
        </w:rPr>
        <w:t>th</w:t>
      </w:r>
      <w:r w:rsidR="00864269">
        <w:rPr>
          <w:color w:val="222222"/>
        </w:rPr>
        <w:t xml:space="preserve">e presence of common </w:t>
      </w:r>
      <w:r w:rsidR="007A7548" w:rsidRPr="0076224C">
        <w:rPr>
          <w:color w:val="222222"/>
        </w:rPr>
        <w:t xml:space="preserve">unobserved factors </w:t>
      </w:r>
      <w:r w:rsidR="00864269">
        <w:rPr>
          <w:color w:val="222222"/>
        </w:rPr>
        <w:t xml:space="preserve">that make any PT use </w:t>
      </w:r>
      <w:r w:rsidR="007A7548" w:rsidRPr="0076224C">
        <w:rPr>
          <w:color w:val="222222"/>
        </w:rPr>
        <w:t>reduction</w:t>
      </w:r>
      <w:r w:rsidR="00864269">
        <w:rPr>
          <w:color w:val="222222"/>
        </w:rPr>
        <w:t>s</w:t>
      </w:r>
      <w:r w:rsidR="007A7548" w:rsidRPr="0076224C">
        <w:rPr>
          <w:color w:val="222222"/>
        </w:rPr>
        <w:t xml:space="preserve"> </w:t>
      </w:r>
      <w:r w:rsidR="00864269">
        <w:rPr>
          <w:color w:val="222222"/>
        </w:rPr>
        <w:t xml:space="preserve">in the after-COVID period stay rather temporary. This is in contrast to the positive covariance </w:t>
      </w:r>
      <w:r w:rsidR="00864269" w:rsidRPr="0076224C">
        <w:rPr>
          <w:color w:val="222222"/>
        </w:rPr>
        <w:t xml:space="preserve">between </w:t>
      </w:r>
      <w:r w:rsidR="00864269">
        <w:rPr>
          <w:color w:val="222222"/>
        </w:rPr>
        <w:t>“increased</w:t>
      </w:r>
      <w:r w:rsidR="00864269" w:rsidRPr="0076224C">
        <w:rPr>
          <w:color w:val="222222"/>
        </w:rPr>
        <w:t xml:space="preserve"> </w:t>
      </w:r>
      <w:r w:rsidR="00BF4258">
        <w:rPr>
          <w:color w:val="222222"/>
        </w:rPr>
        <w:t xml:space="preserve">PT </w:t>
      </w:r>
      <w:r w:rsidR="00864269" w:rsidRPr="0076224C">
        <w:rPr>
          <w:color w:val="222222"/>
        </w:rPr>
        <w:t>use</w:t>
      </w:r>
      <w:r w:rsidR="00A73FD2">
        <w:rPr>
          <w:color w:val="222222"/>
        </w:rPr>
        <w:t>”</w:t>
      </w:r>
      <w:r w:rsidR="00BF4258">
        <w:rPr>
          <w:color w:val="222222"/>
        </w:rPr>
        <w:t xml:space="preserve"> utility</w:t>
      </w:r>
      <w:r w:rsidR="00864269" w:rsidRPr="0076224C">
        <w:rPr>
          <w:color w:val="222222"/>
        </w:rPr>
        <w:t xml:space="preserve"> and the </w:t>
      </w:r>
      <w:r w:rsidR="00864269">
        <w:rPr>
          <w:color w:val="222222"/>
        </w:rPr>
        <w:t>“</w:t>
      </w:r>
      <w:r w:rsidR="00864269" w:rsidRPr="0076224C">
        <w:rPr>
          <w:color w:val="222222"/>
        </w:rPr>
        <w:t>permanence</w:t>
      </w:r>
      <w:r w:rsidR="00864269">
        <w:rPr>
          <w:color w:val="222222"/>
        </w:rPr>
        <w:t>”</w:t>
      </w:r>
      <w:r w:rsidR="00864269" w:rsidRPr="0076224C">
        <w:rPr>
          <w:color w:val="222222"/>
        </w:rPr>
        <w:t xml:space="preserve"> dimension (</w:t>
      </w:r>
      <w:r w:rsidR="00C67E12" w:rsidRPr="001E03BA">
        <w:rPr>
          <w:noProof/>
          <w:position w:val="-12"/>
        </w:rPr>
        <w:object w:dxaOrig="360" w:dyaOrig="360" w14:anchorId="2B864EE0">
          <v:shape id="_x0000_i1089" type="#_x0000_t75" alt="" style="width:18.25pt;height:18.25pt;mso-width-percent:0;mso-height-percent:0;mso-width-percent:0;mso-height-percent:0" o:ole="" o:preferrelative="f">
            <v:imagedata r:id="rId139" o:title=""/>
            <o:lock v:ext="edit" aspectratio="f"/>
          </v:shape>
          <o:OLEObject Type="Embed" ProgID="Equation.DSMT4" ShapeID="_x0000_i1089" DrawAspect="Content" ObjectID="_1807444829" r:id="rId140"/>
        </w:object>
      </w:r>
      <w:r w:rsidR="00864269">
        <w:t xml:space="preserve"> in Equation (4) = </w:t>
      </w:r>
      <w:r w:rsidR="00864269">
        <w:rPr>
          <w:color w:val="222222"/>
        </w:rPr>
        <w:t>0.186</w:t>
      </w:r>
      <w:r w:rsidR="00864269" w:rsidRPr="0076224C">
        <w:rPr>
          <w:color w:val="222222"/>
        </w:rPr>
        <w:t>)</w:t>
      </w:r>
      <w:r w:rsidR="00864269">
        <w:rPr>
          <w:color w:val="222222"/>
        </w:rPr>
        <w:t xml:space="preserve">, indicating the presence of intrinsic </w:t>
      </w:r>
      <w:r w:rsidR="00BF4258">
        <w:rPr>
          <w:color w:val="222222"/>
        </w:rPr>
        <w:t xml:space="preserve">individual </w:t>
      </w:r>
      <w:r w:rsidR="00864269">
        <w:rPr>
          <w:color w:val="222222"/>
        </w:rPr>
        <w:t xml:space="preserve">factors </w:t>
      </w:r>
      <w:r w:rsidR="00BF4258">
        <w:rPr>
          <w:color w:val="222222"/>
        </w:rPr>
        <w:t xml:space="preserve">that make permanent any elevated use of PT </w:t>
      </w:r>
      <w:r w:rsidR="00A73FD2">
        <w:rPr>
          <w:color w:val="222222"/>
        </w:rPr>
        <w:t xml:space="preserve">in the </w:t>
      </w:r>
      <w:r w:rsidR="00BF4258">
        <w:rPr>
          <w:color w:val="222222"/>
        </w:rPr>
        <w:t>after-COVID</w:t>
      </w:r>
      <w:r w:rsidR="00A73FD2">
        <w:rPr>
          <w:color w:val="222222"/>
        </w:rPr>
        <w:t xml:space="preserve"> period</w:t>
      </w:r>
      <w:r w:rsidR="00BF4258">
        <w:rPr>
          <w:color w:val="222222"/>
        </w:rPr>
        <w:t>.</w:t>
      </w:r>
    </w:p>
    <w:p w14:paraId="11591928" w14:textId="2226D372" w:rsidR="00EA3D86" w:rsidRPr="00425F23" w:rsidRDefault="00EA3D86" w:rsidP="00C67E12">
      <w:pPr>
        <w:pStyle w:val="NormalWeb"/>
        <w:shd w:val="clear" w:color="auto" w:fill="FFFFFF"/>
        <w:spacing w:before="0" w:beforeAutospacing="0" w:after="0" w:afterAutospacing="0"/>
        <w:jc w:val="both"/>
        <w:rPr>
          <w:color w:val="222222"/>
        </w:rPr>
      </w:pPr>
    </w:p>
    <w:p w14:paraId="468A93EE" w14:textId="4E46C1B1" w:rsidR="00EA3D86" w:rsidRPr="00425F23" w:rsidRDefault="00EA3D86" w:rsidP="00C67E12">
      <w:pPr>
        <w:pStyle w:val="NormalWeb"/>
        <w:shd w:val="clear" w:color="auto" w:fill="FFFFFF"/>
        <w:spacing w:before="0" w:beforeAutospacing="0" w:after="0" w:afterAutospacing="0"/>
        <w:jc w:val="both"/>
        <w:rPr>
          <w:b/>
          <w:bCs/>
          <w:color w:val="222222"/>
        </w:rPr>
      </w:pPr>
      <w:r w:rsidRPr="00425F23">
        <w:rPr>
          <w:b/>
          <w:bCs/>
          <w:color w:val="222222"/>
        </w:rPr>
        <w:t>4</w:t>
      </w:r>
      <w:r w:rsidR="003702E0" w:rsidRPr="00425F23">
        <w:rPr>
          <w:b/>
          <w:bCs/>
          <w:color w:val="222222"/>
        </w:rPr>
        <w:t>.2</w:t>
      </w:r>
      <w:r w:rsidRPr="00425F23">
        <w:rPr>
          <w:b/>
          <w:bCs/>
          <w:color w:val="222222"/>
        </w:rPr>
        <w:t xml:space="preserve"> Model Fit</w:t>
      </w:r>
    </w:p>
    <w:p w14:paraId="67178A37" w14:textId="71D3A27A" w:rsidR="003E605A" w:rsidRDefault="00EA3D86" w:rsidP="00C67E12">
      <w:pPr>
        <w:jc w:val="both"/>
        <w:rPr>
          <w:color w:val="222222"/>
        </w:rPr>
      </w:pPr>
      <w:r w:rsidRPr="00425F23">
        <w:rPr>
          <w:color w:val="222222"/>
        </w:rPr>
        <w:t>We assess</w:t>
      </w:r>
      <w:r w:rsidR="00500200" w:rsidRPr="00425F23">
        <w:rPr>
          <w:color w:val="222222"/>
        </w:rPr>
        <w:t>ed</w:t>
      </w:r>
      <w:r w:rsidRPr="00425F23">
        <w:rPr>
          <w:color w:val="222222"/>
        </w:rPr>
        <w:t xml:space="preserve"> the proposed </w:t>
      </w:r>
      <w:r w:rsidR="001571D1" w:rsidRPr="00425F23">
        <w:rPr>
          <w:color w:val="222222"/>
        </w:rPr>
        <w:t>joint</w:t>
      </w:r>
      <w:r w:rsidR="00C74AE4" w:rsidRPr="00425F23">
        <w:rPr>
          <w:color w:val="222222"/>
        </w:rPr>
        <w:t xml:space="preserve"> model</w:t>
      </w:r>
      <w:r w:rsidR="00DC78CF" w:rsidRPr="00425F23">
        <w:rPr>
          <w:color w:val="222222"/>
        </w:rPr>
        <w:t xml:space="preserve"> by comparing it to a </w:t>
      </w:r>
      <w:r w:rsidR="007A7548" w:rsidRPr="00425F23">
        <w:rPr>
          <w:color w:val="222222"/>
        </w:rPr>
        <w:t xml:space="preserve">model that maintains independence </w:t>
      </w:r>
      <w:r w:rsidR="00465FC4">
        <w:rPr>
          <w:color w:val="222222"/>
        </w:rPr>
        <w:t>across the utilit</w:t>
      </w:r>
      <w:r w:rsidR="007D28DB">
        <w:rPr>
          <w:color w:val="222222"/>
        </w:rPr>
        <w:t>y errors</w:t>
      </w:r>
      <w:r w:rsidR="00465FC4">
        <w:rPr>
          <w:color w:val="222222"/>
        </w:rPr>
        <w:t xml:space="preserve"> of the three PT use change alternatives</w:t>
      </w:r>
      <w:r w:rsidR="007D28DB">
        <w:rPr>
          <w:color w:val="222222"/>
        </w:rPr>
        <w:t>,</w:t>
      </w:r>
      <w:r w:rsidR="00465FC4">
        <w:rPr>
          <w:color w:val="222222"/>
        </w:rPr>
        <w:t xml:space="preserve"> and also </w:t>
      </w:r>
      <w:r w:rsidR="007D28DB">
        <w:rPr>
          <w:color w:val="222222"/>
        </w:rPr>
        <w:t xml:space="preserve">assumes that the </w:t>
      </w:r>
      <w:r w:rsidR="00465FC4">
        <w:rPr>
          <w:color w:val="222222"/>
        </w:rPr>
        <w:t>covariance</w:t>
      </w:r>
      <w:r w:rsidR="007D28DB">
        <w:rPr>
          <w:color w:val="222222"/>
        </w:rPr>
        <w:t>s</w:t>
      </w:r>
      <w:r w:rsidR="00465FC4">
        <w:rPr>
          <w:color w:val="222222"/>
        </w:rPr>
        <w:t xml:space="preserve"> between the utilit</w:t>
      </w:r>
      <w:r w:rsidR="007D28DB">
        <w:rPr>
          <w:color w:val="222222"/>
        </w:rPr>
        <w:t>y errors</w:t>
      </w:r>
      <w:r w:rsidR="00465FC4">
        <w:rPr>
          <w:color w:val="222222"/>
        </w:rPr>
        <w:t xml:space="preserve"> of the</w:t>
      </w:r>
      <w:r w:rsidR="007D28DB">
        <w:rPr>
          <w:color w:val="222222"/>
        </w:rPr>
        <w:t xml:space="preserve"> PT use change alternatives and the “permanency of change” outcome error are zero. At the disaggregate level, </w:t>
      </w:r>
      <w:r w:rsidR="00C74AE4" w:rsidRPr="00425F23">
        <w:rPr>
          <w:color w:val="222222"/>
        </w:rPr>
        <w:t xml:space="preserve">we evaluate these </w:t>
      </w:r>
      <w:r w:rsidR="007D28DB">
        <w:rPr>
          <w:color w:val="222222"/>
        </w:rPr>
        <w:t xml:space="preserve">two </w:t>
      </w:r>
      <w:r w:rsidR="00C74AE4" w:rsidRPr="00425F23">
        <w:rPr>
          <w:color w:val="222222"/>
        </w:rPr>
        <w:t xml:space="preserve">models </w:t>
      </w:r>
      <w:r w:rsidR="00221BD7">
        <w:rPr>
          <w:color w:val="222222"/>
        </w:rPr>
        <w:t>based on several likelihood</w:t>
      </w:r>
      <w:r w:rsidR="00602B5F">
        <w:rPr>
          <w:color w:val="222222"/>
        </w:rPr>
        <w:t xml:space="preserve">-based </w:t>
      </w:r>
      <w:r w:rsidR="00221BD7">
        <w:rPr>
          <w:color w:val="222222"/>
        </w:rPr>
        <w:t>metrics</w:t>
      </w:r>
      <w:r w:rsidR="00602B5F">
        <w:rPr>
          <w:color w:val="222222"/>
        </w:rPr>
        <w:t xml:space="preserve"> as well as the average probability of correct prediction</w:t>
      </w:r>
      <w:r w:rsidR="00221BD7">
        <w:rPr>
          <w:color w:val="222222"/>
        </w:rPr>
        <w:t xml:space="preserve">, as shown </w:t>
      </w:r>
      <w:r w:rsidR="00C74AE4" w:rsidRPr="00425F23">
        <w:rPr>
          <w:color w:val="222222"/>
        </w:rPr>
        <w:t xml:space="preserve">in Table </w:t>
      </w:r>
      <w:r w:rsidR="00EF54D0" w:rsidRPr="00425F23">
        <w:rPr>
          <w:color w:val="222222"/>
        </w:rPr>
        <w:t>4</w:t>
      </w:r>
      <w:r w:rsidR="00C74AE4" w:rsidRPr="00425F23">
        <w:rPr>
          <w:color w:val="222222"/>
        </w:rPr>
        <w:t xml:space="preserve">. </w:t>
      </w:r>
      <w:r w:rsidR="00221BD7">
        <w:rPr>
          <w:color w:val="222222"/>
        </w:rPr>
        <w:t xml:space="preserve">On all these metrics, our model </w:t>
      </w:r>
      <w:r w:rsidR="00602B5F">
        <w:rPr>
          <w:color w:val="222222"/>
        </w:rPr>
        <w:t xml:space="preserve">clearly </w:t>
      </w:r>
      <w:r w:rsidR="003C7F81">
        <w:rPr>
          <w:color w:val="222222"/>
        </w:rPr>
        <w:t>outperforms</w:t>
      </w:r>
      <w:r w:rsidR="00602B5F">
        <w:rPr>
          <w:color w:val="222222"/>
        </w:rPr>
        <w:t xml:space="preserve"> </w:t>
      </w:r>
      <w:r w:rsidR="00221BD7">
        <w:rPr>
          <w:color w:val="222222"/>
        </w:rPr>
        <w:t xml:space="preserve">the model that assumes independence. </w:t>
      </w:r>
      <w:r w:rsidR="00C93B7C">
        <w:rPr>
          <w:color w:val="222222"/>
        </w:rPr>
        <w:t xml:space="preserve">For further evaluation, we </w:t>
      </w:r>
      <w:r w:rsidR="00F1489E">
        <w:rPr>
          <w:color w:val="222222"/>
        </w:rPr>
        <w:t xml:space="preserve">examine </w:t>
      </w:r>
      <w:r w:rsidR="00C93B7C">
        <w:rPr>
          <w:color w:val="222222"/>
        </w:rPr>
        <w:t>the aggregate data fit statistic results (</w:t>
      </w:r>
      <w:r w:rsidR="00BB7144">
        <w:rPr>
          <w:color w:val="222222"/>
        </w:rPr>
        <w:t xml:space="preserve">see </w:t>
      </w:r>
      <w:r w:rsidR="0047398F">
        <w:rPr>
          <w:color w:val="222222"/>
        </w:rPr>
        <w:t>Table 5</w:t>
      </w:r>
      <w:r w:rsidR="00C93B7C">
        <w:rPr>
          <w:color w:val="222222"/>
        </w:rPr>
        <w:t xml:space="preserve">). </w:t>
      </w:r>
      <w:r w:rsidR="00BB7144">
        <w:rPr>
          <w:color w:val="222222"/>
        </w:rPr>
        <w:t>To do so</w:t>
      </w:r>
      <w:r w:rsidR="00F1489E">
        <w:rPr>
          <w:color w:val="222222"/>
        </w:rPr>
        <w:t>,</w:t>
      </w:r>
      <w:r w:rsidR="00BB7144">
        <w:rPr>
          <w:color w:val="222222"/>
        </w:rPr>
        <w:t xml:space="preserve"> we compare the predicted aggregate shares of individuals selecting each of the five combinations of outcomes to the </w:t>
      </w:r>
      <w:r w:rsidR="00F1489E">
        <w:rPr>
          <w:color w:val="222222"/>
        </w:rPr>
        <w:t xml:space="preserve">corresponding </w:t>
      </w:r>
      <w:r w:rsidR="00BB7144">
        <w:rPr>
          <w:color w:val="222222"/>
        </w:rPr>
        <w:t>observed shares.</w:t>
      </w:r>
      <w:r w:rsidR="002756A2">
        <w:rPr>
          <w:color w:val="222222"/>
        </w:rPr>
        <w:t xml:space="preserve"> </w:t>
      </w:r>
      <w:r w:rsidR="00F1489E">
        <w:rPr>
          <w:color w:val="222222"/>
        </w:rPr>
        <w:t xml:space="preserve">An </w:t>
      </w:r>
      <w:r w:rsidR="002756A2">
        <w:rPr>
          <w:color w:val="222222"/>
        </w:rPr>
        <w:t xml:space="preserve">absolute percent error (APE) </w:t>
      </w:r>
      <w:r w:rsidR="002756A2">
        <w:rPr>
          <w:color w:val="222222"/>
        </w:rPr>
        <w:lastRenderedPageBreak/>
        <w:t xml:space="preserve">is computed for each </w:t>
      </w:r>
      <w:r w:rsidR="00F1489E">
        <w:rPr>
          <w:color w:val="222222"/>
        </w:rPr>
        <w:t xml:space="preserve">of the five combinations, and a </w:t>
      </w:r>
      <w:r w:rsidR="00C93B7C">
        <w:rPr>
          <w:color w:val="222222"/>
        </w:rPr>
        <w:t xml:space="preserve">Weighted Absolute Percent Error </w:t>
      </w:r>
      <w:r w:rsidR="00AB4FD0">
        <w:rPr>
          <w:color w:val="222222"/>
        </w:rPr>
        <w:t>(WAPE)</w:t>
      </w:r>
      <w:r w:rsidR="00F97A66">
        <w:rPr>
          <w:color w:val="222222"/>
        </w:rPr>
        <w:t xml:space="preserve"> is </w:t>
      </w:r>
      <w:r w:rsidR="00927209">
        <w:rPr>
          <w:color w:val="222222"/>
        </w:rPr>
        <w:t>calculated based</w:t>
      </w:r>
      <w:r w:rsidR="002756A2">
        <w:rPr>
          <w:color w:val="222222"/>
        </w:rPr>
        <w:t xml:space="preserve"> on the observed shares. The WAPE is smaller </w:t>
      </w:r>
      <w:r w:rsidR="00C93B7C">
        <w:rPr>
          <w:color w:val="222222"/>
        </w:rPr>
        <w:t xml:space="preserve">for the proposed joint model </w:t>
      </w:r>
      <w:r w:rsidR="00AB4FD0">
        <w:rPr>
          <w:color w:val="222222"/>
        </w:rPr>
        <w:t>(</w:t>
      </w:r>
      <w:r w:rsidR="00914286">
        <w:rPr>
          <w:color w:val="222222"/>
        </w:rPr>
        <w:t>9</w:t>
      </w:r>
      <w:r w:rsidR="00C93B7C">
        <w:rPr>
          <w:color w:val="222222"/>
        </w:rPr>
        <w:t>.</w:t>
      </w:r>
      <w:r w:rsidR="00914286">
        <w:rPr>
          <w:color w:val="222222"/>
        </w:rPr>
        <w:t>1</w:t>
      </w:r>
      <w:r w:rsidR="00C93B7C">
        <w:rPr>
          <w:color w:val="222222"/>
        </w:rPr>
        <w:t>%</w:t>
      </w:r>
      <w:r w:rsidR="00AB4FD0">
        <w:rPr>
          <w:color w:val="222222"/>
        </w:rPr>
        <w:t xml:space="preserve">) compared to </w:t>
      </w:r>
      <w:r w:rsidR="00C93B7C">
        <w:rPr>
          <w:color w:val="222222"/>
        </w:rPr>
        <w:t xml:space="preserve">the independent model </w:t>
      </w:r>
      <w:r w:rsidR="00AB4FD0">
        <w:rPr>
          <w:color w:val="222222"/>
        </w:rPr>
        <w:t>(</w:t>
      </w:r>
      <w:r w:rsidR="00914286">
        <w:rPr>
          <w:color w:val="222222"/>
        </w:rPr>
        <w:t>10</w:t>
      </w:r>
      <w:r w:rsidR="00C93B7C">
        <w:rPr>
          <w:color w:val="222222"/>
        </w:rPr>
        <w:t>.</w:t>
      </w:r>
      <w:r w:rsidR="00914286">
        <w:rPr>
          <w:color w:val="222222"/>
        </w:rPr>
        <w:t>6</w:t>
      </w:r>
      <w:r w:rsidR="00C93B7C">
        <w:rPr>
          <w:color w:val="222222"/>
        </w:rPr>
        <w:t>%</w:t>
      </w:r>
      <w:r w:rsidR="00AB4FD0">
        <w:rPr>
          <w:color w:val="222222"/>
        </w:rPr>
        <w:t>)</w:t>
      </w:r>
      <w:r w:rsidR="00C93B7C">
        <w:rPr>
          <w:color w:val="222222"/>
        </w:rPr>
        <w:t xml:space="preserve">, indicating </w:t>
      </w:r>
      <w:r w:rsidR="00F1489E">
        <w:rPr>
          <w:color w:val="222222"/>
        </w:rPr>
        <w:t xml:space="preserve">again </w:t>
      </w:r>
      <w:r w:rsidR="002756A2">
        <w:rPr>
          <w:color w:val="222222"/>
        </w:rPr>
        <w:t xml:space="preserve">that </w:t>
      </w:r>
      <w:r w:rsidR="00C93B7C">
        <w:rPr>
          <w:color w:val="222222"/>
        </w:rPr>
        <w:t xml:space="preserve">the proposed model </w:t>
      </w:r>
      <w:r w:rsidR="00F1489E">
        <w:rPr>
          <w:color w:val="222222"/>
        </w:rPr>
        <w:t>outperforms the independent model. That is, there is a package nature to the responses of individuals to the PT use change category and the permanency of change.</w:t>
      </w:r>
    </w:p>
    <w:p w14:paraId="5F702254" w14:textId="77777777" w:rsidR="000A78C6" w:rsidRDefault="000A78C6" w:rsidP="007F432D">
      <w:pPr>
        <w:jc w:val="both"/>
        <w:rPr>
          <w:color w:val="222222"/>
        </w:rPr>
      </w:pPr>
    </w:p>
    <w:p w14:paraId="6BAEDE74" w14:textId="149C25FC" w:rsidR="000A78C6" w:rsidRDefault="000A78C6" w:rsidP="00C67E12">
      <w:pPr>
        <w:spacing w:after="120" w:line="259" w:lineRule="auto"/>
        <w:rPr>
          <w:b/>
          <w:color w:val="000000"/>
        </w:rPr>
      </w:pPr>
      <w:r w:rsidRPr="000A78C6">
        <w:rPr>
          <w:b/>
          <w:color w:val="000000"/>
        </w:rPr>
        <w:t>Table 4: Disaggregate Model Fit</w:t>
      </w:r>
    </w:p>
    <w:tbl>
      <w:tblPr>
        <w:tblStyle w:val="TableGrid0"/>
        <w:tblW w:w="9090" w:type="dxa"/>
        <w:tblInd w:w="80" w:type="dxa"/>
        <w:tblCellMar>
          <w:top w:w="44" w:type="dxa"/>
          <w:right w:w="78" w:type="dxa"/>
        </w:tblCellMar>
        <w:tblLook w:val="04A0" w:firstRow="1" w:lastRow="0" w:firstColumn="1" w:lastColumn="0" w:noHBand="0" w:noVBand="1"/>
      </w:tblPr>
      <w:tblGrid>
        <w:gridCol w:w="4050"/>
        <w:gridCol w:w="2520"/>
        <w:gridCol w:w="2520"/>
      </w:tblGrid>
      <w:tr w:rsidR="000A78C6" w:rsidRPr="001766B9" w14:paraId="3D4C173A" w14:textId="77777777" w:rsidTr="007D0895">
        <w:trPr>
          <w:trHeight w:val="288"/>
        </w:trPr>
        <w:tc>
          <w:tcPr>
            <w:tcW w:w="4050" w:type="dxa"/>
            <w:tcBorders>
              <w:top w:val="single" w:sz="8" w:space="0" w:color="000000"/>
              <w:left w:val="single" w:sz="8" w:space="0" w:color="000000"/>
              <w:bottom w:val="single" w:sz="8" w:space="0" w:color="000000"/>
              <w:right w:val="single" w:sz="8" w:space="0" w:color="000000"/>
            </w:tcBorders>
            <w:vAlign w:val="center"/>
          </w:tcPr>
          <w:p w14:paraId="4A9B44EB" w14:textId="77777777" w:rsidR="000A78C6" w:rsidRPr="001766B9" w:rsidRDefault="000A78C6" w:rsidP="004A4122">
            <w:pPr>
              <w:spacing w:line="259" w:lineRule="auto"/>
              <w:rPr>
                <w:b/>
                <w:bCs/>
                <w:sz w:val="21"/>
                <w:szCs w:val="21"/>
              </w:rPr>
            </w:pPr>
            <w:r w:rsidRPr="001766B9">
              <w:rPr>
                <w:b/>
                <w:bCs/>
                <w:color w:val="000000"/>
                <w:sz w:val="21"/>
                <w:szCs w:val="21"/>
              </w:rPr>
              <w:t xml:space="preserve">Summary Statistics </w:t>
            </w:r>
          </w:p>
        </w:tc>
        <w:tc>
          <w:tcPr>
            <w:tcW w:w="2520" w:type="dxa"/>
            <w:tcBorders>
              <w:top w:val="single" w:sz="8" w:space="0" w:color="000000"/>
              <w:left w:val="single" w:sz="8" w:space="0" w:color="000000"/>
              <w:bottom w:val="single" w:sz="8" w:space="0" w:color="000000"/>
              <w:right w:val="single" w:sz="8" w:space="0" w:color="000000"/>
            </w:tcBorders>
            <w:vAlign w:val="center"/>
          </w:tcPr>
          <w:p w14:paraId="41AFC330" w14:textId="3A40B744" w:rsidR="000A78C6" w:rsidRPr="001766B9" w:rsidRDefault="000A78C6" w:rsidP="004A4122">
            <w:pPr>
              <w:spacing w:line="259" w:lineRule="auto"/>
              <w:jc w:val="center"/>
              <w:rPr>
                <w:b/>
                <w:bCs/>
                <w:sz w:val="21"/>
                <w:szCs w:val="21"/>
              </w:rPr>
            </w:pPr>
            <w:r w:rsidRPr="001766B9">
              <w:rPr>
                <w:b/>
                <w:bCs/>
                <w:color w:val="000000"/>
                <w:sz w:val="21"/>
                <w:szCs w:val="21"/>
              </w:rPr>
              <w:t>Joint Model</w:t>
            </w:r>
          </w:p>
        </w:tc>
        <w:tc>
          <w:tcPr>
            <w:tcW w:w="2520" w:type="dxa"/>
            <w:tcBorders>
              <w:top w:val="single" w:sz="8" w:space="0" w:color="000000"/>
              <w:left w:val="single" w:sz="8" w:space="0" w:color="000000"/>
              <w:bottom w:val="single" w:sz="8" w:space="0" w:color="000000"/>
              <w:right w:val="single" w:sz="8" w:space="0" w:color="000000"/>
            </w:tcBorders>
            <w:vAlign w:val="center"/>
          </w:tcPr>
          <w:p w14:paraId="0EDFDDC9" w14:textId="77777777" w:rsidR="000A78C6" w:rsidRPr="001766B9" w:rsidRDefault="000A78C6" w:rsidP="004A4122">
            <w:pPr>
              <w:spacing w:line="259" w:lineRule="auto"/>
              <w:jc w:val="center"/>
              <w:rPr>
                <w:b/>
                <w:bCs/>
                <w:sz w:val="21"/>
                <w:szCs w:val="21"/>
              </w:rPr>
            </w:pPr>
            <w:r w:rsidRPr="001766B9">
              <w:rPr>
                <w:b/>
                <w:bCs/>
                <w:color w:val="000000"/>
                <w:sz w:val="21"/>
                <w:szCs w:val="21"/>
              </w:rPr>
              <w:t>Independent Model</w:t>
            </w:r>
          </w:p>
        </w:tc>
      </w:tr>
      <w:tr w:rsidR="000A78C6" w:rsidRPr="001766B9" w14:paraId="6816E659" w14:textId="77777777" w:rsidTr="001766B9">
        <w:trPr>
          <w:trHeight w:val="288"/>
        </w:trPr>
        <w:tc>
          <w:tcPr>
            <w:tcW w:w="4050" w:type="dxa"/>
            <w:tcBorders>
              <w:top w:val="single" w:sz="8" w:space="0" w:color="000000"/>
              <w:left w:val="single" w:sz="8" w:space="0" w:color="000000"/>
              <w:bottom w:val="nil"/>
              <w:right w:val="single" w:sz="8" w:space="0" w:color="000000"/>
            </w:tcBorders>
            <w:vAlign w:val="center"/>
          </w:tcPr>
          <w:p w14:paraId="2B23D02F" w14:textId="0166EAA4" w:rsidR="000A78C6" w:rsidRPr="001766B9" w:rsidRDefault="000A78C6" w:rsidP="000A78C6">
            <w:pPr>
              <w:spacing w:line="259" w:lineRule="auto"/>
              <w:rPr>
                <w:sz w:val="21"/>
                <w:szCs w:val="21"/>
              </w:rPr>
            </w:pPr>
            <w:r w:rsidRPr="001766B9">
              <w:rPr>
                <w:color w:val="000000"/>
                <w:sz w:val="21"/>
                <w:szCs w:val="21"/>
              </w:rPr>
              <w:t>Log-likelihood at Convergence</w:t>
            </w:r>
          </w:p>
        </w:tc>
        <w:tc>
          <w:tcPr>
            <w:tcW w:w="2520" w:type="dxa"/>
            <w:tcBorders>
              <w:top w:val="single" w:sz="8" w:space="0" w:color="000000"/>
              <w:left w:val="single" w:sz="8" w:space="0" w:color="000000"/>
              <w:bottom w:val="nil"/>
              <w:right w:val="single" w:sz="8" w:space="0" w:color="000000"/>
            </w:tcBorders>
            <w:vAlign w:val="center"/>
          </w:tcPr>
          <w:p w14:paraId="17F652D3" w14:textId="6444460E" w:rsidR="000A78C6" w:rsidRPr="001766B9" w:rsidRDefault="000A78C6" w:rsidP="000A78C6">
            <w:pPr>
              <w:spacing w:line="259" w:lineRule="auto"/>
              <w:jc w:val="center"/>
              <w:rPr>
                <w:sz w:val="21"/>
                <w:szCs w:val="21"/>
              </w:rPr>
            </w:pPr>
            <w:r w:rsidRPr="001766B9">
              <w:rPr>
                <w:color w:val="000000"/>
                <w:sz w:val="21"/>
                <w:szCs w:val="21"/>
              </w:rPr>
              <w:t>-7388.55</w:t>
            </w:r>
          </w:p>
        </w:tc>
        <w:tc>
          <w:tcPr>
            <w:tcW w:w="2520" w:type="dxa"/>
            <w:tcBorders>
              <w:top w:val="single" w:sz="8" w:space="0" w:color="000000"/>
              <w:left w:val="single" w:sz="8" w:space="0" w:color="000000"/>
              <w:bottom w:val="nil"/>
              <w:right w:val="single" w:sz="8" w:space="0" w:color="000000"/>
            </w:tcBorders>
            <w:vAlign w:val="center"/>
          </w:tcPr>
          <w:p w14:paraId="5FD42185" w14:textId="2A4074EF" w:rsidR="000A78C6" w:rsidRPr="001766B9" w:rsidRDefault="000A78C6" w:rsidP="000A78C6">
            <w:pPr>
              <w:spacing w:line="259" w:lineRule="auto"/>
              <w:jc w:val="center"/>
              <w:rPr>
                <w:sz w:val="21"/>
                <w:szCs w:val="21"/>
              </w:rPr>
            </w:pPr>
            <w:r w:rsidRPr="001766B9">
              <w:rPr>
                <w:color w:val="000000"/>
                <w:sz w:val="21"/>
                <w:szCs w:val="21"/>
              </w:rPr>
              <w:t>-7405.88</w:t>
            </w:r>
          </w:p>
        </w:tc>
      </w:tr>
      <w:tr w:rsidR="000A78C6" w:rsidRPr="001766B9" w14:paraId="35930CD2" w14:textId="77777777" w:rsidTr="001766B9">
        <w:trPr>
          <w:trHeight w:val="288"/>
        </w:trPr>
        <w:tc>
          <w:tcPr>
            <w:tcW w:w="4050" w:type="dxa"/>
            <w:tcBorders>
              <w:top w:val="nil"/>
              <w:left w:val="single" w:sz="8" w:space="0" w:color="000000"/>
              <w:bottom w:val="nil"/>
              <w:right w:val="single" w:sz="8" w:space="0" w:color="000000"/>
            </w:tcBorders>
            <w:vAlign w:val="center"/>
          </w:tcPr>
          <w:p w14:paraId="518FC7E9" w14:textId="05D2BEB5" w:rsidR="000A78C6" w:rsidRPr="001766B9" w:rsidRDefault="000A78C6" w:rsidP="000A78C6">
            <w:pPr>
              <w:spacing w:line="259" w:lineRule="auto"/>
              <w:rPr>
                <w:sz w:val="21"/>
                <w:szCs w:val="21"/>
              </w:rPr>
            </w:pPr>
            <w:r w:rsidRPr="001766B9">
              <w:rPr>
                <w:color w:val="000000"/>
                <w:sz w:val="21"/>
                <w:szCs w:val="21"/>
              </w:rPr>
              <w:t>Log-Likelihood at Constants</w:t>
            </w:r>
          </w:p>
        </w:tc>
        <w:tc>
          <w:tcPr>
            <w:tcW w:w="2520" w:type="dxa"/>
            <w:tcBorders>
              <w:top w:val="nil"/>
              <w:left w:val="single" w:sz="8" w:space="0" w:color="000000"/>
              <w:bottom w:val="nil"/>
              <w:right w:val="single" w:sz="8" w:space="0" w:color="000000"/>
            </w:tcBorders>
            <w:vAlign w:val="center"/>
          </w:tcPr>
          <w:p w14:paraId="13F51ED9" w14:textId="00EADCFB" w:rsidR="000A78C6" w:rsidRPr="001766B9" w:rsidRDefault="000A78C6" w:rsidP="000A78C6">
            <w:pPr>
              <w:spacing w:line="259" w:lineRule="auto"/>
              <w:jc w:val="center"/>
              <w:rPr>
                <w:sz w:val="21"/>
                <w:szCs w:val="21"/>
              </w:rPr>
            </w:pPr>
            <w:r w:rsidRPr="001766B9">
              <w:rPr>
                <w:color w:val="000000"/>
                <w:sz w:val="21"/>
                <w:szCs w:val="21"/>
              </w:rPr>
              <w:t>-7586.18</w:t>
            </w:r>
          </w:p>
        </w:tc>
        <w:tc>
          <w:tcPr>
            <w:tcW w:w="2520" w:type="dxa"/>
            <w:tcBorders>
              <w:top w:val="nil"/>
              <w:left w:val="single" w:sz="8" w:space="0" w:color="000000"/>
              <w:bottom w:val="nil"/>
              <w:right w:val="single" w:sz="8" w:space="0" w:color="000000"/>
            </w:tcBorders>
            <w:vAlign w:val="center"/>
          </w:tcPr>
          <w:p w14:paraId="3DAD1F35" w14:textId="4D2C37A3" w:rsidR="000A78C6" w:rsidRPr="001766B9" w:rsidRDefault="000A78C6" w:rsidP="000A78C6">
            <w:pPr>
              <w:spacing w:line="259" w:lineRule="auto"/>
              <w:jc w:val="center"/>
              <w:rPr>
                <w:sz w:val="21"/>
                <w:szCs w:val="21"/>
              </w:rPr>
            </w:pPr>
            <w:r w:rsidRPr="001766B9">
              <w:rPr>
                <w:color w:val="000000"/>
                <w:sz w:val="21"/>
                <w:szCs w:val="21"/>
              </w:rPr>
              <w:t>-7586.18</w:t>
            </w:r>
          </w:p>
        </w:tc>
      </w:tr>
      <w:tr w:rsidR="000A78C6" w:rsidRPr="001766B9" w14:paraId="26602B05" w14:textId="77777777" w:rsidTr="001766B9">
        <w:trPr>
          <w:trHeight w:val="288"/>
        </w:trPr>
        <w:tc>
          <w:tcPr>
            <w:tcW w:w="4050" w:type="dxa"/>
            <w:tcBorders>
              <w:top w:val="nil"/>
              <w:left w:val="single" w:sz="8" w:space="0" w:color="000000"/>
              <w:bottom w:val="nil"/>
              <w:right w:val="single" w:sz="8" w:space="0" w:color="000000"/>
            </w:tcBorders>
            <w:vAlign w:val="center"/>
          </w:tcPr>
          <w:p w14:paraId="655FA296" w14:textId="345F59BC" w:rsidR="000A78C6" w:rsidRPr="001766B9" w:rsidRDefault="000A78C6" w:rsidP="000A78C6">
            <w:pPr>
              <w:spacing w:line="259" w:lineRule="auto"/>
              <w:rPr>
                <w:sz w:val="21"/>
                <w:szCs w:val="21"/>
              </w:rPr>
            </w:pPr>
            <w:r w:rsidRPr="001766B9">
              <w:rPr>
                <w:color w:val="000000"/>
                <w:sz w:val="21"/>
                <w:szCs w:val="21"/>
              </w:rPr>
              <w:t>Number of Parameters</w:t>
            </w:r>
          </w:p>
        </w:tc>
        <w:tc>
          <w:tcPr>
            <w:tcW w:w="2520" w:type="dxa"/>
            <w:tcBorders>
              <w:top w:val="nil"/>
              <w:left w:val="single" w:sz="8" w:space="0" w:color="000000"/>
              <w:bottom w:val="nil"/>
              <w:right w:val="single" w:sz="8" w:space="0" w:color="000000"/>
            </w:tcBorders>
            <w:vAlign w:val="center"/>
          </w:tcPr>
          <w:p w14:paraId="20ED4D94" w14:textId="4902475B" w:rsidR="000A78C6" w:rsidRPr="001766B9" w:rsidRDefault="000A78C6" w:rsidP="000A78C6">
            <w:pPr>
              <w:spacing w:line="259" w:lineRule="auto"/>
              <w:jc w:val="center"/>
              <w:rPr>
                <w:sz w:val="21"/>
                <w:szCs w:val="21"/>
              </w:rPr>
            </w:pPr>
            <w:r w:rsidRPr="001766B9">
              <w:rPr>
                <w:color w:val="000000"/>
                <w:sz w:val="21"/>
                <w:szCs w:val="21"/>
              </w:rPr>
              <w:t>30</w:t>
            </w:r>
          </w:p>
        </w:tc>
        <w:tc>
          <w:tcPr>
            <w:tcW w:w="2520" w:type="dxa"/>
            <w:tcBorders>
              <w:top w:val="nil"/>
              <w:left w:val="single" w:sz="8" w:space="0" w:color="000000"/>
              <w:bottom w:val="nil"/>
              <w:right w:val="single" w:sz="8" w:space="0" w:color="000000"/>
            </w:tcBorders>
            <w:vAlign w:val="center"/>
          </w:tcPr>
          <w:p w14:paraId="4AC5EE9F" w14:textId="77784187" w:rsidR="000A78C6" w:rsidRPr="001766B9" w:rsidRDefault="000A78C6" w:rsidP="000A78C6">
            <w:pPr>
              <w:spacing w:line="259" w:lineRule="auto"/>
              <w:jc w:val="center"/>
              <w:rPr>
                <w:sz w:val="21"/>
                <w:szCs w:val="21"/>
              </w:rPr>
            </w:pPr>
            <w:r w:rsidRPr="001766B9">
              <w:rPr>
                <w:color w:val="000000"/>
                <w:sz w:val="21"/>
                <w:szCs w:val="21"/>
              </w:rPr>
              <w:t>26</w:t>
            </w:r>
          </w:p>
        </w:tc>
      </w:tr>
      <w:tr w:rsidR="000A78C6" w:rsidRPr="001766B9" w14:paraId="63979EF4" w14:textId="77777777" w:rsidTr="001766B9">
        <w:trPr>
          <w:trHeight w:val="288"/>
        </w:trPr>
        <w:tc>
          <w:tcPr>
            <w:tcW w:w="4050" w:type="dxa"/>
            <w:tcBorders>
              <w:top w:val="nil"/>
              <w:left w:val="single" w:sz="8" w:space="0" w:color="000000"/>
              <w:bottom w:val="nil"/>
              <w:right w:val="single" w:sz="8" w:space="0" w:color="000000"/>
            </w:tcBorders>
            <w:vAlign w:val="center"/>
          </w:tcPr>
          <w:p w14:paraId="525F2FD0" w14:textId="5B76BF38" w:rsidR="000A78C6" w:rsidRPr="001766B9" w:rsidRDefault="000A78C6" w:rsidP="000A78C6">
            <w:pPr>
              <w:spacing w:line="259" w:lineRule="auto"/>
              <w:rPr>
                <w:sz w:val="21"/>
                <w:szCs w:val="21"/>
              </w:rPr>
            </w:pPr>
            <w:r w:rsidRPr="001766B9">
              <w:rPr>
                <w:color w:val="000000"/>
                <w:sz w:val="21"/>
                <w:szCs w:val="21"/>
              </w:rPr>
              <w:t>Adjusted Likelihood Ratio Index</w:t>
            </w:r>
          </w:p>
        </w:tc>
        <w:tc>
          <w:tcPr>
            <w:tcW w:w="2520" w:type="dxa"/>
            <w:tcBorders>
              <w:top w:val="nil"/>
              <w:left w:val="single" w:sz="8" w:space="0" w:color="000000"/>
              <w:bottom w:val="nil"/>
              <w:right w:val="single" w:sz="8" w:space="0" w:color="000000"/>
            </w:tcBorders>
            <w:vAlign w:val="center"/>
          </w:tcPr>
          <w:p w14:paraId="28BA25F7" w14:textId="7592A5D3" w:rsidR="000A78C6" w:rsidRPr="001766B9" w:rsidRDefault="000A78C6" w:rsidP="000A78C6">
            <w:pPr>
              <w:spacing w:line="259" w:lineRule="auto"/>
              <w:jc w:val="center"/>
              <w:rPr>
                <w:sz w:val="21"/>
                <w:szCs w:val="21"/>
              </w:rPr>
            </w:pPr>
            <w:r w:rsidRPr="001766B9">
              <w:rPr>
                <w:color w:val="000000"/>
                <w:sz w:val="21"/>
                <w:szCs w:val="21"/>
              </w:rPr>
              <w:t>0.022</w:t>
            </w:r>
          </w:p>
        </w:tc>
        <w:tc>
          <w:tcPr>
            <w:tcW w:w="2520" w:type="dxa"/>
            <w:tcBorders>
              <w:top w:val="nil"/>
              <w:left w:val="single" w:sz="8" w:space="0" w:color="000000"/>
              <w:bottom w:val="nil"/>
              <w:right w:val="single" w:sz="8" w:space="0" w:color="000000"/>
            </w:tcBorders>
            <w:vAlign w:val="center"/>
          </w:tcPr>
          <w:p w14:paraId="084F41B0" w14:textId="15F091BB" w:rsidR="000A78C6" w:rsidRPr="001766B9" w:rsidRDefault="000A78C6" w:rsidP="000A78C6">
            <w:pPr>
              <w:spacing w:line="259" w:lineRule="auto"/>
              <w:jc w:val="center"/>
              <w:rPr>
                <w:sz w:val="21"/>
                <w:szCs w:val="21"/>
              </w:rPr>
            </w:pPr>
            <w:r w:rsidRPr="001766B9">
              <w:rPr>
                <w:color w:val="000000"/>
                <w:sz w:val="21"/>
                <w:szCs w:val="21"/>
              </w:rPr>
              <w:t>0.021</w:t>
            </w:r>
          </w:p>
        </w:tc>
      </w:tr>
      <w:tr w:rsidR="000A78C6" w:rsidRPr="001766B9" w14:paraId="2101F643" w14:textId="77777777" w:rsidTr="001766B9">
        <w:trPr>
          <w:trHeight w:val="288"/>
        </w:trPr>
        <w:tc>
          <w:tcPr>
            <w:tcW w:w="4050" w:type="dxa"/>
            <w:tcBorders>
              <w:top w:val="nil"/>
              <w:left w:val="single" w:sz="8" w:space="0" w:color="000000"/>
              <w:bottom w:val="nil"/>
              <w:right w:val="single" w:sz="8" w:space="0" w:color="000000"/>
            </w:tcBorders>
            <w:vAlign w:val="center"/>
          </w:tcPr>
          <w:p w14:paraId="4AB9E250" w14:textId="491372FF" w:rsidR="000A78C6" w:rsidRPr="001766B9" w:rsidRDefault="000A78C6" w:rsidP="000A78C6">
            <w:pPr>
              <w:spacing w:line="259" w:lineRule="auto"/>
              <w:rPr>
                <w:sz w:val="21"/>
                <w:szCs w:val="21"/>
              </w:rPr>
            </w:pPr>
            <w:r w:rsidRPr="001766B9">
              <w:rPr>
                <w:color w:val="000000"/>
                <w:sz w:val="21"/>
                <w:szCs w:val="21"/>
              </w:rPr>
              <w:t>BIC</w:t>
            </w:r>
          </w:p>
        </w:tc>
        <w:tc>
          <w:tcPr>
            <w:tcW w:w="2520" w:type="dxa"/>
            <w:tcBorders>
              <w:top w:val="nil"/>
              <w:left w:val="single" w:sz="8" w:space="0" w:color="000000"/>
              <w:bottom w:val="nil"/>
              <w:right w:val="single" w:sz="8" w:space="0" w:color="000000"/>
            </w:tcBorders>
            <w:vAlign w:val="center"/>
          </w:tcPr>
          <w:p w14:paraId="582BF193" w14:textId="0A2F8618" w:rsidR="000A78C6" w:rsidRPr="001766B9" w:rsidRDefault="000A78C6" w:rsidP="000A78C6">
            <w:pPr>
              <w:spacing w:line="259" w:lineRule="auto"/>
              <w:jc w:val="center"/>
              <w:rPr>
                <w:sz w:val="21"/>
                <w:szCs w:val="21"/>
              </w:rPr>
            </w:pPr>
            <w:r w:rsidRPr="001766B9">
              <w:rPr>
                <w:color w:val="000000"/>
                <w:sz w:val="21"/>
                <w:szCs w:val="21"/>
              </w:rPr>
              <w:t>7446.294</w:t>
            </w:r>
          </w:p>
        </w:tc>
        <w:tc>
          <w:tcPr>
            <w:tcW w:w="2520" w:type="dxa"/>
            <w:tcBorders>
              <w:top w:val="nil"/>
              <w:left w:val="single" w:sz="8" w:space="0" w:color="000000"/>
              <w:bottom w:val="nil"/>
              <w:right w:val="single" w:sz="8" w:space="0" w:color="000000"/>
            </w:tcBorders>
            <w:vAlign w:val="center"/>
          </w:tcPr>
          <w:p w14:paraId="28DF7E6D" w14:textId="5C37F7F2" w:rsidR="000A78C6" w:rsidRPr="001766B9" w:rsidRDefault="000A78C6" w:rsidP="000A78C6">
            <w:pPr>
              <w:spacing w:line="259" w:lineRule="auto"/>
              <w:jc w:val="center"/>
              <w:rPr>
                <w:sz w:val="21"/>
                <w:szCs w:val="21"/>
              </w:rPr>
            </w:pPr>
            <w:r w:rsidRPr="001766B9">
              <w:rPr>
                <w:color w:val="000000"/>
                <w:sz w:val="21"/>
                <w:szCs w:val="21"/>
              </w:rPr>
              <w:t>7455.93</w:t>
            </w:r>
          </w:p>
        </w:tc>
      </w:tr>
      <w:tr w:rsidR="000A78C6" w:rsidRPr="001766B9" w14:paraId="0B970033" w14:textId="77777777" w:rsidTr="001766B9">
        <w:trPr>
          <w:trHeight w:val="288"/>
        </w:trPr>
        <w:tc>
          <w:tcPr>
            <w:tcW w:w="4050" w:type="dxa"/>
            <w:tcBorders>
              <w:top w:val="nil"/>
              <w:left w:val="single" w:sz="8" w:space="0" w:color="000000"/>
              <w:bottom w:val="single" w:sz="4" w:space="0" w:color="auto"/>
              <w:right w:val="single" w:sz="8" w:space="0" w:color="000000"/>
            </w:tcBorders>
            <w:vAlign w:val="center"/>
          </w:tcPr>
          <w:p w14:paraId="635139EF" w14:textId="6A2FE5B7" w:rsidR="000A78C6" w:rsidRPr="001766B9" w:rsidRDefault="000A78C6" w:rsidP="000A78C6">
            <w:pPr>
              <w:spacing w:line="259" w:lineRule="auto"/>
              <w:rPr>
                <w:sz w:val="21"/>
                <w:szCs w:val="21"/>
              </w:rPr>
            </w:pPr>
            <w:r w:rsidRPr="001766B9">
              <w:rPr>
                <w:color w:val="000000"/>
                <w:sz w:val="21"/>
                <w:szCs w:val="21"/>
              </w:rPr>
              <w:t>Average Probability of Correct Prediction</w:t>
            </w:r>
          </w:p>
        </w:tc>
        <w:tc>
          <w:tcPr>
            <w:tcW w:w="2520" w:type="dxa"/>
            <w:tcBorders>
              <w:top w:val="nil"/>
              <w:left w:val="single" w:sz="8" w:space="0" w:color="000000"/>
              <w:bottom w:val="single" w:sz="4" w:space="0" w:color="auto"/>
              <w:right w:val="single" w:sz="8" w:space="0" w:color="000000"/>
            </w:tcBorders>
            <w:vAlign w:val="center"/>
          </w:tcPr>
          <w:p w14:paraId="3E287E9C" w14:textId="4A8C7F69" w:rsidR="000A78C6" w:rsidRPr="001766B9" w:rsidRDefault="000A78C6" w:rsidP="000A78C6">
            <w:pPr>
              <w:spacing w:line="259" w:lineRule="auto"/>
              <w:jc w:val="center"/>
              <w:rPr>
                <w:sz w:val="21"/>
                <w:szCs w:val="21"/>
              </w:rPr>
            </w:pPr>
            <w:r w:rsidRPr="001766B9">
              <w:rPr>
                <w:color w:val="000000"/>
                <w:sz w:val="21"/>
                <w:szCs w:val="21"/>
              </w:rPr>
              <w:t>0.255</w:t>
            </w:r>
          </w:p>
        </w:tc>
        <w:tc>
          <w:tcPr>
            <w:tcW w:w="2520" w:type="dxa"/>
            <w:tcBorders>
              <w:top w:val="nil"/>
              <w:left w:val="single" w:sz="8" w:space="0" w:color="000000"/>
              <w:bottom w:val="single" w:sz="4" w:space="0" w:color="auto"/>
              <w:right w:val="single" w:sz="8" w:space="0" w:color="000000"/>
            </w:tcBorders>
            <w:vAlign w:val="center"/>
          </w:tcPr>
          <w:p w14:paraId="328DF905" w14:textId="0B00C87F" w:rsidR="000A78C6" w:rsidRPr="001766B9" w:rsidRDefault="000A78C6" w:rsidP="000A78C6">
            <w:pPr>
              <w:spacing w:line="259" w:lineRule="auto"/>
              <w:jc w:val="center"/>
              <w:rPr>
                <w:sz w:val="21"/>
                <w:szCs w:val="21"/>
              </w:rPr>
            </w:pPr>
            <w:r w:rsidRPr="001766B9">
              <w:rPr>
                <w:color w:val="000000"/>
                <w:sz w:val="21"/>
                <w:szCs w:val="21"/>
              </w:rPr>
              <w:t>0.231</w:t>
            </w:r>
          </w:p>
        </w:tc>
      </w:tr>
      <w:tr w:rsidR="000A78C6" w:rsidRPr="001766B9" w14:paraId="0B834DC0" w14:textId="77777777" w:rsidTr="007D0895">
        <w:trPr>
          <w:trHeight w:val="576"/>
        </w:trPr>
        <w:tc>
          <w:tcPr>
            <w:tcW w:w="4050" w:type="dxa"/>
            <w:tcBorders>
              <w:top w:val="single" w:sz="4" w:space="0" w:color="auto"/>
              <w:left w:val="single" w:sz="8" w:space="0" w:color="000000"/>
              <w:bottom w:val="single" w:sz="8" w:space="0" w:color="000000"/>
              <w:right w:val="single" w:sz="8" w:space="0" w:color="000000"/>
            </w:tcBorders>
            <w:vAlign w:val="center"/>
          </w:tcPr>
          <w:p w14:paraId="3AEF4DAA" w14:textId="38187273" w:rsidR="000A78C6" w:rsidRPr="001766B9" w:rsidRDefault="000A78C6" w:rsidP="000A78C6">
            <w:pPr>
              <w:spacing w:line="259" w:lineRule="auto"/>
              <w:rPr>
                <w:sz w:val="21"/>
                <w:szCs w:val="21"/>
              </w:rPr>
            </w:pPr>
            <w:r w:rsidRPr="001766B9">
              <w:rPr>
                <w:color w:val="000000"/>
                <w:sz w:val="21"/>
                <w:szCs w:val="21"/>
              </w:rPr>
              <w:t>Likelihood Ratio Test</w:t>
            </w:r>
          </w:p>
        </w:tc>
        <w:tc>
          <w:tcPr>
            <w:tcW w:w="5040" w:type="dxa"/>
            <w:gridSpan w:val="2"/>
            <w:tcBorders>
              <w:top w:val="single" w:sz="4" w:space="0" w:color="auto"/>
              <w:left w:val="single" w:sz="8" w:space="0" w:color="000000"/>
              <w:bottom w:val="single" w:sz="8" w:space="0" w:color="000000"/>
              <w:right w:val="single" w:sz="8" w:space="0" w:color="000000"/>
            </w:tcBorders>
            <w:vAlign w:val="center"/>
          </w:tcPr>
          <w:p w14:paraId="098341E3" w14:textId="77777777" w:rsidR="000A78C6" w:rsidRPr="001766B9" w:rsidRDefault="000A78C6" w:rsidP="000A78C6">
            <w:pPr>
              <w:spacing w:line="259" w:lineRule="auto"/>
              <w:jc w:val="center"/>
              <w:rPr>
                <w:sz w:val="21"/>
                <w:szCs w:val="21"/>
              </w:rPr>
            </w:pPr>
            <w:r w:rsidRPr="001766B9">
              <w:rPr>
                <w:color w:val="000000"/>
                <w:sz w:val="21"/>
                <w:szCs w:val="21"/>
              </w:rPr>
              <w:t>334.66 (&gt;Chi-squared table value with 4 degrees of freedom at even the 99.999999% level)</w:t>
            </w:r>
          </w:p>
        </w:tc>
      </w:tr>
    </w:tbl>
    <w:p w14:paraId="4FBDFAFF" w14:textId="77777777" w:rsidR="000A78C6" w:rsidRPr="000A78C6" w:rsidRDefault="000A78C6" w:rsidP="000A78C6">
      <w:pPr>
        <w:spacing w:line="259" w:lineRule="auto"/>
        <w:rPr>
          <w:b/>
          <w:color w:val="000000"/>
        </w:rPr>
      </w:pPr>
    </w:p>
    <w:p w14:paraId="0A51D070" w14:textId="4569EE64" w:rsidR="007B5B15" w:rsidRPr="00C67E12" w:rsidRDefault="000A78C6" w:rsidP="00C67E12">
      <w:pPr>
        <w:spacing w:after="120" w:line="259" w:lineRule="auto"/>
        <w:rPr>
          <w:b/>
          <w:color w:val="000000"/>
        </w:rPr>
      </w:pPr>
      <w:r w:rsidRPr="007B5B15">
        <w:rPr>
          <w:b/>
          <w:color w:val="000000"/>
        </w:rPr>
        <w:t xml:space="preserve">Table 5: Aggregate Model Fit </w:t>
      </w:r>
    </w:p>
    <w:tbl>
      <w:tblPr>
        <w:tblW w:w="9098" w:type="dxa"/>
        <w:tblInd w:w="80" w:type="dxa"/>
        <w:tblLook w:val="04A0" w:firstRow="1" w:lastRow="0" w:firstColumn="1" w:lastColumn="0" w:noHBand="0" w:noVBand="1"/>
      </w:tblPr>
      <w:tblGrid>
        <w:gridCol w:w="1440"/>
        <w:gridCol w:w="1377"/>
        <w:gridCol w:w="937"/>
        <w:gridCol w:w="1106"/>
        <w:gridCol w:w="8"/>
        <w:gridCol w:w="1072"/>
        <w:gridCol w:w="990"/>
        <w:gridCol w:w="8"/>
        <w:gridCol w:w="1162"/>
        <w:gridCol w:w="990"/>
        <w:gridCol w:w="8"/>
      </w:tblGrid>
      <w:tr w:rsidR="007B5B15" w:rsidRPr="001766B9" w14:paraId="70DE6414" w14:textId="77777777" w:rsidTr="007D0895">
        <w:trPr>
          <w:gridAfter w:val="1"/>
          <w:wAfter w:w="8" w:type="dxa"/>
          <w:trHeight w:val="288"/>
        </w:trPr>
        <w:tc>
          <w:tcPr>
            <w:tcW w:w="14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60288B" w14:textId="77777777" w:rsidR="007B5B15" w:rsidRPr="001766B9" w:rsidRDefault="007B5B15" w:rsidP="005C565E">
            <w:pPr>
              <w:rPr>
                <w:b/>
                <w:bCs/>
                <w:color w:val="000000"/>
                <w:sz w:val="21"/>
                <w:szCs w:val="21"/>
              </w:rPr>
            </w:pPr>
            <w:r w:rsidRPr="001766B9">
              <w:rPr>
                <w:b/>
                <w:bCs/>
                <w:color w:val="000000"/>
                <w:sz w:val="21"/>
                <w:szCs w:val="21"/>
              </w:rPr>
              <w:t>Change in Public Transit Use</w:t>
            </w:r>
          </w:p>
        </w:tc>
        <w:tc>
          <w:tcPr>
            <w:tcW w:w="13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001CC9" w14:textId="77777777" w:rsidR="007B5B15" w:rsidRPr="001766B9" w:rsidRDefault="007B5B15" w:rsidP="005C565E">
            <w:pPr>
              <w:rPr>
                <w:b/>
                <w:bCs/>
                <w:color w:val="000000"/>
                <w:sz w:val="21"/>
                <w:szCs w:val="21"/>
              </w:rPr>
            </w:pPr>
            <w:r w:rsidRPr="001766B9">
              <w:rPr>
                <w:b/>
                <w:bCs/>
                <w:color w:val="000000"/>
                <w:sz w:val="21"/>
                <w:szCs w:val="21"/>
              </w:rPr>
              <w:t>Permanence of Change</w:t>
            </w: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14:paraId="545D1F03" w14:textId="77777777" w:rsidR="007B5B15" w:rsidRPr="001766B9" w:rsidRDefault="007B5B15" w:rsidP="005C565E">
            <w:pPr>
              <w:jc w:val="center"/>
              <w:rPr>
                <w:b/>
                <w:bCs/>
                <w:color w:val="000000"/>
                <w:sz w:val="21"/>
                <w:szCs w:val="21"/>
              </w:rPr>
            </w:pPr>
            <w:r w:rsidRPr="001766B9">
              <w:rPr>
                <w:b/>
                <w:bCs/>
                <w:color w:val="000000"/>
                <w:sz w:val="21"/>
                <w:szCs w:val="21"/>
              </w:rPr>
              <w:t xml:space="preserve">Observed </w:t>
            </w:r>
          </w:p>
        </w:tc>
        <w:tc>
          <w:tcPr>
            <w:tcW w:w="2070" w:type="dxa"/>
            <w:gridSpan w:val="3"/>
            <w:tcBorders>
              <w:top w:val="single" w:sz="8" w:space="0" w:color="000000"/>
              <w:left w:val="nil"/>
              <w:bottom w:val="single" w:sz="8" w:space="0" w:color="000000"/>
              <w:right w:val="single" w:sz="8" w:space="0" w:color="000000"/>
            </w:tcBorders>
            <w:shd w:val="clear" w:color="auto" w:fill="auto"/>
            <w:vAlign w:val="center"/>
            <w:hideMark/>
          </w:tcPr>
          <w:p w14:paraId="137BA7AF" w14:textId="77777777" w:rsidR="007B5B15" w:rsidRPr="001766B9" w:rsidRDefault="007B5B15" w:rsidP="005C565E">
            <w:pPr>
              <w:jc w:val="center"/>
              <w:rPr>
                <w:b/>
                <w:bCs/>
                <w:color w:val="000000"/>
                <w:sz w:val="21"/>
                <w:szCs w:val="21"/>
              </w:rPr>
            </w:pPr>
            <w:r w:rsidRPr="001766B9">
              <w:rPr>
                <w:b/>
                <w:bCs/>
                <w:color w:val="000000"/>
                <w:sz w:val="21"/>
                <w:szCs w:val="21"/>
              </w:rPr>
              <w:t xml:space="preserve">Proposed Model </w:t>
            </w:r>
          </w:p>
        </w:tc>
        <w:tc>
          <w:tcPr>
            <w:tcW w:w="2160" w:type="dxa"/>
            <w:gridSpan w:val="3"/>
            <w:tcBorders>
              <w:top w:val="single" w:sz="8" w:space="0" w:color="000000"/>
              <w:left w:val="nil"/>
              <w:bottom w:val="single" w:sz="8" w:space="0" w:color="000000"/>
              <w:right w:val="single" w:sz="8" w:space="0" w:color="000000"/>
            </w:tcBorders>
            <w:shd w:val="clear" w:color="auto" w:fill="auto"/>
            <w:vAlign w:val="center"/>
            <w:hideMark/>
          </w:tcPr>
          <w:p w14:paraId="09DCA624" w14:textId="77777777" w:rsidR="007B5B15" w:rsidRPr="001766B9" w:rsidRDefault="007B5B15" w:rsidP="005C565E">
            <w:pPr>
              <w:jc w:val="center"/>
              <w:rPr>
                <w:b/>
                <w:bCs/>
                <w:color w:val="000000"/>
                <w:sz w:val="21"/>
                <w:szCs w:val="21"/>
              </w:rPr>
            </w:pPr>
            <w:r w:rsidRPr="001766B9">
              <w:rPr>
                <w:b/>
                <w:bCs/>
                <w:color w:val="000000"/>
                <w:sz w:val="21"/>
                <w:szCs w:val="21"/>
              </w:rPr>
              <w:t xml:space="preserve">Independent Model </w:t>
            </w:r>
          </w:p>
        </w:tc>
      </w:tr>
      <w:tr w:rsidR="007B5B15" w:rsidRPr="001766B9" w14:paraId="73EF093E" w14:textId="77777777" w:rsidTr="007D0895">
        <w:trPr>
          <w:gridAfter w:val="1"/>
          <w:wAfter w:w="8" w:type="dxa"/>
          <w:trHeight w:val="432"/>
        </w:trPr>
        <w:tc>
          <w:tcPr>
            <w:tcW w:w="1440" w:type="dxa"/>
            <w:vMerge/>
            <w:tcBorders>
              <w:top w:val="single" w:sz="8" w:space="0" w:color="000000"/>
              <w:left w:val="single" w:sz="8" w:space="0" w:color="000000"/>
              <w:bottom w:val="single" w:sz="8" w:space="0" w:color="000000"/>
              <w:right w:val="single" w:sz="8" w:space="0" w:color="000000"/>
            </w:tcBorders>
            <w:vAlign w:val="center"/>
            <w:hideMark/>
          </w:tcPr>
          <w:p w14:paraId="1EB24B87" w14:textId="77777777" w:rsidR="007B5B15" w:rsidRPr="001766B9" w:rsidRDefault="007B5B15" w:rsidP="005C565E">
            <w:pPr>
              <w:rPr>
                <w:b/>
                <w:bCs/>
                <w:color w:val="000000"/>
                <w:sz w:val="21"/>
                <w:szCs w:val="21"/>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3908420D" w14:textId="77777777" w:rsidR="007B5B15" w:rsidRPr="001766B9" w:rsidRDefault="007B5B15" w:rsidP="005C565E">
            <w:pPr>
              <w:rPr>
                <w:b/>
                <w:bCs/>
                <w:color w:val="000000"/>
                <w:sz w:val="21"/>
                <w:szCs w:val="21"/>
              </w:rPr>
            </w:pPr>
          </w:p>
        </w:tc>
        <w:tc>
          <w:tcPr>
            <w:tcW w:w="937" w:type="dxa"/>
            <w:tcBorders>
              <w:top w:val="nil"/>
              <w:left w:val="nil"/>
              <w:bottom w:val="nil"/>
              <w:right w:val="nil"/>
            </w:tcBorders>
            <w:shd w:val="clear" w:color="auto" w:fill="auto"/>
            <w:vAlign w:val="center"/>
            <w:hideMark/>
          </w:tcPr>
          <w:p w14:paraId="0CDAB58E" w14:textId="77777777" w:rsidR="007B5B15" w:rsidRPr="001766B9" w:rsidRDefault="007B5B15" w:rsidP="005C565E">
            <w:pPr>
              <w:jc w:val="center"/>
              <w:rPr>
                <w:color w:val="000000"/>
                <w:sz w:val="21"/>
                <w:szCs w:val="21"/>
              </w:rPr>
            </w:pPr>
            <w:r w:rsidRPr="001766B9">
              <w:rPr>
                <w:color w:val="000000"/>
                <w:sz w:val="21"/>
                <w:szCs w:val="21"/>
              </w:rPr>
              <w:t xml:space="preserve">Number  </w:t>
            </w:r>
          </w:p>
        </w:tc>
        <w:tc>
          <w:tcPr>
            <w:tcW w:w="1106" w:type="dxa"/>
            <w:tcBorders>
              <w:top w:val="nil"/>
              <w:left w:val="nil"/>
              <w:bottom w:val="nil"/>
              <w:right w:val="single" w:sz="8" w:space="0" w:color="000000"/>
            </w:tcBorders>
            <w:shd w:val="clear" w:color="auto" w:fill="auto"/>
            <w:vAlign w:val="center"/>
            <w:hideMark/>
          </w:tcPr>
          <w:p w14:paraId="3D73D157" w14:textId="77777777" w:rsidR="007B5B15" w:rsidRPr="001766B9" w:rsidRDefault="007B5B15" w:rsidP="005C565E">
            <w:pPr>
              <w:jc w:val="center"/>
              <w:rPr>
                <w:color w:val="000000"/>
                <w:sz w:val="21"/>
                <w:szCs w:val="21"/>
              </w:rPr>
            </w:pPr>
            <w:r w:rsidRPr="001766B9">
              <w:rPr>
                <w:color w:val="000000"/>
                <w:sz w:val="21"/>
                <w:szCs w:val="21"/>
              </w:rPr>
              <w:t>Share (%)</w:t>
            </w:r>
          </w:p>
        </w:tc>
        <w:tc>
          <w:tcPr>
            <w:tcW w:w="1080" w:type="dxa"/>
            <w:gridSpan w:val="2"/>
            <w:tcBorders>
              <w:top w:val="nil"/>
              <w:left w:val="nil"/>
              <w:bottom w:val="single" w:sz="8" w:space="0" w:color="000000"/>
              <w:right w:val="nil"/>
            </w:tcBorders>
            <w:shd w:val="clear" w:color="auto" w:fill="auto"/>
            <w:vAlign w:val="center"/>
            <w:hideMark/>
          </w:tcPr>
          <w:p w14:paraId="1F32DEC2" w14:textId="77777777" w:rsidR="007B5B15" w:rsidRPr="001766B9" w:rsidRDefault="007B5B15" w:rsidP="005C565E">
            <w:pPr>
              <w:jc w:val="center"/>
              <w:rPr>
                <w:color w:val="000000"/>
                <w:sz w:val="21"/>
                <w:szCs w:val="21"/>
              </w:rPr>
            </w:pPr>
            <w:r w:rsidRPr="001766B9">
              <w:rPr>
                <w:color w:val="000000"/>
                <w:sz w:val="21"/>
                <w:szCs w:val="21"/>
              </w:rPr>
              <w:t>Predicted (%)</w:t>
            </w:r>
          </w:p>
        </w:tc>
        <w:tc>
          <w:tcPr>
            <w:tcW w:w="990" w:type="dxa"/>
            <w:tcBorders>
              <w:top w:val="nil"/>
              <w:left w:val="nil"/>
              <w:bottom w:val="single" w:sz="8" w:space="0" w:color="000000"/>
              <w:right w:val="single" w:sz="8" w:space="0" w:color="000000"/>
            </w:tcBorders>
            <w:shd w:val="clear" w:color="auto" w:fill="auto"/>
            <w:vAlign w:val="center"/>
            <w:hideMark/>
          </w:tcPr>
          <w:p w14:paraId="7D987E62" w14:textId="77777777" w:rsidR="007B5B15" w:rsidRPr="001766B9" w:rsidRDefault="007B5B15" w:rsidP="005C565E">
            <w:pPr>
              <w:jc w:val="center"/>
              <w:rPr>
                <w:color w:val="000000"/>
                <w:sz w:val="21"/>
                <w:szCs w:val="21"/>
              </w:rPr>
            </w:pPr>
            <w:r w:rsidRPr="001766B9">
              <w:rPr>
                <w:color w:val="000000"/>
                <w:sz w:val="21"/>
                <w:szCs w:val="21"/>
              </w:rPr>
              <w:t>APE (%)</w:t>
            </w:r>
          </w:p>
        </w:tc>
        <w:tc>
          <w:tcPr>
            <w:tcW w:w="1170" w:type="dxa"/>
            <w:gridSpan w:val="2"/>
            <w:tcBorders>
              <w:top w:val="nil"/>
              <w:left w:val="nil"/>
              <w:bottom w:val="single" w:sz="8" w:space="0" w:color="000000"/>
              <w:right w:val="nil"/>
            </w:tcBorders>
            <w:shd w:val="clear" w:color="auto" w:fill="auto"/>
            <w:vAlign w:val="center"/>
            <w:hideMark/>
          </w:tcPr>
          <w:p w14:paraId="5E35617F" w14:textId="77777777" w:rsidR="007B5B15" w:rsidRPr="001766B9" w:rsidRDefault="007B5B15" w:rsidP="005C565E">
            <w:pPr>
              <w:jc w:val="center"/>
              <w:rPr>
                <w:color w:val="000000"/>
                <w:sz w:val="21"/>
                <w:szCs w:val="21"/>
              </w:rPr>
            </w:pPr>
            <w:r w:rsidRPr="001766B9">
              <w:rPr>
                <w:color w:val="000000"/>
                <w:sz w:val="21"/>
                <w:szCs w:val="21"/>
              </w:rPr>
              <w:t xml:space="preserve">Predicted (%)  </w:t>
            </w:r>
          </w:p>
        </w:tc>
        <w:tc>
          <w:tcPr>
            <w:tcW w:w="990" w:type="dxa"/>
            <w:tcBorders>
              <w:top w:val="nil"/>
              <w:left w:val="nil"/>
              <w:bottom w:val="single" w:sz="8" w:space="0" w:color="000000"/>
              <w:right w:val="single" w:sz="8" w:space="0" w:color="000000"/>
            </w:tcBorders>
            <w:shd w:val="clear" w:color="auto" w:fill="auto"/>
            <w:vAlign w:val="center"/>
            <w:hideMark/>
          </w:tcPr>
          <w:p w14:paraId="40EA348E" w14:textId="77777777" w:rsidR="007B5B15" w:rsidRPr="001766B9" w:rsidRDefault="007B5B15" w:rsidP="005C565E">
            <w:pPr>
              <w:jc w:val="center"/>
              <w:rPr>
                <w:color w:val="000000"/>
                <w:sz w:val="21"/>
                <w:szCs w:val="21"/>
              </w:rPr>
            </w:pPr>
            <w:r w:rsidRPr="001766B9">
              <w:rPr>
                <w:color w:val="000000"/>
                <w:sz w:val="21"/>
                <w:szCs w:val="21"/>
              </w:rPr>
              <w:t>APE (%)</w:t>
            </w:r>
          </w:p>
        </w:tc>
      </w:tr>
      <w:tr w:rsidR="007B5B15" w:rsidRPr="001766B9" w14:paraId="37551C12" w14:textId="77777777" w:rsidTr="001766B9">
        <w:trPr>
          <w:gridAfter w:val="1"/>
          <w:wAfter w:w="8" w:type="dxa"/>
          <w:trHeight w:val="288"/>
        </w:trPr>
        <w:tc>
          <w:tcPr>
            <w:tcW w:w="1440" w:type="dxa"/>
            <w:tcBorders>
              <w:top w:val="nil"/>
              <w:left w:val="single" w:sz="8" w:space="0" w:color="000000"/>
              <w:bottom w:val="nil"/>
              <w:right w:val="single" w:sz="8" w:space="0" w:color="000000"/>
            </w:tcBorders>
            <w:shd w:val="clear" w:color="auto" w:fill="auto"/>
            <w:vAlign w:val="center"/>
            <w:hideMark/>
          </w:tcPr>
          <w:p w14:paraId="344291AD" w14:textId="77777777" w:rsidR="007B5B15" w:rsidRPr="001766B9" w:rsidRDefault="007B5B15" w:rsidP="005C565E">
            <w:pPr>
              <w:rPr>
                <w:color w:val="000000"/>
                <w:sz w:val="21"/>
                <w:szCs w:val="21"/>
              </w:rPr>
            </w:pPr>
            <w:r w:rsidRPr="001766B9">
              <w:rPr>
                <w:color w:val="000000"/>
                <w:sz w:val="21"/>
                <w:szCs w:val="21"/>
              </w:rPr>
              <w:t xml:space="preserve">  More  </w:t>
            </w:r>
          </w:p>
        </w:tc>
        <w:tc>
          <w:tcPr>
            <w:tcW w:w="1377" w:type="dxa"/>
            <w:tcBorders>
              <w:top w:val="nil"/>
              <w:left w:val="nil"/>
              <w:bottom w:val="nil"/>
              <w:right w:val="nil"/>
            </w:tcBorders>
            <w:shd w:val="clear" w:color="auto" w:fill="auto"/>
            <w:vAlign w:val="center"/>
            <w:hideMark/>
          </w:tcPr>
          <w:p w14:paraId="78DB60F4" w14:textId="77777777" w:rsidR="007B5B15" w:rsidRPr="001766B9" w:rsidRDefault="007B5B15" w:rsidP="005C565E">
            <w:pPr>
              <w:rPr>
                <w:color w:val="000000"/>
                <w:sz w:val="21"/>
                <w:szCs w:val="21"/>
              </w:rPr>
            </w:pPr>
            <w:r w:rsidRPr="001766B9">
              <w:rPr>
                <w:color w:val="000000"/>
                <w:sz w:val="21"/>
                <w:szCs w:val="21"/>
              </w:rPr>
              <w:t xml:space="preserve">Permanent </w:t>
            </w:r>
          </w:p>
        </w:tc>
        <w:tc>
          <w:tcPr>
            <w:tcW w:w="937" w:type="dxa"/>
            <w:tcBorders>
              <w:top w:val="single" w:sz="8" w:space="0" w:color="auto"/>
              <w:left w:val="single" w:sz="8" w:space="0" w:color="auto"/>
              <w:bottom w:val="nil"/>
              <w:right w:val="nil"/>
            </w:tcBorders>
            <w:shd w:val="clear" w:color="auto" w:fill="auto"/>
            <w:vAlign w:val="center"/>
            <w:hideMark/>
          </w:tcPr>
          <w:p w14:paraId="132358F2" w14:textId="77777777" w:rsidR="007B5B15" w:rsidRPr="001766B9" w:rsidRDefault="007B5B15" w:rsidP="005C565E">
            <w:pPr>
              <w:jc w:val="center"/>
              <w:rPr>
                <w:color w:val="000000"/>
                <w:sz w:val="21"/>
                <w:szCs w:val="21"/>
              </w:rPr>
            </w:pPr>
            <w:r w:rsidRPr="001766B9">
              <w:rPr>
                <w:color w:val="000000"/>
                <w:sz w:val="21"/>
                <w:szCs w:val="21"/>
              </w:rPr>
              <w:t>241</w:t>
            </w:r>
          </w:p>
        </w:tc>
        <w:tc>
          <w:tcPr>
            <w:tcW w:w="1106" w:type="dxa"/>
            <w:tcBorders>
              <w:top w:val="single" w:sz="8" w:space="0" w:color="auto"/>
              <w:left w:val="nil"/>
              <w:bottom w:val="nil"/>
              <w:right w:val="single" w:sz="8" w:space="0" w:color="auto"/>
            </w:tcBorders>
            <w:shd w:val="clear" w:color="auto" w:fill="auto"/>
            <w:vAlign w:val="center"/>
            <w:hideMark/>
          </w:tcPr>
          <w:p w14:paraId="4E17E965" w14:textId="77777777" w:rsidR="007B5B15" w:rsidRPr="001766B9" w:rsidRDefault="007B5B15" w:rsidP="005C565E">
            <w:pPr>
              <w:jc w:val="center"/>
              <w:rPr>
                <w:color w:val="000000"/>
                <w:sz w:val="21"/>
                <w:szCs w:val="21"/>
              </w:rPr>
            </w:pPr>
            <w:r w:rsidRPr="001766B9">
              <w:rPr>
                <w:color w:val="000000"/>
                <w:sz w:val="21"/>
                <w:szCs w:val="21"/>
              </w:rPr>
              <w:t>3.4</w:t>
            </w:r>
          </w:p>
        </w:tc>
        <w:tc>
          <w:tcPr>
            <w:tcW w:w="1080" w:type="dxa"/>
            <w:gridSpan w:val="2"/>
            <w:tcBorders>
              <w:top w:val="nil"/>
              <w:left w:val="nil"/>
              <w:bottom w:val="nil"/>
              <w:right w:val="nil"/>
            </w:tcBorders>
            <w:shd w:val="clear" w:color="auto" w:fill="auto"/>
            <w:vAlign w:val="center"/>
            <w:hideMark/>
          </w:tcPr>
          <w:p w14:paraId="0661AB5A" w14:textId="77777777" w:rsidR="007B5B15" w:rsidRPr="001766B9" w:rsidRDefault="007B5B15" w:rsidP="005C565E">
            <w:pPr>
              <w:jc w:val="center"/>
              <w:rPr>
                <w:color w:val="000000"/>
                <w:sz w:val="21"/>
                <w:szCs w:val="21"/>
              </w:rPr>
            </w:pPr>
            <w:r w:rsidRPr="001766B9">
              <w:rPr>
                <w:color w:val="000000"/>
                <w:sz w:val="21"/>
                <w:szCs w:val="21"/>
              </w:rPr>
              <w:t>2.9</w:t>
            </w:r>
          </w:p>
        </w:tc>
        <w:tc>
          <w:tcPr>
            <w:tcW w:w="990" w:type="dxa"/>
            <w:tcBorders>
              <w:top w:val="nil"/>
              <w:left w:val="nil"/>
              <w:bottom w:val="nil"/>
              <w:right w:val="single" w:sz="8" w:space="0" w:color="000000"/>
            </w:tcBorders>
            <w:shd w:val="clear" w:color="auto" w:fill="auto"/>
            <w:vAlign w:val="center"/>
            <w:hideMark/>
          </w:tcPr>
          <w:p w14:paraId="6BF73F22" w14:textId="77777777" w:rsidR="007B5B15" w:rsidRPr="001766B9" w:rsidRDefault="007B5B15" w:rsidP="005C565E">
            <w:pPr>
              <w:jc w:val="center"/>
              <w:rPr>
                <w:color w:val="000000"/>
                <w:sz w:val="21"/>
                <w:szCs w:val="21"/>
              </w:rPr>
            </w:pPr>
            <w:r w:rsidRPr="001766B9">
              <w:rPr>
                <w:color w:val="000000"/>
                <w:sz w:val="21"/>
                <w:szCs w:val="21"/>
              </w:rPr>
              <w:t>15.0</w:t>
            </w:r>
          </w:p>
        </w:tc>
        <w:tc>
          <w:tcPr>
            <w:tcW w:w="1170" w:type="dxa"/>
            <w:gridSpan w:val="2"/>
            <w:tcBorders>
              <w:top w:val="nil"/>
              <w:left w:val="nil"/>
              <w:bottom w:val="nil"/>
              <w:right w:val="nil"/>
            </w:tcBorders>
            <w:shd w:val="clear" w:color="auto" w:fill="auto"/>
            <w:vAlign w:val="center"/>
            <w:hideMark/>
          </w:tcPr>
          <w:p w14:paraId="073DF856" w14:textId="77777777" w:rsidR="007B5B15" w:rsidRPr="001766B9" w:rsidRDefault="007B5B15" w:rsidP="005C565E">
            <w:pPr>
              <w:jc w:val="center"/>
              <w:rPr>
                <w:color w:val="000000"/>
                <w:sz w:val="21"/>
                <w:szCs w:val="21"/>
              </w:rPr>
            </w:pPr>
            <w:r w:rsidRPr="001766B9">
              <w:rPr>
                <w:color w:val="000000"/>
                <w:sz w:val="21"/>
                <w:szCs w:val="21"/>
              </w:rPr>
              <w:t>2.4</w:t>
            </w:r>
          </w:p>
        </w:tc>
        <w:tc>
          <w:tcPr>
            <w:tcW w:w="990" w:type="dxa"/>
            <w:tcBorders>
              <w:top w:val="nil"/>
              <w:left w:val="nil"/>
              <w:bottom w:val="nil"/>
              <w:right w:val="single" w:sz="8" w:space="0" w:color="000000"/>
            </w:tcBorders>
            <w:shd w:val="clear" w:color="auto" w:fill="auto"/>
            <w:vAlign w:val="center"/>
            <w:hideMark/>
          </w:tcPr>
          <w:p w14:paraId="6F6CADD1" w14:textId="77777777" w:rsidR="007B5B15" w:rsidRPr="001766B9" w:rsidRDefault="007B5B15" w:rsidP="005C565E">
            <w:pPr>
              <w:jc w:val="center"/>
              <w:rPr>
                <w:color w:val="000000"/>
                <w:sz w:val="21"/>
                <w:szCs w:val="21"/>
              </w:rPr>
            </w:pPr>
            <w:r w:rsidRPr="001766B9">
              <w:rPr>
                <w:color w:val="000000"/>
                <w:sz w:val="21"/>
                <w:szCs w:val="21"/>
              </w:rPr>
              <w:t>30.6</w:t>
            </w:r>
          </w:p>
        </w:tc>
      </w:tr>
      <w:tr w:rsidR="007B5B15" w:rsidRPr="001766B9" w14:paraId="5CED8C07" w14:textId="77777777" w:rsidTr="001766B9">
        <w:trPr>
          <w:gridAfter w:val="1"/>
          <w:wAfter w:w="8" w:type="dxa"/>
          <w:trHeight w:val="288"/>
        </w:trPr>
        <w:tc>
          <w:tcPr>
            <w:tcW w:w="1440" w:type="dxa"/>
            <w:tcBorders>
              <w:top w:val="nil"/>
              <w:left w:val="single" w:sz="8" w:space="0" w:color="000000"/>
              <w:bottom w:val="nil"/>
              <w:right w:val="single" w:sz="8" w:space="0" w:color="000000"/>
            </w:tcBorders>
            <w:shd w:val="clear" w:color="000000" w:fill="FFFFFF"/>
            <w:vAlign w:val="center"/>
            <w:hideMark/>
          </w:tcPr>
          <w:p w14:paraId="57229CCE" w14:textId="77777777" w:rsidR="007B5B15" w:rsidRPr="001766B9" w:rsidRDefault="007B5B15" w:rsidP="005C565E">
            <w:pPr>
              <w:rPr>
                <w:color w:val="000000"/>
                <w:sz w:val="21"/>
                <w:szCs w:val="21"/>
              </w:rPr>
            </w:pPr>
            <w:r w:rsidRPr="001766B9">
              <w:rPr>
                <w:color w:val="000000"/>
                <w:sz w:val="21"/>
                <w:szCs w:val="21"/>
              </w:rPr>
              <w:t xml:space="preserve">  More  </w:t>
            </w:r>
          </w:p>
        </w:tc>
        <w:tc>
          <w:tcPr>
            <w:tcW w:w="1377" w:type="dxa"/>
            <w:tcBorders>
              <w:top w:val="nil"/>
              <w:left w:val="nil"/>
              <w:bottom w:val="nil"/>
              <w:right w:val="nil"/>
            </w:tcBorders>
            <w:shd w:val="clear" w:color="000000" w:fill="FFFFFF"/>
            <w:vAlign w:val="center"/>
            <w:hideMark/>
          </w:tcPr>
          <w:p w14:paraId="65E66280" w14:textId="77777777" w:rsidR="007B5B15" w:rsidRPr="001766B9" w:rsidRDefault="007B5B15" w:rsidP="005C565E">
            <w:pPr>
              <w:rPr>
                <w:color w:val="000000"/>
                <w:sz w:val="21"/>
                <w:szCs w:val="21"/>
              </w:rPr>
            </w:pPr>
            <w:r w:rsidRPr="001766B9">
              <w:rPr>
                <w:color w:val="000000"/>
                <w:sz w:val="21"/>
                <w:szCs w:val="21"/>
              </w:rPr>
              <w:t xml:space="preserve">Temporary </w:t>
            </w:r>
          </w:p>
        </w:tc>
        <w:tc>
          <w:tcPr>
            <w:tcW w:w="937" w:type="dxa"/>
            <w:tcBorders>
              <w:top w:val="nil"/>
              <w:left w:val="single" w:sz="8" w:space="0" w:color="auto"/>
              <w:bottom w:val="nil"/>
              <w:right w:val="nil"/>
            </w:tcBorders>
            <w:shd w:val="clear" w:color="000000" w:fill="FFFFFF"/>
            <w:vAlign w:val="center"/>
            <w:hideMark/>
          </w:tcPr>
          <w:p w14:paraId="525DB645" w14:textId="77777777" w:rsidR="007B5B15" w:rsidRPr="001766B9" w:rsidRDefault="007B5B15" w:rsidP="005C565E">
            <w:pPr>
              <w:jc w:val="center"/>
              <w:rPr>
                <w:color w:val="000000"/>
                <w:sz w:val="21"/>
                <w:szCs w:val="21"/>
              </w:rPr>
            </w:pPr>
            <w:r w:rsidRPr="001766B9">
              <w:rPr>
                <w:color w:val="000000"/>
                <w:sz w:val="21"/>
                <w:szCs w:val="21"/>
              </w:rPr>
              <w:t>87</w:t>
            </w:r>
          </w:p>
        </w:tc>
        <w:tc>
          <w:tcPr>
            <w:tcW w:w="1106" w:type="dxa"/>
            <w:tcBorders>
              <w:top w:val="nil"/>
              <w:left w:val="nil"/>
              <w:bottom w:val="nil"/>
              <w:right w:val="single" w:sz="8" w:space="0" w:color="auto"/>
            </w:tcBorders>
            <w:shd w:val="clear" w:color="000000" w:fill="FFFFFF"/>
            <w:vAlign w:val="center"/>
            <w:hideMark/>
          </w:tcPr>
          <w:p w14:paraId="702652E0" w14:textId="77777777" w:rsidR="007B5B15" w:rsidRPr="001766B9" w:rsidRDefault="007B5B15" w:rsidP="005C565E">
            <w:pPr>
              <w:jc w:val="center"/>
              <w:rPr>
                <w:color w:val="000000"/>
                <w:sz w:val="21"/>
                <w:szCs w:val="21"/>
              </w:rPr>
            </w:pPr>
            <w:r w:rsidRPr="001766B9">
              <w:rPr>
                <w:color w:val="000000"/>
                <w:sz w:val="21"/>
                <w:szCs w:val="21"/>
              </w:rPr>
              <w:t>1.2</w:t>
            </w:r>
          </w:p>
        </w:tc>
        <w:tc>
          <w:tcPr>
            <w:tcW w:w="1080" w:type="dxa"/>
            <w:gridSpan w:val="2"/>
            <w:tcBorders>
              <w:top w:val="nil"/>
              <w:left w:val="nil"/>
              <w:bottom w:val="nil"/>
              <w:right w:val="nil"/>
            </w:tcBorders>
            <w:shd w:val="clear" w:color="000000" w:fill="FFFFFF"/>
            <w:vAlign w:val="center"/>
            <w:hideMark/>
          </w:tcPr>
          <w:p w14:paraId="0946451A" w14:textId="77777777" w:rsidR="007B5B15" w:rsidRPr="001766B9" w:rsidRDefault="007B5B15" w:rsidP="005C565E">
            <w:pPr>
              <w:jc w:val="center"/>
              <w:rPr>
                <w:color w:val="000000"/>
                <w:sz w:val="21"/>
                <w:szCs w:val="21"/>
              </w:rPr>
            </w:pPr>
            <w:r w:rsidRPr="001766B9">
              <w:rPr>
                <w:color w:val="000000"/>
                <w:sz w:val="21"/>
                <w:szCs w:val="21"/>
              </w:rPr>
              <w:t>1.9</w:t>
            </w:r>
          </w:p>
        </w:tc>
        <w:tc>
          <w:tcPr>
            <w:tcW w:w="990" w:type="dxa"/>
            <w:tcBorders>
              <w:top w:val="nil"/>
              <w:left w:val="nil"/>
              <w:bottom w:val="nil"/>
              <w:right w:val="single" w:sz="8" w:space="0" w:color="000000"/>
            </w:tcBorders>
            <w:shd w:val="clear" w:color="000000" w:fill="FFFFFF"/>
            <w:vAlign w:val="center"/>
            <w:hideMark/>
          </w:tcPr>
          <w:p w14:paraId="67D5B54F" w14:textId="77777777" w:rsidR="007B5B15" w:rsidRPr="001766B9" w:rsidRDefault="007B5B15" w:rsidP="005C565E">
            <w:pPr>
              <w:jc w:val="center"/>
              <w:rPr>
                <w:color w:val="000000"/>
                <w:sz w:val="21"/>
                <w:szCs w:val="21"/>
              </w:rPr>
            </w:pPr>
            <w:r w:rsidRPr="001766B9">
              <w:rPr>
                <w:color w:val="000000"/>
                <w:sz w:val="21"/>
                <w:szCs w:val="21"/>
              </w:rPr>
              <w:t>53.8</w:t>
            </w:r>
          </w:p>
        </w:tc>
        <w:tc>
          <w:tcPr>
            <w:tcW w:w="1170" w:type="dxa"/>
            <w:gridSpan w:val="2"/>
            <w:tcBorders>
              <w:top w:val="nil"/>
              <w:left w:val="nil"/>
              <w:bottom w:val="nil"/>
              <w:right w:val="nil"/>
            </w:tcBorders>
            <w:shd w:val="clear" w:color="000000" w:fill="FFFFFF"/>
            <w:vAlign w:val="center"/>
            <w:hideMark/>
          </w:tcPr>
          <w:p w14:paraId="0C9980C1" w14:textId="77777777" w:rsidR="007B5B15" w:rsidRPr="001766B9" w:rsidRDefault="007B5B15" w:rsidP="005C565E">
            <w:pPr>
              <w:jc w:val="center"/>
              <w:rPr>
                <w:color w:val="000000"/>
                <w:sz w:val="21"/>
                <w:szCs w:val="21"/>
              </w:rPr>
            </w:pPr>
            <w:r w:rsidRPr="001766B9">
              <w:rPr>
                <w:color w:val="000000"/>
                <w:sz w:val="21"/>
                <w:szCs w:val="21"/>
              </w:rPr>
              <w:t>2.2</w:t>
            </w:r>
          </w:p>
        </w:tc>
        <w:tc>
          <w:tcPr>
            <w:tcW w:w="990" w:type="dxa"/>
            <w:tcBorders>
              <w:top w:val="nil"/>
              <w:left w:val="nil"/>
              <w:bottom w:val="nil"/>
              <w:right w:val="single" w:sz="8" w:space="0" w:color="000000"/>
            </w:tcBorders>
            <w:shd w:val="clear" w:color="000000" w:fill="FFFFFF"/>
            <w:vAlign w:val="center"/>
            <w:hideMark/>
          </w:tcPr>
          <w:p w14:paraId="77ED128C" w14:textId="77777777" w:rsidR="007B5B15" w:rsidRPr="001766B9" w:rsidRDefault="007B5B15" w:rsidP="005C565E">
            <w:pPr>
              <w:jc w:val="center"/>
              <w:rPr>
                <w:color w:val="000000"/>
                <w:sz w:val="21"/>
                <w:szCs w:val="21"/>
              </w:rPr>
            </w:pPr>
            <w:r w:rsidRPr="001766B9">
              <w:rPr>
                <w:color w:val="000000"/>
                <w:sz w:val="21"/>
                <w:szCs w:val="21"/>
              </w:rPr>
              <w:t>86.7</w:t>
            </w:r>
          </w:p>
        </w:tc>
      </w:tr>
      <w:tr w:rsidR="007B5B15" w:rsidRPr="001766B9" w14:paraId="2FA315B4" w14:textId="77777777" w:rsidTr="001766B9">
        <w:trPr>
          <w:gridAfter w:val="1"/>
          <w:wAfter w:w="8" w:type="dxa"/>
          <w:trHeight w:val="288"/>
        </w:trPr>
        <w:tc>
          <w:tcPr>
            <w:tcW w:w="1440" w:type="dxa"/>
            <w:tcBorders>
              <w:top w:val="nil"/>
              <w:left w:val="single" w:sz="8" w:space="0" w:color="000000"/>
              <w:bottom w:val="nil"/>
              <w:right w:val="single" w:sz="8" w:space="0" w:color="000000"/>
            </w:tcBorders>
            <w:shd w:val="clear" w:color="000000" w:fill="FFFFFF"/>
            <w:vAlign w:val="center"/>
            <w:hideMark/>
          </w:tcPr>
          <w:p w14:paraId="2021DC76" w14:textId="77777777" w:rsidR="007B5B15" w:rsidRPr="001766B9" w:rsidRDefault="007B5B15" w:rsidP="005C565E">
            <w:pPr>
              <w:rPr>
                <w:color w:val="000000"/>
                <w:sz w:val="21"/>
                <w:szCs w:val="21"/>
              </w:rPr>
            </w:pPr>
            <w:r w:rsidRPr="001766B9">
              <w:rPr>
                <w:color w:val="000000"/>
                <w:sz w:val="21"/>
                <w:szCs w:val="21"/>
              </w:rPr>
              <w:t xml:space="preserve">  Same </w:t>
            </w:r>
          </w:p>
        </w:tc>
        <w:tc>
          <w:tcPr>
            <w:tcW w:w="1377" w:type="dxa"/>
            <w:tcBorders>
              <w:top w:val="nil"/>
              <w:left w:val="nil"/>
              <w:bottom w:val="nil"/>
              <w:right w:val="nil"/>
            </w:tcBorders>
            <w:shd w:val="clear" w:color="000000" w:fill="FFFFFF"/>
            <w:vAlign w:val="center"/>
            <w:hideMark/>
          </w:tcPr>
          <w:p w14:paraId="4E134E44" w14:textId="77777777" w:rsidR="007B5B15" w:rsidRPr="001766B9" w:rsidRDefault="007B5B15" w:rsidP="005C565E">
            <w:pPr>
              <w:rPr>
                <w:color w:val="000000"/>
                <w:sz w:val="21"/>
                <w:szCs w:val="21"/>
              </w:rPr>
            </w:pPr>
            <w:r w:rsidRPr="001766B9">
              <w:rPr>
                <w:color w:val="000000"/>
                <w:sz w:val="21"/>
                <w:szCs w:val="21"/>
              </w:rPr>
              <w:t xml:space="preserve"> -- </w:t>
            </w:r>
          </w:p>
        </w:tc>
        <w:tc>
          <w:tcPr>
            <w:tcW w:w="937" w:type="dxa"/>
            <w:tcBorders>
              <w:top w:val="nil"/>
              <w:left w:val="single" w:sz="8" w:space="0" w:color="auto"/>
              <w:bottom w:val="nil"/>
              <w:right w:val="nil"/>
            </w:tcBorders>
            <w:shd w:val="clear" w:color="000000" w:fill="FFFFFF"/>
            <w:vAlign w:val="center"/>
            <w:hideMark/>
          </w:tcPr>
          <w:p w14:paraId="55AE77C5" w14:textId="77777777" w:rsidR="007B5B15" w:rsidRPr="001766B9" w:rsidRDefault="007B5B15" w:rsidP="005C565E">
            <w:pPr>
              <w:jc w:val="center"/>
              <w:rPr>
                <w:color w:val="000000"/>
                <w:sz w:val="21"/>
                <w:szCs w:val="21"/>
              </w:rPr>
            </w:pPr>
            <w:r w:rsidRPr="001766B9">
              <w:rPr>
                <w:color w:val="000000"/>
                <w:sz w:val="21"/>
                <w:szCs w:val="21"/>
              </w:rPr>
              <w:t>3,762</w:t>
            </w:r>
          </w:p>
        </w:tc>
        <w:tc>
          <w:tcPr>
            <w:tcW w:w="1106" w:type="dxa"/>
            <w:tcBorders>
              <w:top w:val="nil"/>
              <w:left w:val="nil"/>
              <w:bottom w:val="nil"/>
              <w:right w:val="single" w:sz="8" w:space="0" w:color="auto"/>
            </w:tcBorders>
            <w:shd w:val="clear" w:color="000000" w:fill="FFFFFF"/>
            <w:vAlign w:val="center"/>
            <w:hideMark/>
          </w:tcPr>
          <w:p w14:paraId="21359E14" w14:textId="77777777" w:rsidR="007B5B15" w:rsidRPr="001766B9" w:rsidRDefault="007B5B15" w:rsidP="005C565E">
            <w:pPr>
              <w:jc w:val="center"/>
              <w:rPr>
                <w:color w:val="000000"/>
                <w:sz w:val="21"/>
                <w:szCs w:val="21"/>
              </w:rPr>
            </w:pPr>
            <w:r w:rsidRPr="001766B9">
              <w:rPr>
                <w:color w:val="000000"/>
                <w:sz w:val="21"/>
                <w:szCs w:val="21"/>
              </w:rPr>
              <w:t>53.2</w:t>
            </w:r>
          </w:p>
        </w:tc>
        <w:tc>
          <w:tcPr>
            <w:tcW w:w="1080" w:type="dxa"/>
            <w:gridSpan w:val="2"/>
            <w:tcBorders>
              <w:top w:val="nil"/>
              <w:left w:val="nil"/>
              <w:bottom w:val="nil"/>
              <w:right w:val="nil"/>
            </w:tcBorders>
            <w:shd w:val="clear" w:color="000000" w:fill="FFFFFF"/>
            <w:vAlign w:val="center"/>
            <w:hideMark/>
          </w:tcPr>
          <w:p w14:paraId="20FE331E" w14:textId="77777777" w:rsidR="007B5B15" w:rsidRPr="001766B9" w:rsidRDefault="007B5B15" w:rsidP="005C565E">
            <w:pPr>
              <w:jc w:val="center"/>
              <w:rPr>
                <w:color w:val="000000"/>
                <w:sz w:val="21"/>
                <w:szCs w:val="21"/>
              </w:rPr>
            </w:pPr>
            <w:r w:rsidRPr="001766B9">
              <w:rPr>
                <w:color w:val="000000"/>
                <w:sz w:val="21"/>
                <w:szCs w:val="21"/>
              </w:rPr>
              <w:t>52.8</w:t>
            </w:r>
          </w:p>
        </w:tc>
        <w:tc>
          <w:tcPr>
            <w:tcW w:w="990" w:type="dxa"/>
            <w:tcBorders>
              <w:top w:val="nil"/>
              <w:left w:val="nil"/>
              <w:bottom w:val="nil"/>
              <w:right w:val="single" w:sz="8" w:space="0" w:color="000000"/>
            </w:tcBorders>
            <w:shd w:val="clear" w:color="000000" w:fill="FFFFFF"/>
            <w:vAlign w:val="center"/>
            <w:hideMark/>
          </w:tcPr>
          <w:p w14:paraId="52FBD52C" w14:textId="77777777" w:rsidR="007B5B15" w:rsidRPr="001766B9" w:rsidRDefault="007B5B15" w:rsidP="005C565E">
            <w:pPr>
              <w:jc w:val="center"/>
              <w:rPr>
                <w:color w:val="000000"/>
                <w:sz w:val="21"/>
                <w:szCs w:val="21"/>
              </w:rPr>
            </w:pPr>
            <w:r w:rsidRPr="001766B9">
              <w:rPr>
                <w:color w:val="000000"/>
                <w:sz w:val="21"/>
                <w:szCs w:val="21"/>
              </w:rPr>
              <w:t>0.8</w:t>
            </w:r>
          </w:p>
        </w:tc>
        <w:tc>
          <w:tcPr>
            <w:tcW w:w="1170" w:type="dxa"/>
            <w:gridSpan w:val="2"/>
            <w:tcBorders>
              <w:top w:val="nil"/>
              <w:left w:val="nil"/>
              <w:bottom w:val="nil"/>
              <w:right w:val="nil"/>
            </w:tcBorders>
            <w:shd w:val="clear" w:color="000000" w:fill="FFFFFF"/>
            <w:vAlign w:val="center"/>
            <w:hideMark/>
          </w:tcPr>
          <w:p w14:paraId="222DD992" w14:textId="77777777" w:rsidR="007B5B15" w:rsidRPr="001766B9" w:rsidRDefault="007B5B15" w:rsidP="005C565E">
            <w:pPr>
              <w:jc w:val="center"/>
              <w:rPr>
                <w:color w:val="000000"/>
                <w:sz w:val="21"/>
                <w:szCs w:val="21"/>
              </w:rPr>
            </w:pPr>
            <w:r w:rsidRPr="001766B9">
              <w:rPr>
                <w:color w:val="000000"/>
                <w:sz w:val="21"/>
                <w:szCs w:val="21"/>
              </w:rPr>
              <w:t>53.1</w:t>
            </w:r>
          </w:p>
        </w:tc>
        <w:tc>
          <w:tcPr>
            <w:tcW w:w="990" w:type="dxa"/>
            <w:tcBorders>
              <w:top w:val="nil"/>
              <w:left w:val="nil"/>
              <w:bottom w:val="nil"/>
              <w:right w:val="single" w:sz="8" w:space="0" w:color="000000"/>
            </w:tcBorders>
            <w:shd w:val="clear" w:color="000000" w:fill="FFFFFF"/>
            <w:vAlign w:val="center"/>
            <w:hideMark/>
          </w:tcPr>
          <w:p w14:paraId="54006EAF" w14:textId="77777777" w:rsidR="007B5B15" w:rsidRPr="001766B9" w:rsidRDefault="007B5B15" w:rsidP="005C565E">
            <w:pPr>
              <w:jc w:val="center"/>
              <w:rPr>
                <w:color w:val="000000"/>
                <w:sz w:val="21"/>
                <w:szCs w:val="21"/>
              </w:rPr>
            </w:pPr>
            <w:r w:rsidRPr="001766B9">
              <w:rPr>
                <w:color w:val="000000"/>
                <w:sz w:val="21"/>
                <w:szCs w:val="21"/>
              </w:rPr>
              <w:t>0.2</w:t>
            </w:r>
          </w:p>
        </w:tc>
      </w:tr>
      <w:tr w:rsidR="007B5B15" w:rsidRPr="001766B9" w14:paraId="4ED192A4" w14:textId="77777777" w:rsidTr="001766B9">
        <w:trPr>
          <w:gridAfter w:val="1"/>
          <w:wAfter w:w="8" w:type="dxa"/>
          <w:trHeight w:val="288"/>
        </w:trPr>
        <w:tc>
          <w:tcPr>
            <w:tcW w:w="1440" w:type="dxa"/>
            <w:tcBorders>
              <w:top w:val="nil"/>
              <w:left w:val="single" w:sz="8" w:space="0" w:color="000000"/>
              <w:bottom w:val="nil"/>
              <w:right w:val="single" w:sz="8" w:space="0" w:color="000000"/>
            </w:tcBorders>
            <w:shd w:val="clear" w:color="000000" w:fill="FFFFFF"/>
            <w:vAlign w:val="center"/>
            <w:hideMark/>
          </w:tcPr>
          <w:p w14:paraId="1E8463F9" w14:textId="77777777" w:rsidR="007B5B15" w:rsidRPr="001766B9" w:rsidRDefault="007B5B15" w:rsidP="005C565E">
            <w:pPr>
              <w:rPr>
                <w:color w:val="000000"/>
                <w:sz w:val="21"/>
                <w:szCs w:val="21"/>
              </w:rPr>
            </w:pPr>
            <w:r w:rsidRPr="001766B9">
              <w:rPr>
                <w:color w:val="000000"/>
                <w:sz w:val="21"/>
                <w:szCs w:val="21"/>
              </w:rPr>
              <w:t xml:space="preserve">  Less  </w:t>
            </w:r>
          </w:p>
        </w:tc>
        <w:tc>
          <w:tcPr>
            <w:tcW w:w="1377" w:type="dxa"/>
            <w:tcBorders>
              <w:top w:val="nil"/>
              <w:left w:val="nil"/>
              <w:bottom w:val="nil"/>
              <w:right w:val="nil"/>
            </w:tcBorders>
            <w:shd w:val="clear" w:color="000000" w:fill="FFFFFF"/>
            <w:vAlign w:val="center"/>
            <w:hideMark/>
          </w:tcPr>
          <w:p w14:paraId="57FC092B" w14:textId="77777777" w:rsidR="007B5B15" w:rsidRPr="001766B9" w:rsidRDefault="007B5B15" w:rsidP="005C565E">
            <w:pPr>
              <w:rPr>
                <w:color w:val="000000"/>
                <w:sz w:val="21"/>
                <w:szCs w:val="21"/>
              </w:rPr>
            </w:pPr>
            <w:r w:rsidRPr="001766B9">
              <w:rPr>
                <w:color w:val="000000"/>
                <w:sz w:val="21"/>
                <w:szCs w:val="21"/>
              </w:rPr>
              <w:t xml:space="preserve">Permanent </w:t>
            </w:r>
          </w:p>
        </w:tc>
        <w:tc>
          <w:tcPr>
            <w:tcW w:w="937" w:type="dxa"/>
            <w:tcBorders>
              <w:top w:val="nil"/>
              <w:left w:val="single" w:sz="8" w:space="0" w:color="auto"/>
              <w:bottom w:val="nil"/>
              <w:right w:val="nil"/>
            </w:tcBorders>
            <w:shd w:val="clear" w:color="000000" w:fill="FFFFFF"/>
            <w:vAlign w:val="center"/>
            <w:hideMark/>
          </w:tcPr>
          <w:p w14:paraId="7AF89BEC" w14:textId="77777777" w:rsidR="007B5B15" w:rsidRPr="001766B9" w:rsidRDefault="007B5B15" w:rsidP="005C565E">
            <w:pPr>
              <w:jc w:val="center"/>
              <w:rPr>
                <w:color w:val="000000"/>
                <w:sz w:val="21"/>
                <w:szCs w:val="21"/>
              </w:rPr>
            </w:pPr>
            <w:r w:rsidRPr="001766B9">
              <w:rPr>
                <w:color w:val="000000"/>
                <w:sz w:val="21"/>
                <w:szCs w:val="21"/>
              </w:rPr>
              <w:t>1,865</w:t>
            </w:r>
          </w:p>
        </w:tc>
        <w:tc>
          <w:tcPr>
            <w:tcW w:w="1106" w:type="dxa"/>
            <w:tcBorders>
              <w:top w:val="nil"/>
              <w:left w:val="nil"/>
              <w:bottom w:val="nil"/>
              <w:right w:val="single" w:sz="8" w:space="0" w:color="auto"/>
            </w:tcBorders>
            <w:shd w:val="clear" w:color="000000" w:fill="FFFFFF"/>
            <w:vAlign w:val="center"/>
            <w:hideMark/>
          </w:tcPr>
          <w:p w14:paraId="2E829CC1" w14:textId="77777777" w:rsidR="007B5B15" w:rsidRPr="001766B9" w:rsidRDefault="007B5B15" w:rsidP="005C565E">
            <w:pPr>
              <w:jc w:val="center"/>
              <w:rPr>
                <w:color w:val="000000"/>
                <w:sz w:val="21"/>
                <w:szCs w:val="21"/>
              </w:rPr>
            </w:pPr>
            <w:r w:rsidRPr="001766B9">
              <w:rPr>
                <w:color w:val="000000"/>
                <w:sz w:val="21"/>
                <w:szCs w:val="21"/>
              </w:rPr>
              <w:t>26.4</w:t>
            </w:r>
          </w:p>
        </w:tc>
        <w:tc>
          <w:tcPr>
            <w:tcW w:w="1080" w:type="dxa"/>
            <w:gridSpan w:val="2"/>
            <w:tcBorders>
              <w:top w:val="nil"/>
              <w:left w:val="nil"/>
              <w:bottom w:val="nil"/>
              <w:right w:val="nil"/>
            </w:tcBorders>
            <w:shd w:val="clear" w:color="000000" w:fill="FFFFFF"/>
            <w:vAlign w:val="center"/>
            <w:hideMark/>
          </w:tcPr>
          <w:p w14:paraId="63C460DE" w14:textId="77777777" w:rsidR="007B5B15" w:rsidRPr="001766B9" w:rsidRDefault="007B5B15" w:rsidP="005C565E">
            <w:pPr>
              <w:jc w:val="center"/>
              <w:rPr>
                <w:color w:val="000000"/>
                <w:sz w:val="21"/>
                <w:szCs w:val="21"/>
              </w:rPr>
            </w:pPr>
            <w:r w:rsidRPr="001766B9">
              <w:rPr>
                <w:color w:val="000000"/>
                <w:sz w:val="21"/>
                <w:szCs w:val="21"/>
              </w:rPr>
              <w:t>22.7</w:t>
            </w:r>
          </w:p>
        </w:tc>
        <w:tc>
          <w:tcPr>
            <w:tcW w:w="990" w:type="dxa"/>
            <w:tcBorders>
              <w:top w:val="nil"/>
              <w:left w:val="nil"/>
              <w:bottom w:val="nil"/>
              <w:right w:val="single" w:sz="8" w:space="0" w:color="000000"/>
            </w:tcBorders>
            <w:shd w:val="clear" w:color="000000" w:fill="FFFFFF"/>
            <w:vAlign w:val="center"/>
            <w:hideMark/>
          </w:tcPr>
          <w:p w14:paraId="7FC50CCC" w14:textId="77777777" w:rsidR="007B5B15" w:rsidRPr="001766B9" w:rsidRDefault="007B5B15" w:rsidP="005C565E">
            <w:pPr>
              <w:jc w:val="center"/>
              <w:rPr>
                <w:color w:val="000000"/>
                <w:sz w:val="21"/>
                <w:szCs w:val="21"/>
              </w:rPr>
            </w:pPr>
            <w:r w:rsidRPr="001766B9">
              <w:rPr>
                <w:color w:val="000000"/>
                <w:sz w:val="21"/>
                <w:szCs w:val="21"/>
              </w:rPr>
              <w:t>13.7</w:t>
            </w:r>
          </w:p>
        </w:tc>
        <w:tc>
          <w:tcPr>
            <w:tcW w:w="1170" w:type="dxa"/>
            <w:gridSpan w:val="2"/>
            <w:tcBorders>
              <w:top w:val="nil"/>
              <w:left w:val="nil"/>
              <w:bottom w:val="nil"/>
              <w:right w:val="nil"/>
            </w:tcBorders>
            <w:shd w:val="clear" w:color="000000" w:fill="FFFFFF"/>
            <w:vAlign w:val="center"/>
            <w:hideMark/>
          </w:tcPr>
          <w:p w14:paraId="4588DA61" w14:textId="77777777" w:rsidR="007B5B15" w:rsidRPr="001766B9" w:rsidRDefault="007B5B15" w:rsidP="005C565E">
            <w:pPr>
              <w:jc w:val="center"/>
              <w:rPr>
                <w:color w:val="000000"/>
                <w:sz w:val="21"/>
                <w:szCs w:val="21"/>
              </w:rPr>
            </w:pPr>
            <w:r w:rsidRPr="001766B9">
              <w:rPr>
                <w:color w:val="000000"/>
                <w:sz w:val="21"/>
                <w:szCs w:val="21"/>
              </w:rPr>
              <w:t>22.2</w:t>
            </w:r>
          </w:p>
        </w:tc>
        <w:tc>
          <w:tcPr>
            <w:tcW w:w="990" w:type="dxa"/>
            <w:tcBorders>
              <w:top w:val="nil"/>
              <w:left w:val="nil"/>
              <w:bottom w:val="nil"/>
              <w:right w:val="single" w:sz="8" w:space="0" w:color="000000"/>
            </w:tcBorders>
            <w:shd w:val="clear" w:color="000000" w:fill="FFFFFF"/>
            <w:vAlign w:val="center"/>
            <w:hideMark/>
          </w:tcPr>
          <w:p w14:paraId="2E2EA736" w14:textId="77777777" w:rsidR="007B5B15" w:rsidRPr="001766B9" w:rsidRDefault="007B5B15" w:rsidP="005C565E">
            <w:pPr>
              <w:jc w:val="center"/>
              <w:rPr>
                <w:color w:val="000000"/>
                <w:sz w:val="21"/>
                <w:szCs w:val="21"/>
              </w:rPr>
            </w:pPr>
            <w:r w:rsidRPr="001766B9">
              <w:rPr>
                <w:color w:val="000000"/>
                <w:sz w:val="21"/>
                <w:szCs w:val="21"/>
              </w:rPr>
              <w:t>15.8</w:t>
            </w:r>
          </w:p>
        </w:tc>
      </w:tr>
      <w:tr w:rsidR="007B5B15" w:rsidRPr="001766B9" w14:paraId="63AA8F86" w14:textId="77777777" w:rsidTr="001766B9">
        <w:trPr>
          <w:gridAfter w:val="1"/>
          <w:wAfter w:w="8" w:type="dxa"/>
          <w:trHeight w:val="288"/>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58F3771E" w14:textId="77777777" w:rsidR="007B5B15" w:rsidRPr="001766B9" w:rsidRDefault="007B5B15" w:rsidP="005C565E">
            <w:pPr>
              <w:rPr>
                <w:color w:val="000000"/>
                <w:sz w:val="21"/>
                <w:szCs w:val="21"/>
              </w:rPr>
            </w:pPr>
            <w:r w:rsidRPr="001766B9">
              <w:rPr>
                <w:color w:val="000000"/>
                <w:sz w:val="21"/>
                <w:szCs w:val="21"/>
              </w:rPr>
              <w:t xml:space="preserve">  Less  </w:t>
            </w:r>
          </w:p>
        </w:tc>
        <w:tc>
          <w:tcPr>
            <w:tcW w:w="1377" w:type="dxa"/>
            <w:tcBorders>
              <w:top w:val="nil"/>
              <w:left w:val="nil"/>
              <w:bottom w:val="single" w:sz="8" w:space="0" w:color="000000"/>
              <w:right w:val="nil"/>
            </w:tcBorders>
            <w:shd w:val="clear" w:color="000000" w:fill="FFFFFF"/>
            <w:vAlign w:val="center"/>
            <w:hideMark/>
          </w:tcPr>
          <w:p w14:paraId="0F2D9610" w14:textId="77777777" w:rsidR="007B5B15" w:rsidRPr="001766B9" w:rsidRDefault="007B5B15" w:rsidP="005C565E">
            <w:pPr>
              <w:rPr>
                <w:color w:val="000000"/>
                <w:sz w:val="21"/>
                <w:szCs w:val="21"/>
              </w:rPr>
            </w:pPr>
            <w:r w:rsidRPr="001766B9">
              <w:rPr>
                <w:color w:val="000000"/>
                <w:sz w:val="21"/>
                <w:szCs w:val="21"/>
              </w:rPr>
              <w:t xml:space="preserve">Temporary </w:t>
            </w:r>
          </w:p>
        </w:tc>
        <w:tc>
          <w:tcPr>
            <w:tcW w:w="937" w:type="dxa"/>
            <w:tcBorders>
              <w:top w:val="nil"/>
              <w:left w:val="single" w:sz="8" w:space="0" w:color="auto"/>
              <w:bottom w:val="single" w:sz="8" w:space="0" w:color="auto"/>
              <w:right w:val="nil"/>
            </w:tcBorders>
            <w:shd w:val="clear" w:color="000000" w:fill="FFFFFF"/>
            <w:vAlign w:val="center"/>
            <w:hideMark/>
          </w:tcPr>
          <w:p w14:paraId="62E2A752" w14:textId="77777777" w:rsidR="007B5B15" w:rsidRPr="001766B9" w:rsidRDefault="007B5B15" w:rsidP="005C565E">
            <w:pPr>
              <w:jc w:val="center"/>
              <w:rPr>
                <w:color w:val="000000"/>
                <w:sz w:val="21"/>
                <w:szCs w:val="21"/>
              </w:rPr>
            </w:pPr>
            <w:r w:rsidRPr="001766B9">
              <w:rPr>
                <w:color w:val="000000"/>
                <w:sz w:val="21"/>
                <w:szCs w:val="21"/>
              </w:rPr>
              <w:t>1,121</w:t>
            </w:r>
          </w:p>
        </w:tc>
        <w:tc>
          <w:tcPr>
            <w:tcW w:w="1106" w:type="dxa"/>
            <w:tcBorders>
              <w:top w:val="nil"/>
              <w:left w:val="nil"/>
              <w:bottom w:val="single" w:sz="8" w:space="0" w:color="auto"/>
              <w:right w:val="single" w:sz="8" w:space="0" w:color="auto"/>
            </w:tcBorders>
            <w:shd w:val="clear" w:color="000000" w:fill="FFFFFF"/>
            <w:vAlign w:val="center"/>
            <w:hideMark/>
          </w:tcPr>
          <w:p w14:paraId="2C39E7E1" w14:textId="77777777" w:rsidR="007B5B15" w:rsidRPr="001766B9" w:rsidRDefault="007B5B15" w:rsidP="005C565E">
            <w:pPr>
              <w:jc w:val="center"/>
              <w:rPr>
                <w:color w:val="000000"/>
                <w:sz w:val="21"/>
                <w:szCs w:val="21"/>
              </w:rPr>
            </w:pPr>
            <w:r w:rsidRPr="001766B9">
              <w:rPr>
                <w:color w:val="000000"/>
                <w:sz w:val="21"/>
                <w:szCs w:val="21"/>
              </w:rPr>
              <w:t>15.8</w:t>
            </w:r>
          </w:p>
        </w:tc>
        <w:tc>
          <w:tcPr>
            <w:tcW w:w="1080" w:type="dxa"/>
            <w:gridSpan w:val="2"/>
            <w:tcBorders>
              <w:top w:val="nil"/>
              <w:left w:val="nil"/>
              <w:bottom w:val="single" w:sz="8" w:space="0" w:color="000000"/>
              <w:right w:val="nil"/>
            </w:tcBorders>
            <w:shd w:val="clear" w:color="000000" w:fill="FFFFFF"/>
            <w:vAlign w:val="center"/>
            <w:hideMark/>
          </w:tcPr>
          <w:p w14:paraId="44817C94" w14:textId="77777777" w:rsidR="007B5B15" w:rsidRPr="001766B9" w:rsidRDefault="007B5B15" w:rsidP="005C565E">
            <w:pPr>
              <w:jc w:val="center"/>
              <w:rPr>
                <w:color w:val="000000"/>
                <w:sz w:val="21"/>
                <w:szCs w:val="21"/>
              </w:rPr>
            </w:pPr>
            <w:r w:rsidRPr="001766B9">
              <w:rPr>
                <w:color w:val="000000"/>
                <w:sz w:val="21"/>
                <w:szCs w:val="21"/>
              </w:rPr>
              <w:t>19.7</w:t>
            </w:r>
          </w:p>
        </w:tc>
        <w:tc>
          <w:tcPr>
            <w:tcW w:w="990" w:type="dxa"/>
            <w:tcBorders>
              <w:top w:val="nil"/>
              <w:left w:val="nil"/>
              <w:bottom w:val="single" w:sz="8" w:space="0" w:color="000000"/>
              <w:right w:val="single" w:sz="8" w:space="0" w:color="000000"/>
            </w:tcBorders>
            <w:shd w:val="clear" w:color="000000" w:fill="FFFFFF"/>
            <w:vAlign w:val="center"/>
            <w:hideMark/>
          </w:tcPr>
          <w:p w14:paraId="36950B70" w14:textId="77777777" w:rsidR="007B5B15" w:rsidRPr="001766B9" w:rsidRDefault="007B5B15" w:rsidP="005C565E">
            <w:pPr>
              <w:jc w:val="center"/>
              <w:rPr>
                <w:color w:val="000000"/>
                <w:sz w:val="21"/>
                <w:szCs w:val="21"/>
              </w:rPr>
            </w:pPr>
            <w:r w:rsidRPr="001766B9">
              <w:rPr>
                <w:color w:val="000000"/>
                <w:sz w:val="21"/>
                <w:szCs w:val="21"/>
              </w:rPr>
              <w:t>24.4</w:t>
            </w:r>
          </w:p>
        </w:tc>
        <w:tc>
          <w:tcPr>
            <w:tcW w:w="1170" w:type="dxa"/>
            <w:gridSpan w:val="2"/>
            <w:tcBorders>
              <w:top w:val="nil"/>
              <w:left w:val="nil"/>
              <w:bottom w:val="single" w:sz="8" w:space="0" w:color="000000"/>
              <w:right w:val="nil"/>
            </w:tcBorders>
            <w:shd w:val="clear" w:color="000000" w:fill="FFFFFF"/>
            <w:vAlign w:val="center"/>
            <w:hideMark/>
          </w:tcPr>
          <w:p w14:paraId="0EE4A115" w14:textId="77777777" w:rsidR="007B5B15" w:rsidRPr="001766B9" w:rsidRDefault="007B5B15" w:rsidP="005C565E">
            <w:pPr>
              <w:jc w:val="center"/>
              <w:rPr>
                <w:color w:val="000000"/>
                <w:sz w:val="21"/>
                <w:szCs w:val="21"/>
              </w:rPr>
            </w:pPr>
            <w:r w:rsidRPr="001766B9">
              <w:rPr>
                <w:color w:val="000000"/>
                <w:sz w:val="21"/>
                <w:szCs w:val="21"/>
              </w:rPr>
              <w:t>20.1</w:t>
            </w:r>
          </w:p>
        </w:tc>
        <w:tc>
          <w:tcPr>
            <w:tcW w:w="990" w:type="dxa"/>
            <w:tcBorders>
              <w:top w:val="nil"/>
              <w:left w:val="nil"/>
              <w:bottom w:val="single" w:sz="8" w:space="0" w:color="000000"/>
              <w:right w:val="single" w:sz="8" w:space="0" w:color="000000"/>
            </w:tcBorders>
            <w:shd w:val="clear" w:color="000000" w:fill="FFFFFF"/>
            <w:vAlign w:val="center"/>
            <w:hideMark/>
          </w:tcPr>
          <w:p w14:paraId="74044A7D" w14:textId="77777777" w:rsidR="007B5B15" w:rsidRPr="001766B9" w:rsidRDefault="007B5B15" w:rsidP="005C565E">
            <w:pPr>
              <w:jc w:val="center"/>
              <w:rPr>
                <w:color w:val="000000"/>
                <w:sz w:val="21"/>
                <w:szCs w:val="21"/>
              </w:rPr>
            </w:pPr>
            <w:r w:rsidRPr="001766B9">
              <w:rPr>
                <w:color w:val="000000"/>
                <w:sz w:val="21"/>
                <w:szCs w:val="21"/>
              </w:rPr>
              <w:t>26.7</w:t>
            </w:r>
          </w:p>
        </w:tc>
      </w:tr>
      <w:tr w:rsidR="007B5B15" w:rsidRPr="001766B9" w14:paraId="03574DB6" w14:textId="77777777" w:rsidTr="007D0895">
        <w:trPr>
          <w:trHeight w:val="288"/>
        </w:trPr>
        <w:tc>
          <w:tcPr>
            <w:tcW w:w="4868"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50FA19" w14:textId="77777777" w:rsidR="007B5B15" w:rsidRPr="001766B9" w:rsidRDefault="007B5B15" w:rsidP="005C565E">
            <w:pPr>
              <w:rPr>
                <w:b/>
                <w:bCs/>
                <w:color w:val="000000"/>
                <w:sz w:val="21"/>
                <w:szCs w:val="21"/>
              </w:rPr>
            </w:pPr>
            <w:r w:rsidRPr="001766B9">
              <w:rPr>
                <w:b/>
                <w:bCs/>
                <w:color w:val="000000"/>
                <w:sz w:val="21"/>
                <w:szCs w:val="21"/>
              </w:rPr>
              <w:t xml:space="preserve">Weighted Absolute Percent Error (%) </w:t>
            </w:r>
          </w:p>
        </w:tc>
        <w:tc>
          <w:tcPr>
            <w:tcW w:w="2070" w:type="dxa"/>
            <w:gridSpan w:val="3"/>
            <w:tcBorders>
              <w:top w:val="single" w:sz="8" w:space="0" w:color="000000"/>
              <w:left w:val="nil"/>
              <w:bottom w:val="single" w:sz="8" w:space="0" w:color="000000"/>
              <w:right w:val="single" w:sz="8" w:space="0" w:color="000000"/>
            </w:tcBorders>
            <w:shd w:val="clear" w:color="auto" w:fill="auto"/>
            <w:vAlign w:val="center"/>
            <w:hideMark/>
          </w:tcPr>
          <w:p w14:paraId="3A975292" w14:textId="77777777" w:rsidR="007B5B15" w:rsidRPr="001766B9" w:rsidRDefault="007B5B15" w:rsidP="005C565E">
            <w:pPr>
              <w:jc w:val="center"/>
              <w:rPr>
                <w:b/>
                <w:bCs/>
                <w:color w:val="000000"/>
                <w:sz w:val="21"/>
                <w:szCs w:val="21"/>
              </w:rPr>
            </w:pPr>
            <w:r w:rsidRPr="001766B9">
              <w:rPr>
                <w:b/>
                <w:bCs/>
                <w:color w:val="000000"/>
                <w:sz w:val="21"/>
                <w:szCs w:val="21"/>
              </w:rPr>
              <w:t>9.1</w:t>
            </w:r>
          </w:p>
        </w:tc>
        <w:tc>
          <w:tcPr>
            <w:tcW w:w="2160" w:type="dxa"/>
            <w:gridSpan w:val="3"/>
            <w:tcBorders>
              <w:top w:val="single" w:sz="8" w:space="0" w:color="000000"/>
              <w:left w:val="nil"/>
              <w:bottom w:val="single" w:sz="8" w:space="0" w:color="000000"/>
              <w:right w:val="single" w:sz="8" w:space="0" w:color="000000"/>
            </w:tcBorders>
            <w:shd w:val="clear" w:color="auto" w:fill="auto"/>
            <w:vAlign w:val="center"/>
            <w:hideMark/>
          </w:tcPr>
          <w:p w14:paraId="5A477B70" w14:textId="77777777" w:rsidR="007B5B15" w:rsidRPr="001766B9" w:rsidRDefault="007B5B15" w:rsidP="005C565E">
            <w:pPr>
              <w:jc w:val="center"/>
              <w:rPr>
                <w:b/>
                <w:bCs/>
                <w:color w:val="000000"/>
                <w:sz w:val="21"/>
                <w:szCs w:val="21"/>
              </w:rPr>
            </w:pPr>
            <w:r w:rsidRPr="001766B9">
              <w:rPr>
                <w:b/>
                <w:bCs/>
                <w:color w:val="000000"/>
                <w:sz w:val="21"/>
                <w:szCs w:val="21"/>
              </w:rPr>
              <w:t>10.6</w:t>
            </w:r>
          </w:p>
        </w:tc>
      </w:tr>
    </w:tbl>
    <w:p w14:paraId="2CCD9575" w14:textId="216D3245" w:rsidR="00F1489E" w:rsidRPr="00425F23" w:rsidRDefault="00F1489E" w:rsidP="00F73801">
      <w:pPr>
        <w:rPr>
          <w:color w:val="222222"/>
        </w:rPr>
      </w:pPr>
    </w:p>
    <w:p w14:paraId="6C8CC95A" w14:textId="59C9C451" w:rsidR="00537EB8" w:rsidRPr="00425F23" w:rsidRDefault="00537EB8" w:rsidP="00C67E12">
      <w:pPr>
        <w:pStyle w:val="NormalWeb"/>
        <w:shd w:val="clear" w:color="auto" w:fill="FFFFFF"/>
        <w:spacing w:before="0" w:beforeAutospacing="0" w:after="0" w:afterAutospacing="0"/>
        <w:jc w:val="both"/>
        <w:rPr>
          <w:b/>
          <w:bCs/>
          <w:color w:val="222222"/>
        </w:rPr>
      </w:pPr>
      <w:r w:rsidRPr="00425F23">
        <w:rPr>
          <w:b/>
          <w:bCs/>
          <w:color w:val="222222"/>
        </w:rPr>
        <w:t xml:space="preserve">5. </w:t>
      </w:r>
      <w:r w:rsidR="007310EF" w:rsidRPr="00425F23">
        <w:rPr>
          <w:b/>
          <w:bCs/>
          <w:color w:val="222222"/>
        </w:rPr>
        <w:t>IMPLICATIONS</w:t>
      </w:r>
    </w:p>
    <w:p w14:paraId="6218BF8A" w14:textId="39D179FC" w:rsidR="000E3CE6" w:rsidRDefault="002142EB" w:rsidP="00C67E12">
      <w:pPr>
        <w:jc w:val="both"/>
        <w:rPr>
          <w:color w:val="222222"/>
        </w:rPr>
      </w:pPr>
      <w:r>
        <w:t>T</w:t>
      </w:r>
      <w:r w:rsidR="006F00C0" w:rsidRPr="00425F23">
        <w:t xml:space="preserve">he results presented in the previous section </w:t>
      </w:r>
      <w:r>
        <w:t xml:space="preserve">provide the exogenous variable effects on </w:t>
      </w:r>
      <w:r w:rsidR="007F432D">
        <w:t xml:space="preserve">the </w:t>
      </w:r>
      <w:r w:rsidR="00A3481D">
        <w:t>utilities of</w:t>
      </w:r>
      <w:r>
        <w:t xml:space="preserve"> the alternatives characterizing PT use change and on the propensity of permanency of the use change. But </w:t>
      </w:r>
      <w:r w:rsidR="006F00C0" w:rsidRPr="00425F23">
        <w:t xml:space="preserve">they do not </w:t>
      </w:r>
      <w:r>
        <w:t>provide</w:t>
      </w:r>
      <w:r w:rsidR="006F00C0" w:rsidRPr="00425F23">
        <w:t xml:space="preserve"> the magnitude of the effects of each of the exogenous variables on </w:t>
      </w:r>
      <w:r>
        <w:t>PT use change behavior and permanency</w:t>
      </w:r>
      <w:r w:rsidR="006F00C0" w:rsidRPr="00425F23">
        <w:t xml:space="preserve">. To </w:t>
      </w:r>
      <w:r>
        <w:t xml:space="preserve">do so, we compute </w:t>
      </w:r>
      <w:r w:rsidR="006F00C0" w:rsidRPr="00425F23">
        <w:t xml:space="preserve">the </w:t>
      </w:r>
      <w:r>
        <w:t>a</w:t>
      </w:r>
      <w:r w:rsidR="006F00C0" w:rsidRPr="00425F23">
        <w:t xml:space="preserve">verage </w:t>
      </w:r>
      <w:r>
        <w:t>t</w:t>
      </w:r>
      <w:r w:rsidR="006F00C0" w:rsidRPr="00425F23">
        <w:t xml:space="preserve">reatment </w:t>
      </w:r>
      <w:r>
        <w:t>e</w:t>
      </w:r>
      <w:r w:rsidR="006F00C0" w:rsidRPr="00425F23">
        <w:t xml:space="preserve">ffects (ATEs) </w:t>
      </w:r>
      <w:r w:rsidR="006F00C0" w:rsidRPr="00425F23">
        <w:fldChar w:fldCharType="begin"/>
      </w:r>
      <w:r w:rsidR="005C565E">
        <w:instrText xml:space="preserve"> ADDIN ZOTERO_ITEM CSL_CITATION {"citationID":"jP1y4vjA","properties":{"formattedCitation":"(Angrist and Imbens, 1991; Heckman and Vytlacil, 2000)","plainCitation":"(Angrist and Imbens, 1991; Heckman and Vytlacil, 2000)","noteIndex":0},"citationItems":[{"id":248,"uris":["http://zotero.org/groups/5345474/items/L4YNG3U6"],"itemData":{"id":248,"type":"article","abstract":"The average effect of social programs on outcomes such as earnings is a parameter of primary interest in econometric evaluations studies. New results on using exclusion restrictions to identify and estimate average treatment effects are presented. Identification is achieved given a minimum of parametric assumptions, initially without reference to a latent index framework. Most econometric analyses of evaluation models motivate identifying assumptions using models of individual behavior. Our technical conditions do not fit easily into a conventional discrete choice framework, rather they fit into a framework where the source of identifying information is institutional knowledge regarding program administration. This framework also suggests an attractive experimental design for research using human subjects, in which eligible participants need not be denied treatment. We present a simple instrumental variables estimator for the average effect of treatment on program participants, and show that the estimator attains Chamberlain's semi-parametric efficiency bound. The bias of estimators that satisfy only exclusion restrictions is also considered.","event-place":"Rochester, NY","genre":"SSRN Scholarly Paper","language":"en","number":"254518","publisher-place":"Rochester, NY","source":"Social Science Research Network","title":"Sources of Identifying Information in Evaluation Models","URL":"https://papers.ssrn.com/abstract=254518","author":[{"family":"Angrist","given":"Joshua D."},{"family":"Imbens","given":"Guido W."}],"accessed":{"date-parts":[["2024",5,14]]},"issued":{"date-parts":[["1991",12,1]]}}},{"id":250,"uris":["http://zotero.org/groups/5345474/items/EZVHLZ9Q"],"itemData":{"id":250,"type":"article-journal","abstract":"If responses to a treatment vary among people, a variety of parameters can be defined [Heckman, J., Robb, R. 1985. Alternative methods for evaluating the impact of interventions. In: Heckman J., Singer B. (Eds.), Longitudinal Analysis of Labor Market Data. Cambridge University Press, New York, pp. 156–245; Heckman, J., 1997, first draft 1995, Instrumental variables: a study of implicit behavioral assumptions used in making program evaluations. Journal of Human Resources 32, 441–462]. We show a simple relationship between various treatment parameters when the treatment parameters are defined within a common, latent variable framework.","container-title":"Economics Letters","DOI":"10.1016/S0165-1765(99)00181-0","ISSN":"0165-1765","issue":"1","journalAbbreviation":"Economics Letters","page":"33-39","source":"ScienceDirect","title":"The relationship between treatment parameters within a latent variable framework","URL":"https://www.sciencedirect.com/science/article/pii/S0165176599001810","volume":"66","author":[{"family":"Heckman","given":"James J."},{"family":"Vytlacil","given":"Edward J."}],"accessed":{"date-parts":[["2024",5,14]]},"issued":{"date-parts":[["2000",1,1]]}}}],"schema":"https://github.com/citation-style-language/schema/raw/master/csl-citation.json"} </w:instrText>
      </w:r>
      <w:r w:rsidR="006F00C0" w:rsidRPr="00425F23">
        <w:fldChar w:fldCharType="separate"/>
      </w:r>
      <w:r w:rsidR="006F00C0" w:rsidRPr="00425F23">
        <w:rPr>
          <w:noProof/>
        </w:rPr>
        <w:t>(Angrist and Imbens, 1991; Heckman and Vytlacil, 2000)</w:t>
      </w:r>
      <w:r w:rsidR="006F00C0" w:rsidRPr="00425F23">
        <w:fldChar w:fldCharType="end"/>
      </w:r>
      <w:r w:rsidR="006F00C0" w:rsidRPr="00425F23">
        <w:t xml:space="preserve">. </w:t>
      </w:r>
      <w:r w:rsidR="006779FB">
        <w:t>Essentially, we set each exogenous variable to a base state for each individual (while keeping the values of all other variables to be the same for each individual)</w:t>
      </w:r>
      <w:r w:rsidR="00A3481D">
        <w:t xml:space="preserve">. Next, we </w:t>
      </w:r>
      <w:r w:rsidR="0022591C">
        <w:t xml:space="preserve">compute </w:t>
      </w:r>
      <w:r w:rsidR="006779FB">
        <w:t>the probabilities of the five combinations of use change and permanency at the individual</w:t>
      </w:r>
      <w:r w:rsidR="00A73FD2">
        <w:t xml:space="preserve"> </w:t>
      </w:r>
      <w:r w:rsidR="00367252">
        <w:t>level and</w:t>
      </w:r>
      <w:r w:rsidR="006779FB">
        <w:t xml:space="preserve"> </w:t>
      </w:r>
      <w:r w:rsidR="0022591C">
        <w:t>aggregate across individuals to get</w:t>
      </w:r>
      <w:r w:rsidR="006779FB">
        <w:t xml:space="preserve"> predicted shares of each combination. The above procedure is then repeated by changing the exogenous variable from the base state to a “treatment” state</w:t>
      </w:r>
      <w:r w:rsidR="00CB1777">
        <w:t xml:space="preserve">. This is then </w:t>
      </w:r>
      <w:r w:rsidR="006779FB">
        <w:t xml:space="preserve">followed by the computation of the change from the base share </w:t>
      </w:r>
      <w:r w:rsidR="004F58B6">
        <w:t xml:space="preserve">(in percentage terms) </w:t>
      </w:r>
      <w:r w:rsidR="006779FB">
        <w:t>to the treatment share</w:t>
      </w:r>
      <w:r w:rsidR="004F58B6">
        <w:t xml:space="preserve"> (in percentage terms)</w:t>
      </w:r>
      <w:r w:rsidR="006779FB">
        <w:t xml:space="preserve">. </w:t>
      </w:r>
      <w:r w:rsidR="00FB1AA2">
        <w:t>Such</w:t>
      </w:r>
      <w:r w:rsidR="00D139FA">
        <w:t xml:space="preserve"> </w:t>
      </w:r>
      <w:r w:rsidR="00FB1AA2">
        <w:t xml:space="preserve">ATEs can be computed for a change of an exogenous variable from any base state to any treatment state, though we will focus here on changes corresponding to only one selected pair when there are multiple states characterizing an exogenous variable. </w:t>
      </w:r>
      <w:r w:rsidR="00033B86" w:rsidRPr="00425F23">
        <w:t>Thes</w:t>
      </w:r>
      <w:r w:rsidR="00D139FA">
        <w:t xml:space="preserve">e </w:t>
      </w:r>
      <w:r w:rsidR="006779FB">
        <w:t xml:space="preserve">ATE </w:t>
      </w:r>
      <w:r w:rsidR="006779FB">
        <w:lastRenderedPageBreak/>
        <w:t>effects are presented in Table 6.</w:t>
      </w:r>
      <w:r w:rsidR="00D0142A">
        <w:t xml:space="preserve"> </w:t>
      </w:r>
      <w:r w:rsidR="00A73FD2">
        <w:t>For instance,</w:t>
      </w:r>
      <w:r w:rsidR="004F58B6">
        <w:t xml:space="preserve"> consider the entry of “5.9” for the “use public transit less often” and “permanent” column for the age variable. This entry indicates that</w:t>
      </w:r>
      <w:r w:rsidR="00367252">
        <w:t xml:space="preserve">, </w:t>
      </w:r>
      <w:r w:rsidR="00A73FD2">
        <w:t>in a group of 100</w:t>
      </w:r>
      <w:r w:rsidR="004F58B6">
        <w:t xml:space="preserve"> individuals </w:t>
      </w:r>
      <w:r w:rsidR="007341E1">
        <w:t xml:space="preserve">aged 65 years or more, one can expect about six more individuals to use public transit less after the pandemic relative to in a group of 100 individuals who are younger than </w:t>
      </w:r>
      <w:r w:rsidR="00A11019">
        <w:t>35</w:t>
      </w:r>
      <w:r w:rsidR="007341E1">
        <w:t xml:space="preserve"> years.</w:t>
      </w:r>
      <w:r w:rsidR="003C7F81">
        <w:t xml:space="preserve"> </w:t>
      </w:r>
      <w:r w:rsidR="005122D3">
        <w:t xml:space="preserve">Other ATEs may be similarly interpreted. </w:t>
      </w:r>
      <w:r w:rsidR="004954E6">
        <w:t xml:space="preserve">Further, to </w:t>
      </w:r>
      <w:r w:rsidR="008E2593">
        <w:t>calculate standard errors for the average treatment effects</w:t>
      </w:r>
      <w:r w:rsidR="00D42B73">
        <w:t>,</w:t>
      </w:r>
      <w:r w:rsidR="00265C26">
        <w:t xml:space="preserve"> we take </w:t>
      </w:r>
      <w:r w:rsidR="00533F6B">
        <w:t>bootstrap</w:t>
      </w:r>
      <w:r w:rsidR="00265C26">
        <w:t xml:space="preserve"> draws from the </w:t>
      </w:r>
      <w:r w:rsidR="00533F6B">
        <w:t xml:space="preserve">multivariate sampling distribution of the </w:t>
      </w:r>
      <w:r w:rsidR="00D41502">
        <w:t xml:space="preserve">estimator for the </w:t>
      </w:r>
      <w:r w:rsidR="00533F6B">
        <w:t>model parameters and compute the ATE for each draw (using the same procedure described above)</w:t>
      </w:r>
      <w:r w:rsidR="0077527E">
        <w:t>. The standard errors presented in parentheses in Table 6 are the standard deviations of the ATE calculations across these bootstrap draws</w:t>
      </w:r>
      <w:r w:rsidR="002E7D05">
        <w:t xml:space="preserve">. </w:t>
      </w:r>
      <w:r w:rsidR="00D42B73">
        <w:t>As may be observed</w:t>
      </w:r>
      <w:r w:rsidR="00D41502">
        <w:t xml:space="preserve"> from Table 6</w:t>
      </w:r>
      <w:r w:rsidR="00D42B73">
        <w:t xml:space="preserve">, almost all the ATE effects are </w:t>
      </w:r>
      <w:r w:rsidR="00D41502">
        <w:t>different from zero</w:t>
      </w:r>
      <w:r w:rsidR="00D42B73">
        <w:t xml:space="preserve"> at the 90% confidence level </w:t>
      </w:r>
      <w:r w:rsidR="00D41502">
        <w:t xml:space="preserve">or higher. </w:t>
      </w:r>
      <w:r w:rsidR="00DC4257" w:rsidRPr="00425F23">
        <w:t>T</w:t>
      </w:r>
      <w:r w:rsidR="00DE50D3" w:rsidRPr="00425F23">
        <w:t>he remainder of this section</w:t>
      </w:r>
      <w:r w:rsidR="001D114B" w:rsidRPr="00425F23">
        <w:t xml:space="preserve"> will</w:t>
      </w:r>
      <w:r w:rsidR="00DE50D3" w:rsidRPr="00425F23">
        <w:t xml:space="preserve"> discuss these ATEs selectively, focusing on implications for </w:t>
      </w:r>
      <w:r w:rsidR="00DE50D3" w:rsidRPr="00425F23">
        <w:rPr>
          <w:color w:val="222222"/>
        </w:rPr>
        <w:t xml:space="preserve">government </w:t>
      </w:r>
      <w:r w:rsidR="00076E15" w:rsidRPr="00425F23">
        <w:rPr>
          <w:color w:val="222222"/>
        </w:rPr>
        <w:t>policies</w:t>
      </w:r>
      <w:r w:rsidR="00DE50D3" w:rsidRPr="00425F23">
        <w:rPr>
          <w:color w:val="222222"/>
        </w:rPr>
        <w:t xml:space="preserve">, public transit services, and travel demand modeling. </w:t>
      </w:r>
    </w:p>
    <w:p w14:paraId="6976A326" w14:textId="5A491455" w:rsidR="000F6BE9" w:rsidRDefault="000F6BE9" w:rsidP="00C67E12">
      <w:pPr>
        <w:jc w:val="both"/>
        <w:rPr>
          <w:color w:val="222222"/>
        </w:rPr>
      </w:pPr>
    </w:p>
    <w:p w14:paraId="1F5AE4EC" w14:textId="77777777" w:rsidR="001766B9" w:rsidRPr="00A00197" w:rsidRDefault="001766B9" w:rsidP="001766B9">
      <w:pPr>
        <w:spacing w:after="120"/>
        <w:rPr>
          <w:b/>
          <w:color w:val="000000"/>
        </w:rPr>
      </w:pPr>
      <w:r w:rsidRPr="00A00197">
        <w:rPr>
          <w:b/>
          <w:color w:val="000000"/>
        </w:rPr>
        <w:t xml:space="preserve">Table 6: Average Treatment Effects </w:t>
      </w:r>
    </w:p>
    <w:tbl>
      <w:tblPr>
        <w:tblW w:w="9301" w:type="dxa"/>
        <w:tblCellMar>
          <w:left w:w="58" w:type="dxa"/>
          <w:right w:w="58" w:type="dxa"/>
        </w:tblCellMar>
        <w:tblLook w:val="04A0" w:firstRow="1" w:lastRow="0" w:firstColumn="1" w:lastColumn="0" w:noHBand="0" w:noVBand="1"/>
      </w:tblPr>
      <w:tblGrid>
        <w:gridCol w:w="1815"/>
        <w:gridCol w:w="1249"/>
        <w:gridCol w:w="1066"/>
        <w:gridCol w:w="1080"/>
        <w:gridCol w:w="1005"/>
        <w:gridCol w:w="1091"/>
        <w:gridCol w:w="982"/>
        <w:gridCol w:w="1013"/>
      </w:tblGrid>
      <w:tr w:rsidR="001766B9" w:rsidRPr="001766B9" w14:paraId="4189188F" w14:textId="77777777" w:rsidTr="001766B9">
        <w:trPr>
          <w:trHeight w:val="288"/>
        </w:trPr>
        <w:tc>
          <w:tcPr>
            <w:tcW w:w="181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D0CE428" w14:textId="77777777" w:rsidR="001766B9" w:rsidRPr="001766B9" w:rsidRDefault="001766B9" w:rsidP="00061C8E">
            <w:pPr>
              <w:rPr>
                <w:color w:val="000000"/>
                <w:sz w:val="20"/>
                <w:szCs w:val="20"/>
              </w:rPr>
            </w:pPr>
            <w:r w:rsidRPr="001766B9">
              <w:rPr>
                <w:color w:val="000000"/>
                <w:sz w:val="20"/>
                <w:szCs w:val="20"/>
              </w:rPr>
              <w:t xml:space="preserve">Variable </w:t>
            </w:r>
          </w:p>
        </w:tc>
        <w:tc>
          <w:tcPr>
            <w:tcW w:w="1249"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7299DC19" w14:textId="77777777" w:rsidR="001766B9" w:rsidRPr="001766B9" w:rsidRDefault="001766B9" w:rsidP="00061C8E">
            <w:pPr>
              <w:rPr>
                <w:color w:val="000000"/>
                <w:sz w:val="20"/>
                <w:szCs w:val="20"/>
              </w:rPr>
            </w:pPr>
            <w:r w:rsidRPr="001766B9">
              <w:rPr>
                <w:color w:val="000000"/>
                <w:sz w:val="20"/>
                <w:szCs w:val="20"/>
              </w:rPr>
              <w:t xml:space="preserve">Base Level </w:t>
            </w:r>
          </w:p>
        </w:tc>
        <w:tc>
          <w:tcPr>
            <w:tcW w:w="1066"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139D97CE" w14:textId="77777777" w:rsidR="001766B9" w:rsidRPr="001766B9" w:rsidRDefault="001766B9" w:rsidP="00061C8E">
            <w:pPr>
              <w:rPr>
                <w:color w:val="000000"/>
                <w:sz w:val="20"/>
                <w:szCs w:val="20"/>
              </w:rPr>
            </w:pPr>
            <w:r w:rsidRPr="001766B9">
              <w:rPr>
                <w:color w:val="000000"/>
                <w:sz w:val="20"/>
                <w:szCs w:val="20"/>
              </w:rPr>
              <w:t xml:space="preserve">Treatment Level </w:t>
            </w:r>
          </w:p>
        </w:tc>
        <w:tc>
          <w:tcPr>
            <w:tcW w:w="2082" w:type="dxa"/>
            <w:gridSpan w:val="2"/>
            <w:tcBorders>
              <w:top w:val="single" w:sz="8" w:space="0" w:color="auto"/>
              <w:left w:val="nil"/>
              <w:bottom w:val="single" w:sz="8" w:space="0" w:color="000000"/>
              <w:right w:val="single" w:sz="8" w:space="0" w:color="000000"/>
            </w:tcBorders>
            <w:shd w:val="clear" w:color="000000" w:fill="FFFFFF"/>
            <w:vAlign w:val="center"/>
            <w:hideMark/>
          </w:tcPr>
          <w:p w14:paraId="1FD582E5" w14:textId="77777777" w:rsidR="001766B9" w:rsidRPr="001766B9" w:rsidRDefault="001766B9" w:rsidP="00061C8E">
            <w:pPr>
              <w:jc w:val="center"/>
              <w:rPr>
                <w:color w:val="000000"/>
                <w:sz w:val="20"/>
                <w:szCs w:val="20"/>
              </w:rPr>
            </w:pPr>
            <w:r w:rsidRPr="001766B9">
              <w:rPr>
                <w:color w:val="000000"/>
                <w:sz w:val="20"/>
                <w:szCs w:val="20"/>
              </w:rPr>
              <w:t xml:space="preserve">Use PT Less Often </w:t>
            </w:r>
          </w:p>
        </w:tc>
        <w:tc>
          <w:tcPr>
            <w:tcW w:w="1091" w:type="dxa"/>
            <w:vMerge w:val="restart"/>
            <w:tcBorders>
              <w:top w:val="single" w:sz="8" w:space="0" w:color="auto"/>
              <w:left w:val="single" w:sz="8" w:space="0" w:color="000000"/>
              <w:right w:val="single" w:sz="8" w:space="0" w:color="000000"/>
            </w:tcBorders>
            <w:shd w:val="clear" w:color="000000" w:fill="FFFFFF"/>
            <w:vAlign w:val="center"/>
            <w:hideMark/>
          </w:tcPr>
          <w:p w14:paraId="5D0B427D" w14:textId="77777777" w:rsidR="001766B9" w:rsidRPr="001766B9" w:rsidRDefault="001766B9" w:rsidP="00061C8E">
            <w:pPr>
              <w:jc w:val="center"/>
              <w:rPr>
                <w:color w:val="000000"/>
                <w:sz w:val="20"/>
                <w:szCs w:val="20"/>
              </w:rPr>
            </w:pPr>
            <w:r w:rsidRPr="001766B9">
              <w:rPr>
                <w:color w:val="000000"/>
                <w:sz w:val="20"/>
                <w:szCs w:val="20"/>
              </w:rPr>
              <w:t xml:space="preserve">Use PT the Same </w:t>
            </w:r>
          </w:p>
        </w:tc>
        <w:tc>
          <w:tcPr>
            <w:tcW w:w="1995" w:type="dxa"/>
            <w:gridSpan w:val="2"/>
            <w:tcBorders>
              <w:top w:val="single" w:sz="8" w:space="0" w:color="auto"/>
              <w:left w:val="nil"/>
              <w:bottom w:val="single" w:sz="8" w:space="0" w:color="000000"/>
              <w:right w:val="single" w:sz="8" w:space="0" w:color="000000"/>
            </w:tcBorders>
            <w:shd w:val="clear" w:color="000000" w:fill="FFFFFF"/>
            <w:vAlign w:val="center"/>
            <w:hideMark/>
          </w:tcPr>
          <w:p w14:paraId="14029133" w14:textId="77777777" w:rsidR="001766B9" w:rsidRPr="001766B9" w:rsidRDefault="001766B9" w:rsidP="00061C8E">
            <w:pPr>
              <w:jc w:val="center"/>
              <w:rPr>
                <w:color w:val="000000"/>
                <w:sz w:val="20"/>
                <w:szCs w:val="20"/>
              </w:rPr>
            </w:pPr>
            <w:r w:rsidRPr="001766B9">
              <w:rPr>
                <w:color w:val="000000"/>
                <w:sz w:val="20"/>
                <w:szCs w:val="20"/>
              </w:rPr>
              <w:t xml:space="preserve">Use PT More Often </w:t>
            </w:r>
          </w:p>
        </w:tc>
      </w:tr>
      <w:tr w:rsidR="001766B9" w:rsidRPr="001766B9" w14:paraId="48E0D63F" w14:textId="77777777" w:rsidTr="001766B9">
        <w:trPr>
          <w:trHeight w:val="288"/>
        </w:trPr>
        <w:tc>
          <w:tcPr>
            <w:tcW w:w="1815" w:type="dxa"/>
            <w:vMerge/>
            <w:tcBorders>
              <w:top w:val="single" w:sz="8" w:space="0" w:color="auto"/>
              <w:left w:val="single" w:sz="8" w:space="0" w:color="auto"/>
              <w:bottom w:val="single" w:sz="8" w:space="0" w:color="000000"/>
              <w:right w:val="single" w:sz="8" w:space="0" w:color="auto"/>
            </w:tcBorders>
            <w:vAlign w:val="center"/>
            <w:hideMark/>
          </w:tcPr>
          <w:p w14:paraId="43800748" w14:textId="77777777" w:rsidR="001766B9" w:rsidRPr="001766B9" w:rsidRDefault="001766B9" w:rsidP="00061C8E">
            <w:pPr>
              <w:rPr>
                <w:color w:val="000000"/>
                <w:sz w:val="20"/>
                <w:szCs w:val="20"/>
              </w:rPr>
            </w:pPr>
          </w:p>
        </w:tc>
        <w:tc>
          <w:tcPr>
            <w:tcW w:w="1249" w:type="dxa"/>
            <w:vMerge/>
            <w:tcBorders>
              <w:top w:val="single" w:sz="8" w:space="0" w:color="auto"/>
              <w:left w:val="single" w:sz="8" w:space="0" w:color="auto"/>
              <w:bottom w:val="single" w:sz="8" w:space="0" w:color="000000"/>
              <w:right w:val="nil"/>
            </w:tcBorders>
            <w:vAlign w:val="center"/>
            <w:hideMark/>
          </w:tcPr>
          <w:p w14:paraId="21A42D20" w14:textId="77777777" w:rsidR="001766B9" w:rsidRPr="001766B9" w:rsidRDefault="001766B9" w:rsidP="00061C8E">
            <w:pPr>
              <w:rPr>
                <w:color w:val="000000"/>
                <w:sz w:val="20"/>
                <w:szCs w:val="20"/>
              </w:rPr>
            </w:pPr>
          </w:p>
        </w:tc>
        <w:tc>
          <w:tcPr>
            <w:tcW w:w="1066" w:type="dxa"/>
            <w:vMerge/>
            <w:tcBorders>
              <w:top w:val="single" w:sz="8" w:space="0" w:color="auto"/>
              <w:left w:val="nil"/>
              <w:bottom w:val="single" w:sz="8" w:space="0" w:color="000000"/>
              <w:right w:val="single" w:sz="8" w:space="0" w:color="auto"/>
            </w:tcBorders>
            <w:vAlign w:val="center"/>
            <w:hideMark/>
          </w:tcPr>
          <w:p w14:paraId="3263E18B" w14:textId="77777777" w:rsidR="001766B9" w:rsidRPr="001766B9" w:rsidRDefault="001766B9" w:rsidP="00061C8E">
            <w:pPr>
              <w:rPr>
                <w:color w:val="000000"/>
                <w:sz w:val="20"/>
                <w:szCs w:val="20"/>
              </w:rPr>
            </w:pPr>
          </w:p>
        </w:tc>
        <w:tc>
          <w:tcPr>
            <w:tcW w:w="1080" w:type="dxa"/>
            <w:tcBorders>
              <w:top w:val="nil"/>
              <w:left w:val="nil"/>
              <w:bottom w:val="single" w:sz="8" w:space="0" w:color="auto"/>
              <w:right w:val="nil"/>
            </w:tcBorders>
            <w:shd w:val="clear" w:color="000000" w:fill="FFFFFF"/>
            <w:vAlign w:val="center"/>
            <w:hideMark/>
          </w:tcPr>
          <w:p w14:paraId="3CD05ED3" w14:textId="77777777" w:rsidR="001766B9" w:rsidRPr="001766B9" w:rsidRDefault="001766B9" w:rsidP="00061C8E">
            <w:pPr>
              <w:jc w:val="center"/>
              <w:rPr>
                <w:color w:val="000000"/>
                <w:sz w:val="20"/>
                <w:szCs w:val="20"/>
              </w:rPr>
            </w:pPr>
            <w:r w:rsidRPr="001766B9">
              <w:rPr>
                <w:color w:val="000000"/>
                <w:sz w:val="20"/>
                <w:szCs w:val="20"/>
              </w:rPr>
              <w:t xml:space="preserve">Permanent  </w:t>
            </w:r>
          </w:p>
        </w:tc>
        <w:tc>
          <w:tcPr>
            <w:tcW w:w="1005" w:type="dxa"/>
            <w:tcBorders>
              <w:top w:val="nil"/>
              <w:left w:val="nil"/>
              <w:bottom w:val="single" w:sz="8" w:space="0" w:color="auto"/>
              <w:right w:val="single" w:sz="8" w:space="0" w:color="000000"/>
            </w:tcBorders>
            <w:shd w:val="clear" w:color="000000" w:fill="FFFFFF"/>
            <w:vAlign w:val="center"/>
            <w:hideMark/>
          </w:tcPr>
          <w:p w14:paraId="20D28984" w14:textId="77777777" w:rsidR="001766B9" w:rsidRPr="001766B9" w:rsidRDefault="001766B9" w:rsidP="00061C8E">
            <w:pPr>
              <w:jc w:val="center"/>
              <w:rPr>
                <w:color w:val="000000"/>
                <w:sz w:val="20"/>
                <w:szCs w:val="20"/>
              </w:rPr>
            </w:pPr>
            <w:r w:rsidRPr="001766B9">
              <w:rPr>
                <w:color w:val="000000"/>
                <w:sz w:val="20"/>
                <w:szCs w:val="20"/>
              </w:rPr>
              <w:t>Temporary</w:t>
            </w:r>
          </w:p>
        </w:tc>
        <w:tc>
          <w:tcPr>
            <w:tcW w:w="1091" w:type="dxa"/>
            <w:vMerge/>
            <w:tcBorders>
              <w:left w:val="single" w:sz="8" w:space="0" w:color="000000"/>
              <w:bottom w:val="single" w:sz="8" w:space="0" w:color="000000"/>
              <w:right w:val="single" w:sz="8" w:space="0" w:color="000000"/>
            </w:tcBorders>
            <w:vAlign w:val="center"/>
            <w:hideMark/>
          </w:tcPr>
          <w:p w14:paraId="47F23DA8" w14:textId="77777777" w:rsidR="001766B9" w:rsidRPr="001766B9" w:rsidRDefault="001766B9" w:rsidP="00061C8E">
            <w:pPr>
              <w:rPr>
                <w:color w:val="000000"/>
                <w:sz w:val="20"/>
                <w:szCs w:val="20"/>
              </w:rPr>
            </w:pPr>
          </w:p>
        </w:tc>
        <w:tc>
          <w:tcPr>
            <w:tcW w:w="982" w:type="dxa"/>
            <w:tcBorders>
              <w:top w:val="nil"/>
              <w:left w:val="nil"/>
              <w:bottom w:val="single" w:sz="8" w:space="0" w:color="auto"/>
              <w:right w:val="nil"/>
            </w:tcBorders>
            <w:shd w:val="clear" w:color="000000" w:fill="FFFFFF"/>
            <w:vAlign w:val="center"/>
            <w:hideMark/>
          </w:tcPr>
          <w:p w14:paraId="3334326B" w14:textId="77777777" w:rsidR="001766B9" w:rsidRPr="001766B9" w:rsidRDefault="001766B9" w:rsidP="00061C8E">
            <w:pPr>
              <w:jc w:val="center"/>
              <w:rPr>
                <w:color w:val="000000"/>
                <w:sz w:val="20"/>
                <w:szCs w:val="20"/>
              </w:rPr>
            </w:pPr>
            <w:r w:rsidRPr="001766B9">
              <w:rPr>
                <w:color w:val="000000"/>
                <w:sz w:val="20"/>
                <w:szCs w:val="20"/>
              </w:rPr>
              <w:t xml:space="preserve">Permanent  </w:t>
            </w:r>
          </w:p>
        </w:tc>
        <w:tc>
          <w:tcPr>
            <w:tcW w:w="1013" w:type="dxa"/>
            <w:tcBorders>
              <w:top w:val="nil"/>
              <w:left w:val="nil"/>
              <w:bottom w:val="single" w:sz="8" w:space="0" w:color="auto"/>
              <w:right w:val="single" w:sz="8" w:space="0" w:color="auto"/>
            </w:tcBorders>
            <w:shd w:val="clear" w:color="000000" w:fill="FFFFFF"/>
            <w:vAlign w:val="center"/>
            <w:hideMark/>
          </w:tcPr>
          <w:p w14:paraId="747F0B49" w14:textId="77777777" w:rsidR="001766B9" w:rsidRPr="001766B9" w:rsidRDefault="001766B9" w:rsidP="00061C8E">
            <w:pPr>
              <w:jc w:val="center"/>
              <w:rPr>
                <w:color w:val="000000"/>
                <w:sz w:val="20"/>
                <w:szCs w:val="20"/>
              </w:rPr>
            </w:pPr>
            <w:r w:rsidRPr="001766B9">
              <w:rPr>
                <w:color w:val="000000"/>
                <w:sz w:val="20"/>
                <w:szCs w:val="20"/>
              </w:rPr>
              <w:t>Temporary</w:t>
            </w:r>
          </w:p>
        </w:tc>
      </w:tr>
      <w:tr w:rsidR="001766B9" w:rsidRPr="001766B9" w14:paraId="6F0C1270" w14:textId="77777777" w:rsidTr="001766B9">
        <w:trPr>
          <w:trHeight w:val="547"/>
        </w:trPr>
        <w:tc>
          <w:tcPr>
            <w:tcW w:w="1815" w:type="dxa"/>
            <w:tcBorders>
              <w:top w:val="nil"/>
              <w:left w:val="single" w:sz="8" w:space="0" w:color="auto"/>
              <w:bottom w:val="nil"/>
              <w:right w:val="single" w:sz="8" w:space="0" w:color="000000"/>
            </w:tcBorders>
            <w:shd w:val="clear" w:color="000000" w:fill="FFFFFF"/>
            <w:hideMark/>
          </w:tcPr>
          <w:p w14:paraId="748809EC" w14:textId="77777777" w:rsidR="001766B9" w:rsidRPr="001766B9" w:rsidRDefault="001766B9" w:rsidP="001766B9">
            <w:pPr>
              <w:rPr>
                <w:color w:val="000000"/>
                <w:sz w:val="20"/>
                <w:szCs w:val="20"/>
              </w:rPr>
            </w:pPr>
            <w:r w:rsidRPr="001766B9">
              <w:rPr>
                <w:color w:val="000000"/>
                <w:sz w:val="20"/>
                <w:szCs w:val="20"/>
              </w:rPr>
              <w:t xml:space="preserve">Gender </w:t>
            </w:r>
          </w:p>
        </w:tc>
        <w:tc>
          <w:tcPr>
            <w:tcW w:w="1249" w:type="dxa"/>
            <w:tcBorders>
              <w:top w:val="nil"/>
              <w:left w:val="nil"/>
              <w:bottom w:val="nil"/>
              <w:right w:val="nil"/>
            </w:tcBorders>
            <w:shd w:val="clear" w:color="000000" w:fill="FFFFFF"/>
            <w:hideMark/>
          </w:tcPr>
          <w:p w14:paraId="21F1972D" w14:textId="77777777" w:rsidR="001766B9" w:rsidRPr="001766B9" w:rsidRDefault="001766B9" w:rsidP="001766B9">
            <w:pPr>
              <w:rPr>
                <w:color w:val="000000"/>
                <w:sz w:val="20"/>
                <w:szCs w:val="20"/>
              </w:rPr>
            </w:pPr>
            <w:r w:rsidRPr="001766B9">
              <w:rPr>
                <w:color w:val="000000"/>
                <w:sz w:val="20"/>
                <w:szCs w:val="20"/>
              </w:rPr>
              <w:t xml:space="preserve">Male </w:t>
            </w:r>
          </w:p>
        </w:tc>
        <w:tc>
          <w:tcPr>
            <w:tcW w:w="1066" w:type="dxa"/>
            <w:tcBorders>
              <w:top w:val="nil"/>
              <w:left w:val="nil"/>
              <w:bottom w:val="nil"/>
              <w:right w:val="single" w:sz="8" w:space="0" w:color="000000"/>
            </w:tcBorders>
            <w:shd w:val="clear" w:color="000000" w:fill="FFFFFF"/>
            <w:hideMark/>
          </w:tcPr>
          <w:p w14:paraId="4C415750" w14:textId="77777777" w:rsidR="001766B9" w:rsidRPr="001766B9" w:rsidRDefault="001766B9" w:rsidP="001766B9">
            <w:pPr>
              <w:rPr>
                <w:color w:val="000000"/>
                <w:sz w:val="20"/>
                <w:szCs w:val="20"/>
              </w:rPr>
            </w:pPr>
            <w:r w:rsidRPr="001766B9">
              <w:rPr>
                <w:color w:val="000000"/>
                <w:sz w:val="20"/>
                <w:szCs w:val="20"/>
              </w:rPr>
              <w:t xml:space="preserve">Female </w:t>
            </w:r>
          </w:p>
        </w:tc>
        <w:tc>
          <w:tcPr>
            <w:tcW w:w="1080" w:type="dxa"/>
            <w:tcBorders>
              <w:top w:val="nil"/>
              <w:left w:val="nil"/>
              <w:bottom w:val="nil"/>
              <w:right w:val="nil"/>
            </w:tcBorders>
            <w:shd w:val="clear" w:color="000000" w:fill="FFFFFF"/>
            <w:hideMark/>
          </w:tcPr>
          <w:p w14:paraId="01BF7A39" w14:textId="77777777" w:rsidR="001766B9" w:rsidRPr="001766B9" w:rsidRDefault="001766B9" w:rsidP="001766B9">
            <w:pPr>
              <w:jc w:val="center"/>
              <w:rPr>
                <w:color w:val="000000"/>
                <w:sz w:val="20"/>
                <w:szCs w:val="20"/>
              </w:rPr>
            </w:pPr>
            <w:r w:rsidRPr="001766B9">
              <w:rPr>
                <w:color w:val="000000"/>
                <w:sz w:val="20"/>
                <w:szCs w:val="20"/>
              </w:rPr>
              <w:t>1.13</w:t>
            </w:r>
          </w:p>
          <w:p w14:paraId="29C08E3C" w14:textId="77777777" w:rsidR="001766B9" w:rsidRPr="001766B9" w:rsidRDefault="001766B9" w:rsidP="001766B9">
            <w:pPr>
              <w:jc w:val="center"/>
              <w:rPr>
                <w:color w:val="000000"/>
                <w:sz w:val="20"/>
                <w:szCs w:val="20"/>
              </w:rPr>
            </w:pPr>
            <w:r w:rsidRPr="001766B9">
              <w:rPr>
                <w:color w:val="000000"/>
                <w:sz w:val="20"/>
                <w:szCs w:val="20"/>
              </w:rPr>
              <w:t>(0.64)</w:t>
            </w:r>
          </w:p>
        </w:tc>
        <w:tc>
          <w:tcPr>
            <w:tcW w:w="1005" w:type="dxa"/>
            <w:tcBorders>
              <w:top w:val="nil"/>
              <w:left w:val="nil"/>
              <w:bottom w:val="nil"/>
              <w:right w:val="single" w:sz="8" w:space="0" w:color="000000"/>
            </w:tcBorders>
            <w:shd w:val="clear" w:color="000000" w:fill="FFFFFF"/>
            <w:hideMark/>
          </w:tcPr>
          <w:p w14:paraId="5B1D701C" w14:textId="77777777" w:rsidR="001766B9" w:rsidRPr="001766B9" w:rsidRDefault="001766B9" w:rsidP="001766B9">
            <w:pPr>
              <w:jc w:val="center"/>
              <w:rPr>
                <w:color w:val="000000"/>
                <w:sz w:val="20"/>
                <w:szCs w:val="20"/>
              </w:rPr>
            </w:pPr>
            <w:r w:rsidRPr="001766B9">
              <w:rPr>
                <w:color w:val="000000"/>
                <w:sz w:val="20"/>
                <w:szCs w:val="20"/>
              </w:rPr>
              <w:t>1.28</w:t>
            </w:r>
          </w:p>
          <w:p w14:paraId="1362CAA0" w14:textId="77777777" w:rsidR="001766B9" w:rsidRPr="001766B9" w:rsidRDefault="001766B9" w:rsidP="001766B9">
            <w:pPr>
              <w:jc w:val="center"/>
              <w:rPr>
                <w:color w:val="000000"/>
                <w:sz w:val="20"/>
                <w:szCs w:val="20"/>
              </w:rPr>
            </w:pPr>
            <w:r w:rsidRPr="001766B9">
              <w:rPr>
                <w:color w:val="000000"/>
                <w:sz w:val="20"/>
                <w:szCs w:val="20"/>
              </w:rPr>
              <w:t>(0.60)</w:t>
            </w:r>
          </w:p>
        </w:tc>
        <w:tc>
          <w:tcPr>
            <w:tcW w:w="1091" w:type="dxa"/>
            <w:tcBorders>
              <w:top w:val="nil"/>
              <w:left w:val="nil"/>
              <w:bottom w:val="nil"/>
              <w:right w:val="single" w:sz="8" w:space="0" w:color="000000"/>
            </w:tcBorders>
            <w:shd w:val="clear" w:color="000000" w:fill="FFFFFF"/>
            <w:hideMark/>
          </w:tcPr>
          <w:p w14:paraId="5004178B" w14:textId="77777777" w:rsidR="001766B9" w:rsidRPr="001766B9" w:rsidRDefault="001766B9" w:rsidP="001766B9">
            <w:pPr>
              <w:jc w:val="center"/>
              <w:rPr>
                <w:color w:val="000000"/>
                <w:sz w:val="20"/>
                <w:szCs w:val="20"/>
              </w:rPr>
            </w:pPr>
            <w:r w:rsidRPr="001766B9">
              <w:rPr>
                <w:color w:val="000000"/>
                <w:sz w:val="20"/>
                <w:szCs w:val="20"/>
              </w:rPr>
              <w:t>-2.03</w:t>
            </w:r>
          </w:p>
          <w:p w14:paraId="48080AE9" w14:textId="77777777" w:rsidR="001766B9" w:rsidRPr="001766B9" w:rsidRDefault="001766B9" w:rsidP="001766B9">
            <w:pPr>
              <w:jc w:val="center"/>
              <w:rPr>
                <w:color w:val="000000"/>
                <w:sz w:val="20"/>
                <w:szCs w:val="20"/>
              </w:rPr>
            </w:pPr>
            <w:r w:rsidRPr="001766B9">
              <w:rPr>
                <w:color w:val="000000"/>
                <w:sz w:val="20"/>
                <w:szCs w:val="20"/>
              </w:rPr>
              <w:t>(1.07)</w:t>
            </w:r>
          </w:p>
        </w:tc>
        <w:tc>
          <w:tcPr>
            <w:tcW w:w="982" w:type="dxa"/>
            <w:tcBorders>
              <w:top w:val="nil"/>
              <w:left w:val="nil"/>
              <w:bottom w:val="nil"/>
              <w:right w:val="nil"/>
            </w:tcBorders>
            <w:shd w:val="clear" w:color="000000" w:fill="FFFFFF"/>
            <w:hideMark/>
          </w:tcPr>
          <w:p w14:paraId="77975732" w14:textId="77777777" w:rsidR="001766B9" w:rsidRPr="001766B9" w:rsidRDefault="001766B9" w:rsidP="001766B9">
            <w:pPr>
              <w:jc w:val="center"/>
              <w:rPr>
                <w:color w:val="000000"/>
                <w:sz w:val="20"/>
                <w:szCs w:val="20"/>
              </w:rPr>
            </w:pPr>
            <w:r w:rsidRPr="001766B9">
              <w:rPr>
                <w:color w:val="000000"/>
                <w:sz w:val="20"/>
                <w:szCs w:val="20"/>
              </w:rPr>
              <w:t>-0.22</w:t>
            </w:r>
          </w:p>
          <w:p w14:paraId="03F90F1B" w14:textId="77777777" w:rsidR="001766B9" w:rsidRPr="001766B9" w:rsidRDefault="001766B9" w:rsidP="001766B9">
            <w:pPr>
              <w:jc w:val="center"/>
              <w:rPr>
                <w:color w:val="000000"/>
                <w:sz w:val="20"/>
                <w:szCs w:val="20"/>
              </w:rPr>
            </w:pPr>
            <w:r w:rsidRPr="001766B9">
              <w:rPr>
                <w:color w:val="000000"/>
                <w:sz w:val="20"/>
                <w:szCs w:val="20"/>
              </w:rPr>
              <w:t>(0.14)</w:t>
            </w:r>
          </w:p>
        </w:tc>
        <w:tc>
          <w:tcPr>
            <w:tcW w:w="1013" w:type="dxa"/>
            <w:tcBorders>
              <w:top w:val="nil"/>
              <w:left w:val="nil"/>
              <w:bottom w:val="nil"/>
              <w:right w:val="single" w:sz="8" w:space="0" w:color="auto"/>
            </w:tcBorders>
            <w:shd w:val="clear" w:color="000000" w:fill="FFFFFF"/>
            <w:hideMark/>
          </w:tcPr>
          <w:p w14:paraId="04C52EB1" w14:textId="77777777" w:rsidR="001766B9" w:rsidRPr="001766B9" w:rsidRDefault="001766B9" w:rsidP="001766B9">
            <w:pPr>
              <w:jc w:val="center"/>
              <w:rPr>
                <w:color w:val="000000"/>
                <w:sz w:val="20"/>
                <w:szCs w:val="20"/>
              </w:rPr>
            </w:pPr>
            <w:r w:rsidRPr="001766B9">
              <w:rPr>
                <w:color w:val="000000"/>
                <w:sz w:val="20"/>
                <w:szCs w:val="20"/>
              </w:rPr>
              <w:t>-0.16</w:t>
            </w:r>
          </w:p>
          <w:p w14:paraId="1B9CF267" w14:textId="77777777" w:rsidR="001766B9" w:rsidRPr="001766B9" w:rsidRDefault="001766B9" w:rsidP="001766B9">
            <w:pPr>
              <w:jc w:val="center"/>
              <w:rPr>
                <w:color w:val="000000"/>
                <w:sz w:val="20"/>
                <w:szCs w:val="20"/>
              </w:rPr>
            </w:pPr>
            <w:r w:rsidRPr="001766B9">
              <w:rPr>
                <w:color w:val="000000"/>
                <w:sz w:val="20"/>
                <w:szCs w:val="20"/>
              </w:rPr>
              <w:t>(0.05)</w:t>
            </w:r>
          </w:p>
        </w:tc>
      </w:tr>
      <w:tr w:rsidR="001766B9" w:rsidRPr="001766B9" w14:paraId="3CB3F750" w14:textId="77777777" w:rsidTr="001766B9">
        <w:trPr>
          <w:trHeight w:val="547"/>
        </w:trPr>
        <w:tc>
          <w:tcPr>
            <w:tcW w:w="1815" w:type="dxa"/>
            <w:tcBorders>
              <w:top w:val="nil"/>
              <w:left w:val="single" w:sz="8" w:space="0" w:color="auto"/>
              <w:bottom w:val="nil"/>
              <w:right w:val="single" w:sz="8" w:space="0" w:color="000000"/>
            </w:tcBorders>
            <w:shd w:val="clear" w:color="000000" w:fill="FFFFFF"/>
            <w:hideMark/>
          </w:tcPr>
          <w:p w14:paraId="3D2C354B" w14:textId="77777777" w:rsidR="001766B9" w:rsidRPr="001766B9" w:rsidRDefault="001766B9" w:rsidP="001766B9">
            <w:pPr>
              <w:rPr>
                <w:color w:val="000000"/>
                <w:sz w:val="20"/>
                <w:szCs w:val="20"/>
              </w:rPr>
            </w:pPr>
            <w:r w:rsidRPr="001766B9">
              <w:rPr>
                <w:color w:val="000000"/>
                <w:sz w:val="20"/>
                <w:szCs w:val="20"/>
              </w:rPr>
              <w:t>Age</w:t>
            </w:r>
          </w:p>
        </w:tc>
        <w:tc>
          <w:tcPr>
            <w:tcW w:w="1249" w:type="dxa"/>
            <w:tcBorders>
              <w:top w:val="nil"/>
              <w:left w:val="nil"/>
              <w:bottom w:val="nil"/>
              <w:right w:val="nil"/>
            </w:tcBorders>
            <w:shd w:val="clear" w:color="000000" w:fill="FFFFFF"/>
            <w:hideMark/>
          </w:tcPr>
          <w:p w14:paraId="64055995" w14:textId="77777777" w:rsidR="001766B9" w:rsidRPr="001766B9" w:rsidRDefault="001766B9" w:rsidP="001766B9">
            <w:pPr>
              <w:rPr>
                <w:color w:val="000000"/>
                <w:sz w:val="20"/>
                <w:szCs w:val="20"/>
              </w:rPr>
            </w:pPr>
            <w:r w:rsidRPr="001766B9">
              <w:rPr>
                <w:color w:val="000000"/>
                <w:sz w:val="20"/>
                <w:szCs w:val="20"/>
              </w:rPr>
              <w:t>&lt;35</w:t>
            </w:r>
          </w:p>
        </w:tc>
        <w:tc>
          <w:tcPr>
            <w:tcW w:w="1066" w:type="dxa"/>
            <w:tcBorders>
              <w:top w:val="nil"/>
              <w:left w:val="nil"/>
              <w:bottom w:val="nil"/>
              <w:right w:val="single" w:sz="8" w:space="0" w:color="000000"/>
            </w:tcBorders>
            <w:shd w:val="clear" w:color="000000" w:fill="FFFFFF"/>
            <w:hideMark/>
          </w:tcPr>
          <w:p w14:paraId="3C4A9314" w14:textId="77777777" w:rsidR="001766B9" w:rsidRPr="001766B9" w:rsidRDefault="001766B9" w:rsidP="001766B9">
            <w:pPr>
              <w:rPr>
                <w:color w:val="000000"/>
                <w:sz w:val="20"/>
                <w:szCs w:val="20"/>
              </w:rPr>
            </w:pPr>
            <w:r w:rsidRPr="001766B9">
              <w:rPr>
                <w:color w:val="000000"/>
                <w:sz w:val="20"/>
                <w:szCs w:val="20"/>
              </w:rPr>
              <w:t>65+</w:t>
            </w:r>
          </w:p>
        </w:tc>
        <w:tc>
          <w:tcPr>
            <w:tcW w:w="1080" w:type="dxa"/>
            <w:tcBorders>
              <w:top w:val="nil"/>
              <w:left w:val="nil"/>
              <w:bottom w:val="nil"/>
              <w:right w:val="nil"/>
            </w:tcBorders>
            <w:shd w:val="clear" w:color="000000" w:fill="FFFFFF"/>
            <w:hideMark/>
          </w:tcPr>
          <w:p w14:paraId="13F939F7" w14:textId="77777777" w:rsidR="001766B9" w:rsidRPr="001766B9" w:rsidRDefault="001766B9" w:rsidP="001766B9">
            <w:pPr>
              <w:jc w:val="center"/>
              <w:rPr>
                <w:color w:val="000000"/>
                <w:sz w:val="20"/>
                <w:szCs w:val="20"/>
              </w:rPr>
            </w:pPr>
            <w:r w:rsidRPr="001766B9">
              <w:rPr>
                <w:color w:val="000000"/>
                <w:sz w:val="20"/>
                <w:szCs w:val="20"/>
              </w:rPr>
              <w:t>5.90</w:t>
            </w:r>
          </w:p>
          <w:p w14:paraId="5B316815" w14:textId="77777777" w:rsidR="001766B9" w:rsidRPr="001766B9" w:rsidRDefault="001766B9" w:rsidP="001766B9">
            <w:pPr>
              <w:jc w:val="center"/>
              <w:rPr>
                <w:color w:val="000000"/>
                <w:sz w:val="20"/>
                <w:szCs w:val="20"/>
              </w:rPr>
            </w:pPr>
            <w:r w:rsidRPr="001766B9">
              <w:rPr>
                <w:color w:val="000000"/>
                <w:sz w:val="20"/>
                <w:szCs w:val="20"/>
              </w:rPr>
              <w:t>(0.97)</w:t>
            </w:r>
          </w:p>
        </w:tc>
        <w:tc>
          <w:tcPr>
            <w:tcW w:w="1005" w:type="dxa"/>
            <w:tcBorders>
              <w:top w:val="nil"/>
              <w:left w:val="nil"/>
              <w:bottom w:val="nil"/>
              <w:right w:val="single" w:sz="8" w:space="0" w:color="000000"/>
            </w:tcBorders>
            <w:shd w:val="clear" w:color="000000" w:fill="FFFFFF"/>
            <w:hideMark/>
          </w:tcPr>
          <w:p w14:paraId="1172E60B" w14:textId="77777777" w:rsidR="001766B9" w:rsidRPr="001766B9" w:rsidRDefault="001766B9" w:rsidP="001766B9">
            <w:pPr>
              <w:jc w:val="center"/>
              <w:rPr>
                <w:color w:val="000000"/>
                <w:sz w:val="20"/>
                <w:szCs w:val="20"/>
              </w:rPr>
            </w:pPr>
            <w:r w:rsidRPr="001766B9">
              <w:rPr>
                <w:color w:val="000000"/>
                <w:sz w:val="20"/>
                <w:szCs w:val="20"/>
              </w:rPr>
              <w:t>6.70</w:t>
            </w:r>
          </w:p>
          <w:p w14:paraId="7FEFE37F" w14:textId="77777777" w:rsidR="001766B9" w:rsidRPr="001766B9" w:rsidRDefault="001766B9" w:rsidP="001766B9">
            <w:pPr>
              <w:jc w:val="center"/>
              <w:rPr>
                <w:color w:val="000000"/>
                <w:sz w:val="20"/>
                <w:szCs w:val="20"/>
              </w:rPr>
            </w:pPr>
            <w:r w:rsidRPr="001766B9">
              <w:rPr>
                <w:color w:val="000000"/>
                <w:sz w:val="20"/>
                <w:szCs w:val="20"/>
              </w:rPr>
              <w:t>(1.08)</w:t>
            </w:r>
          </w:p>
        </w:tc>
        <w:tc>
          <w:tcPr>
            <w:tcW w:w="1091" w:type="dxa"/>
            <w:tcBorders>
              <w:top w:val="nil"/>
              <w:left w:val="nil"/>
              <w:bottom w:val="nil"/>
              <w:right w:val="single" w:sz="8" w:space="0" w:color="000000"/>
            </w:tcBorders>
            <w:shd w:val="clear" w:color="000000" w:fill="FFFFFF"/>
            <w:hideMark/>
          </w:tcPr>
          <w:p w14:paraId="30F7857C" w14:textId="77777777" w:rsidR="001766B9" w:rsidRPr="001766B9" w:rsidRDefault="001766B9" w:rsidP="001766B9">
            <w:pPr>
              <w:jc w:val="center"/>
              <w:rPr>
                <w:color w:val="000000"/>
                <w:sz w:val="20"/>
                <w:szCs w:val="20"/>
              </w:rPr>
            </w:pPr>
            <w:r w:rsidRPr="001766B9">
              <w:rPr>
                <w:color w:val="000000"/>
                <w:sz w:val="20"/>
                <w:szCs w:val="20"/>
              </w:rPr>
              <w:t>-10.65</w:t>
            </w:r>
          </w:p>
          <w:p w14:paraId="22C8B3C0" w14:textId="77777777" w:rsidR="001766B9" w:rsidRPr="001766B9" w:rsidRDefault="001766B9" w:rsidP="001766B9">
            <w:pPr>
              <w:jc w:val="center"/>
              <w:rPr>
                <w:color w:val="000000"/>
                <w:sz w:val="20"/>
                <w:szCs w:val="20"/>
              </w:rPr>
            </w:pPr>
            <w:r w:rsidRPr="001766B9">
              <w:rPr>
                <w:color w:val="000000"/>
                <w:sz w:val="20"/>
                <w:szCs w:val="20"/>
              </w:rPr>
              <w:t>(1.59)</w:t>
            </w:r>
          </w:p>
        </w:tc>
        <w:tc>
          <w:tcPr>
            <w:tcW w:w="982" w:type="dxa"/>
            <w:tcBorders>
              <w:top w:val="nil"/>
              <w:left w:val="nil"/>
              <w:bottom w:val="nil"/>
              <w:right w:val="nil"/>
            </w:tcBorders>
            <w:shd w:val="clear" w:color="000000" w:fill="FFFFFF"/>
            <w:hideMark/>
          </w:tcPr>
          <w:p w14:paraId="08A48E17" w14:textId="77777777" w:rsidR="001766B9" w:rsidRPr="001766B9" w:rsidRDefault="001766B9" w:rsidP="001766B9">
            <w:pPr>
              <w:jc w:val="center"/>
              <w:rPr>
                <w:color w:val="000000"/>
                <w:sz w:val="20"/>
                <w:szCs w:val="20"/>
              </w:rPr>
            </w:pPr>
            <w:r w:rsidRPr="001766B9">
              <w:rPr>
                <w:color w:val="000000"/>
                <w:sz w:val="20"/>
                <w:szCs w:val="20"/>
              </w:rPr>
              <w:t>-1.14</w:t>
            </w:r>
          </w:p>
          <w:p w14:paraId="2BEBCAD2" w14:textId="77777777" w:rsidR="001766B9" w:rsidRPr="001766B9" w:rsidRDefault="001766B9" w:rsidP="001766B9">
            <w:pPr>
              <w:jc w:val="center"/>
              <w:rPr>
                <w:color w:val="000000"/>
                <w:sz w:val="20"/>
                <w:szCs w:val="20"/>
              </w:rPr>
            </w:pPr>
            <w:r w:rsidRPr="001766B9">
              <w:rPr>
                <w:color w:val="000000"/>
                <w:sz w:val="20"/>
                <w:szCs w:val="20"/>
              </w:rPr>
              <w:t>(0.37)</w:t>
            </w:r>
          </w:p>
        </w:tc>
        <w:tc>
          <w:tcPr>
            <w:tcW w:w="1013" w:type="dxa"/>
            <w:tcBorders>
              <w:top w:val="nil"/>
              <w:left w:val="nil"/>
              <w:bottom w:val="nil"/>
              <w:right w:val="single" w:sz="8" w:space="0" w:color="auto"/>
            </w:tcBorders>
            <w:shd w:val="clear" w:color="000000" w:fill="FFFFFF"/>
            <w:hideMark/>
          </w:tcPr>
          <w:p w14:paraId="0FD09230" w14:textId="77777777" w:rsidR="001766B9" w:rsidRPr="001766B9" w:rsidRDefault="001766B9" w:rsidP="001766B9">
            <w:pPr>
              <w:jc w:val="center"/>
              <w:rPr>
                <w:color w:val="000000"/>
                <w:sz w:val="20"/>
                <w:szCs w:val="20"/>
              </w:rPr>
            </w:pPr>
            <w:r w:rsidRPr="001766B9">
              <w:rPr>
                <w:color w:val="000000"/>
                <w:sz w:val="20"/>
                <w:szCs w:val="20"/>
              </w:rPr>
              <w:t>-0.81</w:t>
            </w:r>
          </w:p>
          <w:p w14:paraId="4F85023E" w14:textId="77777777" w:rsidR="001766B9" w:rsidRPr="001766B9" w:rsidRDefault="001766B9" w:rsidP="001766B9">
            <w:pPr>
              <w:jc w:val="center"/>
              <w:rPr>
                <w:color w:val="000000"/>
                <w:sz w:val="20"/>
                <w:szCs w:val="20"/>
              </w:rPr>
            </w:pPr>
            <w:r w:rsidRPr="001766B9">
              <w:rPr>
                <w:color w:val="000000"/>
                <w:sz w:val="20"/>
                <w:szCs w:val="20"/>
              </w:rPr>
              <w:t>(0.07)</w:t>
            </w:r>
          </w:p>
        </w:tc>
      </w:tr>
      <w:tr w:rsidR="001766B9" w:rsidRPr="001766B9" w14:paraId="7E975634" w14:textId="77777777" w:rsidTr="001766B9">
        <w:trPr>
          <w:trHeight w:val="547"/>
        </w:trPr>
        <w:tc>
          <w:tcPr>
            <w:tcW w:w="1815" w:type="dxa"/>
            <w:tcBorders>
              <w:top w:val="nil"/>
              <w:left w:val="single" w:sz="8" w:space="0" w:color="auto"/>
              <w:bottom w:val="nil"/>
              <w:right w:val="single" w:sz="8" w:space="0" w:color="000000"/>
            </w:tcBorders>
            <w:shd w:val="clear" w:color="000000" w:fill="FFFFFF"/>
            <w:hideMark/>
          </w:tcPr>
          <w:p w14:paraId="5F239C64" w14:textId="77777777" w:rsidR="001766B9" w:rsidRPr="001766B9" w:rsidRDefault="001766B9" w:rsidP="001766B9">
            <w:pPr>
              <w:rPr>
                <w:color w:val="000000"/>
                <w:sz w:val="20"/>
                <w:szCs w:val="20"/>
              </w:rPr>
            </w:pPr>
            <w:r w:rsidRPr="001766B9">
              <w:rPr>
                <w:color w:val="000000"/>
                <w:sz w:val="20"/>
                <w:szCs w:val="20"/>
              </w:rPr>
              <w:t xml:space="preserve">Ethnicity </w:t>
            </w:r>
          </w:p>
        </w:tc>
        <w:tc>
          <w:tcPr>
            <w:tcW w:w="1249" w:type="dxa"/>
            <w:tcBorders>
              <w:top w:val="nil"/>
              <w:left w:val="nil"/>
              <w:bottom w:val="nil"/>
              <w:right w:val="nil"/>
            </w:tcBorders>
            <w:shd w:val="clear" w:color="000000" w:fill="FFFFFF"/>
            <w:hideMark/>
          </w:tcPr>
          <w:p w14:paraId="74338A7B" w14:textId="77777777" w:rsidR="001766B9" w:rsidRPr="001766B9" w:rsidRDefault="001766B9" w:rsidP="001766B9">
            <w:pPr>
              <w:rPr>
                <w:color w:val="000000"/>
                <w:sz w:val="20"/>
                <w:szCs w:val="20"/>
              </w:rPr>
            </w:pPr>
            <w:r w:rsidRPr="001766B9">
              <w:rPr>
                <w:color w:val="000000"/>
                <w:sz w:val="20"/>
                <w:szCs w:val="20"/>
              </w:rPr>
              <w:t xml:space="preserve">Not Hispanic </w:t>
            </w:r>
          </w:p>
        </w:tc>
        <w:tc>
          <w:tcPr>
            <w:tcW w:w="1066" w:type="dxa"/>
            <w:tcBorders>
              <w:top w:val="nil"/>
              <w:left w:val="nil"/>
              <w:bottom w:val="nil"/>
              <w:right w:val="single" w:sz="8" w:space="0" w:color="000000"/>
            </w:tcBorders>
            <w:shd w:val="clear" w:color="000000" w:fill="FFFFFF"/>
            <w:hideMark/>
          </w:tcPr>
          <w:p w14:paraId="78548EEF" w14:textId="77777777" w:rsidR="001766B9" w:rsidRPr="001766B9" w:rsidRDefault="001766B9" w:rsidP="001766B9">
            <w:pPr>
              <w:rPr>
                <w:color w:val="000000"/>
                <w:sz w:val="20"/>
                <w:szCs w:val="20"/>
              </w:rPr>
            </w:pPr>
            <w:r w:rsidRPr="001766B9">
              <w:rPr>
                <w:color w:val="000000"/>
                <w:sz w:val="20"/>
                <w:szCs w:val="20"/>
              </w:rPr>
              <w:t xml:space="preserve">Hispanic </w:t>
            </w:r>
          </w:p>
        </w:tc>
        <w:tc>
          <w:tcPr>
            <w:tcW w:w="1080" w:type="dxa"/>
            <w:tcBorders>
              <w:top w:val="nil"/>
              <w:left w:val="nil"/>
              <w:bottom w:val="nil"/>
              <w:right w:val="nil"/>
            </w:tcBorders>
            <w:shd w:val="clear" w:color="000000" w:fill="FFFFFF"/>
            <w:hideMark/>
          </w:tcPr>
          <w:p w14:paraId="5EFC6993" w14:textId="77777777" w:rsidR="001766B9" w:rsidRPr="001766B9" w:rsidRDefault="001766B9" w:rsidP="001766B9">
            <w:pPr>
              <w:jc w:val="center"/>
              <w:rPr>
                <w:color w:val="000000"/>
                <w:sz w:val="20"/>
                <w:szCs w:val="20"/>
              </w:rPr>
            </w:pPr>
            <w:r w:rsidRPr="001766B9">
              <w:rPr>
                <w:color w:val="000000"/>
                <w:sz w:val="20"/>
                <w:szCs w:val="20"/>
              </w:rPr>
              <w:t>3.29</w:t>
            </w:r>
          </w:p>
          <w:p w14:paraId="146B04E5" w14:textId="77777777" w:rsidR="001766B9" w:rsidRPr="001766B9" w:rsidRDefault="001766B9" w:rsidP="001766B9">
            <w:pPr>
              <w:jc w:val="center"/>
              <w:rPr>
                <w:color w:val="000000"/>
                <w:sz w:val="20"/>
                <w:szCs w:val="20"/>
              </w:rPr>
            </w:pPr>
            <w:r w:rsidRPr="001766B9">
              <w:rPr>
                <w:color w:val="000000"/>
                <w:sz w:val="20"/>
                <w:szCs w:val="20"/>
              </w:rPr>
              <w:t>(1.24)</w:t>
            </w:r>
          </w:p>
        </w:tc>
        <w:tc>
          <w:tcPr>
            <w:tcW w:w="1005" w:type="dxa"/>
            <w:tcBorders>
              <w:top w:val="nil"/>
              <w:left w:val="nil"/>
              <w:bottom w:val="nil"/>
              <w:right w:val="single" w:sz="8" w:space="0" w:color="000000"/>
            </w:tcBorders>
            <w:shd w:val="clear" w:color="000000" w:fill="FFFFFF"/>
            <w:hideMark/>
          </w:tcPr>
          <w:p w14:paraId="68A78C85" w14:textId="77777777" w:rsidR="001766B9" w:rsidRPr="001766B9" w:rsidRDefault="001766B9" w:rsidP="001766B9">
            <w:pPr>
              <w:jc w:val="center"/>
              <w:rPr>
                <w:color w:val="000000"/>
                <w:sz w:val="20"/>
                <w:szCs w:val="20"/>
              </w:rPr>
            </w:pPr>
            <w:r w:rsidRPr="001766B9">
              <w:rPr>
                <w:color w:val="000000"/>
                <w:sz w:val="20"/>
                <w:szCs w:val="20"/>
              </w:rPr>
              <w:t>3.78</w:t>
            </w:r>
          </w:p>
          <w:p w14:paraId="7EC6C785" w14:textId="77777777" w:rsidR="001766B9" w:rsidRPr="001766B9" w:rsidRDefault="001766B9" w:rsidP="001766B9">
            <w:pPr>
              <w:jc w:val="center"/>
              <w:rPr>
                <w:color w:val="000000"/>
                <w:sz w:val="20"/>
                <w:szCs w:val="20"/>
              </w:rPr>
            </w:pPr>
            <w:r w:rsidRPr="001766B9">
              <w:rPr>
                <w:color w:val="000000"/>
                <w:sz w:val="20"/>
                <w:szCs w:val="20"/>
              </w:rPr>
              <w:t>(1.18)</w:t>
            </w:r>
          </w:p>
        </w:tc>
        <w:tc>
          <w:tcPr>
            <w:tcW w:w="1091" w:type="dxa"/>
            <w:tcBorders>
              <w:top w:val="nil"/>
              <w:left w:val="nil"/>
              <w:bottom w:val="nil"/>
              <w:right w:val="single" w:sz="8" w:space="0" w:color="000000"/>
            </w:tcBorders>
            <w:shd w:val="clear" w:color="000000" w:fill="FFFFFF"/>
            <w:hideMark/>
          </w:tcPr>
          <w:p w14:paraId="2AE1272A" w14:textId="77777777" w:rsidR="001766B9" w:rsidRPr="001766B9" w:rsidRDefault="001766B9" w:rsidP="001766B9">
            <w:pPr>
              <w:jc w:val="center"/>
              <w:rPr>
                <w:color w:val="000000"/>
                <w:sz w:val="20"/>
                <w:szCs w:val="20"/>
              </w:rPr>
            </w:pPr>
            <w:r w:rsidRPr="001766B9">
              <w:rPr>
                <w:color w:val="000000"/>
                <w:sz w:val="20"/>
                <w:szCs w:val="20"/>
              </w:rPr>
              <w:t>-7.39</w:t>
            </w:r>
          </w:p>
          <w:p w14:paraId="1AA834D3" w14:textId="77777777" w:rsidR="001766B9" w:rsidRPr="001766B9" w:rsidRDefault="001766B9" w:rsidP="001766B9">
            <w:pPr>
              <w:jc w:val="center"/>
              <w:rPr>
                <w:color w:val="000000"/>
                <w:sz w:val="20"/>
                <w:szCs w:val="20"/>
              </w:rPr>
            </w:pPr>
            <w:r w:rsidRPr="001766B9">
              <w:rPr>
                <w:color w:val="000000"/>
                <w:sz w:val="20"/>
                <w:szCs w:val="20"/>
              </w:rPr>
              <w:t>(2.04)</w:t>
            </w:r>
          </w:p>
        </w:tc>
        <w:tc>
          <w:tcPr>
            <w:tcW w:w="982" w:type="dxa"/>
            <w:tcBorders>
              <w:top w:val="nil"/>
              <w:left w:val="nil"/>
              <w:bottom w:val="nil"/>
              <w:right w:val="nil"/>
            </w:tcBorders>
            <w:shd w:val="clear" w:color="000000" w:fill="FFFFFF"/>
            <w:hideMark/>
          </w:tcPr>
          <w:p w14:paraId="41FF4FD4" w14:textId="77777777" w:rsidR="001766B9" w:rsidRPr="001766B9" w:rsidRDefault="001766B9" w:rsidP="001766B9">
            <w:pPr>
              <w:jc w:val="center"/>
              <w:rPr>
                <w:color w:val="000000"/>
                <w:sz w:val="20"/>
                <w:szCs w:val="20"/>
              </w:rPr>
            </w:pPr>
            <w:r w:rsidRPr="001766B9">
              <w:rPr>
                <w:color w:val="000000"/>
                <w:sz w:val="20"/>
                <w:szCs w:val="20"/>
              </w:rPr>
              <w:t>0.17</w:t>
            </w:r>
          </w:p>
          <w:p w14:paraId="7AA6554C" w14:textId="77777777" w:rsidR="001766B9" w:rsidRPr="001766B9" w:rsidRDefault="001766B9" w:rsidP="001766B9">
            <w:pPr>
              <w:jc w:val="center"/>
              <w:rPr>
                <w:color w:val="000000"/>
                <w:sz w:val="20"/>
                <w:szCs w:val="20"/>
              </w:rPr>
            </w:pPr>
            <w:r w:rsidRPr="001766B9">
              <w:rPr>
                <w:color w:val="000000"/>
                <w:sz w:val="20"/>
                <w:szCs w:val="20"/>
              </w:rPr>
              <w:t>(0.48)</w:t>
            </w:r>
          </w:p>
        </w:tc>
        <w:tc>
          <w:tcPr>
            <w:tcW w:w="1013" w:type="dxa"/>
            <w:tcBorders>
              <w:top w:val="nil"/>
              <w:left w:val="nil"/>
              <w:bottom w:val="nil"/>
              <w:right w:val="single" w:sz="8" w:space="0" w:color="auto"/>
            </w:tcBorders>
            <w:shd w:val="clear" w:color="000000" w:fill="FFFFFF"/>
            <w:hideMark/>
          </w:tcPr>
          <w:p w14:paraId="5A234A48" w14:textId="77777777" w:rsidR="001766B9" w:rsidRPr="001766B9" w:rsidRDefault="001766B9" w:rsidP="001766B9">
            <w:pPr>
              <w:jc w:val="center"/>
              <w:rPr>
                <w:color w:val="000000"/>
                <w:sz w:val="20"/>
                <w:szCs w:val="20"/>
              </w:rPr>
            </w:pPr>
            <w:r w:rsidRPr="001766B9">
              <w:rPr>
                <w:color w:val="000000"/>
                <w:sz w:val="20"/>
                <w:szCs w:val="20"/>
              </w:rPr>
              <w:t>0.15</w:t>
            </w:r>
          </w:p>
          <w:p w14:paraId="16E587CC" w14:textId="77777777" w:rsidR="001766B9" w:rsidRPr="001766B9" w:rsidRDefault="001766B9" w:rsidP="001766B9">
            <w:pPr>
              <w:jc w:val="center"/>
              <w:rPr>
                <w:color w:val="000000"/>
                <w:sz w:val="20"/>
                <w:szCs w:val="20"/>
              </w:rPr>
            </w:pPr>
            <w:r w:rsidRPr="001766B9">
              <w:rPr>
                <w:color w:val="000000"/>
                <w:sz w:val="20"/>
                <w:szCs w:val="20"/>
              </w:rPr>
              <w:t>(0.13)</w:t>
            </w:r>
          </w:p>
        </w:tc>
      </w:tr>
      <w:tr w:rsidR="001766B9" w:rsidRPr="001766B9" w14:paraId="47B7EB0C" w14:textId="77777777" w:rsidTr="001766B9">
        <w:trPr>
          <w:trHeight w:val="547"/>
        </w:trPr>
        <w:tc>
          <w:tcPr>
            <w:tcW w:w="1815" w:type="dxa"/>
            <w:tcBorders>
              <w:top w:val="nil"/>
              <w:left w:val="single" w:sz="8" w:space="0" w:color="auto"/>
              <w:bottom w:val="nil"/>
              <w:right w:val="single" w:sz="8" w:space="0" w:color="000000"/>
            </w:tcBorders>
            <w:shd w:val="clear" w:color="000000" w:fill="FFFFFF"/>
            <w:hideMark/>
          </w:tcPr>
          <w:p w14:paraId="0ED2F278" w14:textId="77777777" w:rsidR="001766B9" w:rsidRPr="001766B9" w:rsidRDefault="001766B9" w:rsidP="001766B9">
            <w:pPr>
              <w:rPr>
                <w:color w:val="000000"/>
                <w:sz w:val="20"/>
                <w:szCs w:val="20"/>
              </w:rPr>
            </w:pPr>
            <w:r w:rsidRPr="001766B9">
              <w:rPr>
                <w:color w:val="000000"/>
                <w:sz w:val="20"/>
                <w:szCs w:val="20"/>
              </w:rPr>
              <w:t xml:space="preserve">Race </w:t>
            </w:r>
          </w:p>
        </w:tc>
        <w:tc>
          <w:tcPr>
            <w:tcW w:w="1249" w:type="dxa"/>
            <w:tcBorders>
              <w:top w:val="nil"/>
              <w:left w:val="nil"/>
              <w:bottom w:val="nil"/>
              <w:right w:val="nil"/>
            </w:tcBorders>
            <w:shd w:val="clear" w:color="000000" w:fill="FFFFFF"/>
            <w:hideMark/>
          </w:tcPr>
          <w:p w14:paraId="4DAC9685" w14:textId="77777777" w:rsidR="001766B9" w:rsidRPr="001766B9" w:rsidRDefault="001766B9" w:rsidP="001766B9">
            <w:pPr>
              <w:rPr>
                <w:color w:val="000000"/>
                <w:sz w:val="20"/>
                <w:szCs w:val="20"/>
              </w:rPr>
            </w:pPr>
            <w:r w:rsidRPr="001766B9">
              <w:rPr>
                <w:color w:val="000000"/>
                <w:sz w:val="20"/>
                <w:szCs w:val="20"/>
              </w:rPr>
              <w:t xml:space="preserve">White </w:t>
            </w:r>
          </w:p>
        </w:tc>
        <w:tc>
          <w:tcPr>
            <w:tcW w:w="1066" w:type="dxa"/>
            <w:tcBorders>
              <w:top w:val="nil"/>
              <w:left w:val="nil"/>
              <w:bottom w:val="nil"/>
              <w:right w:val="single" w:sz="8" w:space="0" w:color="000000"/>
            </w:tcBorders>
            <w:shd w:val="clear" w:color="000000" w:fill="FFFFFF"/>
            <w:hideMark/>
          </w:tcPr>
          <w:p w14:paraId="71175D9B" w14:textId="77777777" w:rsidR="001766B9" w:rsidRPr="001766B9" w:rsidRDefault="001766B9" w:rsidP="001766B9">
            <w:pPr>
              <w:rPr>
                <w:color w:val="000000"/>
                <w:sz w:val="20"/>
                <w:szCs w:val="20"/>
              </w:rPr>
            </w:pPr>
            <w:r w:rsidRPr="001766B9">
              <w:rPr>
                <w:color w:val="000000"/>
                <w:sz w:val="20"/>
                <w:szCs w:val="20"/>
              </w:rPr>
              <w:t xml:space="preserve">Black </w:t>
            </w:r>
          </w:p>
        </w:tc>
        <w:tc>
          <w:tcPr>
            <w:tcW w:w="1080" w:type="dxa"/>
            <w:tcBorders>
              <w:top w:val="nil"/>
              <w:left w:val="nil"/>
              <w:bottom w:val="nil"/>
              <w:right w:val="nil"/>
            </w:tcBorders>
            <w:shd w:val="clear" w:color="000000" w:fill="FFFFFF"/>
            <w:hideMark/>
          </w:tcPr>
          <w:p w14:paraId="286EF5BA" w14:textId="77777777" w:rsidR="001766B9" w:rsidRPr="001766B9" w:rsidRDefault="001766B9" w:rsidP="001766B9">
            <w:pPr>
              <w:jc w:val="center"/>
              <w:rPr>
                <w:color w:val="000000"/>
                <w:sz w:val="20"/>
                <w:szCs w:val="20"/>
              </w:rPr>
            </w:pPr>
            <w:r w:rsidRPr="001766B9">
              <w:rPr>
                <w:color w:val="000000"/>
                <w:sz w:val="20"/>
                <w:szCs w:val="20"/>
              </w:rPr>
              <w:t>0.56</w:t>
            </w:r>
          </w:p>
          <w:p w14:paraId="43D5A222" w14:textId="77777777" w:rsidR="001766B9" w:rsidRPr="001766B9" w:rsidRDefault="001766B9" w:rsidP="001766B9">
            <w:pPr>
              <w:jc w:val="center"/>
              <w:rPr>
                <w:color w:val="000000"/>
                <w:sz w:val="20"/>
                <w:szCs w:val="20"/>
              </w:rPr>
            </w:pPr>
            <w:r w:rsidRPr="001766B9">
              <w:rPr>
                <w:color w:val="000000"/>
                <w:sz w:val="20"/>
                <w:szCs w:val="20"/>
              </w:rPr>
              <w:t>(1.89)</w:t>
            </w:r>
          </w:p>
        </w:tc>
        <w:tc>
          <w:tcPr>
            <w:tcW w:w="1005" w:type="dxa"/>
            <w:tcBorders>
              <w:top w:val="nil"/>
              <w:left w:val="nil"/>
              <w:bottom w:val="nil"/>
              <w:right w:val="single" w:sz="8" w:space="0" w:color="000000"/>
            </w:tcBorders>
            <w:shd w:val="clear" w:color="000000" w:fill="FFFFFF"/>
            <w:hideMark/>
          </w:tcPr>
          <w:p w14:paraId="75B9C9B7" w14:textId="77777777" w:rsidR="001766B9" w:rsidRPr="001766B9" w:rsidRDefault="001766B9" w:rsidP="001766B9">
            <w:pPr>
              <w:jc w:val="center"/>
              <w:rPr>
                <w:color w:val="000000"/>
                <w:sz w:val="20"/>
                <w:szCs w:val="20"/>
              </w:rPr>
            </w:pPr>
            <w:r w:rsidRPr="001766B9">
              <w:rPr>
                <w:color w:val="000000"/>
                <w:sz w:val="20"/>
                <w:szCs w:val="20"/>
              </w:rPr>
              <w:t>15.15</w:t>
            </w:r>
          </w:p>
          <w:p w14:paraId="737C69BD" w14:textId="77777777" w:rsidR="001766B9" w:rsidRPr="001766B9" w:rsidRDefault="001766B9" w:rsidP="001766B9">
            <w:pPr>
              <w:jc w:val="center"/>
              <w:rPr>
                <w:color w:val="000000"/>
                <w:sz w:val="20"/>
                <w:szCs w:val="20"/>
              </w:rPr>
            </w:pPr>
            <w:r w:rsidRPr="001766B9">
              <w:rPr>
                <w:color w:val="000000"/>
                <w:sz w:val="20"/>
                <w:szCs w:val="20"/>
              </w:rPr>
              <w:t>(3.11)</w:t>
            </w:r>
          </w:p>
        </w:tc>
        <w:tc>
          <w:tcPr>
            <w:tcW w:w="1091" w:type="dxa"/>
            <w:tcBorders>
              <w:top w:val="nil"/>
              <w:left w:val="nil"/>
              <w:bottom w:val="nil"/>
              <w:right w:val="single" w:sz="8" w:space="0" w:color="000000"/>
            </w:tcBorders>
            <w:shd w:val="clear" w:color="000000" w:fill="FFFFFF"/>
            <w:hideMark/>
          </w:tcPr>
          <w:p w14:paraId="06F16609" w14:textId="77777777" w:rsidR="001766B9" w:rsidRPr="001766B9" w:rsidRDefault="001766B9" w:rsidP="001766B9">
            <w:pPr>
              <w:jc w:val="center"/>
              <w:rPr>
                <w:color w:val="000000"/>
                <w:sz w:val="20"/>
                <w:szCs w:val="20"/>
              </w:rPr>
            </w:pPr>
            <w:r w:rsidRPr="001766B9">
              <w:rPr>
                <w:color w:val="000000"/>
                <w:sz w:val="20"/>
                <w:szCs w:val="20"/>
              </w:rPr>
              <w:t>-18.21</w:t>
            </w:r>
          </w:p>
          <w:p w14:paraId="75E409CF" w14:textId="77777777" w:rsidR="001766B9" w:rsidRPr="001766B9" w:rsidRDefault="001766B9" w:rsidP="001766B9">
            <w:pPr>
              <w:jc w:val="center"/>
              <w:rPr>
                <w:color w:val="000000"/>
                <w:sz w:val="20"/>
                <w:szCs w:val="20"/>
              </w:rPr>
            </w:pPr>
            <w:r w:rsidRPr="001766B9">
              <w:rPr>
                <w:color w:val="000000"/>
                <w:sz w:val="20"/>
                <w:szCs w:val="20"/>
              </w:rPr>
              <w:t>(2.87)</w:t>
            </w:r>
          </w:p>
        </w:tc>
        <w:tc>
          <w:tcPr>
            <w:tcW w:w="982" w:type="dxa"/>
            <w:tcBorders>
              <w:top w:val="nil"/>
              <w:left w:val="nil"/>
              <w:bottom w:val="nil"/>
              <w:right w:val="nil"/>
            </w:tcBorders>
            <w:shd w:val="clear" w:color="000000" w:fill="FFFFFF"/>
            <w:hideMark/>
          </w:tcPr>
          <w:p w14:paraId="48594049" w14:textId="77777777" w:rsidR="001766B9" w:rsidRPr="001766B9" w:rsidRDefault="001766B9" w:rsidP="001766B9">
            <w:pPr>
              <w:jc w:val="center"/>
              <w:rPr>
                <w:color w:val="000000"/>
                <w:sz w:val="20"/>
                <w:szCs w:val="20"/>
              </w:rPr>
            </w:pPr>
            <w:r w:rsidRPr="001766B9">
              <w:rPr>
                <w:color w:val="000000"/>
                <w:sz w:val="20"/>
                <w:szCs w:val="20"/>
              </w:rPr>
              <w:t>0.51</w:t>
            </w:r>
          </w:p>
          <w:p w14:paraId="2304148D" w14:textId="77777777" w:rsidR="001766B9" w:rsidRPr="001766B9" w:rsidRDefault="001766B9" w:rsidP="001766B9">
            <w:pPr>
              <w:jc w:val="center"/>
              <w:rPr>
                <w:color w:val="000000"/>
                <w:sz w:val="20"/>
                <w:szCs w:val="20"/>
              </w:rPr>
            </w:pPr>
            <w:r w:rsidRPr="001766B9">
              <w:rPr>
                <w:color w:val="000000"/>
                <w:sz w:val="20"/>
                <w:szCs w:val="20"/>
              </w:rPr>
              <w:t>(0.65)</w:t>
            </w:r>
          </w:p>
        </w:tc>
        <w:tc>
          <w:tcPr>
            <w:tcW w:w="1013" w:type="dxa"/>
            <w:tcBorders>
              <w:top w:val="nil"/>
              <w:left w:val="nil"/>
              <w:bottom w:val="nil"/>
              <w:right w:val="single" w:sz="8" w:space="0" w:color="auto"/>
            </w:tcBorders>
            <w:shd w:val="clear" w:color="000000" w:fill="FFFFFF"/>
            <w:hideMark/>
          </w:tcPr>
          <w:p w14:paraId="6E952B81" w14:textId="77777777" w:rsidR="001766B9" w:rsidRPr="001766B9" w:rsidRDefault="001766B9" w:rsidP="001766B9">
            <w:pPr>
              <w:jc w:val="center"/>
              <w:rPr>
                <w:color w:val="000000"/>
                <w:sz w:val="20"/>
                <w:szCs w:val="20"/>
              </w:rPr>
            </w:pPr>
            <w:r w:rsidRPr="001766B9">
              <w:rPr>
                <w:color w:val="000000"/>
                <w:sz w:val="20"/>
                <w:szCs w:val="20"/>
              </w:rPr>
              <w:t>1.99</w:t>
            </w:r>
          </w:p>
          <w:p w14:paraId="6BB2DC3C" w14:textId="77777777" w:rsidR="001766B9" w:rsidRPr="001766B9" w:rsidRDefault="001766B9" w:rsidP="001766B9">
            <w:pPr>
              <w:jc w:val="center"/>
              <w:rPr>
                <w:color w:val="000000"/>
                <w:sz w:val="20"/>
                <w:szCs w:val="20"/>
              </w:rPr>
            </w:pPr>
            <w:r w:rsidRPr="001766B9">
              <w:rPr>
                <w:color w:val="000000"/>
                <w:sz w:val="20"/>
                <w:szCs w:val="20"/>
              </w:rPr>
              <w:t>(0.33)</w:t>
            </w:r>
          </w:p>
        </w:tc>
      </w:tr>
      <w:tr w:rsidR="001766B9" w:rsidRPr="001766B9" w14:paraId="10D07F98" w14:textId="77777777" w:rsidTr="001766B9">
        <w:trPr>
          <w:trHeight w:val="547"/>
        </w:trPr>
        <w:tc>
          <w:tcPr>
            <w:tcW w:w="1815" w:type="dxa"/>
            <w:tcBorders>
              <w:top w:val="nil"/>
              <w:left w:val="single" w:sz="8" w:space="0" w:color="auto"/>
              <w:bottom w:val="nil"/>
              <w:right w:val="single" w:sz="8" w:space="0" w:color="000000"/>
            </w:tcBorders>
            <w:shd w:val="clear" w:color="000000" w:fill="FFFFFF"/>
            <w:hideMark/>
          </w:tcPr>
          <w:p w14:paraId="75C111EF" w14:textId="77777777" w:rsidR="001766B9" w:rsidRPr="001766B9" w:rsidRDefault="001766B9" w:rsidP="001766B9">
            <w:pPr>
              <w:rPr>
                <w:color w:val="000000"/>
                <w:sz w:val="20"/>
                <w:szCs w:val="20"/>
              </w:rPr>
            </w:pPr>
            <w:r w:rsidRPr="001766B9">
              <w:rPr>
                <w:color w:val="000000"/>
                <w:sz w:val="20"/>
                <w:szCs w:val="20"/>
              </w:rPr>
              <w:t xml:space="preserve">Race </w:t>
            </w:r>
          </w:p>
        </w:tc>
        <w:tc>
          <w:tcPr>
            <w:tcW w:w="1249" w:type="dxa"/>
            <w:tcBorders>
              <w:top w:val="nil"/>
              <w:left w:val="nil"/>
              <w:bottom w:val="nil"/>
              <w:right w:val="nil"/>
            </w:tcBorders>
            <w:shd w:val="clear" w:color="000000" w:fill="FFFFFF"/>
            <w:hideMark/>
          </w:tcPr>
          <w:p w14:paraId="0AD9F138" w14:textId="77777777" w:rsidR="001766B9" w:rsidRPr="001766B9" w:rsidRDefault="001766B9" w:rsidP="001766B9">
            <w:pPr>
              <w:rPr>
                <w:color w:val="000000"/>
                <w:sz w:val="20"/>
                <w:szCs w:val="20"/>
              </w:rPr>
            </w:pPr>
            <w:r w:rsidRPr="001766B9">
              <w:rPr>
                <w:color w:val="000000"/>
                <w:sz w:val="20"/>
                <w:szCs w:val="20"/>
              </w:rPr>
              <w:t xml:space="preserve">White </w:t>
            </w:r>
          </w:p>
        </w:tc>
        <w:tc>
          <w:tcPr>
            <w:tcW w:w="1066" w:type="dxa"/>
            <w:tcBorders>
              <w:top w:val="nil"/>
              <w:left w:val="nil"/>
              <w:bottom w:val="nil"/>
              <w:right w:val="single" w:sz="8" w:space="0" w:color="000000"/>
            </w:tcBorders>
            <w:shd w:val="clear" w:color="000000" w:fill="FFFFFF"/>
            <w:hideMark/>
          </w:tcPr>
          <w:p w14:paraId="66079A54" w14:textId="77777777" w:rsidR="001766B9" w:rsidRPr="001766B9" w:rsidRDefault="001766B9" w:rsidP="001766B9">
            <w:pPr>
              <w:rPr>
                <w:color w:val="000000"/>
                <w:sz w:val="20"/>
                <w:szCs w:val="20"/>
              </w:rPr>
            </w:pPr>
            <w:r w:rsidRPr="001766B9">
              <w:rPr>
                <w:color w:val="000000"/>
                <w:sz w:val="20"/>
                <w:szCs w:val="20"/>
              </w:rPr>
              <w:t xml:space="preserve">Asian </w:t>
            </w:r>
          </w:p>
        </w:tc>
        <w:tc>
          <w:tcPr>
            <w:tcW w:w="1080" w:type="dxa"/>
            <w:tcBorders>
              <w:top w:val="nil"/>
              <w:left w:val="nil"/>
              <w:bottom w:val="nil"/>
              <w:right w:val="nil"/>
            </w:tcBorders>
            <w:shd w:val="clear" w:color="000000" w:fill="FFFFFF"/>
            <w:hideMark/>
          </w:tcPr>
          <w:p w14:paraId="4CB87011" w14:textId="77777777" w:rsidR="001766B9" w:rsidRPr="001766B9" w:rsidRDefault="001766B9" w:rsidP="001766B9">
            <w:pPr>
              <w:jc w:val="center"/>
              <w:rPr>
                <w:color w:val="000000"/>
                <w:sz w:val="20"/>
                <w:szCs w:val="20"/>
              </w:rPr>
            </w:pPr>
            <w:r w:rsidRPr="001766B9">
              <w:rPr>
                <w:color w:val="000000"/>
                <w:sz w:val="20"/>
                <w:szCs w:val="20"/>
              </w:rPr>
              <w:t>6.04</w:t>
            </w:r>
          </w:p>
          <w:p w14:paraId="5AB01710" w14:textId="77777777" w:rsidR="001766B9" w:rsidRPr="001766B9" w:rsidRDefault="001766B9" w:rsidP="001766B9">
            <w:pPr>
              <w:jc w:val="center"/>
              <w:rPr>
                <w:color w:val="000000"/>
                <w:sz w:val="20"/>
                <w:szCs w:val="20"/>
              </w:rPr>
            </w:pPr>
            <w:r w:rsidRPr="001766B9">
              <w:rPr>
                <w:color w:val="000000"/>
                <w:sz w:val="20"/>
                <w:szCs w:val="20"/>
              </w:rPr>
              <w:t>(1.38)</w:t>
            </w:r>
          </w:p>
        </w:tc>
        <w:tc>
          <w:tcPr>
            <w:tcW w:w="1005" w:type="dxa"/>
            <w:tcBorders>
              <w:top w:val="nil"/>
              <w:left w:val="nil"/>
              <w:bottom w:val="nil"/>
              <w:right w:val="single" w:sz="8" w:space="0" w:color="000000"/>
            </w:tcBorders>
            <w:shd w:val="clear" w:color="000000" w:fill="FFFFFF"/>
            <w:hideMark/>
          </w:tcPr>
          <w:p w14:paraId="3071A751" w14:textId="77777777" w:rsidR="001766B9" w:rsidRPr="001766B9" w:rsidRDefault="001766B9" w:rsidP="001766B9">
            <w:pPr>
              <w:jc w:val="center"/>
              <w:rPr>
                <w:color w:val="000000"/>
                <w:sz w:val="20"/>
                <w:szCs w:val="20"/>
              </w:rPr>
            </w:pPr>
            <w:r w:rsidRPr="001766B9">
              <w:rPr>
                <w:color w:val="000000"/>
                <w:sz w:val="20"/>
                <w:szCs w:val="20"/>
              </w:rPr>
              <w:t>6.77</w:t>
            </w:r>
          </w:p>
          <w:p w14:paraId="132C947D" w14:textId="77777777" w:rsidR="001766B9" w:rsidRPr="001766B9" w:rsidRDefault="001766B9" w:rsidP="001766B9">
            <w:pPr>
              <w:jc w:val="center"/>
              <w:rPr>
                <w:color w:val="000000"/>
                <w:sz w:val="20"/>
                <w:szCs w:val="20"/>
              </w:rPr>
            </w:pPr>
            <w:r w:rsidRPr="001766B9">
              <w:rPr>
                <w:color w:val="000000"/>
                <w:sz w:val="20"/>
                <w:szCs w:val="20"/>
              </w:rPr>
              <w:t>(1.43)</w:t>
            </w:r>
          </w:p>
        </w:tc>
        <w:tc>
          <w:tcPr>
            <w:tcW w:w="1091" w:type="dxa"/>
            <w:tcBorders>
              <w:top w:val="nil"/>
              <w:left w:val="nil"/>
              <w:bottom w:val="nil"/>
              <w:right w:val="single" w:sz="8" w:space="0" w:color="000000"/>
            </w:tcBorders>
            <w:shd w:val="clear" w:color="000000" w:fill="FFFFFF"/>
            <w:hideMark/>
          </w:tcPr>
          <w:p w14:paraId="30492C85" w14:textId="77777777" w:rsidR="001766B9" w:rsidRPr="001766B9" w:rsidRDefault="001766B9" w:rsidP="001766B9">
            <w:pPr>
              <w:jc w:val="center"/>
              <w:rPr>
                <w:color w:val="000000"/>
                <w:sz w:val="20"/>
                <w:szCs w:val="20"/>
              </w:rPr>
            </w:pPr>
            <w:r w:rsidRPr="001766B9">
              <w:rPr>
                <w:color w:val="000000"/>
                <w:sz w:val="20"/>
                <w:szCs w:val="20"/>
              </w:rPr>
              <w:t>-14.74</w:t>
            </w:r>
          </w:p>
          <w:p w14:paraId="023DAB22" w14:textId="77777777" w:rsidR="001766B9" w:rsidRPr="001766B9" w:rsidRDefault="001766B9" w:rsidP="001766B9">
            <w:pPr>
              <w:jc w:val="center"/>
              <w:rPr>
                <w:color w:val="000000"/>
                <w:sz w:val="20"/>
                <w:szCs w:val="20"/>
              </w:rPr>
            </w:pPr>
            <w:r w:rsidRPr="001766B9">
              <w:rPr>
                <w:color w:val="000000"/>
                <w:sz w:val="20"/>
                <w:szCs w:val="20"/>
              </w:rPr>
              <w:t>(2.48)</w:t>
            </w:r>
          </w:p>
        </w:tc>
        <w:tc>
          <w:tcPr>
            <w:tcW w:w="982" w:type="dxa"/>
            <w:tcBorders>
              <w:top w:val="nil"/>
              <w:left w:val="nil"/>
              <w:bottom w:val="nil"/>
              <w:right w:val="nil"/>
            </w:tcBorders>
            <w:shd w:val="clear" w:color="000000" w:fill="FFFFFF"/>
            <w:hideMark/>
          </w:tcPr>
          <w:p w14:paraId="12DAEF67" w14:textId="77777777" w:rsidR="001766B9" w:rsidRPr="001766B9" w:rsidRDefault="001766B9" w:rsidP="001766B9">
            <w:pPr>
              <w:jc w:val="center"/>
              <w:rPr>
                <w:color w:val="000000"/>
                <w:sz w:val="20"/>
                <w:szCs w:val="20"/>
              </w:rPr>
            </w:pPr>
            <w:r w:rsidRPr="001766B9">
              <w:rPr>
                <w:color w:val="000000"/>
                <w:sz w:val="20"/>
                <w:szCs w:val="20"/>
              </w:rPr>
              <w:t>1.08</w:t>
            </w:r>
          </w:p>
          <w:p w14:paraId="741EF0CC" w14:textId="77777777" w:rsidR="001766B9" w:rsidRPr="001766B9" w:rsidRDefault="001766B9" w:rsidP="001766B9">
            <w:pPr>
              <w:jc w:val="center"/>
              <w:rPr>
                <w:color w:val="000000"/>
                <w:sz w:val="20"/>
                <w:szCs w:val="20"/>
              </w:rPr>
            </w:pPr>
            <w:r w:rsidRPr="001766B9">
              <w:rPr>
                <w:color w:val="000000"/>
                <w:sz w:val="20"/>
                <w:szCs w:val="20"/>
              </w:rPr>
              <w:t>(0.63)</w:t>
            </w:r>
          </w:p>
        </w:tc>
        <w:tc>
          <w:tcPr>
            <w:tcW w:w="1013" w:type="dxa"/>
            <w:tcBorders>
              <w:top w:val="nil"/>
              <w:left w:val="nil"/>
              <w:bottom w:val="nil"/>
              <w:right w:val="single" w:sz="8" w:space="0" w:color="auto"/>
            </w:tcBorders>
            <w:shd w:val="clear" w:color="000000" w:fill="FFFFFF"/>
            <w:hideMark/>
          </w:tcPr>
          <w:p w14:paraId="6208C3A9" w14:textId="77777777" w:rsidR="001766B9" w:rsidRPr="001766B9" w:rsidRDefault="001766B9" w:rsidP="001766B9">
            <w:pPr>
              <w:jc w:val="center"/>
              <w:rPr>
                <w:color w:val="000000"/>
                <w:sz w:val="20"/>
                <w:szCs w:val="20"/>
              </w:rPr>
            </w:pPr>
            <w:r w:rsidRPr="001766B9">
              <w:rPr>
                <w:color w:val="000000"/>
                <w:sz w:val="20"/>
                <w:szCs w:val="20"/>
              </w:rPr>
              <w:t>0.85</w:t>
            </w:r>
          </w:p>
          <w:p w14:paraId="0547067C" w14:textId="77777777" w:rsidR="001766B9" w:rsidRPr="001766B9" w:rsidRDefault="001766B9" w:rsidP="001766B9">
            <w:pPr>
              <w:jc w:val="center"/>
              <w:rPr>
                <w:color w:val="000000"/>
                <w:sz w:val="20"/>
                <w:szCs w:val="20"/>
              </w:rPr>
            </w:pPr>
            <w:r w:rsidRPr="001766B9">
              <w:rPr>
                <w:color w:val="000000"/>
                <w:sz w:val="20"/>
                <w:szCs w:val="20"/>
              </w:rPr>
              <w:t>(0.14)</w:t>
            </w:r>
          </w:p>
        </w:tc>
      </w:tr>
      <w:tr w:rsidR="001766B9" w:rsidRPr="001766B9" w14:paraId="3235056D" w14:textId="77777777" w:rsidTr="001766B9">
        <w:trPr>
          <w:trHeight w:val="547"/>
        </w:trPr>
        <w:tc>
          <w:tcPr>
            <w:tcW w:w="1815" w:type="dxa"/>
            <w:tcBorders>
              <w:top w:val="nil"/>
              <w:left w:val="single" w:sz="8" w:space="0" w:color="auto"/>
              <w:bottom w:val="nil"/>
              <w:right w:val="single" w:sz="8" w:space="0" w:color="000000"/>
            </w:tcBorders>
            <w:shd w:val="clear" w:color="000000" w:fill="FFFFFF"/>
            <w:hideMark/>
          </w:tcPr>
          <w:p w14:paraId="29BB94B4" w14:textId="77777777" w:rsidR="001766B9" w:rsidRPr="001766B9" w:rsidRDefault="001766B9" w:rsidP="001766B9">
            <w:pPr>
              <w:rPr>
                <w:color w:val="000000"/>
                <w:sz w:val="20"/>
                <w:szCs w:val="20"/>
              </w:rPr>
            </w:pPr>
            <w:r w:rsidRPr="001766B9">
              <w:rPr>
                <w:color w:val="000000"/>
                <w:sz w:val="20"/>
                <w:szCs w:val="20"/>
              </w:rPr>
              <w:t xml:space="preserve">Driver Status </w:t>
            </w:r>
          </w:p>
        </w:tc>
        <w:tc>
          <w:tcPr>
            <w:tcW w:w="1249" w:type="dxa"/>
            <w:tcBorders>
              <w:top w:val="nil"/>
              <w:left w:val="nil"/>
              <w:bottom w:val="nil"/>
              <w:right w:val="nil"/>
            </w:tcBorders>
            <w:shd w:val="clear" w:color="000000" w:fill="FFFFFF"/>
            <w:hideMark/>
          </w:tcPr>
          <w:p w14:paraId="1C4496DC" w14:textId="77777777" w:rsidR="001766B9" w:rsidRPr="001766B9" w:rsidRDefault="001766B9" w:rsidP="001766B9">
            <w:pPr>
              <w:rPr>
                <w:color w:val="000000"/>
                <w:sz w:val="20"/>
                <w:szCs w:val="20"/>
              </w:rPr>
            </w:pPr>
            <w:r w:rsidRPr="001766B9">
              <w:rPr>
                <w:color w:val="000000"/>
                <w:sz w:val="20"/>
                <w:szCs w:val="20"/>
              </w:rPr>
              <w:t xml:space="preserve">Driver </w:t>
            </w:r>
          </w:p>
        </w:tc>
        <w:tc>
          <w:tcPr>
            <w:tcW w:w="1066" w:type="dxa"/>
            <w:tcBorders>
              <w:top w:val="nil"/>
              <w:left w:val="nil"/>
              <w:bottom w:val="nil"/>
              <w:right w:val="single" w:sz="8" w:space="0" w:color="000000"/>
            </w:tcBorders>
            <w:shd w:val="clear" w:color="000000" w:fill="FFFFFF"/>
            <w:hideMark/>
          </w:tcPr>
          <w:p w14:paraId="0E5C24C1" w14:textId="77777777" w:rsidR="001766B9" w:rsidRPr="001766B9" w:rsidRDefault="001766B9" w:rsidP="001766B9">
            <w:pPr>
              <w:rPr>
                <w:color w:val="000000"/>
                <w:sz w:val="20"/>
                <w:szCs w:val="20"/>
              </w:rPr>
            </w:pPr>
            <w:r w:rsidRPr="001766B9">
              <w:rPr>
                <w:color w:val="000000"/>
                <w:sz w:val="20"/>
                <w:szCs w:val="20"/>
              </w:rPr>
              <w:t xml:space="preserve">Not Driver </w:t>
            </w:r>
          </w:p>
        </w:tc>
        <w:tc>
          <w:tcPr>
            <w:tcW w:w="1080" w:type="dxa"/>
            <w:tcBorders>
              <w:top w:val="nil"/>
              <w:left w:val="nil"/>
              <w:bottom w:val="nil"/>
              <w:right w:val="nil"/>
            </w:tcBorders>
            <w:shd w:val="clear" w:color="000000" w:fill="FFFFFF"/>
            <w:hideMark/>
          </w:tcPr>
          <w:p w14:paraId="7FFAC7BE" w14:textId="77777777" w:rsidR="001766B9" w:rsidRPr="001766B9" w:rsidRDefault="001766B9" w:rsidP="001766B9">
            <w:pPr>
              <w:jc w:val="center"/>
              <w:rPr>
                <w:color w:val="000000"/>
                <w:sz w:val="20"/>
                <w:szCs w:val="20"/>
              </w:rPr>
            </w:pPr>
            <w:r w:rsidRPr="001766B9">
              <w:rPr>
                <w:color w:val="000000"/>
                <w:sz w:val="20"/>
                <w:szCs w:val="20"/>
              </w:rPr>
              <w:t>3.37</w:t>
            </w:r>
          </w:p>
          <w:p w14:paraId="52CDB6BD" w14:textId="77777777" w:rsidR="001766B9" w:rsidRPr="001766B9" w:rsidRDefault="001766B9" w:rsidP="001766B9">
            <w:pPr>
              <w:jc w:val="center"/>
              <w:rPr>
                <w:color w:val="000000"/>
                <w:sz w:val="20"/>
                <w:szCs w:val="20"/>
              </w:rPr>
            </w:pPr>
            <w:r w:rsidRPr="001766B9">
              <w:rPr>
                <w:color w:val="000000"/>
                <w:sz w:val="20"/>
                <w:szCs w:val="20"/>
              </w:rPr>
              <w:t>(1.37)</w:t>
            </w:r>
          </w:p>
        </w:tc>
        <w:tc>
          <w:tcPr>
            <w:tcW w:w="1005" w:type="dxa"/>
            <w:tcBorders>
              <w:top w:val="nil"/>
              <w:left w:val="nil"/>
              <w:bottom w:val="nil"/>
              <w:right w:val="single" w:sz="8" w:space="0" w:color="000000"/>
            </w:tcBorders>
            <w:shd w:val="clear" w:color="000000" w:fill="FFFFFF"/>
            <w:hideMark/>
          </w:tcPr>
          <w:p w14:paraId="38E84E19" w14:textId="77777777" w:rsidR="001766B9" w:rsidRPr="001766B9" w:rsidRDefault="001766B9" w:rsidP="001766B9">
            <w:pPr>
              <w:jc w:val="center"/>
              <w:rPr>
                <w:color w:val="000000"/>
                <w:sz w:val="20"/>
                <w:szCs w:val="20"/>
              </w:rPr>
            </w:pPr>
            <w:r w:rsidRPr="001766B9">
              <w:rPr>
                <w:color w:val="000000"/>
                <w:sz w:val="20"/>
                <w:szCs w:val="20"/>
              </w:rPr>
              <w:t>-3.71</w:t>
            </w:r>
          </w:p>
          <w:p w14:paraId="4308DBF7" w14:textId="77777777" w:rsidR="001766B9" w:rsidRPr="001766B9" w:rsidRDefault="001766B9" w:rsidP="001766B9">
            <w:pPr>
              <w:jc w:val="center"/>
              <w:rPr>
                <w:color w:val="000000"/>
                <w:sz w:val="20"/>
                <w:szCs w:val="20"/>
              </w:rPr>
            </w:pPr>
            <w:r w:rsidRPr="001766B9">
              <w:rPr>
                <w:color w:val="000000"/>
                <w:sz w:val="20"/>
                <w:szCs w:val="20"/>
              </w:rPr>
              <w:t>(1.36)</w:t>
            </w:r>
          </w:p>
        </w:tc>
        <w:tc>
          <w:tcPr>
            <w:tcW w:w="1091" w:type="dxa"/>
            <w:tcBorders>
              <w:top w:val="nil"/>
              <w:left w:val="nil"/>
              <w:bottom w:val="nil"/>
              <w:right w:val="single" w:sz="8" w:space="0" w:color="000000"/>
            </w:tcBorders>
            <w:shd w:val="clear" w:color="000000" w:fill="FFFFFF"/>
            <w:hideMark/>
          </w:tcPr>
          <w:p w14:paraId="45EB6620" w14:textId="77777777" w:rsidR="001766B9" w:rsidRPr="001766B9" w:rsidRDefault="001766B9" w:rsidP="001766B9">
            <w:pPr>
              <w:jc w:val="center"/>
              <w:rPr>
                <w:color w:val="000000"/>
                <w:sz w:val="20"/>
                <w:szCs w:val="20"/>
              </w:rPr>
            </w:pPr>
            <w:r w:rsidRPr="001766B9">
              <w:rPr>
                <w:color w:val="000000"/>
                <w:sz w:val="20"/>
                <w:szCs w:val="20"/>
              </w:rPr>
              <w:t>-2.56</w:t>
            </w:r>
          </w:p>
          <w:p w14:paraId="72B9B9D5" w14:textId="77777777" w:rsidR="001766B9" w:rsidRPr="001766B9" w:rsidRDefault="001766B9" w:rsidP="001766B9">
            <w:pPr>
              <w:jc w:val="center"/>
              <w:rPr>
                <w:color w:val="000000"/>
                <w:sz w:val="20"/>
                <w:szCs w:val="20"/>
              </w:rPr>
            </w:pPr>
            <w:r w:rsidRPr="001766B9">
              <w:rPr>
                <w:color w:val="000000"/>
                <w:sz w:val="20"/>
                <w:szCs w:val="20"/>
              </w:rPr>
              <w:t>(0.48)</w:t>
            </w:r>
          </w:p>
        </w:tc>
        <w:tc>
          <w:tcPr>
            <w:tcW w:w="982" w:type="dxa"/>
            <w:tcBorders>
              <w:top w:val="nil"/>
              <w:left w:val="nil"/>
              <w:bottom w:val="nil"/>
              <w:right w:val="nil"/>
            </w:tcBorders>
            <w:shd w:val="clear" w:color="000000" w:fill="FFFFFF"/>
            <w:hideMark/>
          </w:tcPr>
          <w:p w14:paraId="5A1B02E9" w14:textId="77777777" w:rsidR="001766B9" w:rsidRPr="001766B9" w:rsidRDefault="001766B9" w:rsidP="001766B9">
            <w:pPr>
              <w:jc w:val="center"/>
              <w:rPr>
                <w:color w:val="000000"/>
                <w:sz w:val="20"/>
                <w:szCs w:val="20"/>
              </w:rPr>
            </w:pPr>
            <w:r w:rsidRPr="001766B9">
              <w:rPr>
                <w:color w:val="000000"/>
                <w:sz w:val="20"/>
                <w:szCs w:val="20"/>
              </w:rPr>
              <w:t>2.21</w:t>
            </w:r>
          </w:p>
          <w:p w14:paraId="594B7916" w14:textId="77777777" w:rsidR="001766B9" w:rsidRPr="001766B9" w:rsidRDefault="001766B9" w:rsidP="001766B9">
            <w:pPr>
              <w:jc w:val="center"/>
              <w:rPr>
                <w:color w:val="000000"/>
                <w:sz w:val="20"/>
                <w:szCs w:val="20"/>
              </w:rPr>
            </w:pPr>
            <w:r w:rsidRPr="001766B9">
              <w:rPr>
                <w:color w:val="000000"/>
                <w:sz w:val="20"/>
                <w:szCs w:val="20"/>
              </w:rPr>
              <w:t>(0.55)</w:t>
            </w:r>
          </w:p>
        </w:tc>
        <w:tc>
          <w:tcPr>
            <w:tcW w:w="1013" w:type="dxa"/>
            <w:tcBorders>
              <w:top w:val="nil"/>
              <w:left w:val="nil"/>
              <w:bottom w:val="nil"/>
              <w:right w:val="single" w:sz="8" w:space="0" w:color="auto"/>
            </w:tcBorders>
            <w:shd w:val="clear" w:color="000000" w:fill="FFFFFF"/>
            <w:hideMark/>
          </w:tcPr>
          <w:p w14:paraId="3F713608" w14:textId="77777777" w:rsidR="001766B9" w:rsidRPr="001766B9" w:rsidRDefault="001766B9" w:rsidP="001766B9">
            <w:pPr>
              <w:jc w:val="center"/>
              <w:rPr>
                <w:color w:val="000000"/>
                <w:sz w:val="20"/>
                <w:szCs w:val="20"/>
              </w:rPr>
            </w:pPr>
            <w:r w:rsidRPr="001766B9">
              <w:rPr>
                <w:color w:val="000000"/>
                <w:sz w:val="20"/>
                <w:szCs w:val="20"/>
              </w:rPr>
              <w:t>0.69</w:t>
            </w:r>
          </w:p>
          <w:p w14:paraId="7532A01A" w14:textId="77777777" w:rsidR="001766B9" w:rsidRPr="001766B9" w:rsidRDefault="001766B9" w:rsidP="001766B9">
            <w:pPr>
              <w:jc w:val="center"/>
              <w:rPr>
                <w:color w:val="000000"/>
                <w:sz w:val="20"/>
                <w:szCs w:val="20"/>
              </w:rPr>
            </w:pPr>
            <w:r w:rsidRPr="001766B9">
              <w:rPr>
                <w:color w:val="000000"/>
                <w:sz w:val="20"/>
                <w:szCs w:val="20"/>
              </w:rPr>
              <w:t>(0.09)</w:t>
            </w:r>
          </w:p>
        </w:tc>
      </w:tr>
      <w:tr w:rsidR="001766B9" w:rsidRPr="001766B9" w14:paraId="440F7304" w14:textId="77777777" w:rsidTr="001766B9">
        <w:trPr>
          <w:trHeight w:val="547"/>
        </w:trPr>
        <w:tc>
          <w:tcPr>
            <w:tcW w:w="1815" w:type="dxa"/>
            <w:tcBorders>
              <w:top w:val="nil"/>
              <w:left w:val="single" w:sz="8" w:space="0" w:color="auto"/>
              <w:bottom w:val="nil"/>
              <w:right w:val="single" w:sz="8" w:space="0" w:color="000000"/>
            </w:tcBorders>
            <w:shd w:val="clear" w:color="000000" w:fill="FFFFFF"/>
            <w:hideMark/>
          </w:tcPr>
          <w:p w14:paraId="371DE35E" w14:textId="77777777" w:rsidR="001766B9" w:rsidRPr="001766B9" w:rsidRDefault="001766B9" w:rsidP="001766B9">
            <w:pPr>
              <w:rPr>
                <w:color w:val="000000"/>
                <w:sz w:val="20"/>
                <w:szCs w:val="20"/>
              </w:rPr>
            </w:pPr>
            <w:r w:rsidRPr="001766B9">
              <w:rPr>
                <w:color w:val="000000"/>
                <w:sz w:val="20"/>
                <w:szCs w:val="20"/>
              </w:rPr>
              <w:t xml:space="preserve">Number of Adults </w:t>
            </w:r>
          </w:p>
        </w:tc>
        <w:tc>
          <w:tcPr>
            <w:tcW w:w="1249" w:type="dxa"/>
            <w:tcBorders>
              <w:top w:val="nil"/>
              <w:left w:val="nil"/>
              <w:bottom w:val="nil"/>
              <w:right w:val="nil"/>
            </w:tcBorders>
            <w:shd w:val="clear" w:color="000000" w:fill="FFFFFF"/>
            <w:hideMark/>
          </w:tcPr>
          <w:p w14:paraId="10A84C8A" w14:textId="77777777" w:rsidR="001766B9" w:rsidRPr="001766B9" w:rsidRDefault="001766B9" w:rsidP="001766B9">
            <w:pPr>
              <w:rPr>
                <w:color w:val="000000"/>
                <w:sz w:val="20"/>
                <w:szCs w:val="20"/>
              </w:rPr>
            </w:pPr>
            <w:r w:rsidRPr="001766B9">
              <w:rPr>
                <w:color w:val="000000"/>
                <w:sz w:val="20"/>
                <w:szCs w:val="20"/>
              </w:rPr>
              <w:t xml:space="preserve">Single Adult </w:t>
            </w:r>
          </w:p>
        </w:tc>
        <w:tc>
          <w:tcPr>
            <w:tcW w:w="1066" w:type="dxa"/>
            <w:tcBorders>
              <w:top w:val="nil"/>
              <w:left w:val="nil"/>
              <w:bottom w:val="nil"/>
              <w:right w:val="single" w:sz="8" w:space="0" w:color="000000"/>
            </w:tcBorders>
            <w:shd w:val="clear" w:color="000000" w:fill="FFFFFF"/>
            <w:hideMark/>
          </w:tcPr>
          <w:p w14:paraId="238D173C" w14:textId="77777777" w:rsidR="001766B9" w:rsidRPr="001766B9" w:rsidRDefault="001766B9" w:rsidP="001766B9">
            <w:pPr>
              <w:rPr>
                <w:color w:val="000000"/>
                <w:sz w:val="20"/>
                <w:szCs w:val="20"/>
              </w:rPr>
            </w:pPr>
            <w:r w:rsidRPr="001766B9">
              <w:rPr>
                <w:color w:val="000000"/>
                <w:sz w:val="20"/>
                <w:szCs w:val="20"/>
              </w:rPr>
              <w:t xml:space="preserve">3+ Adults </w:t>
            </w:r>
          </w:p>
        </w:tc>
        <w:tc>
          <w:tcPr>
            <w:tcW w:w="1080" w:type="dxa"/>
            <w:tcBorders>
              <w:top w:val="nil"/>
              <w:left w:val="nil"/>
              <w:bottom w:val="nil"/>
              <w:right w:val="nil"/>
            </w:tcBorders>
            <w:shd w:val="clear" w:color="000000" w:fill="FFFFFF"/>
            <w:hideMark/>
          </w:tcPr>
          <w:p w14:paraId="76C12F1C" w14:textId="77777777" w:rsidR="001766B9" w:rsidRPr="001766B9" w:rsidRDefault="001766B9" w:rsidP="001766B9">
            <w:pPr>
              <w:jc w:val="center"/>
              <w:rPr>
                <w:color w:val="000000"/>
                <w:sz w:val="20"/>
                <w:szCs w:val="20"/>
              </w:rPr>
            </w:pPr>
            <w:r w:rsidRPr="001766B9">
              <w:rPr>
                <w:color w:val="000000"/>
                <w:sz w:val="20"/>
                <w:szCs w:val="20"/>
              </w:rPr>
              <w:t>0.15</w:t>
            </w:r>
          </w:p>
          <w:p w14:paraId="6C394EF6" w14:textId="77777777" w:rsidR="001766B9" w:rsidRPr="001766B9" w:rsidRDefault="001766B9" w:rsidP="001766B9">
            <w:pPr>
              <w:jc w:val="center"/>
              <w:rPr>
                <w:color w:val="000000"/>
                <w:sz w:val="20"/>
                <w:szCs w:val="20"/>
              </w:rPr>
            </w:pPr>
            <w:r w:rsidRPr="001766B9">
              <w:rPr>
                <w:color w:val="000000"/>
                <w:sz w:val="20"/>
                <w:szCs w:val="20"/>
              </w:rPr>
              <w:t>(0.12)</w:t>
            </w:r>
          </w:p>
        </w:tc>
        <w:tc>
          <w:tcPr>
            <w:tcW w:w="1005" w:type="dxa"/>
            <w:tcBorders>
              <w:top w:val="nil"/>
              <w:left w:val="nil"/>
              <w:bottom w:val="nil"/>
              <w:right w:val="single" w:sz="8" w:space="0" w:color="000000"/>
            </w:tcBorders>
            <w:shd w:val="clear" w:color="000000" w:fill="FFFFFF"/>
            <w:hideMark/>
          </w:tcPr>
          <w:p w14:paraId="6D973511" w14:textId="77777777" w:rsidR="001766B9" w:rsidRPr="001766B9" w:rsidRDefault="001766B9" w:rsidP="001766B9">
            <w:pPr>
              <w:jc w:val="center"/>
              <w:rPr>
                <w:color w:val="000000"/>
                <w:sz w:val="20"/>
                <w:szCs w:val="20"/>
              </w:rPr>
            </w:pPr>
            <w:r w:rsidRPr="001766B9">
              <w:rPr>
                <w:color w:val="000000"/>
                <w:sz w:val="20"/>
                <w:szCs w:val="20"/>
              </w:rPr>
              <w:t>0.11</w:t>
            </w:r>
          </w:p>
          <w:p w14:paraId="5CDBB733" w14:textId="77777777" w:rsidR="001766B9" w:rsidRPr="001766B9" w:rsidRDefault="001766B9" w:rsidP="001766B9">
            <w:pPr>
              <w:jc w:val="center"/>
              <w:rPr>
                <w:color w:val="000000"/>
                <w:sz w:val="20"/>
                <w:szCs w:val="20"/>
              </w:rPr>
            </w:pPr>
            <w:r w:rsidRPr="001766B9">
              <w:rPr>
                <w:color w:val="000000"/>
                <w:sz w:val="20"/>
                <w:szCs w:val="20"/>
              </w:rPr>
              <w:t>(0.02)</w:t>
            </w:r>
          </w:p>
        </w:tc>
        <w:tc>
          <w:tcPr>
            <w:tcW w:w="1091" w:type="dxa"/>
            <w:tcBorders>
              <w:top w:val="nil"/>
              <w:left w:val="nil"/>
              <w:bottom w:val="nil"/>
              <w:right w:val="single" w:sz="8" w:space="0" w:color="000000"/>
            </w:tcBorders>
            <w:shd w:val="clear" w:color="000000" w:fill="FFFFFF"/>
            <w:hideMark/>
          </w:tcPr>
          <w:p w14:paraId="740FFA43" w14:textId="77777777" w:rsidR="001766B9" w:rsidRPr="001766B9" w:rsidRDefault="001766B9" w:rsidP="001766B9">
            <w:pPr>
              <w:jc w:val="center"/>
              <w:rPr>
                <w:color w:val="000000"/>
                <w:sz w:val="20"/>
                <w:szCs w:val="20"/>
              </w:rPr>
            </w:pPr>
            <w:r w:rsidRPr="001766B9">
              <w:rPr>
                <w:color w:val="000000"/>
                <w:sz w:val="20"/>
                <w:szCs w:val="20"/>
              </w:rPr>
              <w:t>1.96</w:t>
            </w:r>
          </w:p>
          <w:p w14:paraId="2400DB45" w14:textId="77777777" w:rsidR="001766B9" w:rsidRPr="001766B9" w:rsidRDefault="001766B9" w:rsidP="001766B9">
            <w:pPr>
              <w:jc w:val="center"/>
              <w:rPr>
                <w:color w:val="000000"/>
                <w:sz w:val="20"/>
                <w:szCs w:val="20"/>
              </w:rPr>
            </w:pPr>
            <w:r w:rsidRPr="001766B9">
              <w:rPr>
                <w:color w:val="000000"/>
                <w:sz w:val="20"/>
                <w:szCs w:val="20"/>
              </w:rPr>
              <w:t>(0.40)</w:t>
            </w:r>
          </w:p>
        </w:tc>
        <w:tc>
          <w:tcPr>
            <w:tcW w:w="982" w:type="dxa"/>
            <w:tcBorders>
              <w:top w:val="nil"/>
              <w:left w:val="nil"/>
              <w:bottom w:val="nil"/>
              <w:right w:val="nil"/>
            </w:tcBorders>
            <w:shd w:val="clear" w:color="000000" w:fill="FFFFFF"/>
            <w:hideMark/>
          </w:tcPr>
          <w:p w14:paraId="4FE8B484" w14:textId="77777777" w:rsidR="001766B9" w:rsidRPr="001766B9" w:rsidRDefault="001766B9" w:rsidP="001766B9">
            <w:pPr>
              <w:jc w:val="center"/>
              <w:rPr>
                <w:color w:val="000000"/>
                <w:sz w:val="20"/>
                <w:szCs w:val="20"/>
              </w:rPr>
            </w:pPr>
            <w:r w:rsidRPr="001766B9">
              <w:rPr>
                <w:color w:val="000000"/>
                <w:sz w:val="20"/>
                <w:szCs w:val="20"/>
              </w:rPr>
              <w:t>-1.27</w:t>
            </w:r>
          </w:p>
          <w:p w14:paraId="2D620C9D" w14:textId="77777777" w:rsidR="001766B9" w:rsidRPr="001766B9" w:rsidRDefault="001766B9" w:rsidP="001766B9">
            <w:pPr>
              <w:jc w:val="center"/>
              <w:rPr>
                <w:color w:val="000000"/>
                <w:sz w:val="20"/>
                <w:szCs w:val="20"/>
              </w:rPr>
            </w:pPr>
            <w:r w:rsidRPr="001766B9">
              <w:rPr>
                <w:color w:val="000000"/>
                <w:sz w:val="20"/>
                <w:szCs w:val="20"/>
              </w:rPr>
              <w:t>(0.43)</w:t>
            </w:r>
          </w:p>
        </w:tc>
        <w:tc>
          <w:tcPr>
            <w:tcW w:w="1013" w:type="dxa"/>
            <w:tcBorders>
              <w:top w:val="nil"/>
              <w:left w:val="nil"/>
              <w:bottom w:val="nil"/>
              <w:right w:val="single" w:sz="8" w:space="0" w:color="auto"/>
            </w:tcBorders>
            <w:shd w:val="clear" w:color="000000" w:fill="FFFFFF"/>
            <w:hideMark/>
          </w:tcPr>
          <w:p w14:paraId="258AA2A7" w14:textId="77777777" w:rsidR="001766B9" w:rsidRPr="001766B9" w:rsidRDefault="001766B9" w:rsidP="001766B9">
            <w:pPr>
              <w:jc w:val="center"/>
              <w:rPr>
                <w:color w:val="000000"/>
                <w:sz w:val="20"/>
                <w:szCs w:val="20"/>
              </w:rPr>
            </w:pPr>
            <w:r w:rsidRPr="001766B9">
              <w:rPr>
                <w:color w:val="000000"/>
                <w:sz w:val="20"/>
                <w:szCs w:val="20"/>
              </w:rPr>
              <w:t>-0.95</w:t>
            </w:r>
          </w:p>
          <w:p w14:paraId="528E9C4F" w14:textId="77777777" w:rsidR="001766B9" w:rsidRPr="001766B9" w:rsidRDefault="001766B9" w:rsidP="001766B9">
            <w:pPr>
              <w:jc w:val="center"/>
              <w:rPr>
                <w:color w:val="000000"/>
                <w:sz w:val="20"/>
                <w:szCs w:val="20"/>
              </w:rPr>
            </w:pPr>
            <w:r w:rsidRPr="001766B9">
              <w:rPr>
                <w:color w:val="000000"/>
                <w:sz w:val="20"/>
                <w:szCs w:val="20"/>
              </w:rPr>
              <w:t>(0.09)</w:t>
            </w:r>
          </w:p>
        </w:tc>
      </w:tr>
      <w:tr w:rsidR="001766B9" w:rsidRPr="001766B9" w14:paraId="0DA3D426" w14:textId="77777777" w:rsidTr="001766B9">
        <w:trPr>
          <w:trHeight w:val="547"/>
        </w:trPr>
        <w:tc>
          <w:tcPr>
            <w:tcW w:w="1815" w:type="dxa"/>
            <w:tcBorders>
              <w:top w:val="nil"/>
              <w:left w:val="single" w:sz="8" w:space="0" w:color="auto"/>
              <w:bottom w:val="nil"/>
              <w:right w:val="single" w:sz="8" w:space="0" w:color="000000"/>
            </w:tcBorders>
            <w:shd w:val="clear" w:color="000000" w:fill="FFFFFF"/>
            <w:hideMark/>
          </w:tcPr>
          <w:p w14:paraId="1FBC4502" w14:textId="77777777" w:rsidR="001766B9" w:rsidRPr="001766B9" w:rsidRDefault="001766B9" w:rsidP="001766B9">
            <w:pPr>
              <w:rPr>
                <w:color w:val="000000"/>
                <w:sz w:val="20"/>
                <w:szCs w:val="20"/>
              </w:rPr>
            </w:pPr>
            <w:r w:rsidRPr="001766B9">
              <w:rPr>
                <w:color w:val="000000"/>
                <w:sz w:val="20"/>
                <w:szCs w:val="20"/>
              </w:rPr>
              <w:t xml:space="preserve">Income </w:t>
            </w:r>
          </w:p>
        </w:tc>
        <w:tc>
          <w:tcPr>
            <w:tcW w:w="1249" w:type="dxa"/>
            <w:tcBorders>
              <w:top w:val="nil"/>
              <w:left w:val="nil"/>
              <w:bottom w:val="nil"/>
              <w:right w:val="nil"/>
            </w:tcBorders>
            <w:shd w:val="clear" w:color="000000" w:fill="FFFFFF"/>
            <w:hideMark/>
          </w:tcPr>
          <w:p w14:paraId="14B02E6D" w14:textId="77777777" w:rsidR="001766B9" w:rsidRPr="001766B9" w:rsidRDefault="001766B9" w:rsidP="001766B9">
            <w:pPr>
              <w:rPr>
                <w:color w:val="000000"/>
                <w:sz w:val="20"/>
                <w:szCs w:val="20"/>
              </w:rPr>
            </w:pPr>
            <w:r w:rsidRPr="001766B9">
              <w:rPr>
                <w:color w:val="000000"/>
                <w:sz w:val="20"/>
                <w:szCs w:val="20"/>
              </w:rPr>
              <w:t xml:space="preserve">&gt;$150,000 </w:t>
            </w:r>
          </w:p>
        </w:tc>
        <w:tc>
          <w:tcPr>
            <w:tcW w:w="1066" w:type="dxa"/>
            <w:tcBorders>
              <w:top w:val="nil"/>
              <w:left w:val="nil"/>
              <w:bottom w:val="nil"/>
              <w:right w:val="single" w:sz="8" w:space="0" w:color="000000"/>
            </w:tcBorders>
            <w:shd w:val="clear" w:color="000000" w:fill="FFFFFF"/>
            <w:hideMark/>
          </w:tcPr>
          <w:p w14:paraId="45F1D720" w14:textId="77777777" w:rsidR="001766B9" w:rsidRPr="001766B9" w:rsidRDefault="001766B9" w:rsidP="001766B9">
            <w:pPr>
              <w:rPr>
                <w:color w:val="000000"/>
                <w:sz w:val="20"/>
                <w:szCs w:val="20"/>
              </w:rPr>
            </w:pPr>
            <w:r w:rsidRPr="001766B9">
              <w:rPr>
                <w:color w:val="000000"/>
                <w:sz w:val="20"/>
                <w:szCs w:val="20"/>
              </w:rPr>
              <w:t xml:space="preserve">&lt;$75,000 </w:t>
            </w:r>
          </w:p>
        </w:tc>
        <w:tc>
          <w:tcPr>
            <w:tcW w:w="1080" w:type="dxa"/>
            <w:tcBorders>
              <w:top w:val="nil"/>
              <w:left w:val="nil"/>
              <w:bottom w:val="nil"/>
              <w:right w:val="nil"/>
            </w:tcBorders>
            <w:shd w:val="clear" w:color="000000" w:fill="FFFFFF"/>
            <w:hideMark/>
          </w:tcPr>
          <w:p w14:paraId="69D6C40F" w14:textId="77777777" w:rsidR="001766B9" w:rsidRPr="001766B9" w:rsidRDefault="001766B9" w:rsidP="001766B9">
            <w:pPr>
              <w:jc w:val="center"/>
              <w:rPr>
                <w:color w:val="000000"/>
                <w:sz w:val="20"/>
                <w:szCs w:val="20"/>
              </w:rPr>
            </w:pPr>
            <w:r w:rsidRPr="001766B9">
              <w:rPr>
                <w:color w:val="000000"/>
                <w:sz w:val="20"/>
                <w:szCs w:val="20"/>
              </w:rPr>
              <w:t>-4.21</w:t>
            </w:r>
          </w:p>
          <w:p w14:paraId="6F2C60B1" w14:textId="77777777" w:rsidR="001766B9" w:rsidRPr="001766B9" w:rsidRDefault="001766B9" w:rsidP="001766B9">
            <w:pPr>
              <w:jc w:val="center"/>
              <w:rPr>
                <w:color w:val="000000"/>
                <w:sz w:val="20"/>
                <w:szCs w:val="20"/>
              </w:rPr>
            </w:pPr>
            <w:r w:rsidRPr="001766B9">
              <w:rPr>
                <w:color w:val="000000"/>
                <w:sz w:val="20"/>
                <w:szCs w:val="20"/>
              </w:rPr>
              <w:t>(1.19)</w:t>
            </w:r>
          </w:p>
        </w:tc>
        <w:tc>
          <w:tcPr>
            <w:tcW w:w="1005" w:type="dxa"/>
            <w:tcBorders>
              <w:top w:val="nil"/>
              <w:left w:val="nil"/>
              <w:bottom w:val="nil"/>
              <w:right w:val="single" w:sz="8" w:space="0" w:color="000000"/>
            </w:tcBorders>
            <w:shd w:val="clear" w:color="000000" w:fill="FFFFFF"/>
            <w:hideMark/>
          </w:tcPr>
          <w:p w14:paraId="14866010" w14:textId="77777777" w:rsidR="001766B9" w:rsidRPr="001766B9" w:rsidRDefault="001766B9" w:rsidP="001766B9">
            <w:pPr>
              <w:jc w:val="center"/>
              <w:rPr>
                <w:color w:val="000000"/>
                <w:sz w:val="20"/>
                <w:szCs w:val="20"/>
              </w:rPr>
            </w:pPr>
            <w:r w:rsidRPr="001766B9">
              <w:rPr>
                <w:color w:val="000000"/>
                <w:sz w:val="20"/>
                <w:szCs w:val="20"/>
              </w:rPr>
              <w:t>3.96</w:t>
            </w:r>
          </w:p>
          <w:p w14:paraId="021FFFBC" w14:textId="77777777" w:rsidR="001766B9" w:rsidRPr="001766B9" w:rsidRDefault="001766B9" w:rsidP="001766B9">
            <w:pPr>
              <w:jc w:val="center"/>
              <w:rPr>
                <w:color w:val="000000"/>
                <w:sz w:val="20"/>
                <w:szCs w:val="20"/>
              </w:rPr>
            </w:pPr>
            <w:r w:rsidRPr="001766B9">
              <w:rPr>
                <w:color w:val="000000"/>
                <w:sz w:val="20"/>
                <w:szCs w:val="20"/>
              </w:rPr>
              <w:t>(1.19)</w:t>
            </w:r>
          </w:p>
        </w:tc>
        <w:tc>
          <w:tcPr>
            <w:tcW w:w="1091" w:type="dxa"/>
            <w:tcBorders>
              <w:top w:val="nil"/>
              <w:left w:val="nil"/>
              <w:bottom w:val="nil"/>
              <w:right w:val="single" w:sz="8" w:space="0" w:color="000000"/>
            </w:tcBorders>
            <w:shd w:val="clear" w:color="000000" w:fill="FFFFFF"/>
            <w:hideMark/>
          </w:tcPr>
          <w:p w14:paraId="20A2926F" w14:textId="77777777" w:rsidR="001766B9" w:rsidRPr="001766B9" w:rsidRDefault="001766B9" w:rsidP="001766B9">
            <w:pPr>
              <w:jc w:val="center"/>
              <w:rPr>
                <w:color w:val="000000"/>
                <w:sz w:val="20"/>
                <w:szCs w:val="20"/>
              </w:rPr>
            </w:pPr>
            <w:r w:rsidRPr="001766B9">
              <w:rPr>
                <w:color w:val="000000"/>
                <w:sz w:val="20"/>
                <w:szCs w:val="20"/>
              </w:rPr>
              <w:t>-1.82</w:t>
            </w:r>
          </w:p>
          <w:p w14:paraId="17D87C94" w14:textId="77777777" w:rsidR="001766B9" w:rsidRPr="001766B9" w:rsidRDefault="001766B9" w:rsidP="001766B9">
            <w:pPr>
              <w:jc w:val="center"/>
              <w:rPr>
                <w:color w:val="000000"/>
                <w:sz w:val="20"/>
                <w:szCs w:val="20"/>
              </w:rPr>
            </w:pPr>
            <w:r w:rsidRPr="001766B9">
              <w:rPr>
                <w:color w:val="000000"/>
                <w:sz w:val="20"/>
                <w:szCs w:val="20"/>
              </w:rPr>
              <w:t>(0.33)</w:t>
            </w:r>
          </w:p>
        </w:tc>
        <w:tc>
          <w:tcPr>
            <w:tcW w:w="982" w:type="dxa"/>
            <w:tcBorders>
              <w:top w:val="nil"/>
              <w:left w:val="nil"/>
              <w:bottom w:val="nil"/>
              <w:right w:val="nil"/>
            </w:tcBorders>
            <w:shd w:val="clear" w:color="000000" w:fill="FFFFFF"/>
            <w:hideMark/>
          </w:tcPr>
          <w:p w14:paraId="672FF27C" w14:textId="77777777" w:rsidR="001766B9" w:rsidRPr="001766B9" w:rsidRDefault="001766B9" w:rsidP="001766B9">
            <w:pPr>
              <w:jc w:val="center"/>
              <w:rPr>
                <w:color w:val="000000"/>
                <w:sz w:val="20"/>
                <w:szCs w:val="20"/>
              </w:rPr>
            </w:pPr>
            <w:r w:rsidRPr="001766B9">
              <w:rPr>
                <w:color w:val="000000"/>
                <w:sz w:val="20"/>
                <w:szCs w:val="20"/>
              </w:rPr>
              <w:t>0.80</w:t>
            </w:r>
          </w:p>
          <w:p w14:paraId="35766C25" w14:textId="77777777" w:rsidR="001766B9" w:rsidRPr="001766B9" w:rsidRDefault="001766B9" w:rsidP="001766B9">
            <w:pPr>
              <w:jc w:val="center"/>
              <w:rPr>
                <w:color w:val="000000"/>
                <w:sz w:val="20"/>
                <w:szCs w:val="20"/>
              </w:rPr>
            </w:pPr>
            <w:r w:rsidRPr="001766B9">
              <w:rPr>
                <w:color w:val="000000"/>
                <w:sz w:val="20"/>
                <w:szCs w:val="20"/>
              </w:rPr>
              <w:t>(0.36)</w:t>
            </w:r>
          </w:p>
        </w:tc>
        <w:tc>
          <w:tcPr>
            <w:tcW w:w="1013" w:type="dxa"/>
            <w:tcBorders>
              <w:top w:val="nil"/>
              <w:left w:val="nil"/>
              <w:bottom w:val="nil"/>
              <w:right w:val="single" w:sz="8" w:space="0" w:color="auto"/>
            </w:tcBorders>
            <w:shd w:val="clear" w:color="000000" w:fill="FFFFFF"/>
            <w:hideMark/>
          </w:tcPr>
          <w:p w14:paraId="1B1F8CE7" w14:textId="77777777" w:rsidR="001766B9" w:rsidRPr="001766B9" w:rsidRDefault="001766B9" w:rsidP="001766B9">
            <w:pPr>
              <w:jc w:val="center"/>
              <w:rPr>
                <w:color w:val="000000"/>
                <w:sz w:val="20"/>
                <w:szCs w:val="20"/>
              </w:rPr>
            </w:pPr>
            <w:r w:rsidRPr="001766B9">
              <w:rPr>
                <w:color w:val="000000"/>
                <w:sz w:val="20"/>
                <w:szCs w:val="20"/>
              </w:rPr>
              <w:t>1.27</w:t>
            </w:r>
          </w:p>
          <w:p w14:paraId="246D3C02" w14:textId="77777777" w:rsidR="001766B9" w:rsidRPr="001766B9" w:rsidRDefault="001766B9" w:rsidP="001766B9">
            <w:pPr>
              <w:jc w:val="center"/>
              <w:rPr>
                <w:color w:val="000000"/>
                <w:sz w:val="20"/>
                <w:szCs w:val="20"/>
              </w:rPr>
            </w:pPr>
            <w:r w:rsidRPr="001766B9">
              <w:rPr>
                <w:color w:val="000000"/>
                <w:sz w:val="20"/>
                <w:szCs w:val="20"/>
              </w:rPr>
              <w:t>(0.14)</w:t>
            </w:r>
          </w:p>
        </w:tc>
      </w:tr>
      <w:tr w:rsidR="001766B9" w:rsidRPr="001766B9" w14:paraId="6FEDC6B9" w14:textId="77777777" w:rsidTr="001766B9">
        <w:trPr>
          <w:trHeight w:val="547"/>
        </w:trPr>
        <w:tc>
          <w:tcPr>
            <w:tcW w:w="1815" w:type="dxa"/>
            <w:tcBorders>
              <w:top w:val="nil"/>
              <w:left w:val="single" w:sz="8" w:space="0" w:color="auto"/>
              <w:bottom w:val="nil"/>
              <w:right w:val="single" w:sz="8" w:space="0" w:color="000000"/>
            </w:tcBorders>
            <w:shd w:val="clear" w:color="000000" w:fill="FFFFFF"/>
            <w:hideMark/>
          </w:tcPr>
          <w:p w14:paraId="610E6ADA" w14:textId="77777777" w:rsidR="001766B9" w:rsidRPr="001766B9" w:rsidRDefault="001766B9" w:rsidP="001766B9">
            <w:pPr>
              <w:rPr>
                <w:color w:val="000000"/>
                <w:sz w:val="20"/>
                <w:szCs w:val="20"/>
              </w:rPr>
            </w:pPr>
            <w:r w:rsidRPr="001766B9">
              <w:rPr>
                <w:color w:val="000000"/>
                <w:sz w:val="20"/>
                <w:szCs w:val="20"/>
              </w:rPr>
              <w:t xml:space="preserve">Presence of Children </w:t>
            </w:r>
          </w:p>
        </w:tc>
        <w:tc>
          <w:tcPr>
            <w:tcW w:w="1249" w:type="dxa"/>
            <w:tcBorders>
              <w:top w:val="nil"/>
              <w:left w:val="nil"/>
              <w:bottom w:val="nil"/>
              <w:right w:val="nil"/>
            </w:tcBorders>
            <w:shd w:val="clear" w:color="000000" w:fill="FFFFFF"/>
            <w:hideMark/>
          </w:tcPr>
          <w:p w14:paraId="01261E1E" w14:textId="77777777" w:rsidR="001766B9" w:rsidRPr="001766B9" w:rsidRDefault="001766B9" w:rsidP="001766B9">
            <w:pPr>
              <w:rPr>
                <w:color w:val="000000"/>
                <w:sz w:val="20"/>
                <w:szCs w:val="20"/>
              </w:rPr>
            </w:pPr>
            <w:r w:rsidRPr="001766B9">
              <w:rPr>
                <w:color w:val="000000"/>
                <w:sz w:val="20"/>
                <w:szCs w:val="20"/>
              </w:rPr>
              <w:t xml:space="preserve">No </w:t>
            </w:r>
          </w:p>
        </w:tc>
        <w:tc>
          <w:tcPr>
            <w:tcW w:w="1066" w:type="dxa"/>
            <w:tcBorders>
              <w:top w:val="nil"/>
              <w:left w:val="nil"/>
              <w:bottom w:val="nil"/>
              <w:right w:val="single" w:sz="8" w:space="0" w:color="000000"/>
            </w:tcBorders>
            <w:shd w:val="clear" w:color="000000" w:fill="FFFFFF"/>
            <w:hideMark/>
          </w:tcPr>
          <w:p w14:paraId="2E5E0E1C" w14:textId="77777777" w:rsidR="001766B9" w:rsidRPr="001766B9" w:rsidRDefault="001766B9" w:rsidP="001766B9">
            <w:pPr>
              <w:rPr>
                <w:color w:val="000000"/>
                <w:sz w:val="20"/>
                <w:szCs w:val="20"/>
              </w:rPr>
            </w:pPr>
            <w:r w:rsidRPr="001766B9">
              <w:rPr>
                <w:color w:val="000000"/>
                <w:sz w:val="20"/>
                <w:szCs w:val="20"/>
              </w:rPr>
              <w:t xml:space="preserve">Yes </w:t>
            </w:r>
          </w:p>
        </w:tc>
        <w:tc>
          <w:tcPr>
            <w:tcW w:w="1080" w:type="dxa"/>
            <w:tcBorders>
              <w:top w:val="nil"/>
              <w:left w:val="nil"/>
              <w:bottom w:val="nil"/>
              <w:right w:val="nil"/>
            </w:tcBorders>
            <w:shd w:val="clear" w:color="000000" w:fill="FFFFFF"/>
            <w:hideMark/>
          </w:tcPr>
          <w:p w14:paraId="69501E43" w14:textId="77777777" w:rsidR="001766B9" w:rsidRPr="001766B9" w:rsidRDefault="001766B9" w:rsidP="001766B9">
            <w:pPr>
              <w:jc w:val="center"/>
              <w:rPr>
                <w:color w:val="000000"/>
                <w:sz w:val="20"/>
                <w:szCs w:val="20"/>
              </w:rPr>
            </w:pPr>
            <w:r w:rsidRPr="001766B9">
              <w:rPr>
                <w:color w:val="000000"/>
                <w:sz w:val="20"/>
                <w:szCs w:val="20"/>
              </w:rPr>
              <w:t>-3.84</w:t>
            </w:r>
          </w:p>
          <w:p w14:paraId="41A5F0BB" w14:textId="77777777" w:rsidR="001766B9" w:rsidRPr="001766B9" w:rsidRDefault="001766B9" w:rsidP="001766B9">
            <w:pPr>
              <w:jc w:val="center"/>
              <w:rPr>
                <w:color w:val="000000"/>
                <w:sz w:val="20"/>
                <w:szCs w:val="20"/>
              </w:rPr>
            </w:pPr>
            <w:r w:rsidRPr="001766B9">
              <w:rPr>
                <w:color w:val="000000"/>
                <w:sz w:val="20"/>
                <w:szCs w:val="20"/>
              </w:rPr>
              <w:t>(0.84)</w:t>
            </w:r>
          </w:p>
        </w:tc>
        <w:tc>
          <w:tcPr>
            <w:tcW w:w="1005" w:type="dxa"/>
            <w:tcBorders>
              <w:top w:val="nil"/>
              <w:left w:val="nil"/>
              <w:bottom w:val="nil"/>
              <w:right w:val="single" w:sz="8" w:space="0" w:color="000000"/>
            </w:tcBorders>
            <w:shd w:val="clear" w:color="000000" w:fill="FFFFFF"/>
            <w:hideMark/>
          </w:tcPr>
          <w:p w14:paraId="161105CF" w14:textId="77777777" w:rsidR="001766B9" w:rsidRPr="001766B9" w:rsidRDefault="001766B9" w:rsidP="001766B9">
            <w:pPr>
              <w:jc w:val="center"/>
              <w:rPr>
                <w:color w:val="000000"/>
                <w:sz w:val="20"/>
                <w:szCs w:val="20"/>
              </w:rPr>
            </w:pPr>
            <w:r w:rsidRPr="001766B9">
              <w:rPr>
                <w:color w:val="000000"/>
                <w:sz w:val="20"/>
                <w:szCs w:val="20"/>
              </w:rPr>
              <w:t>-4.44</w:t>
            </w:r>
          </w:p>
          <w:p w14:paraId="2618A1CE" w14:textId="77777777" w:rsidR="001766B9" w:rsidRPr="001766B9" w:rsidRDefault="001766B9" w:rsidP="001766B9">
            <w:pPr>
              <w:jc w:val="center"/>
              <w:rPr>
                <w:color w:val="000000"/>
                <w:sz w:val="20"/>
                <w:szCs w:val="20"/>
              </w:rPr>
            </w:pPr>
            <w:r w:rsidRPr="001766B9">
              <w:rPr>
                <w:color w:val="000000"/>
                <w:sz w:val="20"/>
                <w:szCs w:val="20"/>
              </w:rPr>
              <w:t>(0.86)</w:t>
            </w:r>
          </w:p>
        </w:tc>
        <w:tc>
          <w:tcPr>
            <w:tcW w:w="1091" w:type="dxa"/>
            <w:tcBorders>
              <w:top w:val="nil"/>
              <w:left w:val="nil"/>
              <w:bottom w:val="nil"/>
              <w:right w:val="single" w:sz="8" w:space="0" w:color="000000"/>
            </w:tcBorders>
            <w:shd w:val="clear" w:color="000000" w:fill="FFFFFF"/>
            <w:hideMark/>
          </w:tcPr>
          <w:p w14:paraId="1A0419E1" w14:textId="77777777" w:rsidR="001766B9" w:rsidRPr="001766B9" w:rsidRDefault="001766B9" w:rsidP="001766B9">
            <w:pPr>
              <w:jc w:val="center"/>
              <w:rPr>
                <w:color w:val="000000"/>
                <w:sz w:val="20"/>
                <w:szCs w:val="20"/>
              </w:rPr>
            </w:pPr>
            <w:r w:rsidRPr="001766B9">
              <w:rPr>
                <w:color w:val="000000"/>
                <w:sz w:val="20"/>
                <w:szCs w:val="20"/>
              </w:rPr>
              <w:t>9.61</w:t>
            </w:r>
          </w:p>
          <w:p w14:paraId="2A618F80" w14:textId="77777777" w:rsidR="001766B9" w:rsidRPr="001766B9" w:rsidRDefault="001766B9" w:rsidP="001766B9">
            <w:pPr>
              <w:jc w:val="center"/>
              <w:rPr>
                <w:color w:val="000000"/>
                <w:sz w:val="20"/>
                <w:szCs w:val="20"/>
              </w:rPr>
            </w:pPr>
            <w:r w:rsidRPr="001766B9">
              <w:rPr>
                <w:color w:val="000000"/>
                <w:sz w:val="20"/>
                <w:szCs w:val="20"/>
              </w:rPr>
              <w:t>(1.47)</w:t>
            </w:r>
          </w:p>
        </w:tc>
        <w:tc>
          <w:tcPr>
            <w:tcW w:w="982" w:type="dxa"/>
            <w:tcBorders>
              <w:top w:val="nil"/>
              <w:left w:val="nil"/>
              <w:bottom w:val="nil"/>
              <w:right w:val="nil"/>
            </w:tcBorders>
            <w:shd w:val="clear" w:color="000000" w:fill="FFFFFF"/>
            <w:hideMark/>
          </w:tcPr>
          <w:p w14:paraId="7BCAF544" w14:textId="77777777" w:rsidR="001766B9" w:rsidRPr="001766B9" w:rsidRDefault="001766B9" w:rsidP="001766B9">
            <w:pPr>
              <w:jc w:val="center"/>
              <w:rPr>
                <w:color w:val="000000"/>
                <w:sz w:val="20"/>
                <w:szCs w:val="20"/>
              </w:rPr>
            </w:pPr>
            <w:r w:rsidRPr="001766B9">
              <w:rPr>
                <w:color w:val="000000"/>
                <w:sz w:val="20"/>
                <w:szCs w:val="20"/>
              </w:rPr>
              <w:t>-0.76</w:t>
            </w:r>
          </w:p>
          <w:p w14:paraId="343034C1" w14:textId="77777777" w:rsidR="001766B9" w:rsidRPr="001766B9" w:rsidRDefault="001766B9" w:rsidP="001766B9">
            <w:pPr>
              <w:jc w:val="center"/>
              <w:rPr>
                <w:color w:val="000000"/>
                <w:sz w:val="20"/>
                <w:szCs w:val="20"/>
              </w:rPr>
            </w:pPr>
            <w:r w:rsidRPr="001766B9">
              <w:rPr>
                <w:color w:val="000000"/>
                <w:sz w:val="20"/>
                <w:szCs w:val="20"/>
              </w:rPr>
              <w:t>(0.33)</w:t>
            </w:r>
          </w:p>
        </w:tc>
        <w:tc>
          <w:tcPr>
            <w:tcW w:w="1013" w:type="dxa"/>
            <w:tcBorders>
              <w:top w:val="nil"/>
              <w:left w:val="nil"/>
              <w:bottom w:val="nil"/>
              <w:right w:val="single" w:sz="8" w:space="0" w:color="auto"/>
            </w:tcBorders>
            <w:shd w:val="clear" w:color="000000" w:fill="FFFFFF"/>
            <w:hideMark/>
          </w:tcPr>
          <w:p w14:paraId="38649E1D" w14:textId="77777777" w:rsidR="001766B9" w:rsidRPr="001766B9" w:rsidRDefault="001766B9" w:rsidP="001766B9">
            <w:pPr>
              <w:jc w:val="center"/>
              <w:rPr>
                <w:color w:val="000000"/>
                <w:sz w:val="20"/>
                <w:szCs w:val="20"/>
              </w:rPr>
            </w:pPr>
            <w:r w:rsidRPr="001766B9">
              <w:rPr>
                <w:color w:val="000000"/>
                <w:sz w:val="20"/>
                <w:szCs w:val="20"/>
              </w:rPr>
              <w:t>-0.57</w:t>
            </w:r>
          </w:p>
          <w:p w14:paraId="07129BC0" w14:textId="77777777" w:rsidR="001766B9" w:rsidRPr="001766B9" w:rsidRDefault="001766B9" w:rsidP="001766B9">
            <w:pPr>
              <w:jc w:val="center"/>
              <w:rPr>
                <w:color w:val="000000"/>
                <w:sz w:val="20"/>
                <w:szCs w:val="20"/>
              </w:rPr>
            </w:pPr>
            <w:r w:rsidRPr="001766B9">
              <w:rPr>
                <w:color w:val="000000"/>
                <w:sz w:val="20"/>
                <w:szCs w:val="20"/>
              </w:rPr>
              <w:t>(0.12)</w:t>
            </w:r>
          </w:p>
        </w:tc>
      </w:tr>
      <w:tr w:rsidR="001766B9" w:rsidRPr="001766B9" w14:paraId="2146BCCC" w14:textId="77777777" w:rsidTr="001766B9">
        <w:trPr>
          <w:trHeight w:val="547"/>
        </w:trPr>
        <w:tc>
          <w:tcPr>
            <w:tcW w:w="1815" w:type="dxa"/>
            <w:tcBorders>
              <w:top w:val="nil"/>
              <w:left w:val="single" w:sz="8" w:space="0" w:color="auto"/>
              <w:bottom w:val="nil"/>
              <w:right w:val="single" w:sz="8" w:space="0" w:color="000000"/>
            </w:tcBorders>
            <w:shd w:val="clear" w:color="000000" w:fill="FFFFFF"/>
            <w:hideMark/>
          </w:tcPr>
          <w:p w14:paraId="0FEDAD55" w14:textId="77777777" w:rsidR="001766B9" w:rsidRPr="001766B9" w:rsidRDefault="001766B9" w:rsidP="001766B9">
            <w:pPr>
              <w:rPr>
                <w:color w:val="000000"/>
                <w:sz w:val="20"/>
                <w:szCs w:val="20"/>
              </w:rPr>
            </w:pPr>
            <w:r w:rsidRPr="001766B9">
              <w:rPr>
                <w:color w:val="000000"/>
                <w:sz w:val="20"/>
                <w:szCs w:val="20"/>
              </w:rPr>
              <w:t xml:space="preserve">Location </w:t>
            </w:r>
          </w:p>
        </w:tc>
        <w:tc>
          <w:tcPr>
            <w:tcW w:w="1249" w:type="dxa"/>
            <w:tcBorders>
              <w:top w:val="nil"/>
              <w:left w:val="nil"/>
              <w:bottom w:val="nil"/>
              <w:right w:val="nil"/>
            </w:tcBorders>
            <w:shd w:val="clear" w:color="000000" w:fill="FFFFFF"/>
            <w:hideMark/>
          </w:tcPr>
          <w:p w14:paraId="2C1F4EC0" w14:textId="77777777" w:rsidR="001766B9" w:rsidRPr="001766B9" w:rsidRDefault="001766B9" w:rsidP="001766B9">
            <w:pPr>
              <w:rPr>
                <w:color w:val="000000"/>
                <w:sz w:val="20"/>
                <w:szCs w:val="20"/>
              </w:rPr>
            </w:pPr>
            <w:r w:rsidRPr="001766B9">
              <w:rPr>
                <w:color w:val="000000"/>
                <w:sz w:val="20"/>
                <w:szCs w:val="20"/>
              </w:rPr>
              <w:t xml:space="preserve">Urban </w:t>
            </w:r>
          </w:p>
        </w:tc>
        <w:tc>
          <w:tcPr>
            <w:tcW w:w="1066" w:type="dxa"/>
            <w:tcBorders>
              <w:top w:val="nil"/>
              <w:left w:val="nil"/>
              <w:bottom w:val="nil"/>
              <w:right w:val="single" w:sz="8" w:space="0" w:color="000000"/>
            </w:tcBorders>
            <w:shd w:val="clear" w:color="000000" w:fill="FFFFFF"/>
            <w:hideMark/>
          </w:tcPr>
          <w:p w14:paraId="481CF06B" w14:textId="77777777" w:rsidR="001766B9" w:rsidRPr="001766B9" w:rsidRDefault="001766B9" w:rsidP="001766B9">
            <w:pPr>
              <w:rPr>
                <w:color w:val="000000"/>
                <w:sz w:val="20"/>
                <w:szCs w:val="20"/>
              </w:rPr>
            </w:pPr>
            <w:r w:rsidRPr="001766B9">
              <w:rPr>
                <w:color w:val="000000"/>
                <w:sz w:val="20"/>
                <w:szCs w:val="20"/>
              </w:rPr>
              <w:t xml:space="preserve">Rural </w:t>
            </w:r>
          </w:p>
        </w:tc>
        <w:tc>
          <w:tcPr>
            <w:tcW w:w="1080" w:type="dxa"/>
            <w:tcBorders>
              <w:top w:val="nil"/>
              <w:left w:val="nil"/>
              <w:bottom w:val="nil"/>
              <w:right w:val="nil"/>
            </w:tcBorders>
            <w:shd w:val="clear" w:color="000000" w:fill="FFFFFF"/>
            <w:hideMark/>
          </w:tcPr>
          <w:p w14:paraId="19401C74" w14:textId="77777777" w:rsidR="001766B9" w:rsidRPr="001766B9" w:rsidRDefault="001766B9" w:rsidP="001766B9">
            <w:pPr>
              <w:jc w:val="center"/>
              <w:rPr>
                <w:color w:val="000000"/>
                <w:sz w:val="20"/>
                <w:szCs w:val="20"/>
              </w:rPr>
            </w:pPr>
            <w:r w:rsidRPr="001766B9">
              <w:rPr>
                <w:color w:val="000000"/>
                <w:sz w:val="20"/>
                <w:szCs w:val="20"/>
              </w:rPr>
              <w:t>-0.12</w:t>
            </w:r>
          </w:p>
          <w:p w14:paraId="4B9050FA" w14:textId="77777777" w:rsidR="001766B9" w:rsidRPr="001766B9" w:rsidRDefault="001766B9" w:rsidP="001766B9">
            <w:pPr>
              <w:jc w:val="center"/>
              <w:rPr>
                <w:color w:val="000000"/>
                <w:sz w:val="20"/>
                <w:szCs w:val="20"/>
              </w:rPr>
            </w:pPr>
            <w:r w:rsidRPr="001766B9">
              <w:rPr>
                <w:color w:val="000000"/>
                <w:sz w:val="20"/>
                <w:szCs w:val="20"/>
              </w:rPr>
              <w:t>(0.13)</w:t>
            </w:r>
          </w:p>
        </w:tc>
        <w:tc>
          <w:tcPr>
            <w:tcW w:w="1005" w:type="dxa"/>
            <w:tcBorders>
              <w:top w:val="nil"/>
              <w:left w:val="nil"/>
              <w:bottom w:val="nil"/>
              <w:right w:val="single" w:sz="8" w:space="0" w:color="000000"/>
            </w:tcBorders>
            <w:shd w:val="clear" w:color="000000" w:fill="FFFFFF"/>
            <w:hideMark/>
          </w:tcPr>
          <w:p w14:paraId="7A7F618E" w14:textId="77777777" w:rsidR="001766B9" w:rsidRPr="001766B9" w:rsidRDefault="001766B9" w:rsidP="001766B9">
            <w:pPr>
              <w:jc w:val="center"/>
              <w:rPr>
                <w:color w:val="000000"/>
                <w:sz w:val="20"/>
                <w:szCs w:val="20"/>
              </w:rPr>
            </w:pPr>
            <w:r w:rsidRPr="001766B9">
              <w:rPr>
                <w:color w:val="000000"/>
                <w:sz w:val="20"/>
                <w:szCs w:val="20"/>
              </w:rPr>
              <w:t>-0.09</w:t>
            </w:r>
          </w:p>
          <w:p w14:paraId="03CE8385" w14:textId="77777777" w:rsidR="001766B9" w:rsidRPr="001766B9" w:rsidRDefault="001766B9" w:rsidP="001766B9">
            <w:pPr>
              <w:jc w:val="center"/>
              <w:rPr>
                <w:color w:val="000000"/>
                <w:sz w:val="20"/>
                <w:szCs w:val="20"/>
              </w:rPr>
            </w:pPr>
            <w:r w:rsidRPr="001766B9">
              <w:rPr>
                <w:color w:val="000000"/>
                <w:sz w:val="20"/>
                <w:szCs w:val="20"/>
              </w:rPr>
              <w:t>(0.04)</w:t>
            </w:r>
          </w:p>
        </w:tc>
        <w:tc>
          <w:tcPr>
            <w:tcW w:w="1091" w:type="dxa"/>
            <w:tcBorders>
              <w:top w:val="nil"/>
              <w:left w:val="nil"/>
              <w:bottom w:val="nil"/>
              <w:right w:val="single" w:sz="8" w:space="0" w:color="000000"/>
            </w:tcBorders>
            <w:shd w:val="clear" w:color="000000" w:fill="FFFFFF"/>
            <w:hideMark/>
          </w:tcPr>
          <w:p w14:paraId="24982D68" w14:textId="77777777" w:rsidR="001766B9" w:rsidRPr="001766B9" w:rsidRDefault="001766B9" w:rsidP="001766B9">
            <w:pPr>
              <w:jc w:val="center"/>
              <w:rPr>
                <w:color w:val="000000"/>
                <w:sz w:val="20"/>
                <w:szCs w:val="20"/>
              </w:rPr>
            </w:pPr>
            <w:r w:rsidRPr="001766B9">
              <w:rPr>
                <w:color w:val="000000"/>
                <w:sz w:val="20"/>
                <w:szCs w:val="20"/>
              </w:rPr>
              <w:t>-1.61</w:t>
            </w:r>
          </w:p>
          <w:p w14:paraId="7D12A912" w14:textId="77777777" w:rsidR="001766B9" w:rsidRPr="001766B9" w:rsidRDefault="001766B9" w:rsidP="001766B9">
            <w:pPr>
              <w:jc w:val="center"/>
              <w:rPr>
                <w:color w:val="000000"/>
                <w:sz w:val="20"/>
                <w:szCs w:val="20"/>
              </w:rPr>
            </w:pPr>
            <w:r w:rsidRPr="001766B9">
              <w:rPr>
                <w:color w:val="000000"/>
                <w:sz w:val="20"/>
                <w:szCs w:val="20"/>
              </w:rPr>
              <w:t>(0.27)</w:t>
            </w:r>
          </w:p>
        </w:tc>
        <w:tc>
          <w:tcPr>
            <w:tcW w:w="982" w:type="dxa"/>
            <w:tcBorders>
              <w:top w:val="nil"/>
              <w:left w:val="nil"/>
              <w:bottom w:val="nil"/>
              <w:right w:val="nil"/>
            </w:tcBorders>
            <w:shd w:val="clear" w:color="000000" w:fill="FFFFFF"/>
            <w:hideMark/>
          </w:tcPr>
          <w:p w14:paraId="4FED23E1" w14:textId="77777777" w:rsidR="001766B9" w:rsidRPr="001766B9" w:rsidRDefault="001766B9" w:rsidP="001766B9">
            <w:pPr>
              <w:jc w:val="center"/>
              <w:rPr>
                <w:color w:val="000000"/>
                <w:sz w:val="20"/>
                <w:szCs w:val="20"/>
              </w:rPr>
            </w:pPr>
            <w:r w:rsidRPr="001766B9">
              <w:rPr>
                <w:color w:val="000000"/>
                <w:sz w:val="20"/>
                <w:szCs w:val="20"/>
              </w:rPr>
              <w:t>1.05</w:t>
            </w:r>
          </w:p>
          <w:p w14:paraId="578650D1" w14:textId="77777777" w:rsidR="001766B9" w:rsidRPr="001766B9" w:rsidRDefault="001766B9" w:rsidP="001766B9">
            <w:pPr>
              <w:jc w:val="center"/>
              <w:rPr>
                <w:color w:val="000000"/>
                <w:sz w:val="20"/>
                <w:szCs w:val="20"/>
              </w:rPr>
            </w:pPr>
            <w:r w:rsidRPr="001766B9">
              <w:rPr>
                <w:color w:val="000000"/>
                <w:sz w:val="20"/>
                <w:szCs w:val="20"/>
              </w:rPr>
              <w:t>(0.31)</w:t>
            </w:r>
          </w:p>
        </w:tc>
        <w:tc>
          <w:tcPr>
            <w:tcW w:w="1013" w:type="dxa"/>
            <w:tcBorders>
              <w:top w:val="nil"/>
              <w:left w:val="nil"/>
              <w:bottom w:val="nil"/>
              <w:right w:val="single" w:sz="8" w:space="0" w:color="auto"/>
            </w:tcBorders>
            <w:shd w:val="clear" w:color="000000" w:fill="FFFFFF"/>
            <w:hideMark/>
          </w:tcPr>
          <w:p w14:paraId="56D75936" w14:textId="77777777" w:rsidR="001766B9" w:rsidRPr="001766B9" w:rsidRDefault="001766B9" w:rsidP="001766B9">
            <w:pPr>
              <w:jc w:val="center"/>
              <w:rPr>
                <w:color w:val="000000"/>
                <w:sz w:val="20"/>
                <w:szCs w:val="20"/>
              </w:rPr>
            </w:pPr>
            <w:r w:rsidRPr="001766B9">
              <w:rPr>
                <w:color w:val="000000"/>
                <w:sz w:val="20"/>
                <w:szCs w:val="20"/>
              </w:rPr>
              <w:t>0.77</w:t>
            </w:r>
          </w:p>
          <w:p w14:paraId="1E864D0D" w14:textId="77777777" w:rsidR="001766B9" w:rsidRPr="001766B9" w:rsidRDefault="001766B9" w:rsidP="001766B9">
            <w:pPr>
              <w:jc w:val="center"/>
              <w:rPr>
                <w:color w:val="000000"/>
                <w:sz w:val="20"/>
                <w:szCs w:val="20"/>
              </w:rPr>
            </w:pPr>
            <w:r w:rsidRPr="001766B9">
              <w:rPr>
                <w:color w:val="000000"/>
                <w:sz w:val="20"/>
                <w:szCs w:val="20"/>
              </w:rPr>
              <w:t>(0.12)</w:t>
            </w:r>
          </w:p>
        </w:tc>
      </w:tr>
      <w:tr w:rsidR="001766B9" w:rsidRPr="001766B9" w14:paraId="0D85D3E5" w14:textId="77777777" w:rsidTr="001766B9">
        <w:trPr>
          <w:trHeight w:val="547"/>
        </w:trPr>
        <w:tc>
          <w:tcPr>
            <w:tcW w:w="1815" w:type="dxa"/>
            <w:tcBorders>
              <w:top w:val="nil"/>
              <w:left w:val="single" w:sz="8" w:space="0" w:color="auto"/>
              <w:bottom w:val="single" w:sz="8" w:space="0" w:color="auto"/>
              <w:right w:val="single" w:sz="8" w:space="0" w:color="000000"/>
            </w:tcBorders>
            <w:shd w:val="clear" w:color="000000" w:fill="FFFFFF"/>
            <w:hideMark/>
          </w:tcPr>
          <w:p w14:paraId="31C5A61E" w14:textId="77777777" w:rsidR="001766B9" w:rsidRPr="001766B9" w:rsidRDefault="001766B9" w:rsidP="001766B9">
            <w:pPr>
              <w:rPr>
                <w:color w:val="000000"/>
                <w:sz w:val="20"/>
                <w:szCs w:val="20"/>
              </w:rPr>
            </w:pPr>
            <w:r w:rsidRPr="001766B9">
              <w:rPr>
                <w:color w:val="000000"/>
                <w:sz w:val="20"/>
                <w:szCs w:val="20"/>
              </w:rPr>
              <w:t xml:space="preserve">Vehicles per Adult </w:t>
            </w:r>
          </w:p>
        </w:tc>
        <w:tc>
          <w:tcPr>
            <w:tcW w:w="1249" w:type="dxa"/>
            <w:tcBorders>
              <w:top w:val="nil"/>
              <w:left w:val="nil"/>
              <w:bottom w:val="single" w:sz="8" w:space="0" w:color="auto"/>
              <w:right w:val="nil"/>
            </w:tcBorders>
            <w:shd w:val="clear" w:color="000000" w:fill="FFFFFF"/>
            <w:hideMark/>
          </w:tcPr>
          <w:p w14:paraId="068295BC" w14:textId="77777777" w:rsidR="001766B9" w:rsidRPr="001766B9" w:rsidRDefault="001766B9" w:rsidP="001766B9">
            <w:pPr>
              <w:rPr>
                <w:color w:val="000000"/>
                <w:sz w:val="20"/>
                <w:szCs w:val="20"/>
              </w:rPr>
            </w:pPr>
            <w:r w:rsidRPr="001766B9">
              <w:rPr>
                <w:color w:val="000000"/>
                <w:sz w:val="20"/>
                <w:szCs w:val="20"/>
              </w:rPr>
              <w:t xml:space="preserve">More </w:t>
            </w:r>
          </w:p>
        </w:tc>
        <w:tc>
          <w:tcPr>
            <w:tcW w:w="1066" w:type="dxa"/>
            <w:tcBorders>
              <w:top w:val="nil"/>
              <w:left w:val="nil"/>
              <w:bottom w:val="single" w:sz="8" w:space="0" w:color="auto"/>
              <w:right w:val="single" w:sz="8" w:space="0" w:color="000000"/>
            </w:tcBorders>
            <w:shd w:val="clear" w:color="000000" w:fill="FFFFFF"/>
            <w:hideMark/>
          </w:tcPr>
          <w:p w14:paraId="5AB6EFB0" w14:textId="77777777" w:rsidR="001766B9" w:rsidRPr="001766B9" w:rsidRDefault="001766B9" w:rsidP="001766B9">
            <w:pPr>
              <w:rPr>
                <w:color w:val="000000"/>
                <w:sz w:val="20"/>
                <w:szCs w:val="20"/>
              </w:rPr>
            </w:pPr>
            <w:r w:rsidRPr="001766B9">
              <w:rPr>
                <w:color w:val="000000"/>
                <w:sz w:val="20"/>
                <w:szCs w:val="20"/>
              </w:rPr>
              <w:t xml:space="preserve">Fewer </w:t>
            </w:r>
          </w:p>
        </w:tc>
        <w:tc>
          <w:tcPr>
            <w:tcW w:w="1080" w:type="dxa"/>
            <w:tcBorders>
              <w:top w:val="nil"/>
              <w:left w:val="nil"/>
              <w:bottom w:val="single" w:sz="8" w:space="0" w:color="auto"/>
              <w:right w:val="nil"/>
            </w:tcBorders>
            <w:shd w:val="clear" w:color="000000" w:fill="FFFFFF"/>
            <w:hideMark/>
          </w:tcPr>
          <w:p w14:paraId="37161B17" w14:textId="77777777" w:rsidR="001766B9" w:rsidRPr="001766B9" w:rsidRDefault="001766B9" w:rsidP="001766B9">
            <w:pPr>
              <w:jc w:val="center"/>
              <w:rPr>
                <w:color w:val="000000"/>
                <w:sz w:val="20"/>
                <w:szCs w:val="20"/>
              </w:rPr>
            </w:pPr>
            <w:r w:rsidRPr="001766B9">
              <w:rPr>
                <w:color w:val="000000"/>
                <w:sz w:val="20"/>
                <w:szCs w:val="20"/>
              </w:rPr>
              <w:t>1.85</w:t>
            </w:r>
          </w:p>
          <w:p w14:paraId="661A0743" w14:textId="77777777" w:rsidR="001766B9" w:rsidRPr="001766B9" w:rsidRDefault="001766B9" w:rsidP="001766B9">
            <w:pPr>
              <w:jc w:val="center"/>
              <w:rPr>
                <w:color w:val="000000"/>
                <w:sz w:val="20"/>
                <w:szCs w:val="20"/>
              </w:rPr>
            </w:pPr>
            <w:r w:rsidRPr="001766B9">
              <w:rPr>
                <w:color w:val="000000"/>
                <w:sz w:val="20"/>
                <w:szCs w:val="20"/>
              </w:rPr>
              <w:t>(1.10)</w:t>
            </w:r>
          </w:p>
        </w:tc>
        <w:tc>
          <w:tcPr>
            <w:tcW w:w="1005" w:type="dxa"/>
            <w:tcBorders>
              <w:top w:val="nil"/>
              <w:left w:val="nil"/>
              <w:bottom w:val="single" w:sz="8" w:space="0" w:color="auto"/>
              <w:right w:val="single" w:sz="8" w:space="0" w:color="000000"/>
            </w:tcBorders>
            <w:shd w:val="clear" w:color="000000" w:fill="FFFFFF"/>
            <w:hideMark/>
          </w:tcPr>
          <w:p w14:paraId="0F95813D" w14:textId="77777777" w:rsidR="001766B9" w:rsidRPr="001766B9" w:rsidRDefault="001766B9" w:rsidP="001766B9">
            <w:pPr>
              <w:jc w:val="center"/>
              <w:rPr>
                <w:color w:val="000000"/>
                <w:sz w:val="20"/>
                <w:szCs w:val="20"/>
              </w:rPr>
            </w:pPr>
            <w:r w:rsidRPr="001766B9">
              <w:rPr>
                <w:color w:val="000000"/>
                <w:sz w:val="20"/>
                <w:szCs w:val="20"/>
              </w:rPr>
              <w:t>-2.25</w:t>
            </w:r>
          </w:p>
          <w:p w14:paraId="758BCA36" w14:textId="77777777" w:rsidR="001766B9" w:rsidRPr="001766B9" w:rsidRDefault="001766B9" w:rsidP="001766B9">
            <w:pPr>
              <w:jc w:val="center"/>
              <w:rPr>
                <w:color w:val="000000"/>
                <w:sz w:val="20"/>
                <w:szCs w:val="20"/>
              </w:rPr>
            </w:pPr>
            <w:r w:rsidRPr="001766B9">
              <w:rPr>
                <w:color w:val="000000"/>
                <w:sz w:val="20"/>
                <w:szCs w:val="20"/>
              </w:rPr>
              <w:t>(1.08)</w:t>
            </w:r>
          </w:p>
        </w:tc>
        <w:tc>
          <w:tcPr>
            <w:tcW w:w="1091" w:type="dxa"/>
            <w:tcBorders>
              <w:top w:val="nil"/>
              <w:left w:val="nil"/>
              <w:bottom w:val="single" w:sz="8" w:space="0" w:color="auto"/>
              <w:right w:val="single" w:sz="8" w:space="0" w:color="000000"/>
            </w:tcBorders>
            <w:shd w:val="clear" w:color="000000" w:fill="FFFFFF"/>
            <w:hideMark/>
          </w:tcPr>
          <w:p w14:paraId="0ED97DA5" w14:textId="77777777" w:rsidR="001766B9" w:rsidRPr="001766B9" w:rsidRDefault="001766B9" w:rsidP="001766B9">
            <w:pPr>
              <w:jc w:val="center"/>
              <w:rPr>
                <w:color w:val="000000"/>
                <w:sz w:val="20"/>
                <w:szCs w:val="20"/>
              </w:rPr>
            </w:pPr>
            <w:r w:rsidRPr="001766B9">
              <w:rPr>
                <w:color w:val="000000"/>
                <w:sz w:val="20"/>
                <w:szCs w:val="20"/>
              </w:rPr>
              <w:t>-2.94</w:t>
            </w:r>
          </w:p>
          <w:p w14:paraId="48B5D884" w14:textId="77777777" w:rsidR="001766B9" w:rsidRPr="001766B9" w:rsidRDefault="001766B9" w:rsidP="001766B9">
            <w:pPr>
              <w:jc w:val="center"/>
              <w:rPr>
                <w:color w:val="000000"/>
                <w:sz w:val="20"/>
                <w:szCs w:val="20"/>
              </w:rPr>
            </w:pPr>
            <w:r w:rsidRPr="001766B9">
              <w:rPr>
                <w:color w:val="000000"/>
                <w:sz w:val="20"/>
                <w:szCs w:val="20"/>
              </w:rPr>
              <w:t>(0.52)</w:t>
            </w:r>
          </w:p>
        </w:tc>
        <w:tc>
          <w:tcPr>
            <w:tcW w:w="982" w:type="dxa"/>
            <w:tcBorders>
              <w:top w:val="nil"/>
              <w:left w:val="nil"/>
              <w:bottom w:val="single" w:sz="8" w:space="0" w:color="auto"/>
              <w:right w:val="nil"/>
            </w:tcBorders>
            <w:shd w:val="clear" w:color="000000" w:fill="FFFFFF"/>
            <w:hideMark/>
          </w:tcPr>
          <w:p w14:paraId="034014ED" w14:textId="77777777" w:rsidR="001766B9" w:rsidRPr="001766B9" w:rsidRDefault="001766B9" w:rsidP="001766B9">
            <w:pPr>
              <w:jc w:val="center"/>
              <w:rPr>
                <w:color w:val="000000"/>
                <w:sz w:val="20"/>
                <w:szCs w:val="20"/>
              </w:rPr>
            </w:pPr>
            <w:r w:rsidRPr="001766B9">
              <w:rPr>
                <w:color w:val="000000"/>
                <w:sz w:val="20"/>
                <w:szCs w:val="20"/>
              </w:rPr>
              <w:t>2.22</w:t>
            </w:r>
          </w:p>
          <w:p w14:paraId="4C6F7AD3" w14:textId="77777777" w:rsidR="001766B9" w:rsidRPr="001766B9" w:rsidRDefault="001766B9" w:rsidP="001766B9">
            <w:pPr>
              <w:jc w:val="center"/>
              <w:rPr>
                <w:color w:val="000000"/>
                <w:sz w:val="20"/>
                <w:szCs w:val="20"/>
              </w:rPr>
            </w:pPr>
            <w:r w:rsidRPr="001766B9">
              <w:rPr>
                <w:color w:val="000000"/>
                <w:sz w:val="20"/>
                <w:szCs w:val="20"/>
              </w:rPr>
              <w:t>(0.51)</w:t>
            </w:r>
          </w:p>
        </w:tc>
        <w:tc>
          <w:tcPr>
            <w:tcW w:w="1013" w:type="dxa"/>
            <w:tcBorders>
              <w:top w:val="nil"/>
              <w:left w:val="nil"/>
              <w:bottom w:val="single" w:sz="8" w:space="0" w:color="auto"/>
              <w:right w:val="single" w:sz="8" w:space="0" w:color="auto"/>
            </w:tcBorders>
            <w:shd w:val="clear" w:color="000000" w:fill="FFFFFF"/>
            <w:hideMark/>
          </w:tcPr>
          <w:p w14:paraId="6BC7C95E" w14:textId="77777777" w:rsidR="001766B9" w:rsidRPr="001766B9" w:rsidRDefault="001766B9" w:rsidP="001766B9">
            <w:pPr>
              <w:jc w:val="center"/>
              <w:rPr>
                <w:color w:val="000000"/>
                <w:sz w:val="20"/>
                <w:szCs w:val="20"/>
              </w:rPr>
            </w:pPr>
            <w:r w:rsidRPr="001766B9">
              <w:rPr>
                <w:color w:val="000000"/>
                <w:sz w:val="20"/>
                <w:szCs w:val="20"/>
              </w:rPr>
              <w:t>1.12</w:t>
            </w:r>
          </w:p>
          <w:p w14:paraId="6A850E63" w14:textId="77777777" w:rsidR="001766B9" w:rsidRPr="001766B9" w:rsidRDefault="001766B9" w:rsidP="001766B9">
            <w:pPr>
              <w:jc w:val="center"/>
              <w:rPr>
                <w:color w:val="000000"/>
                <w:sz w:val="20"/>
                <w:szCs w:val="20"/>
              </w:rPr>
            </w:pPr>
            <w:r w:rsidRPr="001766B9">
              <w:rPr>
                <w:color w:val="000000"/>
                <w:sz w:val="20"/>
                <w:szCs w:val="20"/>
              </w:rPr>
              <w:t>(0.14)</w:t>
            </w:r>
          </w:p>
        </w:tc>
      </w:tr>
    </w:tbl>
    <w:p w14:paraId="436546D3" w14:textId="77777777" w:rsidR="001766B9" w:rsidRDefault="001766B9" w:rsidP="00C67E12">
      <w:pPr>
        <w:jc w:val="both"/>
        <w:rPr>
          <w:color w:val="222222"/>
        </w:rPr>
      </w:pPr>
    </w:p>
    <w:p w14:paraId="2899986B" w14:textId="37DA511E" w:rsidR="000F6BE9" w:rsidRPr="000F6BE9" w:rsidRDefault="000F6BE9" w:rsidP="00C67E12">
      <w:pPr>
        <w:jc w:val="both"/>
        <w:rPr>
          <w:b/>
          <w:bCs/>
          <w:color w:val="222222"/>
        </w:rPr>
      </w:pPr>
      <w:r>
        <w:rPr>
          <w:b/>
          <w:bCs/>
          <w:color w:val="222222"/>
        </w:rPr>
        <w:t>5.1 Gender and P</w:t>
      </w:r>
      <w:r w:rsidR="00607713">
        <w:rPr>
          <w:b/>
          <w:bCs/>
          <w:color w:val="222222"/>
        </w:rPr>
        <w:t>T</w:t>
      </w:r>
      <w:r>
        <w:rPr>
          <w:b/>
          <w:bCs/>
          <w:color w:val="222222"/>
        </w:rPr>
        <w:t xml:space="preserve"> Use</w:t>
      </w:r>
    </w:p>
    <w:p w14:paraId="0336E62E" w14:textId="7EADB9F7" w:rsidR="00612992" w:rsidRDefault="000F6BE9" w:rsidP="00C67E12">
      <w:pPr>
        <w:jc w:val="both"/>
      </w:pPr>
      <w:r w:rsidRPr="000F6BE9">
        <w:rPr>
          <w:color w:val="222222"/>
        </w:rPr>
        <w:t xml:space="preserve">As shown in Table 6, </w:t>
      </w:r>
      <w:r w:rsidR="00E04BE8">
        <w:rPr>
          <w:color w:val="222222"/>
        </w:rPr>
        <w:t>w</w:t>
      </w:r>
      <w:r w:rsidRPr="000F6BE9">
        <w:rPr>
          <w:color w:val="222222"/>
        </w:rPr>
        <w:t xml:space="preserve">omen </w:t>
      </w:r>
      <w:r w:rsidR="000979AB">
        <w:rPr>
          <w:color w:val="222222"/>
        </w:rPr>
        <w:t xml:space="preserve">are </w:t>
      </w:r>
      <w:r w:rsidR="00E04BE8">
        <w:rPr>
          <w:color w:val="222222"/>
        </w:rPr>
        <w:t>more likely than</w:t>
      </w:r>
      <w:r w:rsidRPr="000F6BE9">
        <w:rPr>
          <w:color w:val="222222"/>
        </w:rPr>
        <w:t xml:space="preserve"> men</w:t>
      </w:r>
      <w:r w:rsidR="00E04BE8">
        <w:rPr>
          <w:color w:val="222222"/>
        </w:rPr>
        <w:t xml:space="preserve"> to have reduced their </w:t>
      </w:r>
      <w:r w:rsidR="000979AB">
        <w:rPr>
          <w:color w:val="222222"/>
        </w:rPr>
        <w:t xml:space="preserve">PT </w:t>
      </w:r>
      <w:r w:rsidR="00E04BE8">
        <w:rPr>
          <w:color w:val="222222"/>
        </w:rPr>
        <w:t xml:space="preserve">use </w:t>
      </w:r>
      <w:r w:rsidR="000979AB">
        <w:rPr>
          <w:color w:val="222222"/>
        </w:rPr>
        <w:t>through</w:t>
      </w:r>
      <w:r w:rsidR="00E04BE8">
        <w:rPr>
          <w:color w:val="222222"/>
        </w:rPr>
        <w:t xml:space="preserve"> the pandemic</w:t>
      </w:r>
      <w:r w:rsidRPr="000F6BE9">
        <w:rPr>
          <w:color w:val="222222"/>
        </w:rPr>
        <w:t xml:space="preserve">, </w:t>
      </w:r>
      <w:r w:rsidR="00C4099E">
        <w:rPr>
          <w:color w:val="222222"/>
        </w:rPr>
        <w:t>al</w:t>
      </w:r>
      <w:r w:rsidRPr="000F6BE9">
        <w:rPr>
          <w:color w:val="222222"/>
        </w:rPr>
        <w:t xml:space="preserve">though </w:t>
      </w:r>
      <w:r w:rsidR="00C4099E">
        <w:rPr>
          <w:color w:val="222222"/>
        </w:rPr>
        <w:t xml:space="preserve">this decline </w:t>
      </w:r>
      <w:r w:rsidR="00E928C2">
        <w:rPr>
          <w:color w:val="222222"/>
        </w:rPr>
        <w:t>is</w:t>
      </w:r>
      <w:r w:rsidR="00C4099E">
        <w:rPr>
          <w:color w:val="222222"/>
        </w:rPr>
        <w:t xml:space="preserve"> fairly </w:t>
      </w:r>
      <w:r w:rsidR="00E928C2">
        <w:rPr>
          <w:color w:val="222222"/>
        </w:rPr>
        <w:t xml:space="preserve">evenly </w:t>
      </w:r>
      <w:r w:rsidR="00C4099E">
        <w:rPr>
          <w:color w:val="222222"/>
        </w:rPr>
        <w:t xml:space="preserve">split between those who say this change is temporary and those who say it is permanent. </w:t>
      </w:r>
      <w:r w:rsidR="000979AB">
        <w:rPr>
          <w:color w:val="222222"/>
        </w:rPr>
        <w:t xml:space="preserve">This result </w:t>
      </w:r>
      <w:r w:rsidR="00936D12">
        <w:rPr>
          <w:color w:val="222222"/>
        </w:rPr>
        <w:t xml:space="preserve">has important implications for public transit ridership as well as for </w:t>
      </w:r>
      <w:r w:rsidR="006D08E3">
        <w:rPr>
          <w:color w:val="222222"/>
        </w:rPr>
        <w:t xml:space="preserve">more general trends </w:t>
      </w:r>
      <w:r w:rsidR="006D08E3" w:rsidRPr="0022755E">
        <w:rPr>
          <w:color w:val="222222"/>
        </w:rPr>
        <w:t>in gendered mobility and lifestyle patterns</w:t>
      </w:r>
      <w:r w:rsidR="000979AB">
        <w:rPr>
          <w:color w:val="222222"/>
        </w:rPr>
        <w:t xml:space="preserve">, particularly so because </w:t>
      </w:r>
      <w:r w:rsidR="005D7614">
        <w:rPr>
          <w:color w:val="222222"/>
        </w:rPr>
        <w:t xml:space="preserve">women were more likely to be </w:t>
      </w:r>
      <w:r w:rsidR="000979AB">
        <w:rPr>
          <w:color w:val="222222"/>
        </w:rPr>
        <w:t xml:space="preserve">PT </w:t>
      </w:r>
      <w:r w:rsidR="005D7614">
        <w:rPr>
          <w:color w:val="222222"/>
        </w:rPr>
        <w:t>riders before the pandemic</w:t>
      </w:r>
      <w:r w:rsidR="000979AB">
        <w:rPr>
          <w:color w:val="222222"/>
        </w:rPr>
        <w:t xml:space="preserve">. While our study does not uncover the reasons for the decline among women in PT use, this may be tied to </w:t>
      </w:r>
      <w:r w:rsidR="000979AB">
        <w:rPr>
          <w:color w:val="222222"/>
        </w:rPr>
        <w:lastRenderedPageBreak/>
        <w:t xml:space="preserve">heightened </w:t>
      </w:r>
      <w:r w:rsidR="005D7614">
        <w:rPr>
          <w:color w:val="222222"/>
        </w:rPr>
        <w:t xml:space="preserve">health and safety </w:t>
      </w:r>
      <w:r w:rsidR="000979AB">
        <w:rPr>
          <w:color w:val="222222"/>
        </w:rPr>
        <w:t xml:space="preserve">concerns. While health-related anxiety </w:t>
      </w:r>
      <w:r w:rsidR="00CF3D63">
        <w:rPr>
          <w:color w:val="222222"/>
        </w:rPr>
        <w:t>concerns appear to have eased over time</w:t>
      </w:r>
      <w:r w:rsidR="000979AB">
        <w:rPr>
          <w:color w:val="222222"/>
        </w:rPr>
        <w:t xml:space="preserve">, safety concerns remain. </w:t>
      </w:r>
      <w:r w:rsidR="00CF3D63">
        <w:rPr>
          <w:color w:val="222222"/>
        </w:rPr>
        <w:t>Specifically</w:t>
      </w:r>
      <w:r w:rsidR="005D7614">
        <w:rPr>
          <w:color w:val="222222"/>
        </w:rPr>
        <w:t xml:space="preserve">, there has been evidence </w:t>
      </w:r>
      <w:r w:rsidR="00F96057">
        <w:rPr>
          <w:color w:val="222222"/>
        </w:rPr>
        <w:t>of</w:t>
      </w:r>
      <w:r w:rsidR="005D7614">
        <w:rPr>
          <w:color w:val="222222"/>
        </w:rPr>
        <w:t xml:space="preserve"> </w:t>
      </w:r>
      <w:r w:rsidR="00CF3D63">
        <w:rPr>
          <w:color w:val="222222"/>
        </w:rPr>
        <w:t xml:space="preserve">an </w:t>
      </w:r>
      <w:r w:rsidR="005D7614">
        <w:rPr>
          <w:color w:val="222222"/>
        </w:rPr>
        <w:t xml:space="preserve">increase in violence and harassment on public transit during </w:t>
      </w:r>
      <w:r w:rsidR="00CF3D63">
        <w:rPr>
          <w:color w:val="222222"/>
        </w:rPr>
        <w:t xml:space="preserve">and after </w:t>
      </w:r>
      <w:r w:rsidR="005D7614">
        <w:rPr>
          <w:color w:val="222222"/>
        </w:rPr>
        <w:t xml:space="preserve">the </w:t>
      </w:r>
      <w:r w:rsidR="00CF3D63">
        <w:rPr>
          <w:color w:val="222222"/>
        </w:rPr>
        <w:t xml:space="preserve">worst of the </w:t>
      </w:r>
      <w:r w:rsidR="005D7614">
        <w:rPr>
          <w:color w:val="222222"/>
        </w:rPr>
        <w:t>pandemic</w:t>
      </w:r>
      <w:r w:rsidR="00CF3D63">
        <w:rPr>
          <w:color w:val="222222"/>
        </w:rPr>
        <w:t xml:space="preserve">, much of which is directed toward women </w:t>
      </w:r>
      <w:r w:rsidR="003D0CAA">
        <w:rPr>
          <w:color w:val="222222"/>
        </w:rPr>
        <w:fldChar w:fldCharType="begin"/>
      </w:r>
      <w:r w:rsidR="005C565E">
        <w:rPr>
          <w:color w:val="222222"/>
        </w:rPr>
        <w:instrText xml:space="preserve"> ADDIN ZOTERO_ITEM CSL_CITATION {"citationID":"mEVCZyHF","properties":{"unsorted":true,"formattedCitation":"(Federal Transit Administration, 2023; Ashour et al., 2024)","plainCitation":"(Federal Transit Administration, 2023; Ashour et al., 2024)","noteIndex":0},"citationItems":[{"id":308,"uris":["http://zotero.org/groups/5345474/items/RG8Y8YSC"],"itemData":{"id":308,"type":"document","title":"Asian American, Native Hawaiian, and Pacific Islanders Transit Listening Session: Bay Area Meeting Summary","URL":"https://www.transit.dot.gov/about/asian-american-native-hawaiian-and-pacific-islanders-transit-listening-session-bay-area","author":[{"family":"Federal Transit Administration","given":""}],"accessed":{"date-parts":[["2024",6,4]]},"issued":{"date-parts":[["2023",1,6]]}}},{"id":307,"uris":["http://zotero.org/groups/5345474/items/9D926B6Z"],"itemData":{"id":307,"type":"article-journal","container-title":"Journal of Transport Geography","note":"publisher: Elsevier","page":"103832","source":"Google Scholar","title":"Post-pandemic transit commute: Lessons from focus group discussions on the experience of essential workers during COVID-19","title-short":"Post-pandemic transit commute","URL":"https://www.sciencedirect.com/science/article/pii/S0966692324000413","volume":"116","author":[{"family":"Ashour","given":"Lamis Abu"},{"family":"Shen","given":"Qing"},{"family":"Moudon","given":"Anne"},{"family":"Cai","given":"Mingming"},{"family":"Wang","given":"Yiyuan"},{"family":"Brown","given":"Melissa"}],"accessed":{"date-parts":[["2024",6,4]]},"issued":{"date-parts":[["2024"]]}}}],"schema":"https://github.com/citation-style-language/schema/raw/master/csl-citation.json"} </w:instrText>
      </w:r>
      <w:r w:rsidR="003D0CAA">
        <w:rPr>
          <w:color w:val="222222"/>
        </w:rPr>
        <w:fldChar w:fldCharType="separate"/>
      </w:r>
      <w:r w:rsidR="003D0CAA" w:rsidRPr="003D0CAA">
        <w:t>(Federal Transit Administration, 2023; Ashour et al., 2024)</w:t>
      </w:r>
      <w:r w:rsidR="003D0CAA">
        <w:rPr>
          <w:color w:val="222222"/>
        </w:rPr>
        <w:fldChar w:fldCharType="end"/>
      </w:r>
      <w:r w:rsidR="00CF3D63">
        <w:rPr>
          <w:color w:val="222222"/>
        </w:rPr>
        <w:t xml:space="preserve">. </w:t>
      </w:r>
      <w:r w:rsidR="00AE32BF">
        <w:rPr>
          <w:color w:val="222222"/>
        </w:rPr>
        <w:t>This may be related, in part</w:t>
      </w:r>
      <w:r w:rsidR="00A522FC">
        <w:rPr>
          <w:color w:val="222222"/>
        </w:rPr>
        <w:t>,</w:t>
      </w:r>
      <w:r w:rsidR="00AE32BF">
        <w:rPr>
          <w:color w:val="222222"/>
        </w:rPr>
        <w:t xml:space="preserve"> to supply-side issues with public transit provision during the pandemic</w:t>
      </w:r>
      <w:r w:rsidR="00A522FC">
        <w:rPr>
          <w:color w:val="222222"/>
        </w:rPr>
        <w:t>,</w:t>
      </w:r>
      <w:r w:rsidR="00AE32BF">
        <w:rPr>
          <w:color w:val="222222"/>
        </w:rPr>
        <w:t xml:space="preserve"> </w:t>
      </w:r>
      <w:r w:rsidR="002A06A1">
        <w:rPr>
          <w:color w:val="222222"/>
        </w:rPr>
        <w:t xml:space="preserve">which led to </w:t>
      </w:r>
      <w:r w:rsidR="002A06A1">
        <w:t xml:space="preserve">reduced service (leading to higher waiting times) and overcrowding </w:t>
      </w:r>
      <w:r w:rsidR="002A06A1">
        <w:fldChar w:fldCharType="begin"/>
      </w:r>
      <w:r w:rsidR="002A06A1">
        <w:instrText xml:space="preserve"> ADDIN ZOTERO_ITEM CSL_CITATION {"citationID":"1Dfl3yPb","properties":{"formattedCitation":"(Qi et al., 2023)","plainCitation":"(Qi et al., 2023)","noteIndex":0},"citationItems":[{"id":93,"uris":["http://zotero.org/groups/5345474/items/LG5KLZE7"],"itemData":{"id":93,"type":"article-journal","abstract":"In this paper, a national-wide study is conducted to investigate the impacts of COVID-19 on the public transit ridership in the top twenty metropolitan areas in the U.S. At first, COVID-19 composite index was developed to qualitatively measure the level of public fear toward COVID-19 in different metropolitan areas. After that, to analyze the impact of COVID-19 and some socioeconomic factors on transit ridership reduction during the COVID-19 pandemic, a random-effects panel data model was developed and the traditional correlation analysis was also conducted. According to the results of both analyses, it was found that the areas with higher median household income, a higher percentage of the population with a Bachelor’s degree or higher, higher employment rate, and a higher percentage of the Asian population are more likely to have more reductions in public transit ridership during the COVID-19 pandemic. On the other side, the areas with a higher percentage of the population in poverty, and a higher percentage of the Hispanic population are more likely to experience smaller reductions in public transit ridership.","container-title":"International Journal of Transportation Science and Technology","DOI":"10.1016/j.ijtst.2021.11.003","ISSN":"2046-0430","issue":"1","journalAbbreviation":"International Journal of Transportation Science and Technology","page":"34-45","source":"ScienceDirect","title":"Impacts of COVID-19 on public transit ridership","URL":"https://www.sciencedirect.com/science/article/pii/S204604302100085X","volume":"12","author":[{"family":"Qi","given":"Yi"},{"family":"Liu","given":"Jinli"},{"family":"Tao","given":"Tao"},{"family":"Zhao","given":"Qun"}],"accessed":{"date-parts":[["2024",2,13]]},"issued":{"date-parts":[["2023",3,1]]}}}],"schema":"https://github.com/citation-style-language/schema/raw/master/csl-citation.json"} </w:instrText>
      </w:r>
      <w:r w:rsidR="002A06A1">
        <w:fldChar w:fldCharType="separate"/>
      </w:r>
      <w:r w:rsidR="002A06A1">
        <w:rPr>
          <w:noProof/>
        </w:rPr>
        <w:t>(Qi et al., 2023)</w:t>
      </w:r>
      <w:r w:rsidR="002A06A1">
        <w:fldChar w:fldCharType="end"/>
      </w:r>
      <w:r w:rsidR="002A06A1">
        <w:t xml:space="preserve">. </w:t>
      </w:r>
      <w:r w:rsidR="00D22D9B">
        <w:t xml:space="preserve">Thus, </w:t>
      </w:r>
      <w:r w:rsidR="00AA602B">
        <w:t xml:space="preserve">the </w:t>
      </w:r>
      <w:r w:rsidR="00D22D9B">
        <w:t>intention to return to public transit after the pandemic for women may be closely tied to their expectations</w:t>
      </w:r>
      <w:r w:rsidR="00AA602B">
        <w:t xml:space="preserve"> regarding future improvements in service quality and whether the public transit provision disruptions</w:t>
      </w:r>
      <w:r w:rsidR="00812F71">
        <w:t>,</w:t>
      </w:r>
      <w:r w:rsidR="00AA602B">
        <w:t xml:space="preserve"> experienced during </w:t>
      </w:r>
      <w:r w:rsidR="00612992">
        <w:t>the pandemic</w:t>
      </w:r>
      <w:r w:rsidR="008930AF">
        <w:t>,</w:t>
      </w:r>
      <w:r w:rsidR="00612992">
        <w:t xml:space="preserve"> are </w:t>
      </w:r>
      <w:r w:rsidR="008930AF">
        <w:t xml:space="preserve">perceived as </w:t>
      </w:r>
      <w:r w:rsidR="00B809CD">
        <w:t xml:space="preserve">being </w:t>
      </w:r>
      <w:r w:rsidR="00612992">
        <w:t xml:space="preserve">permanent. </w:t>
      </w:r>
    </w:p>
    <w:p w14:paraId="5CDAA01F" w14:textId="3D29AF4D" w:rsidR="000F6BE9" w:rsidRDefault="00CF3D63" w:rsidP="00C67E12">
      <w:pPr>
        <w:ind w:firstLine="720"/>
        <w:jc w:val="both"/>
        <w:rPr>
          <w:color w:val="222222"/>
        </w:rPr>
      </w:pPr>
      <w:r>
        <w:rPr>
          <w:color w:val="222222"/>
        </w:rPr>
        <w:t xml:space="preserve">Policies and </w:t>
      </w:r>
      <w:r w:rsidR="005D7614">
        <w:rPr>
          <w:color w:val="222222"/>
        </w:rPr>
        <w:t xml:space="preserve">strategies that </w:t>
      </w:r>
      <w:r>
        <w:rPr>
          <w:color w:val="222222"/>
        </w:rPr>
        <w:t xml:space="preserve">increase the personal safety and security for all PT riders, but women in particular, </w:t>
      </w:r>
      <w:r w:rsidR="00865C0B">
        <w:rPr>
          <w:color w:val="222222"/>
        </w:rPr>
        <w:t xml:space="preserve">can </w:t>
      </w:r>
      <w:r>
        <w:rPr>
          <w:color w:val="222222"/>
        </w:rPr>
        <w:t>help bring back women to the PT fold</w:t>
      </w:r>
      <w:r w:rsidR="00865C0B">
        <w:rPr>
          <w:color w:val="222222"/>
        </w:rPr>
        <w:t xml:space="preserve"> and even increase overall PT ridership</w:t>
      </w:r>
      <w:r>
        <w:rPr>
          <w:color w:val="222222"/>
        </w:rPr>
        <w:t xml:space="preserve">. </w:t>
      </w:r>
      <w:r w:rsidR="00AF22A6">
        <w:rPr>
          <w:color w:val="222222"/>
        </w:rPr>
        <w:t>Some of these actions may include</w:t>
      </w:r>
      <w:r>
        <w:rPr>
          <w:color w:val="222222"/>
        </w:rPr>
        <w:t xml:space="preserve"> </w:t>
      </w:r>
      <w:r w:rsidR="00865C0B">
        <w:rPr>
          <w:color w:val="222222"/>
        </w:rPr>
        <w:t>(a) providing general bystander intervention training</w:t>
      </w:r>
      <w:r w:rsidR="0034626C">
        <w:rPr>
          <w:color w:val="222222"/>
        </w:rPr>
        <w:t xml:space="preserve">, and </w:t>
      </w:r>
      <w:r w:rsidR="00AF22A6">
        <w:rPr>
          <w:color w:val="222222"/>
        </w:rPr>
        <w:t>raising awareness about “street harassment” and its substantial societal costs</w:t>
      </w:r>
      <w:r w:rsidR="0034626C">
        <w:rPr>
          <w:color w:val="222222"/>
        </w:rPr>
        <w:t>,</w:t>
      </w:r>
      <w:r w:rsidR="00AF22A6">
        <w:rPr>
          <w:color w:val="222222"/>
        </w:rPr>
        <w:t xml:space="preserve"> </w:t>
      </w:r>
      <w:r w:rsidR="00865C0B">
        <w:rPr>
          <w:color w:val="222222"/>
        </w:rPr>
        <w:t xml:space="preserve">through public-facing </w:t>
      </w:r>
      <w:r w:rsidR="00AF22A6">
        <w:rPr>
          <w:color w:val="222222"/>
        </w:rPr>
        <w:t>information and education campaigns</w:t>
      </w:r>
      <w:r w:rsidR="00865C0B">
        <w:rPr>
          <w:color w:val="222222"/>
        </w:rPr>
        <w:t>, (</w:t>
      </w:r>
      <w:r w:rsidR="0034626C">
        <w:rPr>
          <w:color w:val="222222"/>
        </w:rPr>
        <w:t>b</w:t>
      </w:r>
      <w:r w:rsidR="00865C0B">
        <w:rPr>
          <w:color w:val="222222"/>
        </w:rPr>
        <w:t xml:space="preserve">) </w:t>
      </w:r>
      <w:r w:rsidR="0034626C">
        <w:rPr>
          <w:color w:val="222222"/>
        </w:rPr>
        <w:t xml:space="preserve">coaching </w:t>
      </w:r>
      <w:r w:rsidR="00865C0B">
        <w:rPr>
          <w:color w:val="222222"/>
        </w:rPr>
        <w:t xml:space="preserve">public transit staff on how to address harassment “on the spot”, </w:t>
      </w:r>
      <w:r w:rsidR="00AF22A6">
        <w:rPr>
          <w:color w:val="222222"/>
        </w:rPr>
        <w:t xml:space="preserve">and </w:t>
      </w:r>
      <w:r w:rsidR="00865C0B">
        <w:rPr>
          <w:color w:val="222222"/>
        </w:rPr>
        <w:t>(</w:t>
      </w:r>
      <w:r w:rsidR="0034626C">
        <w:rPr>
          <w:color w:val="222222"/>
        </w:rPr>
        <w:t>c</w:t>
      </w:r>
      <w:r w:rsidR="00865C0B">
        <w:rPr>
          <w:color w:val="222222"/>
        </w:rPr>
        <w:t xml:space="preserve">) </w:t>
      </w:r>
      <w:r w:rsidR="00AF22A6">
        <w:rPr>
          <w:color w:val="222222"/>
        </w:rPr>
        <w:t xml:space="preserve">designing convenient online harassment reporting systems with a guarantee of </w:t>
      </w:r>
      <w:r w:rsidR="00865C0B">
        <w:rPr>
          <w:color w:val="222222"/>
        </w:rPr>
        <w:t xml:space="preserve"> </w:t>
      </w:r>
      <w:r w:rsidR="00AF22A6">
        <w:rPr>
          <w:color w:val="222222"/>
        </w:rPr>
        <w:t>prompt response and action, along with extending public support services</w:t>
      </w:r>
      <w:r w:rsidR="0034626C">
        <w:rPr>
          <w:color w:val="222222"/>
        </w:rPr>
        <w:t xml:space="preserve"> to those who report</w:t>
      </w:r>
      <w:r w:rsidR="00AF22A6">
        <w:rPr>
          <w:color w:val="222222"/>
        </w:rPr>
        <w:t xml:space="preserve">. Further, </w:t>
      </w:r>
      <w:r w:rsidR="000F6BE9" w:rsidRPr="000F6BE9">
        <w:rPr>
          <w:color w:val="222222"/>
        </w:rPr>
        <w:t>increased policing</w:t>
      </w:r>
      <w:r w:rsidR="005D7614">
        <w:rPr>
          <w:color w:val="222222"/>
        </w:rPr>
        <w:t xml:space="preserve"> </w:t>
      </w:r>
      <w:r w:rsidR="000F6BE9" w:rsidRPr="000F6BE9">
        <w:rPr>
          <w:color w:val="222222"/>
        </w:rPr>
        <w:t>h</w:t>
      </w:r>
      <w:r w:rsidR="00AF22A6">
        <w:rPr>
          <w:color w:val="222222"/>
        </w:rPr>
        <w:t>as also</w:t>
      </w:r>
      <w:r w:rsidR="000F6BE9" w:rsidRPr="000F6BE9">
        <w:rPr>
          <w:color w:val="222222"/>
        </w:rPr>
        <w:t xml:space="preserve"> </w:t>
      </w:r>
      <w:r w:rsidR="005D7614">
        <w:rPr>
          <w:color w:val="222222"/>
        </w:rPr>
        <w:t xml:space="preserve">been </w:t>
      </w:r>
      <w:r w:rsidR="000F6BE9" w:rsidRPr="000F6BE9">
        <w:rPr>
          <w:color w:val="222222"/>
        </w:rPr>
        <w:t xml:space="preserve">shown to be effective in making women feel </w:t>
      </w:r>
      <w:r w:rsidR="005D7614" w:rsidRPr="000F6BE9">
        <w:rPr>
          <w:color w:val="222222"/>
        </w:rPr>
        <w:t>safer</w:t>
      </w:r>
      <w:r w:rsidR="000F6BE9" w:rsidRPr="000F6BE9">
        <w:rPr>
          <w:color w:val="222222"/>
        </w:rPr>
        <w:t xml:space="preserve"> on public transportation</w:t>
      </w:r>
      <w:r w:rsidR="00367252">
        <w:rPr>
          <w:color w:val="222222"/>
        </w:rPr>
        <w:t xml:space="preserve"> </w:t>
      </w:r>
      <w:r w:rsidR="00367252">
        <w:rPr>
          <w:color w:val="222222"/>
        </w:rPr>
        <w:fldChar w:fldCharType="begin"/>
      </w:r>
      <w:r w:rsidR="005C565E">
        <w:rPr>
          <w:color w:val="222222"/>
        </w:rPr>
        <w:instrText xml:space="preserve"> ADDIN ZOTERO_ITEM CSL_CITATION {"citationID":"EohTXu9v","properties":{"formattedCitation":"(Gardner et al., 2017)","plainCitation":"(Gardner et al., 2017)","noteIndex":0},"citationItems":[{"id":202,"uris":["http://zotero.org/groups/5345474/items/C47FPAPK"],"itemData":{"id":202,"type":"article-journal","container-title":"Australian Planner","DOI":"10.1080/07293682.2017.1299189","ISSN":"0729-3682","issue":"1","note":"publisher: Routledge","page":"8-15","source":"tandfonline.com (Atypon)","title":"Harassment on public transport and its impacts on women’s travel behaviour","URL":"https://www.tandfonline.com/doi/full/10.1080/07293682.2017.1299189","volume":"54","author":[{"family":"Gardner","given":"Natalie"},{"family":"Cui","given":"Jianqiang"},{"family":"Coiacetto","given":"Eddo"}],"accessed":{"date-parts":[["2024",4,27]]},"issued":{"date-parts":[["2017",1,2]]}}}],"schema":"https://github.com/citation-style-language/schema/raw/master/csl-citation.json"} </w:instrText>
      </w:r>
      <w:r w:rsidR="00367252">
        <w:rPr>
          <w:color w:val="222222"/>
        </w:rPr>
        <w:fldChar w:fldCharType="separate"/>
      </w:r>
      <w:r w:rsidR="00367252">
        <w:rPr>
          <w:noProof/>
          <w:color w:val="222222"/>
        </w:rPr>
        <w:t>(Gardner et al., 2017)</w:t>
      </w:r>
      <w:r w:rsidR="00367252">
        <w:rPr>
          <w:color w:val="222222"/>
        </w:rPr>
        <w:fldChar w:fldCharType="end"/>
      </w:r>
      <w:r w:rsidR="000F6BE9" w:rsidRPr="000F6BE9">
        <w:rPr>
          <w:color w:val="222222"/>
        </w:rPr>
        <w:t xml:space="preserve">. </w:t>
      </w:r>
      <w:r w:rsidR="00CE1F76">
        <w:rPr>
          <w:color w:val="222222"/>
        </w:rPr>
        <w:t>Several</w:t>
      </w:r>
      <w:r w:rsidR="000F6BE9" w:rsidRPr="000F6BE9">
        <w:rPr>
          <w:color w:val="222222"/>
        </w:rPr>
        <w:t xml:space="preserve"> other </w:t>
      </w:r>
      <w:r w:rsidR="00CE1F76">
        <w:rPr>
          <w:color w:val="222222"/>
        </w:rPr>
        <w:t xml:space="preserve">recent </w:t>
      </w:r>
      <w:r w:rsidR="000F6BE9" w:rsidRPr="000F6BE9">
        <w:rPr>
          <w:color w:val="222222"/>
        </w:rPr>
        <w:t xml:space="preserve">studies </w:t>
      </w:r>
      <w:r w:rsidR="00DF1963">
        <w:rPr>
          <w:color w:val="222222"/>
        </w:rPr>
        <w:fldChar w:fldCharType="begin"/>
      </w:r>
      <w:r w:rsidR="005C565E">
        <w:rPr>
          <w:color w:val="222222"/>
        </w:rPr>
        <w:instrText xml:space="preserve"> ADDIN ZOTERO_ITEM CSL_CITATION {"citationID":"TXQe6k97","properties":{"formattedCitation":"(Chavan et al., 2023; Kacharo et al., 2022; Suneel et al., 2024)","plainCitation":"(Chavan et al., 2023; Kacharo et al., 2022; Suneel et al., 2024)","dontUpdate":true,"noteIndex":0},"citationItems":[{"id":331,"uris":["http://zotero.org/groups/5345474/items/C2VZSVUG"],"itemData":{"id":331,"type":"paper-conference","abstract":"Conventional ticketing procedures limit the potential revolutionary effects of public transport. In order to overcome these restrictions, the Smart Ticketing and Overcrowding Control System for Public Transportation presented in this study ingeniously combines RFID and GSM technology. Despite their ease, the current ticketing systems struggle with high costs, interoperability problems, and privacy difficulties. In addition to negatively affecting passenger satisfaction and transportation efficiency, overcrowding. The suggested solution makes use of smart cards with RFID tags to enable quick, con-tactless ticket confirmation. Integration with GSM technology enables real-time communication for tariff calculation and fast ticket confirmation. RFID readers, GSM modems, Arduino micro-controllers, LCD displays, and a crowded control system are all included in the architecture. Through testing, the equipment exhibits notable results. Without paper tickets or manual checks, passengers get seamless ticket validation, which improves convenience. Reduced ticket fraud and improved revenue collection are advantageous to the transportation authority. The technology offers transportation authorities useful data insights for streamlining schedules, fares, and routes. Real-time monitoring provided by the technology enables early overcrowding identification and prevention, protecting the security and comfort of passengers.","container-title":"2023 IEEE International Conference on ICT in Business Industry &amp; Government (ICTBIG)","DOI":"10.1109/ICTBIG59752.2023.10455761","event-title":"2023 IEEE International Conference on ICT in Business Industry &amp; Government (ICTBIG)","page":"1-4","source":"IEEE Xplore","title":"Smart Ticketing and Overcrowding Control System for Public Transportation","URL":"https://ieeexplore.ieee.org/abstract/document/10455761?casa_token=6VpqKHxvsmUAAAAA:3KnxXghVXodGk5SLHKkzEED233_HPBpjNhqTWZLIByQnyMrBKe828ZfZ9PLuyBdSMkNeFQw","author":[{"family":"Chavan","given":"Puja"},{"family":"Padwal","given":"Abhijeet"},{"family":"Pande","given":"Yogesh"},{"family":"Nevase","given":"Parth"},{"family":"Gaikwad","given":"Mayur"}],"accessed":{"date-parts":[["2024",6,7]]},"issued":{"date-parts":[["2023",12]]}}},{"id":209,"uris":["http://zotero.org/groups/5345474/items/5JJB67TN"],"itemData":{"id":209,"type":"article-journal","abstract":"Violence against women and girls is a major public problem globally. This study had conducted to assess women and girls safety and security in public transport and identify factors contributing to violence in Hawassa city, Ethiopia. Data used in the study have been obtained from 199 randomly selected respondents (36.7% women and 63.3% girls), and in addition, 24 focus group discussion members have also participated. Binary Logistic Regression had employed for quantitative data analysis. Data from focus group discussions were analyzed qualitatively using narrative analysis. The types of violence identified were physical, sexual, and psychological. The finding shows that 50.8% of women and girls have experienced more than one type of violence while using public transport. The results indicated that six variables significantly contributed to violence. These variables were age, marital status, type of public transport used, travel time, facilities, and management of public transport services. The result indicates that violence against women and girls in public transport is a serious threat to women’s safety and security to access their mobility in the city. Therefore, cities must focus on developing gender-sensitive public transport service plans and policies that consider women and girls unique needs in public transportation.","container-title":"Urban, Planning and Transport Research","DOI":"10.1080/21650020.2022.2027268","ISSN":"null","issue":"1","note":"publisher: Routledge\n_eprint: https://doi.org/10.1080/21650020.2022.2027268","page":"1–19","source":"Taylor and Francis+NEJM","title":"Safety and security of women and girls in public transport","URL":"https://doi.org/10.1080/21650020.2022.2027268","volume":"10","author":[{"family":"Kacharo","given":"Deribe Kaske"},{"family":"Teshome","given":"Emebet"},{"family":"Woltamo","given":"Tesfaye"}],"accessed":{"date-parts":[["2024",4,30]]},"issued":{"date-parts":[["2022",12,31]]}}},{"id":334,"uris":["http://zotero.org/groups/5345474/items/FTE3MHPP"],"itemData":{"id":334,"type":"paper-conference","abstract":"There are several serious risks and difficulties that are associated with overcrowding in India’s metros and city buses. The public may be affected in a variety of ways by these problems. These include risks to ones health, longer travel times, decreased comfort, quality of the trip and safety issues. Some solutions like using IR sensors are used for over-crowd controlling which is mostly inaccurate in counting the number of passengers. By using face recognition technology, some of the issues related to transportation system congestion can be lessened. While addressing the issues related to congestion, face recognition technology can support the safe and effective operation of transportation networks. To precisely count passengers as they enter and exit buses and metros, face recognition systems can relate to ticketing and boarding systems. There are several possible actions that could be taken, like sending out a pulse signal to alert passengers and transportation staff about overcrowding, automatically closing the doors until any passenger requests to get down, or even turning off the ignition system if the overcrowding is not under control. The Raspberry Pi may be used for face detection. Transportation authorities can take the necessary action by using this data to monitor and manage over-crowding in real-time.","container-title":"2024 International Conference on Automation and Computation (AUTOCOM)","DOI":"10.1109/AUTOCOM60220.2024.10486072","event-title":"2024 International Conference on Automation and Computation (AUTOCOM)","page":"104-109","source":"IEEE Xplore","title":"Over-Crowd Avoiding In Transportation With Face DetectionUsing Raspberrypi","URL":"https://ieeexplore.ieee.org/abstract/document/10486072?casa_token=HU-1CtEKXCAAAAAA:vyvFELyEM0tqrunuaWqPcif5GGdxnamyaGqr6kOKxsM1FHl8qcCtOkxq9ZGBfte3N9xknnA","author":[{"family":"Suneel","given":"T"},{"family":"Vishnu Mahesh","given":"A S"},{"family":"Akhil Kumar","given":"B"},{"family":"Blessy Babu","given":"K"},{"family":"Gayatri","given":"B"}],"accessed":{"date-parts":[["2024",6,7]]},"issued":{"date-parts":[["2024",3]]}}}],"schema":"https://github.com/citation-style-language/schema/raw/master/csl-citation.json"} </w:instrText>
      </w:r>
      <w:r w:rsidR="00DF1963">
        <w:rPr>
          <w:color w:val="222222"/>
        </w:rPr>
        <w:fldChar w:fldCharType="separate"/>
      </w:r>
      <w:r w:rsidR="00DF1963">
        <w:rPr>
          <w:noProof/>
          <w:color w:val="222222"/>
        </w:rPr>
        <w:t>(see, for example, Chavan et al., 2023; Kacharo et al., 2022; Suneel et al., 2024)</w:t>
      </w:r>
      <w:r w:rsidR="00DF1963">
        <w:rPr>
          <w:color w:val="222222"/>
        </w:rPr>
        <w:fldChar w:fldCharType="end"/>
      </w:r>
      <w:r w:rsidR="00191D7F">
        <w:rPr>
          <w:color w:val="222222"/>
        </w:rPr>
        <w:t xml:space="preserve"> </w:t>
      </w:r>
      <w:r w:rsidR="000F6BE9" w:rsidRPr="000F6BE9">
        <w:rPr>
          <w:color w:val="222222"/>
        </w:rPr>
        <w:t xml:space="preserve">have </w:t>
      </w:r>
      <w:r w:rsidR="00CE1F76">
        <w:rPr>
          <w:color w:val="222222"/>
        </w:rPr>
        <w:t xml:space="preserve">also </w:t>
      </w:r>
      <w:r w:rsidR="000F6BE9" w:rsidRPr="000F6BE9">
        <w:rPr>
          <w:color w:val="222222"/>
        </w:rPr>
        <w:t xml:space="preserve">recommended </w:t>
      </w:r>
      <w:r w:rsidR="00DF1963">
        <w:rPr>
          <w:color w:val="222222"/>
        </w:rPr>
        <w:t>real-time passenger tracking (</w:t>
      </w:r>
      <w:r w:rsidR="00EE77AB">
        <w:rPr>
          <w:color w:val="222222"/>
        </w:rPr>
        <w:t>including s</w:t>
      </w:r>
      <w:r w:rsidR="00DF1963">
        <w:rPr>
          <w:color w:val="222222"/>
        </w:rPr>
        <w:t xml:space="preserve">mart </w:t>
      </w:r>
      <w:r w:rsidR="00EE77AB">
        <w:rPr>
          <w:color w:val="222222"/>
        </w:rPr>
        <w:t>t</w:t>
      </w:r>
      <w:r w:rsidR="00DF1963">
        <w:rPr>
          <w:color w:val="222222"/>
        </w:rPr>
        <w:t xml:space="preserve">icketing </w:t>
      </w:r>
      <w:r w:rsidR="00EE77AB">
        <w:rPr>
          <w:color w:val="222222"/>
        </w:rPr>
        <w:t>s</w:t>
      </w:r>
      <w:r w:rsidR="00DF1963">
        <w:rPr>
          <w:color w:val="222222"/>
        </w:rPr>
        <w:t>ystem</w:t>
      </w:r>
      <w:r w:rsidR="00EE77AB">
        <w:rPr>
          <w:color w:val="222222"/>
        </w:rPr>
        <w:t>s</w:t>
      </w:r>
      <w:r w:rsidR="00DF1963">
        <w:rPr>
          <w:color w:val="222222"/>
        </w:rPr>
        <w:t xml:space="preserve"> and facial recognition technology) for over-crowding detection and</w:t>
      </w:r>
      <w:r w:rsidR="000F6BE9" w:rsidRPr="000F6BE9">
        <w:rPr>
          <w:color w:val="222222"/>
        </w:rPr>
        <w:t xml:space="preserve"> </w:t>
      </w:r>
      <w:r w:rsidR="00CE1F76">
        <w:rPr>
          <w:color w:val="222222"/>
        </w:rPr>
        <w:t xml:space="preserve">occupancy </w:t>
      </w:r>
      <w:r w:rsidR="00DF1963">
        <w:rPr>
          <w:color w:val="222222"/>
        </w:rPr>
        <w:t xml:space="preserve">limitations </w:t>
      </w:r>
      <w:r w:rsidR="00CE1F76">
        <w:rPr>
          <w:color w:val="222222"/>
        </w:rPr>
        <w:t xml:space="preserve">on </w:t>
      </w:r>
      <w:r w:rsidR="000F6BE9" w:rsidRPr="000F6BE9">
        <w:rPr>
          <w:color w:val="222222"/>
        </w:rPr>
        <w:t xml:space="preserve">city buses to allow </w:t>
      </w:r>
      <w:r w:rsidR="00CE1F76">
        <w:rPr>
          <w:color w:val="222222"/>
        </w:rPr>
        <w:t xml:space="preserve">only </w:t>
      </w:r>
      <w:r w:rsidR="000F6BE9" w:rsidRPr="000F6BE9">
        <w:rPr>
          <w:color w:val="222222"/>
        </w:rPr>
        <w:t>for seated passengers, especially during peak hours and late evenin</w:t>
      </w:r>
      <w:r w:rsidR="00D834D4">
        <w:rPr>
          <w:color w:val="222222"/>
        </w:rPr>
        <w:t xml:space="preserve">gs (overcrowding is when </w:t>
      </w:r>
      <w:r w:rsidR="000F6BE9" w:rsidRPr="000F6BE9">
        <w:rPr>
          <w:color w:val="222222"/>
        </w:rPr>
        <w:t>sexual harassment is most likely to occur</w:t>
      </w:r>
      <w:r w:rsidR="00D834D4">
        <w:rPr>
          <w:color w:val="222222"/>
        </w:rPr>
        <w:t>; see</w:t>
      </w:r>
      <w:r w:rsidR="00191D7F">
        <w:rPr>
          <w:color w:val="222222"/>
        </w:rPr>
        <w:t xml:space="preserve"> </w:t>
      </w:r>
      <w:proofErr w:type="spellStart"/>
      <w:r w:rsidR="000F6BE9" w:rsidRPr="000F6BE9">
        <w:rPr>
          <w:color w:val="222222"/>
        </w:rPr>
        <w:t>Kacharo</w:t>
      </w:r>
      <w:proofErr w:type="spellEnd"/>
      <w:r w:rsidR="000F6BE9" w:rsidRPr="000F6BE9">
        <w:rPr>
          <w:color w:val="222222"/>
        </w:rPr>
        <w:t xml:space="preserve"> et al., 2022). Additional improvements, such as improved lighting around bus stops can also </w:t>
      </w:r>
      <w:r w:rsidR="00CB1777">
        <w:rPr>
          <w:color w:val="222222"/>
        </w:rPr>
        <w:t>help</w:t>
      </w:r>
      <w:r w:rsidR="000F6BE9" w:rsidRPr="000F6BE9">
        <w:rPr>
          <w:color w:val="222222"/>
        </w:rPr>
        <w:t xml:space="preserve"> women (and all) riders feel safer </w:t>
      </w:r>
      <w:r w:rsidR="003C7F81">
        <w:rPr>
          <w:color w:val="222222"/>
        </w:rPr>
        <w:fldChar w:fldCharType="begin"/>
      </w:r>
      <w:r w:rsidR="005C565E">
        <w:rPr>
          <w:color w:val="222222"/>
        </w:rPr>
        <w:instrText xml:space="preserve"> ADDIN ZOTERO_ITEM CSL_CITATION {"citationID":"Vq3mmJsj","properties":{"formattedCitation":"(Greer Cowan, 2023)","plainCitation":"(Greer Cowan, 2023)","noteIndex":0},"citationItems":[{"id":236,"uris":["http://zotero.org/groups/5345474/items/2H9VGUJS"],"itemData":{"id":236,"type":"article-journal","DOI":"10.17610/T6VG79","language":"en","note":"publisher: [object Object]","source":"DOI.org (Datacite)","title":"Rethinking safe transit spaces for women and gender minorities","URL":"https://escholarship.org/uc/item/1nc3q3k2","author":[{"family":"Greer Cowan","given":"Pearl Liu"}],"accessed":{"date-parts":[["2024",5,10]]},"issued":{"date-parts":[["2023"]]}}}],"schema":"https://github.com/citation-style-language/schema/raw/master/csl-citation.json"} </w:instrText>
      </w:r>
      <w:r w:rsidR="003C7F81">
        <w:rPr>
          <w:color w:val="222222"/>
        </w:rPr>
        <w:fldChar w:fldCharType="separate"/>
      </w:r>
      <w:r w:rsidR="003C7F81">
        <w:rPr>
          <w:noProof/>
          <w:color w:val="222222"/>
        </w:rPr>
        <w:t>(Greer Cowan, 2023)</w:t>
      </w:r>
      <w:r w:rsidR="003C7F81">
        <w:rPr>
          <w:color w:val="222222"/>
        </w:rPr>
        <w:fldChar w:fldCharType="end"/>
      </w:r>
      <w:r w:rsidR="003C7F81">
        <w:rPr>
          <w:color w:val="222222"/>
        </w:rPr>
        <w:t>.</w:t>
      </w:r>
      <w:r w:rsidR="00CF3004">
        <w:rPr>
          <w:color w:val="222222"/>
        </w:rPr>
        <w:t xml:space="preserve"> At the same time, it is important to consider how </w:t>
      </w:r>
      <w:r w:rsidR="007341E1">
        <w:rPr>
          <w:color w:val="222222"/>
        </w:rPr>
        <w:t>PT use</w:t>
      </w:r>
      <w:r w:rsidR="00CF3004">
        <w:rPr>
          <w:color w:val="222222"/>
        </w:rPr>
        <w:t xml:space="preserve"> changes have impacted gendered lifestyles and household dynamics. </w:t>
      </w:r>
      <w:r w:rsidR="00EC13DE">
        <w:rPr>
          <w:color w:val="222222"/>
        </w:rPr>
        <w:t>Women have generally had less access to household vehicles</w:t>
      </w:r>
      <w:r w:rsidR="00191D7F">
        <w:rPr>
          <w:color w:val="222222"/>
        </w:rPr>
        <w:t xml:space="preserve">, and their mobility options may have gotten more limited post-pandemic because of </w:t>
      </w:r>
      <w:r w:rsidR="00923724">
        <w:rPr>
          <w:color w:val="222222"/>
        </w:rPr>
        <w:t xml:space="preserve">reduced </w:t>
      </w:r>
      <w:r w:rsidR="004C0981">
        <w:rPr>
          <w:color w:val="222222"/>
        </w:rPr>
        <w:t xml:space="preserve">PT </w:t>
      </w:r>
      <w:r w:rsidR="00191D7F">
        <w:rPr>
          <w:color w:val="222222"/>
        </w:rPr>
        <w:t xml:space="preserve">availability and </w:t>
      </w:r>
      <w:r w:rsidR="004C0981">
        <w:rPr>
          <w:color w:val="222222"/>
        </w:rPr>
        <w:t>use</w:t>
      </w:r>
      <w:r w:rsidR="00191D7F">
        <w:rPr>
          <w:color w:val="222222"/>
        </w:rPr>
        <w:t>. Future studies should</w:t>
      </w:r>
      <w:r w:rsidR="004C0981">
        <w:rPr>
          <w:color w:val="222222"/>
        </w:rPr>
        <w:t xml:space="preserve"> </w:t>
      </w:r>
      <w:r w:rsidR="00191D7F">
        <w:rPr>
          <w:color w:val="222222"/>
        </w:rPr>
        <w:t xml:space="preserve">examine </w:t>
      </w:r>
      <w:r w:rsidR="00EC13DE">
        <w:rPr>
          <w:color w:val="222222"/>
        </w:rPr>
        <w:t>the extent to which</w:t>
      </w:r>
      <w:r w:rsidR="00D834D4">
        <w:rPr>
          <w:color w:val="222222"/>
        </w:rPr>
        <w:t xml:space="preserve"> </w:t>
      </w:r>
      <w:r w:rsidR="00EC13DE">
        <w:rPr>
          <w:color w:val="222222"/>
        </w:rPr>
        <w:t xml:space="preserve">PT </w:t>
      </w:r>
      <w:r w:rsidR="00D834D4">
        <w:rPr>
          <w:color w:val="222222"/>
        </w:rPr>
        <w:t xml:space="preserve">use changes </w:t>
      </w:r>
      <w:r w:rsidR="00191D7F">
        <w:rPr>
          <w:color w:val="222222"/>
        </w:rPr>
        <w:t xml:space="preserve">may </w:t>
      </w:r>
      <w:r w:rsidR="00D834D4">
        <w:rPr>
          <w:color w:val="222222"/>
        </w:rPr>
        <w:t xml:space="preserve">have affected women’s </w:t>
      </w:r>
      <w:r w:rsidR="00EC13DE">
        <w:rPr>
          <w:color w:val="222222"/>
        </w:rPr>
        <w:t xml:space="preserve">participation </w:t>
      </w:r>
      <w:r w:rsidR="00D834D4">
        <w:rPr>
          <w:color w:val="222222"/>
        </w:rPr>
        <w:t xml:space="preserve">in out-of-home activities </w:t>
      </w:r>
      <w:r w:rsidR="00EC13DE">
        <w:rPr>
          <w:color w:val="222222"/>
        </w:rPr>
        <w:t xml:space="preserve">and </w:t>
      </w:r>
      <w:r w:rsidR="007C7553">
        <w:rPr>
          <w:color w:val="222222"/>
        </w:rPr>
        <w:t xml:space="preserve">what these changes mean for </w:t>
      </w:r>
      <w:r w:rsidR="0022755E">
        <w:rPr>
          <w:color w:val="222222"/>
        </w:rPr>
        <w:t xml:space="preserve">gender </w:t>
      </w:r>
      <w:r w:rsidR="00191D7F">
        <w:rPr>
          <w:color w:val="222222"/>
        </w:rPr>
        <w:t>equity in transportation provision</w:t>
      </w:r>
      <w:r w:rsidR="007C7553">
        <w:rPr>
          <w:color w:val="222222"/>
        </w:rPr>
        <w:t xml:space="preserve">. </w:t>
      </w:r>
      <w:r w:rsidR="00EC13DE">
        <w:rPr>
          <w:color w:val="222222"/>
        </w:rPr>
        <w:t xml:space="preserve"> </w:t>
      </w:r>
    </w:p>
    <w:p w14:paraId="7BBA6D34" w14:textId="77777777" w:rsidR="008B682D" w:rsidRDefault="008B682D" w:rsidP="00C67E12">
      <w:pPr>
        <w:jc w:val="both"/>
        <w:rPr>
          <w:color w:val="222222"/>
        </w:rPr>
      </w:pPr>
    </w:p>
    <w:p w14:paraId="6C6B3D97" w14:textId="249630DC" w:rsidR="00175E67" w:rsidRDefault="00175E67" w:rsidP="00C67E12">
      <w:pPr>
        <w:jc w:val="both"/>
        <w:rPr>
          <w:b/>
          <w:bCs/>
          <w:color w:val="222222"/>
        </w:rPr>
      </w:pPr>
      <w:r>
        <w:rPr>
          <w:b/>
          <w:bCs/>
          <w:color w:val="222222"/>
        </w:rPr>
        <w:t>5.</w:t>
      </w:r>
      <w:r w:rsidR="000F6BE9">
        <w:rPr>
          <w:b/>
          <w:bCs/>
          <w:color w:val="222222"/>
        </w:rPr>
        <w:t>2</w:t>
      </w:r>
      <w:r>
        <w:rPr>
          <w:b/>
          <w:bCs/>
          <w:color w:val="222222"/>
        </w:rPr>
        <w:t xml:space="preserve"> </w:t>
      </w:r>
      <w:r w:rsidR="00821BAC">
        <w:rPr>
          <w:b/>
          <w:bCs/>
          <w:color w:val="222222"/>
        </w:rPr>
        <w:t>Age and P</w:t>
      </w:r>
      <w:r w:rsidR="00607713">
        <w:rPr>
          <w:b/>
          <w:bCs/>
          <w:color w:val="222222"/>
        </w:rPr>
        <w:t>T</w:t>
      </w:r>
      <w:r w:rsidR="00821BAC">
        <w:rPr>
          <w:b/>
          <w:bCs/>
          <w:color w:val="222222"/>
        </w:rPr>
        <w:t xml:space="preserve"> Use</w:t>
      </w:r>
    </w:p>
    <w:p w14:paraId="6B8959EF" w14:textId="2EC1CA9C" w:rsidR="00821BAC" w:rsidRDefault="00253617" w:rsidP="00C67E12">
      <w:pPr>
        <w:pStyle w:val="NormalWeb"/>
        <w:spacing w:before="0" w:beforeAutospacing="0" w:after="0" w:afterAutospacing="0"/>
        <w:jc w:val="both"/>
        <w:rPr>
          <w:color w:val="222222"/>
        </w:rPr>
      </w:pPr>
      <w:r>
        <w:rPr>
          <w:color w:val="222222"/>
        </w:rPr>
        <w:t xml:space="preserve">The effect of age </w:t>
      </w:r>
      <w:r w:rsidR="00191D7F">
        <w:rPr>
          <w:color w:val="222222"/>
        </w:rPr>
        <w:t>on PT use</w:t>
      </w:r>
      <w:r>
        <w:rPr>
          <w:color w:val="222222"/>
        </w:rPr>
        <w:t xml:space="preserve"> </w:t>
      </w:r>
      <w:r w:rsidR="00191D7F">
        <w:rPr>
          <w:color w:val="222222"/>
        </w:rPr>
        <w:t>in Table 6 also indicate</w:t>
      </w:r>
      <w:r w:rsidR="005A3E26">
        <w:rPr>
          <w:color w:val="222222"/>
        </w:rPr>
        <w:t>s</w:t>
      </w:r>
      <w:r w:rsidR="00191D7F">
        <w:rPr>
          <w:color w:val="222222"/>
        </w:rPr>
        <w:t xml:space="preserve"> a </w:t>
      </w:r>
      <w:r>
        <w:rPr>
          <w:color w:val="222222"/>
        </w:rPr>
        <w:t xml:space="preserve">strong decline in public transit use for those over the age of 65. </w:t>
      </w:r>
      <w:r w:rsidR="001E3ECD" w:rsidRPr="001E3ECD">
        <w:rPr>
          <w:color w:val="222222"/>
        </w:rPr>
        <w:t xml:space="preserve">The increased contact with strangers and more confined spaces </w:t>
      </w:r>
      <w:r w:rsidR="00191D7F">
        <w:rPr>
          <w:color w:val="222222"/>
        </w:rPr>
        <w:t xml:space="preserve">within PT vehicles </w:t>
      </w:r>
      <w:r w:rsidR="001877D4">
        <w:rPr>
          <w:color w:val="222222"/>
        </w:rPr>
        <w:t>present</w:t>
      </w:r>
      <w:r w:rsidR="001E3ECD" w:rsidRPr="001E3ECD">
        <w:rPr>
          <w:color w:val="222222"/>
        </w:rPr>
        <w:t xml:space="preserve"> health-related concerns </w:t>
      </w:r>
      <w:r w:rsidR="00191D7F">
        <w:rPr>
          <w:color w:val="222222"/>
        </w:rPr>
        <w:t xml:space="preserve">to </w:t>
      </w:r>
      <w:r w:rsidR="001E3ECD" w:rsidRPr="001E3ECD">
        <w:rPr>
          <w:color w:val="222222"/>
        </w:rPr>
        <w:t xml:space="preserve">older individuals, many of whom resorted to </w:t>
      </w:r>
      <w:r w:rsidR="00191D7F">
        <w:rPr>
          <w:color w:val="222222"/>
        </w:rPr>
        <w:t xml:space="preserve">an </w:t>
      </w:r>
      <w:r w:rsidR="001E3ECD" w:rsidRPr="001E3ECD">
        <w:rPr>
          <w:color w:val="222222"/>
        </w:rPr>
        <w:t>increased reliance on family members for transport</w:t>
      </w:r>
      <w:r w:rsidR="001877D4">
        <w:rPr>
          <w:color w:val="222222"/>
        </w:rPr>
        <w:t xml:space="preserve"> during the pandemic</w:t>
      </w:r>
      <w:r w:rsidR="001E3ECD" w:rsidRPr="001E3ECD">
        <w:rPr>
          <w:color w:val="222222"/>
        </w:rPr>
        <w:t xml:space="preserve"> </w:t>
      </w:r>
      <w:r w:rsidR="006F38B1">
        <w:rPr>
          <w:color w:val="222222"/>
        </w:rPr>
        <w:fldChar w:fldCharType="begin"/>
      </w:r>
      <w:r w:rsidR="005C565E">
        <w:rPr>
          <w:color w:val="222222"/>
        </w:rPr>
        <w:instrText xml:space="preserve"> ADDIN ZOTERO_ITEM CSL_CITATION {"citationID":"HMYrQAmj","properties":{"formattedCitation":"(Sureshbabu et al., 2022)","plainCitation":"(Sureshbabu et al., 2022)","noteIndex":0},"citationItems":[{"id":339,"uris":["http://zotero.org/groups/5345474/items/JKMYLA8E"],"itemData":{"id":339,"type":"article-journal","container-title":"Mineta Transportation Institute","DOI":"10.31979/mti.2022.2204","title":"Exploring the Use of Public Transportation Among Older Adults During the COVID-19 Pandemic: A National Survey","title-short":"Exploring the Use of Public Transportation Among Older Adults During the COVID-19 Pandemic","URL":"https://scholarworks.sjsu.edu/mti_publications/428","author":[{"family":"Sureshbabu","given":"Keertana"},{"family":"Etu","given":"Egbe-Etu"},{"family":"Summerville","given":"Susan"},{"family":"Parmar","given":"Ankur"},{"family":"Huang","given":"Gaojian"}],"issued":{"date-parts":[["2022",11,1]]}}}],"schema":"https://github.com/citation-style-language/schema/raw/master/csl-citation.json"} </w:instrText>
      </w:r>
      <w:r w:rsidR="006F38B1">
        <w:rPr>
          <w:color w:val="222222"/>
        </w:rPr>
        <w:fldChar w:fldCharType="separate"/>
      </w:r>
      <w:r w:rsidR="006F38B1" w:rsidRPr="006F38B1">
        <w:t>(Sureshbabu et al., 2022)</w:t>
      </w:r>
      <w:r w:rsidR="006F38B1">
        <w:rPr>
          <w:color w:val="222222"/>
        </w:rPr>
        <w:fldChar w:fldCharType="end"/>
      </w:r>
      <w:r w:rsidR="001E3ECD" w:rsidRPr="001E3ECD">
        <w:rPr>
          <w:color w:val="222222"/>
        </w:rPr>
        <w:t xml:space="preserve">. </w:t>
      </w:r>
      <w:r w:rsidR="001877D4">
        <w:rPr>
          <w:color w:val="222222"/>
        </w:rPr>
        <w:t>While this result has important implications for transit agencies in terms of ridership levels</w:t>
      </w:r>
      <w:r w:rsidR="00191D7F">
        <w:rPr>
          <w:color w:val="222222"/>
        </w:rPr>
        <w:t xml:space="preserve"> and fare-box revenues</w:t>
      </w:r>
      <w:r w:rsidR="001877D4">
        <w:rPr>
          <w:color w:val="222222"/>
        </w:rPr>
        <w:t xml:space="preserve">, </w:t>
      </w:r>
      <w:r w:rsidR="00191D7F">
        <w:rPr>
          <w:color w:val="222222"/>
        </w:rPr>
        <w:t xml:space="preserve">the declining ridership of older individuals can have much broader deleterious effects </w:t>
      </w:r>
      <w:r w:rsidR="001D7F56">
        <w:rPr>
          <w:color w:val="222222"/>
        </w:rPr>
        <w:t xml:space="preserve">from a quality-of-life standpoint. In particular, </w:t>
      </w:r>
      <w:r w:rsidR="001877D4">
        <w:rPr>
          <w:color w:val="222222"/>
        </w:rPr>
        <w:t>r</w:t>
      </w:r>
      <w:r w:rsidR="001E3ECD" w:rsidRPr="001E3ECD">
        <w:rPr>
          <w:color w:val="222222"/>
        </w:rPr>
        <w:t>esearch suggests that PT use provides important cognitive, physical, and social benefits to older individuals</w:t>
      </w:r>
      <w:r w:rsidR="001D7F56">
        <w:rPr>
          <w:color w:val="222222"/>
        </w:rPr>
        <w:t xml:space="preserve">, through the acts of </w:t>
      </w:r>
      <w:r w:rsidR="001E3ECD" w:rsidRPr="001E3ECD">
        <w:rPr>
          <w:color w:val="222222"/>
        </w:rPr>
        <w:t>memorizing routes and schedules, walking to and from stations, and interaction with other riders</w:t>
      </w:r>
      <w:r w:rsidR="008C6E62">
        <w:rPr>
          <w:color w:val="222222"/>
        </w:rPr>
        <w:t xml:space="preserve">, all of which </w:t>
      </w:r>
      <w:r w:rsidR="00D260B2">
        <w:rPr>
          <w:color w:val="222222"/>
        </w:rPr>
        <w:t xml:space="preserve">help to maintain </w:t>
      </w:r>
      <w:r w:rsidR="005A3E26">
        <w:rPr>
          <w:color w:val="222222"/>
        </w:rPr>
        <w:t xml:space="preserve">good </w:t>
      </w:r>
      <w:r w:rsidR="00D260B2">
        <w:rPr>
          <w:color w:val="222222"/>
        </w:rPr>
        <w:t>physical and cognitive abilit</w:t>
      </w:r>
      <w:r w:rsidR="005A3E26">
        <w:rPr>
          <w:color w:val="222222"/>
        </w:rPr>
        <w:t>ies</w:t>
      </w:r>
      <w:r w:rsidR="00D260B2">
        <w:rPr>
          <w:color w:val="222222"/>
        </w:rPr>
        <w:t xml:space="preserve"> for many older adults</w:t>
      </w:r>
      <w:r w:rsidR="001E3ECD" w:rsidRPr="001E3ECD">
        <w:rPr>
          <w:color w:val="222222"/>
        </w:rPr>
        <w:t xml:space="preserve"> (</w:t>
      </w:r>
      <w:proofErr w:type="spellStart"/>
      <w:r w:rsidR="001E3ECD" w:rsidRPr="001E3ECD">
        <w:rPr>
          <w:color w:val="222222"/>
        </w:rPr>
        <w:t>Etu</w:t>
      </w:r>
      <w:proofErr w:type="spellEnd"/>
      <w:r w:rsidR="001E3ECD" w:rsidRPr="001E3ECD">
        <w:rPr>
          <w:color w:val="222222"/>
        </w:rPr>
        <w:t xml:space="preserve"> et al., 2023). </w:t>
      </w:r>
      <w:r w:rsidR="00D260B2">
        <w:rPr>
          <w:color w:val="222222"/>
        </w:rPr>
        <w:t>T</w:t>
      </w:r>
      <w:r w:rsidR="001D7F56">
        <w:rPr>
          <w:color w:val="222222"/>
        </w:rPr>
        <w:t>hus</w:t>
      </w:r>
      <w:r w:rsidR="00D260B2">
        <w:rPr>
          <w:color w:val="222222"/>
        </w:rPr>
        <w:t xml:space="preserve">, </w:t>
      </w:r>
      <w:r w:rsidR="001D7F56">
        <w:rPr>
          <w:color w:val="222222"/>
        </w:rPr>
        <w:t xml:space="preserve">even beyond the immediate issue of PT revenues, </w:t>
      </w:r>
      <w:r w:rsidR="00D260B2">
        <w:rPr>
          <w:color w:val="222222"/>
        </w:rPr>
        <w:t xml:space="preserve">it is </w:t>
      </w:r>
      <w:r w:rsidR="001D7F56">
        <w:rPr>
          <w:color w:val="222222"/>
        </w:rPr>
        <w:t xml:space="preserve">important </w:t>
      </w:r>
      <w:r w:rsidR="00D260B2">
        <w:rPr>
          <w:color w:val="222222"/>
        </w:rPr>
        <w:t>to address older adult</w:t>
      </w:r>
      <w:r w:rsidR="001D7F56">
        <w:rPr>
          <w:color w:val="222222"/>
        </w:rPr>
        <w:t xml:space="preserve"> concerns</w:t>
      </w:r>
      <w:r w:rsidR="00D260B2">
        <w:rPr>
          <w:color w:val="222222"/>
        </w:rPr>
        <w:t xml:space="preserve"> and ensure that </w:t>
      </w:r>
      <w:r w:rsidR="001D7F56">
        <w:rPr>
          <w:color w:val="222222"/>
        </w:rPr>
        <w:t xml:space="preserve">PT </w:t>
      </w:r>
      <w:r w:rsidR="00D260B2">
        <w:rPr>
          <w:color w:val="222222"/>
        </w:rPr>
        <w:t xml:space="preserve">continues to be an inclusive mode </w:t>
      </w:r>
      <w:r w:rsidR="005E580B">
        <w:rPr>
          <w:color w:val="222222"/>
        </w:rPr>
        <w:t xml:space="preserve">available for all. </w:t>
      </w:r>
      <w:r w:rsidR="005A3E26">
        <w:rPr>
          <w:color w:val="222222"/>
        </w:rPr>
        <w:t xml:space="preserve">In this context, </w:t>
      </w:r>
      <w:r w:rsidR="002C17DF">
        <w:rPr>
          <w:color w:val="222222"/>
        </w:rPr>
        <w:t xml:space="preserve">a critical concern </w:t>
      </w:r>
      <w:r w:rsidR="001D7F56">
        <w:rPr>
          <w:color w:val="222222"/>
        </w:rPr>
        <w:t xml:space="preserve">for older adults relates to fear of contagion in crowded spaces. </w:t>
      </w:r>
      <w:r w:rsidR="00EE77AB">
        <w:rPr>
          <w:color w:val="222222"/>
        </w:rPr>
        <w:t xml:space="preserve">There is a need, without underplaying the health concerns of older adults, to provide objective information </w:t>
      </w:r>
      <w:r w:rsidR="00EE77AB">
        <w:rPr>
          <w:color w:val="222222"/>
        </w:rPr>
        <w:lastRenderedPageBreak/>
        <w:t>directed toward older adults on contagion risk, which has been established to be not very different on public vehicles/facilities compared to everyday interactions at offices and other routine social gatherings</w:t>
      </w:r>
      <w:r w:rsidR="005A3E26">
        <w:rPr>
          <w:color w:val="222222"/>
        </w:rPr>
        <w:t xml:space="preserve"> </w:t>
      </w:r>
      <w:r w:rsidR="00DF1963">
        <w:rPr>
          <w:color w:val="222222"/>
        </w:rPr>
        <w:fldChar w:fldCharType="begin"/>
      </w:r>
      <w:r w:rsidR="005C565E">
        <w:rPr>
          <w:color w:val="222222"/>
        </w:rPr>
        <w:instrText xml:space="preserve"> ADDIN ZOTERO_ITEM CSL_CITATION {"citationID":"SLXzfRVE","properties":{"unsorted":true,"formattedCitation":"(Tirachini and Cats, 2020; Taylor and Ding, 2021; Calder\\uc0\\u243{}n Peralvo et al., 2022)","plainCitation":"(Tirachini and Cats, 2020; Taylor and Ding, 2021; Calderón Peralvo et al., 2022)","noteIndex":0},"citationItems":[{"id":341,"uris":["http://zotero.org/groups/5345474/items/5WBUBD52"],"itemData":{"id":341,"type":"article-journal","abstract":"The COVID-19 pandemic poses a great challenge for contemporary public transportation worldwide, resulting from an unprecedented decline in demand and revenue. In this paper, we synthesize the state-of-the-art, up to early June 2020, on key developments regarding public transportation and the COVID-19 pandemic, including the different responses adopted by governments and public transportation agencies around the world, and the research needs pertaining to critical issues that minimize contagion risk in public transportation in the so-called post-lockdown phase. While attempts at adherence to physical distancing (which challenges the very concept of mass public transportation) are looming in several countries, the latest research shows that for closed environments such as public transportation vehicles, the proper use of face masks has significantly reduced the probability of contagion. The economic and social effects of the COVID-19 outbreak in public transportation extend beyond service performance and health risks to financial viability, social equity, and sustainable mobility. There is a risk that if the public transportation sector is perceived as poorly transitioning to post-pandemic conditions, that viewing public transportation as unhealthy will gain ground and might be sustained. To this end, this paper identifies the research needs and outlines a research agenda for the public health implications of alternative strategies and scenarios, specifically measures to reduce crowding in public transportation. The paper provides an overview and an outlook for transit policy makers, planners, and researchers to map the state-of-affairs and research needs related to the impacts of the pandemic crisis on public transportation. Some research needs require urgent attention given what is ultimately at stake in several countries: restoring the ability of public transportation systems to fulfill their societal role.","container-title":"Journal of Public Transportation","DOI":"10.5038/2375-0901.22.1.1","ISSN":"1077-291X","issue":"1","page":"1-21","source":"ScienceDirect","title":"COVID-19 and Public Transportation: Current Assessment, Prospects, and Research Needs","URL":"https://www.sciencedirect.com/science/article/pii/S1077291X22000662","volume":"22","author":[{"family":"Tirachini","given":"Alejandro"},{"family":"Cats","given":"Oded"}],"accessed":{"date-parts":[["2024",6,8]]},"issued":{"date-parts":[["2020",1,1]]}}},{"id":340,"uris":["http://zotero.org/groups/5345474/items/38WACQU3"],"itemData":{"id":340,"type":"report","abstract":"The Covid-19 pandemic dramatically curtailed travel in the spring of 2020 and more moderately in the months that followed. Travel on public transport declined more and remains lower than on other travel modes, such as driving, biking, and walking. Although public transit operators have implemented various measures to reduce the risk of infection for both riders and employees, fear that public transport poses a high risk for transmission of the infectious disease is widespread. Since the onset of the Covid-19 pandemic, debates have raged in the popular and academic literatures regarding the safety of public transit systems and the role they may play in spreading the disease. To inform this debate, we review the public health literature on the spread of communicable diseases on public transport and conclude that current debates over public transit safety with regard to infection risk have tended to simplify a complex question that depends on numerous factors, many of which are well beyond the control of public transit operators. We draw on published studies of previous epidemics and the current pandemic to show that 1) there is a risk of infection on public transport, but the relative magnitude of the risk is often lower than in many other settings including households, workplace, schools, restaurants, and hospitals; 2) both the broader public health response and public transit agency actions can meaningfully reduce the risks of transmission; and 3) public transport (and indeed all travel modes), by moving people from one place to another, can facilitate the geographical propagation of infections, which can be effectively limited by travel restrictions. We highlight the multitude of risk factors that can affect infection risk on public transport, and argue that public transit systems can be made safe by actions taken by individual riders, public transit operators and, most important, by community-wide public health responses.","language":"en","number":"UC-ITS-2021-12","publisher":"University of California Institute of Transportation Studies","source":"escholarship.org","title":"Making Transit Safe to Ride During a Pandemic: What Are The Risks and What Can Be Done in Response?","title-short":"Making Transit Safe to Ride During a Pandemic","URL":"https://escholarship.org/uc/item/2zh811x8","author":[{"family":"Taylor","given":"Brian D."},{"family":"Ding","given":"Hao"}],"accessed":{"date-parts":[["2024",6,8]]},"issued":{"date-parts":[["2021",9,1]]}}},{"id":328,"uris":["http://zotero.org/groups/5345474/items/ZJ26MR9D"],"itemData":{"id":328,"type":"article-journal","abstract":"This paper reports a Scopus-based systematic literature review of a wide variety of transportation policies and mitigation strategies that have been conducted around the world to minimize COVID-19 contagion risk in transportation systems. The review offers a representative coverage of countries across all continents of the planet, as well as among representative climate regions – as weather is an important factor to consider. The readership interested in policies and mitigation strategies is expected to involve a wide range of actors, each involving a particular application context; hence, the literature is also characterized by key attributes such as: transportation mode; actor (users, operators, government, industry); jurisdiction (national, provincial, city, neighborhood); and area of application (planning, regulation, operations, research, incentives). An in-depth analysis of the surveyed literature is then reported, focusing first on condensing the literature into 151 distinct policies and strategies, which are subsequently categorized into 25 broad categories that are discussed at length. The compendium and discussion of strategies and policies reported not only provide comprehensive guidelines to inform various courses of action for decision-makers, planners, and social communicators, but also emphasize on future work and the potential of some of these strategies to be the precursors of meaningful, more sustainable behavioral changes in future mobility patterns.","container-title":"Transportation Research Interdisciplinary Perspectives","DOI":"10.1016/j.trip.2022.100653","ISSN":"2590-1982","journalAbbreviation":"Transp Res Interdiscip Perspect","note":"PMID: 35873107\nPMCID: PMC9289094","page":"100653","source":"PubMed Central","title":"A systematic review of COVID-19 transport policies and mitigation strategies around the globe","URL":"https://www.ncbi.nlm.nih.gov/pmc/articles/PMC9289094/","volume":"15","author":[{"family":"Calderón Peralvo","given":"Francisco"},{"family":"Cazorla Vanegas","given":"Patricia"},{"family":"Avila-Ordóñez","given":"Elina"}],"accessed":{"date-parts":[["2024",6,7]]},"issued":{"date-parts":[["2022",9]]}}}],"schema":"https://github.com/citation-style-language/schema/raw/master/csl-citation.json"} </w:instrText>
      </w:r>
      <w:r w:rsidR="00DF1963">
        <w:rPr>
          <w:color w:val="222222"/>
        </w:rPr>
        <w:fldChar w:fldCharType="separate"/>
      </w:r>
      <w:r w:rsidR="00A61A77" w:rsidRPr="00A61A77">
        <w:t>(Tirachini and Cats, 2020; Taylor and Ding, 2021; Calderón Peralvo et al., 2022)</w:t>
      </w:r>
      <w:r w:rsidR="00DF1963">
        <w:rPr>
          <w:color w:val="222222"/>
        </w:rPr>
        <w:fldChar w:fldCharType="end"/>
      </w:r>
      <w:r w:rsidR="007A6879">
        <w:rPr>
          <w:color w:val="222222"/>
        </w:rPr>
        <w:t>.</w:t>
      </w:r>
      <w:r w:rsidR="002C17DF">
        <w:rPr>
          <w:color w:val="222222"/>
        </w:rPr>
        <w:t xml:space="preserve"> Similarly, communicating the safety and continued benefits of t</w:t>
      </w:r>
      <w:r w:rsidR="007A6879">
        <w:rPr>
          <w:color w:val="222222"/>
        </w:rPr>
        <w:t xml:space="preserve">he PT modes </w:t>
      </w:r>
      <w:r w:rsidR="002C17DF">
        <w:rPr>
          <w:color w:val="222222"/>
        </w:rPr>
        <w:t xml:space="preserve">to older individuals would be an effective way to help draw back some </w:t>
      </w:r>
      <w:r w:rsidR="005A3E26">
        <w:rPr>
          <w:color w:val="222222"/>
        </w:rPr>
        <w:t>older</w:t>
      </w:r>
      <w:r w:rsidR="002C17DF">
        <w:rPr>
          <w:color w:val="222222"/>
        </w:rPr>
        <w:t xml:space="preserve"> riders </w:t>
      </w:r>
      <w:r w:rsidR="00A60C83" w:rsidRPr="00FF121E">
        <w:rPr>
          <w:b/>
          <w:bCs/>
          <w:color w:val="222222"/>
        </w:rPr>
        <w:fldChar w:fldCharType="begin"/>
      </w:r>
      <w:r w:rsidR="005C565E">
        <w:rPr>
          <w:b/>
          <w:bCs/>
          <w:color w:val="222222"/>
        </w:rPr>
        <w:instrText xml:space="preserve"> ADDIN ZOTERO_ITEM CSL_CITATION {"citationID":"YLgnGoJo","properties":{"formattedCitation":"(Downey et al., 2022)","plainCitation":"(Downey et al., 2022)","noteIndex":0},"citationItems":[{"id":104,"uris":["http://zotero.org/groups/5345474/items/2NSGKUQK"],"itemData":{"id":104,"type":"article-journal","abstract":"This paper examines the determinants of changes in future public transport use in Scotland after the COVID-19 pandemic. An online questionnaire was distributed to 994 Scottish residents in order to identify travel habits, attitudes and preferences during the different phases of the COVID-19 outbreak and travel intentions after the pandemic. Quota constraints were enforced for age, gender and household income to ensure the sample was representative of the Scottish population. The respondents indicated that they anticipated they would make less use of buses and trains at the end of the pandemic. Over a third expect to use buses (36%) and trains (34%) less, whilst a quarter expect to drive their cars more. As part of the analysis, a random parameter bivariate probit model with heterogeneity in the means of random parameters was estimated to provide insights into the socio-demographic, behavioural and perceptual factors which might affect future public transport usage. The inclusion of random parameters allows for the potential effects of unobserved heterogeneity within the independent variables to be captured, whilst making allowances for heterogeneity in the means of the random parameters. The model estimation showed that several factors, including pre-lockdown travel choices, perceived risk of COVID-19 infection, household size and region significantly affected intended future use of public transport. In addition, several variables related to age, region, pre-lockdown travel choices and employment status resulted in random parameters. The current paper contributes to our understanding of the potential loss of demand for public transport and the consequences for future equitable and sustainable mobility. Our findings are highly relevant for transport policy when developing measures to strengthen the resilience of the public transport system during and after the pandemic.","container-title":"Transportation Research Part A: Policy and Practice","DOI":"10.1016/j.tra.2022.06.005","ISSN":"0965-8564","journalAbbreviation":"Transportation Research Part A: Policy and Practice","page":"338-352","source":"ScienceDirect","title":"The impact of COVID-19 on future public transport use in Scotland","URL":"https://www.sciencedirect.com/science/article/pii/S0965856422001598","volume":"163","author":[{"family":"Downey","given":"Lucy"},{"family":"Fonzone","given":"Achille"},{"family":"Fountas","given":"Grigorios"},{"family":"Semple","given":"Torran"}],"accessed":{"date-parts":[["2024",2,13]]},"issued":{"date-parts":[["2022",9,1]]}}}],"schema":"https://github.com/citation-style-language/schema/raw/master/csl-citation.json"} </w:instrText>
      </w:r>
      <w:r w:rsidR="00A60C83" w:rsidRPr="00FF121E">
        <w:rPr>
          <w:b/>
          <w:bCs/>
          <w:color w:val="222222"/>
        </w:rPr>
        <w:fldChar w:fldCharType="separate"/>
      </w:r>
      <w:r w:rsidR="00A60C83" w:rsidRPr="00FF121E">
        <w:t>(Downey et al., 2022)</w:t>
      </w:r>
      <w:r w:rsidR="00A60C83" w:rsidRPr="00FF121E">
        <w:rPr>
          <w:b/>
          <w:bCs/>
          <w:color w:val="222222"/>
        </w:rPr>
        <w:fldChar w:fldCharType="end"/>
      </w:r>
      <w:r w:rsidR="002C17DF" w:rsidRPr="00FF121E">
        <w:rPr>
          <w:color w:val="222222"/>
        </w:rPr>
        <w:t>.</w:t>
      </w:r>
      <w:r w:rsidR="005A3E26">
        <w:rPr>
          <w:color w:val="222222"/>
        </w:rPr>
        <w:t xml:space="preserve"> I</w:t>
      </w:r>
      <w:r w:rsidR="005E580B">
        <w:rPr>
          <w:color w:val="222222"/>
        </w:rPr>
        <w:t>mprov</w:t>
      </w:r>
      <w:r w:rsidR="007A6879">
        <w:rPr>
          <w:color w:val="222222"/>
        </w:rPr>
        <w:t>ements in</w:t>
      </w:r>
      <w:r w:rsidR="005E580B">
        <w:rPr>
          <w:color w:val="222222"/>
        </w:rPr>
        <w:t xml:space="preserve"> the convenience of</w:t>
      </w:r>
      <w:r w:rsidR="001E3ECD" w:rsidRPr="001E3ECD">
        <w:rPr>
          <w:color w:val="222222"/>
        </w:rPr>
        <w:t xml:space="preserve"> the boarding/deboarding process</w:t>
      </w:r>
      <w:r w:rsidR="002C17DF">
        <w:rPr>
          <w:color w:val="222222"/>
        </w:rPr>
        <w:t>, which presents challenges for many individuals with physical impairments</w:t>
      </w:r>
      <w:r w:rsidR="005A3E26">
        <w:rPr>
          <w:color w:val="222222"/>
        </w:rPr>
        <w:t>, may also be helpful and effective</w:t>
      </w:r>
      <w:r w:rsidR="001E3ECD" w:rsidRPr="001E3ECD">
        <w:rPr>
          <w:color w:val="222222"/>
        </w:rPr>
        <w:t xml:space="preserve">. For instance, bus drivers </w:t>
      </w:r>
      <w:r w:rsidR="00324257">
        <w:rPr>
          <w:color w:val="222222"/>
        </w:rPr>
        <w:t>could</w:t>
      </w:r>
      <w:r w:rsidR="001E3ECD" w:rsidRPr="001E3ECD">
        <w:rPr>
          <w:color w:val="222222"/>
        </w:rPr>
        <w:t xml:space="preserve"> be provided additional training on ways to physically assist elderly individuals</w:t>
      </w:r>
      <w:r w:rsidR="007A6879">
        <w:rPr>
          <w:color w:val="222222"/>
        </w:rPr>
        <w:t>,</w:t>
      </w:r>
      <w:r w:rsidR="001E3ECD" w:rsidRPr="001E3ECD">
        <w:rPr>
          <w:color w:val="222222"/>
        </w:rPr>
        <w:t xml:space="preserve"> </w:t>
      </w:r>
      <w:r w:rsidR="005C175F">
        <w:rPr>
          <w:color w:val="222222"/>
        </w:rPr>
        <w:t>and bus stops and vehicles themselves can be designed to eliminate challenges in the boarding process</w:t>
      </w:r>
      <w:r w:rsidR="005013EE">
        <w:rPr>
          <w:color w:val="222222"/>
        </w:rPr>
        <w:t xml:space="preserve"> </w:t>
      </w:r>
      <w:r w:rsidR="005013EE">
        <w:rPr>
          <w:color w:val="222222"/>
        </w:rPr>
        <w:fldChar w:fldCharType="begin"/>
      </w:r>
      <w:r w:rsidR="005C565E">
        <w:rPr>
          <w:color w:val="222222"/>
        </w:rPr>
        <w:instrText xml:space="preserve"> ADDIN ZOTERO_ITEM CSL_CITATION {"citationID":"Wgwb0mMr","properties":{"formattedCitation":"(Ravensbergen et al., 2021)","plainCitation":"(Ravensbergen et al., 2021)","dontUpdate":true,"noteIndex":0},"citationItems":[{"id":311,"uris":["http://zotero.org/groups/5345474/items/3CPEIUIP"],"itemData":{"id":311,"type":"article-journal","container-title":"Journal of transport geography","note":"publisher: Elsevier","page":"103221","source":"Google Scholar","title":"‘Mobility work’: Older adults' experiences using public transportation","title-short":"‘Mobility work’","URL":"https://www.sciencedirect.com/science/article/pii/S096669232100274X","volume":"97","author":[{"family":"Ravensbergen","given":"Léa"},{"family":"Newbold","given":"K. Bruce"},{"family":"Ganann","given":"Rebecca"},{"family":"Sinding","given":"Christina"}],"accessed":{"date-parts":[["2024",6,4]]},"issued":{"date-parts":[["2021"]]}}}],"schema":"https://github.com/citation-style-language/schema/raw/master/csl-citation.json"} </w:instrText>
      </w:r>
      <w:r w:rsidR="005013EE">
        <w:rPr>
          <w:color w:val="222222"/>
        </w:rPr>
        <w:fldChar w:fldCharType="separate"/>
      </w:r>
      <w:r w:rsidR="005013EE" w:rsidRPr="005013EE">
        <w:t>(</w:t>
      </w:r>
      <w:r w:rsidR="00FF121E" w:rsidRPr="00FF121E">
        <w:t xml:space="preserve">such as the ability to “kneel” buses to reduce the need to climb </w:t>
      </w:r>
      <w:r w:rsidR="007A6879">
        <w:t xml:space="preserve">steep </w:t>
      </w:r>
      <w:r w:rsidR="00FF121E" w:rsidRPr="00FF121E">
        <w:t>stairs</w:t>
      </w:r>
      <w:r w:rsidR="00FF121E">
        <w:t>; see</w:t>
      </w:r>
      <w:r w:rsidR="00FF121E" w:rsidRPr="00FF121E">
        <w:t xml:space="preserve"> </w:t>
      </w:r>
      <w:r w:rsidR="005013EE" w:rsidRPr="005013EE">
        <w:t>Ravensbergen et al., 2021)</w:t>
      </w:r>
      <w:r w:rsidR="005013EE">
        <w:rPr>
          <w:color w:val="222222"/>
        </w:rPr>
        <w:fldChar w:fldCharType="end"/>
      </w:r>
      <w:r w:rsidR="001E3ECD" w:rsidRPr="001E3ECD">
        <w:rPr>
          <w:color w:val="222222"/>
        </w:rPr>
        <w:t xml:space="preserve">. </w:t>
      </w:r>
      <w:r w:rsidR="00285436">
        <w:rPr>
          <w:color w:val="222222"/>
        </w:rPr>
        <w:t>F</w:t>
      </w:r>
      <w:r w:rsidR="005A3E26">
        <w:rPr>
          <w:color w:val="222222"/>
        </w:rPr>
        <w:t>inally</w:t>
      </w:r>
      <w:r w:rsidR="00285436">
        <w:rPr>
          <w:color w:val="222222"/>
        </w:rPr>
        <w:t xml:space="preserve">, </w:t>
      </w:r>
      <w:r w:rsidR="005A3E26">
        <w:rPr>
          <w:color w:val="222222"/>
        </w:rPr>
        <w:t xml:space="preserve">in </w:t>
      </w:r>
      <w:r w:rsidR="00285436">
        <w:rPr>
          <w:color w:val="222222"/>
        </w:rPr>
        <w:t>partner</w:t>
      </w:r>
      <w:r w:rsidR="005A3E26">
        <w:rPr>
          <w:color w:val="222222"/>
        </w:rPr>
        <w:t xml:space="preserve">ship </w:t>
      </w:r>
      <w:r w:rsidR="00285436">
        <w:rPr>
          <w:color w:val="222222"/>
        </w:rPr>
        <w:t xml:space="preserve">with voluntary community </w:t>
      </w:r>
      <w:r w:rsidR="005A3E26">
        <w:rPr>
          <w:color w:val="222222"/>
        </w:rPr>
        <w:t>organizations</w:t>
      </w:r>
      <w:r w:rsidR="00285436">
        <w:rPr>
          <w:color w:val="222222"/>
        </w:rPr>
        <w:t xml:space="preserve">, transit agencies can perhaps provide assisted transportation (that is, a volunteer who stays with the older adult throughout the trip) for the first few PT experiences, as a way to ease older adults into longer-term PT use by themselves. </w:t>
      </w:r>
    </w:p>
    <w:p w14:paraId="4763962B" w14:textId="77777777" w:rsidR="000F6BE9" w:rsidRPr="001E3ECD" w:rsidRDefault="000F6BE9" w:rsidP="00C67E12">
      <w:pPr>
        <w:jc w:val="both"/>
        <w:rPr>
          <w:color w:val="222222"/>
        </w:rPr>
      </w:pPr>
    </w:p>
    <w:p w14:paraId="154B1566" w14:textId="3E7EF2BD" w:rsidR="000F6BE9" w:rsidRPr="000F6BE9" w:rsidRDefault="00821BAC" w:rsidP="00C67E12">
      <w:pPr>
        <w:jc w:val="both"/>
        <w:rPr>
          <w:b/>
          <w:bCs/>
          <w:color w:val="222222"/>
        </w:rPr>
      </w:pPr>
      <w:r>
        <w:rPr>
          <w:b/>
          <w:bCs/>
          <w:color w:val="222222"/>
        </w:rPr>
        <w:t>5.</w:t>
      </w:r>
      <w:r w:rsidR="000F6BE9">
        <w:rPr>
          <w:b/>
          <w:bCs/>
          <w:color w:val="222222"/>
        </w:rPr>
        <w:t>3</w:t>
      </w:r>
      <w:r>
        <w:rPr>
          <w:b/>
          <w:bCs/>
          <w:color w:val="222222"/>
        </w:rPr>
        <w:t xml:space="preserve"> </w:t>
      </w:r>
      <w:r w:rsidR="00250C86">
        <w:rPr>
          <w:b/>
          <w:bCs/>
          <w:color w:val="222222"/>
        </w:rPr>
        <w:t>Et</w:t>
      </w:r>
      <w:r w:rsidR="000E3CE6">
        <w:rPr>
          <w:b/>
          <w:bCs/>
          <w:color w:val="222222"/>
        </w:rPr>
        <w:t>h</w:t>
      </w:r>
      <w:r w:rsidR="00250C86">
        <w:rPr>
          <w:b/>
          <w:bCs/>
          <w:color w:val="222222"/>
        </w:rPr>
        <w:t>nicity/</w:t>
      </w:r>
      <w:r>
        <w:rPr>
          <w:b/>
          <w:bCs/>
          <w:color w:val="222222"/>
        </w:rPr>
        <w:t>Race and P</w:t>
      </w:r>
      <w:r w:rsidR="00607713">
        <w:rPr>
          <w:b/>
          <w:bCs/>
          <w:color w:val="222222"/>
        </w:rPr>
        <w:t>T</w:t>
      </w:r>
      <w:r>
        <w:rPr>
          <w:b/>
          <w:bCs/>
          <w:color w:val="222222"/>
        </w:rPr>
        <w:t xml:space="preserve"> Use</w:t>
      </w:r>
    </w:p>
    <w:p w14:paraId="734CFF3A" w14:textId="5B0BA611" w:rsidR="00CD466C" w:rsidRDefault="000C78C8" w:rsidP="00C67E12">
      <w:pPr>
        <w:jc w:val="both"/>
        <w:rPr>
          <w:color w:val="222222"/>
        </w:rPr>
      </w:pPr>
      <w:r>
        <w:rPr>
          <w:color w:val="222222"/>
        </w:rPr>
        <w:t xml:space="preserve">Public transit </w:t>
      </w:r>
      <w:r w:rsidR="00CD4CCA">
        <w:rPr>
          <w:color w:val="222222"/>
        </w:rPr>
        <w:t xml:space="preserve">use changes based on </w:t>
      </w:r>
      <w:r w:rsidR="00250C86">
        <w:rPr>
          <w:color w:val="222222"/>
        </w:rPr>
        <w:t xml:space="preserve">ethnicity and </w:t>
      </w:r>
      <w:r w:rsidR="00CD4CCA">
        <w:rPr>
          <w:color w:val="222222"/>
        </w:rPr>
        <w:t xml:space="preserve">race are more </w:t>
      </w:r>
      <w:r w:rsidR="00250C86">
        <w:rPr>
          <w:color w:val="222222"/>
        </w:rPr>
        <w:t>nuanced</w:t>
      </w:r>
      <w:r w:rsidR="00CD4CCA">
        <w:rPr>
          <w:color w:val="222222"/>
        </w:rPr>
        <w:t xml:space="preserve"> than </w:t>
      </w:r>
      <w:r w:rsidR="00250C86">
        <w:rPr>
          <w:color w:val="222222"/>
        </w:rPr>
        <w:t>based on gender and age</w:t>
      </w:r>
      <w:r w:rsidR="00CD4CCA">
        <w:rPr>
          <w:color w:val="222222"/>
        </w:rPr>
        <w:t>.</w:t>
      </w:r>
      <w:r w:rsidR="00426056">
        <w:rPr>
          <w:color w:val="222222"/>
        </w:rPr>
        <w:t xml:space="preserve"> Compared to individuals of white race, individuals of Hispanic ethnicity, and individuals of Black/Asian origin, are more likely to (a) have changed their public transit use, either using PT less or PT more after-COVID relative to before-COVID (though the decline </w:t>
      </w:r>
      <w:r w:rsidR="00E67325">
        <w:rPr>
          <w:color w:val="222222"/>
        </w:rPr>
        <w:t xml:space="preserve">in PT use </w:t>
      </w:r>
      <w:r w:rsidR="00426056">
        <w:rPr>
          <w:color w:val="222222"/>
        </w:rPr>
        <w:t xml:space="preserve">is </w:t>
      </w:r>
      <w:r w:rsidR="00E67325">
        <w:rPr>
          <w:color w:val="222222"/>
        </w:rPr>
        <w:t xml:space="preserve">clearly </w:t>
      </w:r>
      <w:r w:rsidR="00426056">
        <w:rPr>
          <w:color w:val="222222"/>
        </w:rPr>
        <w:t xml:space="preserve">more dominant), and (b) state that the PT changes are temporary. These results indicate that </w:t>
      </w:r>
      <w:r w:rsidR="00017138" w:rsidRPr="00017138">
        <w:rPr>
          <w:color w:val="222222"/>
        </w:rPr>
        <w:t>minority groups were more significantly impacted by pandemic effects</w:t>
      </w:r>
      <w:r w:rsidR="00426056">
        <w:rPr>
          <w:color w:val="222222"/>
        </w:rPr>
        <w:t>,</w:t>
      </w:r>
      <w:r w:rsidR="00017138" w:rsidRPr="00017138">
        <w:rPr>
          <w:color w:val="222222"/>
        </w:rPr>
        <w:t xml:space="preserve"> but </w:t>
      </w:r>
      <w:r w:rsidR="00D75F21">
        <w:rPr>
          <w:color w:val="222222"/>
        </w:rPr>
        <w:t xml:space="preserve">also </w:t>
      </w:r>
      <w:r w:rsidR="00426056">
        <w:rPr>
          <w:color w:val="222222"/>
        </w:rPr>
        <w:t xml:space="preserve">seem to be more willing </w:t>
      </w:r>
      <w:r w:rsidR="00017138" w:rsidRPr="00017138">
        <w:rPr>
          <w:color w:val="222222"/>
        </w:rPr>
        <w:t xml:space="preserve">to return to pre-COVID </w:t>
      </w:r>
      <w:r w:rsidR="00D75F21">
        <w:rPr>
          <w:color w:val="222222"/>
        </w:rPr>
        <w:t>PT use</w:t>
      </w:r>
      <w:r w:rsidR="00017138" w:rsidRPr="00017138">
        <w:rPr>
          <w:color w:val="222222"/>
        </w:rPr>
        <w:t xml:space="preserve"> (</w:t>
      </w:r>
      <w:r w:rsidR="00D75F21">
        <w:rPr>
          <w:color w:val="222222"/>
        </w:rPr>
        <w:t xml:space="preserve">consistent with the findings from </w:t>
      </w:r>
      <w:r w:rsidR="00017138" w:rsidRPr="00017138">
        <w:rPr>
          <w:color w:val="222222"/>
        </w:rPr>
        <w:t>Qiang and McKenzie, 2024)</w:t>
      </w:r>
      <w:r w:rsidR="00D75F21">
        <w:rPr>
          <w:color w:val="222222"/>
        </w:rPr>
        <w:t xml:space="preserve">. This is </w:t>
      </w:r>
      <w:r w:rsidR="00E67325">
        <w:rPr>
          <w:color w:val="222222"/>
        </w:rPr>
        <w:t>a rather reassuring result</w:t>
      </w:r>
      <w:r w:rsidR="00D75F21">
        <w:rPr>
          <w:color w:val="222222"/>
        </w:rPr>
        <w:t>,</w:t>
      </w:r>
      <w:r w:rsidR="00E67325">
        <w:rPr>
          <w:color w:val="222222"/>
        </w:rPr>
        <w:t xml:space="preserve"> </w:t>
      </w:r>
      <w:r w:rsidR="00087CE5" w:rsidRPr="00087CE5">
        <w:rPr>
          <w:color w:val="222222"/>
        </w:rPr>
        <w:t xml:space="preserve">given the large share of </w:t>
      </w:r>
      <w:r w:rsidR="00087CE5">
        <w:rPr>
          <w:color w:val="222222"/>
        </w:rPr>
        <w:t>racial minority</w:t>
      </w:r>
      <w:r w:rsidR="00087CE5" w:rsidRPr="00087CE5">
        <w:rPr>
          <w:color w:val="222222"/>
        </w:rPr>
        <w:t xml:space="preserve"> riders </w:t>
      </w:r>
      <w:r w:rsidR="00E67325">
        <w:rPr>
          <w:color w:val="222222"/>
        </w:rPr>
        <w:t xml:space="preserve">using PT </w:t>
      </w:r>
      <w:r w:rsidR="00087CE5" w:rsidRPr="00087CE5">
        <w:rPr>
          <w:color w:val="222222"/>
        </w:rPr>
        <w:t>before the pandemic</w:t>
      </w:r>
      <w:r w:rsidR="00E67325">
        <w:rPr>
          <w:color w:val="222222"/>
        </w:rPr>
        <w:t xml:space="preserve">.  </w:t>
      </w:r>
      <w:r w:rsidR="00357CAC">
        <w:rPr>
          <w:color w:val="222222"/>
        </w:rPr>
        <w:t>T</w:t>
      </w:r>
      <w:r w:rsidR="00E67325">
        <w:rPr>
          <w:color w:val="222222"/>
        </w:rPr>
        <w:t xml:space="preserve">o </w:t>
      </w:r>
      <w:r w:rsidR="00367252">
        <w:rPr>
          <w:color w:val="222222"/>
        </w:rPr>
        <w:t>leverage</w:t>
      </w:r>
      <w:r w:rsidR="00E67325">
        <w:rPr>
          <w:color w:val="222222"/>
        </w:rPr>
        <w:t xml:space="preserve"> this result, p</w:t>
      </w:r>
      <w:r w:rsidR="00F800D7" w:rsidRPr="00F800D7">
        <w:rPr>
          <w:color w:val="222222"/>
        </w:rPr>
        <w:t xml:space="preserve">olicies and services that focus on equity and creating a safe environment for </w:t>
      </w:r>
      <w:r w:rsidR="00E67325">
        <w:rPr>
          <w:color w:val="222222"/>
        </w:rPr>
        <w:t xml:space="preserve">minority </w:t>
      </w:r>
      <w:r w:rsidR="00F800D7" w:rsidRPr="00F800D7">
        <w:rPr>
          <w:color w:val="222222"/>
        </w:rPr>
        <w:t xml:space="preserve">individuals </w:t>
      </w:r>
      <w:r w:rsidR="00E67325">
        <w:rPr>
          <w:color w:val="222222"/>
        </w:rPr>
        <w:t xml:space="preserve">is essential, </w:t>
      </w:r>
      <w:r w:rsidR="00F800D7" w:rsidRPr="00F800D7">
        <w:rPr>
          <w:color w:val="222222"/>
        </w:rPr>
        <w:t xml:space="preserve">both </w:t>
      </w:r>
      <w:r w:rsidR="00E67325">
        <w:rPr>
          <w:color w:val="222222"/>
        </w:rPr>
        <w:t xml:space="preserve">from a PT ridership standpoint as well as the broader need to </w:t>
      </w:r>
      <w:r w:rsidR="00F800D7" w:rsidRPr="00F800D7">
        <w:rPr>
          <w:color w:val="222222"/>
        </w:rPr>
        <w:t>addres</w:t>
      </w:r>
      <w:r w:rsidR="00E67325">
        <w:rPr>
          <w:color w:val="222222"/>
        </w:rPr>
        <w:t xml:space="preserve">s </w:t>
      </w:r>
      <w:r w:rsidR="00F800D7" w:rsidRPr="00F800D7">
        <w:rPr>
          <w:color w:val="222222"/>
        </w:rPr>
        <w:t xml:space="preserve">systematic </w:t>
      </w:r>
      <w:r w:rsidR="00E67325">
        <w:rPr>
          <w:color w:val="222222"/>
        </w:rPr>
        <w:t xml:space="preserve">transportation access </w:t>
      </w:r>
      <w:r w:rsidR="00F800D7" w:rsidRPr="00F800D7">
        <w:rPr>
          <w:color w:val="222222"/>
        </w:rPr>
        <w:t>inequ</w:t>
      </w:r>
      <w:r w:rsidR="00D75F21">
        <w:rPr>
          <w:color w:val="222222"/>
        </w:rPr>
        <w:t>ities</w:t>
      </w:r>
      <w:r w:rsidR="00F800D7" w:rsidRPr="00F800D7">
        <w:rPr>
          <w:color w:val="222222"/>
        </w:rPr>
        <w:t xml:space="preserve"> </w:t>
      </w:r>
      <w:r w:rsidR="00A9705D">
        <w:rPr>
          <w:color w:val="222222"/>
        </w:rPr>
        <w:t>that</w:t>
      </w:r>
      <w:r w:rsidR="00D75F21">
        <w:rPr>
          <w:color w:val="222222"/>
        </w:rPr>
        <w:t xml:space="preserve"> </w:t>
      </w:r>
      <w:r w:rsidR="00E67325">
        <w:rPr>
          <w:color w:val="222222"/>
        </w:rPr>
        <w:t xml:space="preserve">were </w:t>
      </w:r>
      <w:r w:rsidR="00D75F21">
        <w:rPr>
          <w:color w:val="222222"/>
        </w:rPr>
        <w:t xml:space="preserve">only further </w:t>
      </w:r>
      <w:r w:rsidR="00A9705D">
        <w:rPr>
          <w:color w:val="222222"/>
        </w:rPr>
        <w:t>exacerbated by the pandemic</w:t>
      </w:r>
      <w:r w:rsidR="00F800D7" w:rsidRPr="00F800D7">
        <w:rPr>
          <w:color w:val="222222"/>
        </w:rPr>
        <w:t xml:space="preserve">. </w:t>
      </w:r>
      <w:r w:rsidR="001D2391" w:rsidRPr="001D2391">
        <w:rPr>
          <w:color w:val="222222"/>
        </w:rPr>
        <w:t>Black households are more likely to be vehicle</w:t>
      </w:r>
      <w:r w:rsidR="00D75F21">
        <w:rPr>
          <w:color w:val="222222"/>
        </w:rPr>
        <w:t>-</w:t>
      </w:r>
      <w:r w:rsidR="001D2391" w:rsidRPr="001D2391">
        <w:rPr>
          <w:color w:val="222222"/>
        </w:rPr>
        <w:t>constrained and 76% of Black households were burdened by transportation costs during the pandemic</w:t>
      </w:r>
      <w:r w:rsidR="00BB5009">
        <w:rPr>
          <w:color w:val="222222"/>
        </w:rPr>
        <w:t>, highlighting the importance of public transportation for this group</w:t>
      </w:r>
      <w:r w:rsidR="001D2391" w:rsidRPr="001D2391">
        <w:rPr>
          <w:color w:val="222222"/>
        </w:rPr>
        <w:t xml:space="preserve"> </w:t>
      </w:r>
      <w:r w:rsidR="003C7F81">
        <w:rPr>
          <w:color w:val="222222"/>
        </w:rPr>
        <w:fldChar w:fldCharType="begin"/>
      </w:r>
      <w:r w:rsidR="005C565E">
        <w:rPr>
          <w:color w:val="222222"/>
        </w:rPr>
        <w:instrText xml:space="preserve"> ADDIN ZOTERO_ITEM CSL_CITATION {"citationID":"yTA7EdZS","properties":{"formattedCitation":"(Molloy et al., 2024)","plainCitation":"(Molloy et al., 2024)","noteIndex":0},"citationItems":[{"id":244,"uris":["http://zotero.org/groups/5345474/items/HN97UVFM"],"itemData":{"id":244,"type":"article-journal","abstract":"Vehicle ownership is a significant cost to households, but Black households are more likely to be burdened than White households. Previous assessments of transportation spending between races did not differentiate by vehicle ownership status, depressing overall transportation spending by Black households, which are three times as likely as White households not to have access to a car and, thus, spend comparatively little on transportation. When these experiences are isolated, 76% of Black households with vehicles are burdened by transportation spending compared with 60% of White households. Black households with vehicles allocate more of their total average annual spending to transportation regardless of income, and disparities in transportation burden are present even in high-earning households. Black households that are in poverty spend on average $1,115 more per car than their White peers. Insurance, gasoline, vehicle loans, and leasing are all major drivers of transportation burden on Black households and, frequently, these are less burdensome to White households. This adds to concerns of disparate safety and environmental impacts of automobility experienced by Black households, for example, higher rates of pedestrian fatalities and risk of childhood asthma from vehicle exhaust fumes.","container-title":"Transportation Research Record","DOI":"10.1177/03611981241231968","ISSN":"0361-1981","language":"en","note":"publisher: SAGE Publications Inc","page":"03611981241231968","source":"SAGE Journals","title":"Black Households Are More Burdened by Vehicle Ownership than White Households","URL":"https://doi.org/10.1177/03611981241231968","author":[{"family":"Molloy","given":"Quinn"},{"family":"Garrick","given":"Norman"},{"family":"Atkinson-Palombo","given":"Carol"}],"accessed":{"date-parts":[["2024",5,13]]},"issued":{"date-parts":[["2024",4,29]]}}}],"schema":"https://github.com/citation-style-language/schema/raw/master/csl-citation.json"} </w:instrText>
      </w:r>
      <w:r w:rsidR="003C7F81">
        <w:rPr>
          <w:color w:val="222222"/>
        </w:rPr>
        <w:fldChar w:fldCharType="separate"/>
      </w:r>
      <w:r w:rsidR="003C7F81">
        <w:rPr>
          <w:noProof/>
          <w:color w:val="222222"/>
        </w:rPr>
        <w:t>(Molloy et al., 2024)</w:t>
      </w:r>
      <w:r w:rsidR="003C7F81">
        <w:rPr>
          <w:color w:val="222222"/>
        </w:rPr>
        <w:fldChar w:fldCharType="end"/>
      </w:r>
      <w:r w:rsidR="003C7F81">
        <w:rPr>
          <w:color w:val="222222"/>
        </w:rPr>
        <w:t>.</w:t>
      </w:r>
      <w:r w:rsidR="001D2391" w:rsidRPr="001D2391">
        <w:rPr>
          <w:color w:val="222222"/>
        </w:rPr>
        <w:t xml:space="preserve"> </w:t>
      </w:r>
      <w:r w:rsidR="004903C3" w:rsidRPr="004903C3">
        <w:rPr>
          <w:color w:val="222222"/>
        </w:rPr>
        <w:t xml:space="preserve">Additionally, during the pandemic, Black and Hispanic individuals experienced more income loss compared to white individuals, adding to constraints faced by these individuals during the pandemic, and emphasizing the need to provide PT services </w:t>
      </w:r>
      <w:r w:rsidR="00DF1963">
        <w:rPr>
          <w:color w:val="222222"/>
        </w:rPr>
        <w:fldChar w:fldCharType="begin"/>
      </w:r>
      <w:r w:rsidR="005C565E">
        <w:rPr>
          <w:color w:val="222222"/>
        </w:rPr>
        <w:instrText xml:space="preserve"> ADDIN ZOTERO_ITEM CSL_CITATION {"citationID":"7k32BSM8","properties":{"formattedCitation":"(Huang, 2024)","plainCitation":"(Huang, 2024)","noteIndex":0},"citationItems":[{"id":246,"uris":["http://zotero.org/groups/5345474/items/SR2V2FGI"],"itemData":{"id":246,"type":"article-journal","abstract":"The COVID-19 pandemic has significantly impacted individuals’ financial well-being and mental health. This study investigates the relationship between income loss and mental health outcomes during the pandemic, as well as the heterogeneity in this relationship by race/ethnicity and co-ethnic density in the metropolitan area. Using nationally representative Household Pulse Survey data, this study finds that income loss is associated with a heightened risk of depression and anxiety, even after controlling for individual and metropolitan-level characteristics. Co-ethnic density in metropolitan areas worsens the effects of income loss on depression and anxiety for Hispanics and non-Hispanic Blacks while residing in a metropolitan area with more Whites cushions the impact of income loss on depression and anxiety for non-Hispanic Whites. Overall, the study underscores the importance of considering the intersection of race/ethnicity and metropolitan-level co-ethnic density in exploring the influence of economic stressors on mental health.","container-title":"Journal of Urban Health","DOI":"10.1007/s11524-024-00826-2","ISSN":"1468-2869","issue":"1","journalAbbreviation":"J Urban Health","language":"en","page":"205-217","source":"Springer Link","title":"Income Loss and Mental Health during the COVID-19 Pandemic in the United States—Investigating the Moderating Role of Race and Metro-Level Co-ethnic Density","URL":"https://doi.org/10.1007/s11524-024-00826-2","volume":"101","author":[{"family":"Huang","given":"Ying"}],"accessed":{"date-parts":[["2024",5,13]]},"issued":{"date-parts":[["2024",2,1]]}}}],"schema":"https://github.com/citation-style-language/schema/raw/master/csl-citation.json"} </w:instrText>
      </w:r>
      <w:r w:rsidR="00DF1963">
        <w:rPr>
          <w:color w:val="222222"/>
        </w:rPr>
        <w:fldChar w:fldCharType="separate"/>
      </w:r>
      <w:r w:rsidR="00DF1963">
        <w:rPr>
          <w:noProof/>
          <w:color w:val="222222"/>
        </w:rPr>
        <w:t>(Huang, 2024)</w:t>
      </w:r>
      <w:r w:rsidR="00DF1963">
        <w:rPr>
          <w:color w:val="222222"/>
        </w:rPr>
        <w:fldChar w:fldCharType="end"/>
      </w:r>
      <w:r w:rsidR="004903C3" w:rsidRPr="004903C3">
        <w:rPr>
          <w:color w:val="222222"/>
        </w:rPr>
        <w:t>.</w:t>
      </w:r>
      <w:r w:rsidR="004903C3">
        <w:rPr>
          <w:color w:val="222222"/>
        </w:rPr>
        <w:t xml:space="preserve"> </w:t>
      </w:r>
      <w:r w:rsidR="00D53A7F">
        <w:rPr>
          <w:color w:val="222222"/>
        </w:rPr>
        <w:t xml:space="preserve">One specific suggestion is to </w:t>
      </w:r>
      <w:r w:rsidR="00D75F21">
        <w:rPr>
          <w:color w:val="222222"/>
        </w:rPr>
        <w:t>recognize and accommodate</w:t>
      </w:r>
      <w:r w:rsidR="00D53A7F">
        <w:rPr>
          <w:color w:val="222222"/>
        </w:rPr>
        <w:t xml:space="preserve"> the ways that safety is conceptualized by minority racial groups. </w:t>
      </w:r>
      <w:r w:rsidR="004903C3">
        <w:rPr>
          <w:color w:val="222222"/>
        </w:rPr>
        <w:t>A</w:t>
      </w:r>
      <w:r w:rsidR="00D53A7F" w:rsidRPr="00D53A7F">
        <w:rPr>
          <w:color w:val="222222"/>
        </w:rPr>
        <w:t xml:space="preserve">lthough security and policing </w:t>
      </w:r>
      <w:r w:rsidR="00E67325">
        <w:rPr>
          <w:color w:val="222222"/>
        </w:rPr>
        <w:t>have been</w:t>
      </w:r>
      <w:r w:rsidR="00D53A7F" w:rsidRPr="00D53A7F">
        <w:rPr>
          <w:color w:val="222222"/>
        </w:rPr>
        <w:t xml:space="preserve"> mentioned </w:t>
      </w:r>
      <w:r w:rsidR="00E67325">
        <w:rPr>
          <w:color w:val="222222"/>
        </w:rPr>
        <w:t xml:space="preserve">earlier </w:t>
      </w:r>
      <w:r w:rsidR="00D53A7F" w:rsidRPr="00D53A7F">
        <w:rPr>
          <w:color w:val="222222"/>
        </w:rPr>
        <w:t>as a possible mechanism to reduce harassment on public tran</w:t>
      </w:r>
      <w:r w:rsidR="00607713">
        <w:rPr>
          <w:color w:val="222222"/>
        </w:rPr>
        <w:t>sportation</w:t>
      </w:r>
      <w:r w:rsidR="00E67325">
        <w:rPr>
          <w:color w:val="222222"/>
        </w:rPr>
        <w:t xml:space="preserve"> for women</w:t>
      </w:r>
      <w:r w:rsidR="00D53A7F" w:rsidRPr="00D53A7F">
        <w:rPr>
          <w:color w:val="222222"/>
        </w:rPr>
        <w:t xml:space="preserve">, </w:t>
      </w:r>
      <w:r w:rsidR="00607713">
        <w:rPr>
          <w:color w:val="222222"/>
        </w:rPr>
        <w:t>t</w:t>
      </w:r>
      <w:r w:rsidR="00D53A7F" w:rsidRPr="00D53A7F">
        <w:rPr>
          <w:color w:val="222222"/>
        </w:rPr>
        <w:t>here is significant evidence th</w:t>
      </w:r>
      <w:r w:rsidR="00607713">
        <w:rPr>
          <w:color w:val="222222"/>
        </w:rPr>
        <w:t>at</w:t>
      </w:r>
      <w:r w:rsidR="00D53A7F" w:rsidRPr="00D53A7F">
        <w:rPr>
          <w:color w:val="222222"/>
        </w:rPr>
        <w:t xml:space="preserve"> widespread policing can alienate and cause increased safety concerns for many minority racial groups</w:t>
      </w:r>
      <w:r w:rsidR="00DF1963">
        <w:rPr>
          <w:color w:val="222222"/>
        </w:rPr>
        <w:t xml:space="preserve"> </w:t>
      </w:r>
      <w:r w:rsidR="00DF1963">
        <w:rPr>
          <w:color w:val="222222"/>
        </w:rPr>
        <w:fldChar w:fldCharType="begin"/>
      </w:r>
      <w:r w:rsidR="005C565E">
        <w:rPr>
          <w:color w:val="222222"/>
        </w:rPr>
        <w:instrText xml:space="preserve"> ADDIN ZOTERO_ITEM CSL_CITATION {"citationID":"2OUDXWkN","properties":{"formattedCitation":"(He et al., 2022)","plainCitation":"(He et al., 2022)","noteIndex":0},"citationItems":[{"id":38,"uris":["http://zotero.org/groups/5345474/items/WPRRIT7T"],"itemData":{"id":38,"type":"article-journal","abstract":"The Covid-19 pandemic has decimated public transit service across the United States and caused significant decreases in ridership. Little is known about the reasons for unevenness in pandemic-era mode shifts and the impacts of pandemic-related transit reductions on riders’ day-to-day lives. Using a national survey of U.S. transit riders (n = 500) conducted in fall 2020, this study examines changes in transit use since the pandemic began, the reasons for transit reductions, and the effects of reduced transit use and transit service on transit riders’ ability to meet their travel needs. The Covid-19 pandemic has exacerbated existing transportation burdens for those who have limited mobility options, those facing socioeconomic challenges, Hispanic or Latinx riders, and female, non-binary or genderqueer people. We close with recommendations for strengthening transit service for these groups in the long term as we recover from the pandemic.","container-title":"Transportation Research Part D: Transport and Environment","DOI":"10.1016/j.trd.2022.103217","ISSN":"1361-9209","journalAbbreviation":"Transportation Research Part D: Transport and Environment","page":"103217","source":"ScienceDirect","title":"Covid-19 pandemic impacts on essential transit riders: Findings from a U.S. Survey","title-short":"Covid-19 pandemic impacts on essential transit riders","URL":"https://www.sciencedirect.com/science/article/pii/S1361920922000475","volume":"105","author":[{"family":"He","given":"Qian"},{"family":"Rowangould","given":"Dana"},{"family":"Karner","given":"Alex"},{"family":"Palm","given":"Matthew"},{"family":"LaRue","given":"Seth"}],"accessed":{"date-parts":[["2024",1,17]]},"issued":{"date-parts":[["2022",4,1]]}}}],"schema":"https://github.com/citation-style-language/schema/raw/master/csl-citation.json"} </w:instrText>
      </w:r>
      <w:r w:rsidR="00DF1963">
        <w:rPr>
          <w:color w:val="222222"/>
        </w:rPr>
        <w:fldChar w:fldCharType="separate"/>
      </w:r>
      <w:r w:rsidR="00DF1963">
        <w:rPr>
          <w:noProof/>
          <w:color w:val="222222"/>
        </w:rPr>
        <w:t>(He et al., 2022)</w:t>
      </w:r>
      <w:r w:rsidR="00DF1963">
        <w:rPr>
          <w:color w:val="222222"/>
        </w:rPr>
        <w:fldChar w:fldCharType="end"/>
      </w:r>
      <w:r w:rsidR="00DF1963">
        <w:rPr>
          <w:color w:val="222222"/>
        </w:rPr>
        <w:t xml:space="preserve">. </w:t>
      </w:r>
      <w:r w:rsidR="00CD466C">
        <w:rPr>
          <w:color w:val="222222"/>
        </w:rPr>
        <w:t>This is not without reason</w:t>
      </w:r>
      <w:r w:rsidR="00D75F21">
        <w:rPr>
          <w:color w:val="222222"/>
        </w:rPr>
        <w:t xml:space="preserve">; </w:t>
      </w:r>
      <w:r w:rsidR="00F142DB">
        <w:rPr>
          <w:color w:val="222222"/>
        </w:rPr>
        <w:t xml:space="preserve">Black riders </w:t>
      </w:r>
      <w:r w:rsidR="00D75F21">
        <w:rPr>
          <w:color w:val="222222"/>
        </w:rPr>
        <w:t xml:space="preserve">are </w:t>
      </w:r>
      <w:r w:rsidR="00F142DB">
        <w:rPr>
          <w:color w:val="222222"/>
        </w:rPr>
        <w:t xml:space="preserve">stopped more often than white riders, </w:t>
      </w:r>
      <w:r w:rsidR="00D75F21">
        <w:rPr>
          <w:color w:val="222222"/>
        </w:rPr>
        <w:t xml:space="preserve">are </w:t>
      </w:r>
      <w:r w:rsidR="00F142DB">
        <w:rPr>
          <w:color w:val="222222"/>
        </w:rPr>
        <w:t>overrepresented in “code of conduct” violation citations</w:t>
      </w:r>
      <w:r w:rsidR="00D75F21">
        <w:rPr>
          <w:color w:val="222222"/>
        </w:rPr>
        <w:t xml:space="preserve"> when on transit vehicles</w:t>
      </w:r>
      <w:r w:rsidR="00F142DB">
        <w:rPr>
          <w:color w:val="222222"/>
        </w:rPr>
        <w:t>, and, not infrequently, even violently attacked by police for the simplest of infractions</w:t>
      </w:r>
      <w:r w:rsidR="00F75B67">
        <w:rPr>
          <w:color w:val="222222"/>
        </w:rPr>
        <w:t xml:space="preserve"> </w:t>
      </w:r>
      <w:r w:rsidR="00F75B67">
        <w:rPr>
          <w:color w:val="222222"/>
        </w:rPr>
        <w:fldChar w:fldCharType="begin"/>
      </w:r>
      <w:r w:rsidR="005C565E">
        <w:rPr>
          <w:color w:val="222222"/>
        </w:rPr>
        <w:instrText xml:space="preserve"> ADDIN ZOTERO_ITEM CSL_CITATION {"citationID":"gGDEPPMO","properties":{"formattedCitation":"(Spieler, 2020)","plainCitation":"(Spieler, 2020)","noteIndex":0},"citationItems":[{"id":337,"uris":["http://zotero.org/groups/5345474/items/N5VK8U7C"],"itemData":{"id":337,"type":"webpage","container-title":"Kinder Institute for Urban Research | Rice University","language":"en","title":"Racism has shaped public transit, and it’s riddled with inequities | Kinder Institute for Urban Research","URL":"https://kinder.rice.edu/urbanedge/racism-has-shaped-public-transit-and-its-riddled-inequities","author":[{"family":"Spieler","given":"Christof"}],"accessed":{"date-parts":[["2024",6,7]]},"issued":{"date-parts":[["2020",8,24]]}}}],"schema":"https://github.com/citation-style-language/schema/raw/master/csl-citation.json"} </w:instrText>
      </w:r>
      <w:r w:rsidR="00F75B67">
        <w:rPr>
          <w:color w:val="222222"/>
        </w:rPr>
        <w:fldChar w:fldCharType="separate"/>
      </w:r>
      <w:r w:rsidR="00F75B67">
        <w:rPr>
          <w:noProof/>
          <w:color w:val="222222"/>
        </w:rPr>
        <w:t>(Spieler, 2020)</w:t>
      </w:r>
      <w:r w:rsidR="00F75B67">
        <w:rPr>
          <w:color w:val="222222"/>
        </w:rPr>
        <w:fldChar w:fldCharType="end"/>
      </w:r>
      <w:r w:rsidR="00F142DB">
        <w:rPr>
          <w:color w:val="222222"/>
        </w:rPr>
        <w:t xml:space="preserve">. As Spieler (2020) puts it, </w:t>
      </w:r>
      <w:r w:rsidR="00812CF4">
        <w:rPr>
          <w:color w:val="222222"/>
        </w:rPr>
        <w:t xml:space="preserve">“White riders are likely to see a police officer on a train as a comforting presence, while many Black riders justifiably will perceive them as a potential threat.” In this context, and as </w:t>
      </w:r>
      <w:r w:rsidR="007341E1">
        <w:rPr>
          <w:color w:val="222222"/>
        </w:rPr>
        <w:t xml:space="preserve">we </w:t>
      </w:r>
      <w:r w:rsidR="00812CF4">
        <w:rPr>
          <w:color w:val="222222"/>
        </w:rPr>
        <w:t xml:space="preserve">come out of the pandemic, there is a golden opportunity to, among other changes, (a) acknowledge and address head-on structural racism elements deeply embedded in PT route, schedule, comfort, fare, and policing considerations, (b) co-design PT offerings collaboratively with communities and end-users by “going to end-users”, rather than simply </w:t>
      </w:r>
      <w:r w:rsidR="00812CF4">
        <w:rPr>
          <w:color w:val="222222"/>
        </w:rPr>
        <w:lastRenderedPageBreak/>
        <w:t>holding public meetings and expecting the diversity of the public to show up for input, and (c) ensure that PT leadership teams represent the diversity of riders and society at large.</w:t>
      </w:r>
    </w:p>
    <w:p w14:paraId="3BCB0677" w14:textId="77777777" w:rsidR="000F6BE9" w:rsidRDefault="000F6BE9" w:rsidP="00C67E12">
      <w:pPr>
        <w:jc w:val="both"/>
        <w:rPr>
          <w:b/>
          <w:bCs/>
          <w:color w:val="222222"/>
        </w:rPr>
      </w:pPr>
    </w:p>
    <w:p w14:paraId="1875B74E" w14:textId="56FAA10D" w:rsidR="00821BAC" w:rsidRDefault="00821BAC" w:rsidP="00C67E12">
      <w:pPr>
        <w:jc w:val="both"/>
        <w:rPr>
          <w:b/>
          <w:bCs/>
          <w:color w:val="222222"/>
        </w:rPr>
      </w:pPr>
      <w:r>
        <w:rPr>
          <w:b/>
          <w:bCs/>
          <w:color w:val="222222"/>
        </w:rPr>
        <w:t>5.</w:t>
      </w:r>
      <w:r w:rsidR="000F6BE9">
        <w:rPr>
          <w:b/>
          <w:bCs/>
          <w:color w:val="222222"/>
        </w:rPr>
        <w:t>4</w:t>
      </w:r>
      <w:r>
        <w:rPr>
          <w:b/>
          <w:bCs/>
          <w:color w:val="222222"/>
        </w:rPr>
        <w:t xml:space="preserve"> </w:t>
      </w:r>
      <w:r w:rsidR="00D85696">
        <w:rPr>
          <w:b/>
          <w:bCs/>
          <w:color w:val="222222"/>
        </w:rPr>
        <w:t xml:space="preserve">Individuals with Fewer Travel Mode Options </w:t>
      </w:r>
      <w:r w:rsidR="008840DB">
        <w:rPr>
          <w:b/>
          <w:bCs/>
          <w:color w:val="222222"/>
        </w:rPr>
        <w:t xml:space="preserve">and </w:t>
      </w:r>
      <w:r w:rsidR="00D85696">
        <w:rPr>
          <w:b/>
          <w:bCs/>
          <w:color w:val="222222"/>
        </w:rPr>
        <w:t xml:space="preserve">PT </w:t>
      </w:r>
      <w:r w:rsidR="008840DB">
        <w:rPr>
          <w:b/>
          <w:bCs/>
          <w:color w:val="222222"/>
        </w:rPr>
        <w:t>Use</w:t>
      </w:r>
    </w:p>
    <w:p w14:paraId="63ABDC03" w14:textId="53AF7C1B" w:rsidR="00DD3CF0" w:rsidRDefault="002B639A" w:rsidP="00C67E12">
      <w:pPr>
        <w:jc w:val="both"/>
        <w:rPr>
          <w:color w:val="222222"/>
        </w:rPr>
      </w:pPr>
      <w:r w:rsidRPr="000F6BE9">
        <w:rPr>
          <w:color w:val="222222"/>
        </w:rPr>
        <w:t>Individuals</w:t>
      </w:r>
      <w:r w:rsidR="000F6BE9" w:rsidRPr="000F6BE9">
        <w:rPr>
          <w:color w:val="222222"/>
        </w:rPr>
        <w:t xml:space="preserve"> </w:t>
      </w:r>
      <w:r w:rsidR="00DD3CF0">
        <w:rPr>
          <w:color w:val="222222"/>
        </w:rPr>
        <w:t>without driver’s licenses</w:t>
      </w:r>
      <w:r w:rsidR="000F6BE9" w:rsidRPr="000F6BE9">
        <w:rPr>
          <w:color w:val="222222"/>
        </w:rPr>
        <w:t xml:space="preserve"> and those </w:t>
      </w:r>
      <w:r>
        <w:rPr>
          <w:color w:val="222222"/>
        </w:rPr>
        <w:t xml:space="preserve">who live in households with fewer vehicles than adults </w:t>
      </w:r>
      <w:r w:rsidR="00D85696">
        <w:rPr>
          <w:color w:val="222222"/>
        </w:rPr>
        <w:t xml:space="preserve">are </w:t>
      </w:r>
      <w:r w:rsidR="007341E1">
        <w:rPr>
          <w:color w:val="222222"/>
        </w:rPr>
        <w:t xml:space="preserve">generally </w:t>
      </w:r>
      <w:r>
        <w:rPr>
          <w:color w:val="222222"/>
        </w:rPr>
        <w:t>more likely than others</w:t>
      </w:r>
      <w:r w:rsidR="000F6BE9" w:rsidRPr="000F6BE9">
        <w:rPr>
          <w:color w:val="222222"/>
        </w:rPr>
        <w:t xml:space="preserve"> to take transit more often than before the pandemic. </w:t>
      </w:r>
      <w:r w:rsidR="00D85696">
        <w:rPr>
          <w:color w:val="222222"/>
        </w:rPr>
        <w:t>Interestingly,</w:t>
      </w:r>
      <w:r w:rsidR="00A84162">
        <w:rPr>
          <w:color w:val="222222"/>
        </w:rPr>
        <w:t xml:space="preserve"> these </w:t>
      </w:r>
      <w:r>
        <w:rPr>
          <w:color w:val="222222"/>
        </w:rPr>
        <w:t>individual</w:t>
      </w:r>
      <w:r w:rsidR="00A84162">
        <w:rPr>
          <w:color w:val="222222"/>
        </w:rPr>
        <w:t xml:space="preserve">s also view the change as being permanent. </w:t>
      </w:r>
      <w:r w:rsidR="00DD3CF0">
        <w:rPr>
          <w:color w:val="222222"/>
        </w:rPr>
        <w:t>This increasing reliance on PT among those with vehicle constraints is an important</w:t>
      </w:r>
      <w:r w:rsidR="000F6BE9" w:rsidRPr="000F6BE9">
        <w:rPr>
          <w:color w:val="222222"/>
        </w:rPr>
        <w:t xml:space="preserve"> area of focus</w:t>
      </w:r>
      <w:r>
        <w:rPr>
          <w:color w:val="222222"/>
        </w:rPr>
        <w:t xml:space="preserve"> for public transportation planners. </w:t>
      </w:r>
      <w:r w:rsidR="007341E1">
        <w:rPr>
          <w:color w:val="222222"/>
        </w:rPr>
        <w:t xml:space="preserve">At the same time, some of these </w:t>
      </w:r>
      <w:r w:rsidR="00DD3CF0">
        <w:rPr>
          <w:color w:val="222222"/>
        </w:rPr>
        <w:t>vehicle</w:t>
      </w:r>
      <w:r w:rsidR="007341E1">
        <w:rPr>
          <w:color w:val="222222"/>
        </w:rPr>
        <w:t>-</w:t>
      </w:r>
      <w:r w:rsidR="00DD3CF0">
        <w:rPr>
          <w:color w:val="222222"/>
        </w:rPr>
        <w:t>constrain</w:t>
      </w:r>
      <w:r w:rsidR="007341E1">
        <w:rPr>
          <w:color w:val="222222"/>
        </w:rPr>
        <w:t xml:space="preserve">ed individuals also reveal </w:t>
      </w:r>
      <w:r w:rsidR="00CE50E6">
        <w:rPr>
          <w:color w:val="222222"/>
        </w:rPr>
        <w:t>declines in PT use</w:t>
      </w:r>
      <w:r w:rsidR="007341E1">
        <w:rPr>
          <w:color w:val="222222"/>
        </w:rPr>
        <w:t xml:space="preserve">, which they again identify as </w:t>
      </w:r>
      <w:r w:rsidR="00CE50E6">
        <w:rPr>
          <w:color w:val="222222"/>
        </w:rPr>
        <w:t>be</w:t>
      </w:r>
      <w:r w:rsidR="007341E1">
        <w:rPr>
          <w:color w:val="222222"/>
        </w:rPr>
        <w:t>ing</w:t>
      </w:r>
      <w:r w:rsidR="00CE50E6">
        <w:rPr>
          <w:color w:val="222222"/>
        </w:rPr>
        <w:t xml:space="preserve"> permanent</w:t>
      </w:r>
      <w:r w:rsidR="007341E1">
        <w:rPr>
          <w:color w:val="222222"/>
        </w:rPr>
        <w:t xml:space="preserve">. It is possible that </w:t>
      </w:r>
      <w:r w:rsidR="00DD3CF0">
        <w:rPr>
          <w:color w:val="222222"/>
        </w:rPr>
        <w:t xml:space="preserve">PT </w:t>
      </w:r>
      <w:r w:rsidR="007341E1">
        <w:rPr>
          <w:color w:val="222222"/>
        </w:rPr>
        <w:t xml:space="preserve">service cutbacks </w:t>
      </w:r>
      <w:r w:rsidR="00DD3CF0">
        <w:rPr>
          <w:color w:val="222222"/>
        </w:rPr>
        <w:t xml:space="preserve">during the pandemic may have required much larger lifestyle changes for those with mobility constraints </w:t>
      </w:r>
      <w:r w:rsidR="00642A29">
        <w:rPr>
          <w:color w:val="222222"/>
        </w:rPr>
        <w:t xml:space="preserve">compared to </w:t>
      </w:r>
      <w:r w:rsidR="00DD3CF0">
        <w:rPr>
          <w:color w:val="222222"/>
        </w:rPr>
        <w:t xml:space="preserve">those with more readily available alternatives. This </w:t>
      </w:r>
      <w:r w:rsidR="007341E1">
        <w:rPr>
          <w:color w:val="222222"/>
        </w:rPr>
        <w:t xml:space="preserve">is a plausible </w:t>
      </w:r>
      <w:r w:rsidR="00DD3CF0">
        <w:rPr>
          <w:color w:val="222222"/>
        </w:rPr>
        <w:t>expla</w:t>
      </w:r>
      <w:r w:rsidR="007341E1">
        <w:rPr>
          <w:color w:val="222222"/>
        </w:rPr>
        <w:t xml:space="preserve">nation for </w:t>
      </w:r>
      <w:r w:rsidR="00DD3CF0">
        <w:rPr>
          <w:color w:val="222222"/>
        </w:rPr>
        <w:t>why</w:t>
      </w:r>
      <w:r w:rsidR="00DB618C">
        <w:rPr>
          <w:color w:val="222222"/>
        </w:rPr>
        <w:t xml:space="preserve">, while </w:t>
      </w:r>
      <w:r w:rsidR="00DD3CF0">
        <w:rPr>
          <w:color w:val="222222"/>
        </w:rPr>
        <w:t xml:space="preserve">some </w:t>
      </w:r>
      <w:r w:rsidR="00DB618C">
        <w:rPr>
          <w:color w:val="222222"/>
        </w:rPr>
        <w:t xml:space="preserve">mobility-constrained individuals </w:t>
      </w:r>
      <w:r w:rsidR="00DD3CF0">
        <w:rPr>
          <w:color w:val="222222"/>
        </w:rPr>
        <w:t>became more reliant on transit during the pandemic</w:t>
      </w:r>
      <w:r w:rsidR="00DB618C">
        <w:rPr>
          <w:color w:val="222222"/>
        </w:rPr>
        <w:t>, others had little choice but to lower their PT dependency</w:t>
      </w:r>
      <w:r w:rsidR="00DD3CF0">
        <w:rPr>
          <w:color w:val="222222"/>
        </w:rPr>
        <w:t xml:space="preserve">. </w:t>
      </w:r>
      <w:r w:rsidR="009C16B1">
        <w:rPr>
          <w:color w:val="222222"/>
        </w:rPr>
        <w:t>Accordingly</w:t>
      </w:r>
      <w:r w:rsidR="00DD3CF0">
        <w:rPr>
          <w:color w:val="222222"/>
        </w:rPr>
        <w:t xml:space="preserve">, it is important for transit agencies to carefully consider the needs of these </w:t>
      </w:r>
      <w:r w:rsidR="00DB618C">
        <w:rPr>
          <w:color w:val="222222"/>
        </w:rPr>
        <w:t xml:space="preserve">mobility-constrained </w:t>
      </w:r>
      <w:r w:rsidR="00DD3CF0">
        <w:rPr>
          <w:color w:val="222222"/>
        </w:rPr>
        <w:t xml:space="preserve">riders and ensure </w:t>
      </w:r>
      <w:r w:rsidR="00642A29">
        <w:rPr>
          <w:color w:val="222222"/>
        </w:rPr>
        <w:t xml:space="preserve">the continuation of providing </w:t>
      </w:r>
      <w:r w:rsidR="00DD3CF0">
        <w:rPr>
          <w:color w:val="222222"/>
        </w:rPr>
        <w:t xml:space="preserve">services </w:t>
      </w:r>
      <w:r w:rsidR="00642A29">
        <w:rPr>
          <w:color w:val="222222"/>
        </w:rPr>
        <w:t>to</w:t>
      </w:r>
      <w:r w:rsidR="00DD3CF0">
        <w:rPr>
          <w:color w:val="222222"/>
        </w:rPr>
        <w:t xml:space="preserve"> meet their needs. </w:t>
      </w:r>
      <w:r w:rsidR="00DD3CF0" w:rsidRPr="00DC6BCF">
        <w:rPr>
          <w:color w:val="222222"/>
        </w:rPr>
        <w:t xml:space="preserve">Taking steps to collaborate with employers to develop flextime and staggered work schedules, </w:t>
      </w:r>
      <w:r w:rsidR="00DD3CF0">
        <w:rPr>
          <w:color w:val="222222"/>
        </w:rPr>
        <w:t xml:space="preserve">as well as </w:t>
      </w:r>
      <w:r w:rsidR="00DD3CF0" w:rsidRPr="00DC6BCF">
        <w:rPr>
          <w:color w:val="222222"/>
        </w:rPr>
        <w:t>reducing overcrowding and provide more travel schedule flexibility</w:t>
      </w:r>
      <w:r w:rsidR="00DB618C">
        <w:rPr>
          <w:color w:val="222222"/>
        </w:rPr>
        <w:t>,</w:t>
      </w:r>
      <w:r w:rsidR="00DD3CF0" w:rsidRPr="00DC6BCF">
        <w:rPr>
          <w:color w:val="222222"/>
        </w:rPr>
        <w:t xml:space="preserve"> will likely help keep transit attractive for those who have made pandemic-era increases in their ridership </w:t>
      </w:r>
      <w:r w:rsidR="003C7F81">
        <w:rPr>
          <w:color w:val="222222"/>
        </w:rPr>
        <w:fldChar w:fldCharType="begin"/>
      </w:r>
      <w:r w:rsidR="005C565E">
        <w:rPr>
          <w:color w:val="222222"/>
        </w:rPr>
        <w:instrText xml:space="preserve"> ADDIN ZOTERO_ITEM CSL_CITATION {"citationID":"WAF2uls7","properties":{"formattedCitation":"(Kapatsila, Bogdan, 2024)","plainCitation":"(Kapatsila, Bogdan, 2024)","noteIndex":0},"citationItems":[{"id":221,"uris":["http://zotero.org/groups/5345474/items/IR2EY29C"],"itemData":{"id":221,"type":"article-journal","abstract":"Transit crowding results in negative experiences and mode change for transit riders and operational challenges for operators. The COVID-19 pandemic in…","container-title":"Transport Reviews","DOI":"10.1080/01441647.2024.2349751","ISSN":"0144-1647","language":"en-US","source":"www.sciencedirect.com","title":"What makes public transit demand management programmes successful? A systematic review of ex-post evidence","title-short":"What makes public transit demand management programmes successful?","URL":"https://www.sciencedirect.com/org/science/article/abs/pii/S014416472400014X","author":[{"family":"Kapatsila, Bogdan","given":"Grisé","suffix":"Emily"}],"accessed":{"date-parts":[["2024",5,9]]},"issued":{"date-parts":[["2024",5,9]]}}}],"schema":"https://github.com/citation-style-language/schema/raw/master/csl-citation.json"} </w:instrText>
      </w:r>
      <w:r w:rsidR="003C7F81">
        <w:rPr>
          <w:color w:val="222222"/>
        </w:rPr>
        <w:fldChar w:fldCharType="separate"/>
      </w:r>
      <w:r w:rsidR="003C7F81">
        <w:rPr>
          <w:noProof/>
          <w:color w:val="222222"/>
        </w:rPr>
        <w:t>(Kapatsila, Bogdan, 2024)</w:t>
      </w:r>
      <w:r w:rsidR="003C7F81">
        <w:rPr>
          <w:color w:val="222222"/>
        </w:rPr>
        <w:fldChar w:fldCharType="end"/>
      </w:r>
      <w:r w:rsidR="003C7F81">
        <w:rPr>
          <w:color w:val="222222"/>
        </w:rPr>
        <w:t xml:space="preserve"> </w:t>
      </w:r>
      <w:r w:rsidR="00DB618C">
        <w:rPr>
          <w:color w:val="222222"/>
        </w:rPr>
        <w:t xml:space="preserve">as well as recapture the ridership of those who reduced their PT dependency in the after-COVID period. </w:t>
      </w:r>
      <w:r w:rsidR="009C16B1">
        <w:rPr>
          <w:color w:val="222222"/>
        </w:rPr>
        <w:t>T</w:t>
      </w:r>
      <w:r w:rsidR="00857681">
        <w:rPr>
          <w:color w:val="222222"/>
        </w:rPr>
        <w:t xml:space="preserve">his includes </w:t>
      </w:r>
      <w:r w:rsidR="00857681" w:rsidRPr="00315324">
        <w:rPr>
          <w:color w:val="222222"/>
        </w:rPr>
        <w:t xml:space="preserve">emphasizing the impacts </w:t>
      </w:r>
      <w:r w:rsidR="00857681">
        <w:rPr>
          <w:color w:val="222222"/>
        </w:rPr>
        <w:t>of PT on</w:t>
      </w:r>
      <w:r w:rsidR="00857681" w:rsidRPr="00315324">
        <w:rPr>
          <w:color w:val="222222"/>
        </w:rPr>
        <w:t xml:space="preserve"> environmental consequences, equity, and congestion</w:t>
      </w:r>
      <w:r w:rsidR="00857681">
        <w:rPr>
          <w:color w:val="222222"/>
        </w:rPr>
        <w:t xml:space="preserve"> </w:t>
      </w:r>
      <w:r w:rsidR="00857681">
        <w:rPr>
          <w:color w:val="222222"/>
        </w:rPr>
        <w:fldChar w:fldCharType="begin"/>
      </w:r>
      <w:r w:rsidR="005C565E">
        <w:rPr>
          <w:color w:val="222222"/>
        </w:rPr>
        <w:instrText xml:space="preserve"> ADDIN ZOTERO_ITEM CSL_CITATION {"citationID":"kxcIX82B","properties":{"formattedCitation":"(Beaudoin et al., 2015)","plainCitation":"(Beaudoin et al., 2015)","noteIndex":0},"citationItems":[{"id":211,"uris":["http://zotero.org/groups/5345474/items/9UDNW2IZ"],"itemData":{"id":211,"type":"article-journal","abstract":"In this paper we provide a framework for evaluating public transit investment, taking account of the effects of transit investment on traffic congestion and air quality. We discuss how to assess the sustainability of transit investment and the mechanisms through which public transit investment can affect equilibrium auto travel volumes and the associated congestion and air quality outcomes. Several related issues are addressed: the differences between short-run and long-run equilibria; the role of regional heterogeneity; regulatory and policy considerations; and the potential endogeneity of transit investment when conducting empirical analyses. As the transportation policy landscape evolves and technological advancements continue, a complete evaluation of the social benefits of transit investment is essential both for allocating investment funds and for designing policies that result in an efficient level of investment and travel in the long run. Does the existing evidence bolster public transit's ‘green’ reputation? Reviewing the recent empirical literature, it appears that transit can both reduce congestion and improve air quality, but the magnitudes of these benefits are uncertain and may be specific to each location.","collection-title":"Sustainable Transportation","container-title":"Research in Transportation Economics","DOI":"10.1016/j.retrec.2015.10.004","ISSN":"0739-8859","journalAbbreviation":"Research in Transportation Economics","page":"15-22","source":"ScienceDirect","title":"Public transit investment and sustainable transportation: A review of studies of transit's impact on traffic congestion and air quality","title-short":"Public transit investment and sustainable transportation","URL":"https://www.sciencedirect.com/science/article/pii/S0739885915000487","volume":"52","author":[{"family":"Beaudoin","given":"Justin"},{"family":"Farzin","given":"Y. Hossein"},{"family":"Lin Lawell","given":"C. -Y. Cynthia"}],"accessed":{"date-parts":[["2024",5,8]]},"issued":{"date-parts":[["2015",10,1]]}}}],"schema":"https://github.com/citation-style-language/schema/raw/master/csl-citation.json"} </w:instrText>
      </w:r>
      <w:r w:rsidR="00857681">
        <w:rPr>
          <w:color w:val="222222"/>
        </w:rPr>
        <w:fldChar w:fldCharType="separate"/>
      </w:r>
      <w:r w:rsidR="00857681" w:rsidRPr="00857681">
        <w:t>(Beaudoin et al., 2015)</w:t>
      </w:r>
      <w:r w:rsidR="00857681">
        <w:rPr>
          <w:color w:val="222222"/>
        </w:rPr>
        <w:fldChar w:fldCharType="end"/>
      </w:r>
      <w:r w:rsidR="00857681" w:rsidRPr="00315324">
        <w:rPr>
          <w:color w:val="222222"/>
        </w:rPr>
        <w:t xml:space="preserve">. </w:t>
      </w:r>
      <w:r w:rsidR="00857681">
        <w:rPr>
          <w:color w:val="222222"/>
        </w:rPr>
        <w:t>Since these riders were PT users in the past, awareness campaigns directly targeted at recovering riders may be effective</w:t>
      </w:r>
      <w:r w:rsidR="00642A29">
        <w:rPr>
          <w:color w:val="222222"/>
        </w:rPr>
        <w:t xml:space="preserve">. For instance, </w:t>
      </w:r>
      <w:r w:rsidR="00857681" w:rsidRPr="00315324">
        <w:rPr>
          <w:color w:val="222222"/>
        </w:rPr>
        <w:t>providing more awareness of the congestion reductions caused by public transit</w:t>
      </w:r>
      <w:r w:rsidR="00857681">
        <w:rPr>
          <w:color w:val="222222"/>
        </w:rPr>
        <w:t xml:space="preserve"> may attract those who have growing preferences for sustainable travel choices since the pandemic </w:t>
      </w:r>
      <w:r w:rsidR="00857681">
        <w:rPr>
          <w:color w:val="222222"/>
        </w:rPr>
        <w:fldChar w:fldCharType="begin"/>
      </w:r>
      <w:r w:rsidR="005C565E">
        <w:rPr>
          <w:color w:val="222222"/>
        </w:rPr>
        <w:instrText xml:space="preserve"> ADDIN ZOTERO_ITEM CSL_CITATION {"citationID":"55XgwnDn","properties":{"formattedCitation":"(Anwar et al., 2023)","plainCitation":"(Anwar et al., 2023)","dontUpdate":true,"noteIndex":0},"citationItems":[{"id":159,"uris":["http://zotero.org/groups/5345474/items/N86N23U7"],"itemData":{"id":159,"type":"article-journal","abstract":"Irrefutable evidence attributes environmental challenges, such as air and noise pollution, to unsustainable transportation, especially in urban settings. In this context, urban public transport is a sustainable mobility system with ecological benefits. However, limited research focuses on understanding the factors that promote urban public transport adoption in the face of disruptive events, such as the COVID-19 pandemic. This study integrates the push-pull-mooring (PPM) model and institutional theory to examine urban commuters' intentions to switch to urban public transport in the post-COVID-19 era. This study is the first to investigate the trade-offs consumers perceive between green actions and personal health protection in the COVID-19 context. Our results indicate that regulative and normative environments, public transport's economic viability and commuters’ pro-environmental concerns and identities significantly influence their intentions to switch to public transportation. Furthermore, hygiene concerns and choice uncertainty partially moderate the tested associations. The study thus provides unique insights into the nuances of individual decision-making regarding public transport use. Leveraging our findings, we present implications for theory and practice. We also offer a possible framework for classifying consumers of green urban public transport, which can be used to create targeted communication to encourage commuters to switch to routine public transport use for sustainability and environmental protection.","container-title":"Journal of Business Research","DOI":"10.1016/j.jbusres.2022.113442","ISSN":"0148-2963","journalAbbreviation":"Journal of Business Research","page":"113442","source":"ScienceDirect","title":"Unconventional green transport innovations in the post-COVID-19 era. A trade-off between green actions and personal health protection","URL":"https://www.sciencedirect.com/science/article/pii/S0148296322009079","volume":"155","author":[{"family":"Anwar","given":"Muhammad Azfar"},{"family":"Dhir","given":"Amandeep"},{"family":"Jabeen","given":"Fauzia"},{"family":"Zhang","given":"Qingyu"},{"family":"Siddiquei","given":"Ahmad Nabeel"}],"accessed":{"date-parts":[["2024",3,27]]},"issued":{"date-parts":[["2023",1,1]]}}}],"schema":"https://github.com/citation-style-language/schema/raw/master/csl-citation.json"} </w:instrText>
      </w:r>
      <w:r w:rsidR="00857681">
        <w:rPr>
          <w:color w:val="222222"/>
        </w:rPr>
        <w:fldChar w:fldCharType="separate"/>
      </w:r>
      <w:r w:rsidR="00857681" w:rsidRPr="000F10A8">
        <w:t>(</w:t>
      </w:r>
      <w:r w:rsidR="00857681">
        <w:t xml:space="preserve">see </w:t>
      </w:r>
      <w:r w:rsidR="00857681" w:rsidRPr="000F10A8">
        <w:t>Anwar et al., 2023)</w:t>
      </w:r>
      <w:r w:rsidR="00857681">
        <w:rPr>
          <w:color w:val="222222"/>
        </w:rPr>
        <w:fldChar w:fldCharType="end"/>
      </w:r>
      <w:r w:rsidR="00857681">
        <w:rPr>
          <w:color w:val="222222"/>
        </w:rPr>
        <w:t>.</w:t>
      </w:r>
      <w:r w:rsidR="009826B8">
        <w:rPr>
          <w:color w:val="222222"/>
        </w:rPr>
        <w:t xml:space="preserve"> </w:t>
      </w:r>
      <w:r w:rsidR="009826B8">
        <w:t>Further, given that intention to return to higher levels of PT use are likely to be closely</w:t>
      </w:r>
      <w:r w:rsidR="00B809CD">
        <w:t xml:space="preserve"> associated with</w:t>
      </w:r>
      <w:r w:rsidR="009826B8">
        <w:t xml:space="preserve"> expectations about future PT service provision and quality, PT agencies should </w:t>
      </w:r>
      <w:r w:rsidR="008D7D2D">
        <w:t xml:space="preserve">proactively communicate their plans for service improvements to their </w:t>
      </w:r>
      <w:r w:rsidR="00B146DC">
        <w:t>existing user base</w:t>
      </w:r>
      <w:r w:rsidR="00C56941">
        <w:t xml:space="preserve">. </w:t>
      </w:r>
      <w:r w:rsidR="008D7D2D">
        <w:t>Even individuals who currently view their reduced transit use as</w:t>
      </w:r>
      <w:r w:rsidR="00D957C5">
        <w:t xml:space="preserve"> </w:t>
      </w:r>
      <w:r w:rsidR="008D7D2D">
        <w:t xml:space="preserve">permanent (due to </w:t>
      </w:r>
      <w:r w:rsidR="0032208C">
        <w:t xml:space="preserve">low expectations </w:t>
      </w:r>
      <w:r w:rsidR="008D7D2D">
        <w:t xml:space="preserve">of </w:t>
      </w:r>
      <w:r w:rsidR="0032208C">
        <w:t xml:space="preserve">future service </w:t>
      </w:r>
      <w:r w:rsidR="00EC6942">
        <w:t>provision</w:t>
      </w:r>
      <w:r w:rsidR="008D7D2D">
        <w:t>s) may reconsider if they see clear efforts to restore service quality and reliability</w:t>
      </w:r>
      <w:r w:rsidR="0032208C">
        <w:t xml:space="preserve">. </w:t>
      </w:r>
    </w:p>
    <w:p w14:paraId="29DF8190" w14:textId="77777777" w:rsidR="000F6BE9" w:rsidRPr="000F6BE9" w:rsidRDefault="000F6BE9" w:rsidP="00C67E12">
      <w:pPr>
        <w:jc w:val="both"/>
        <w:rPr>
          <w:color w:val="222222"/>
        </w:rPr>
      </w:pPr>
    </w:p>
    <w:p w14:paraId="51B5C65F" w14:textId="54EC1104" w:rsidR="008840DB" w:rsidRDefault="008840DB" w:rsidP="00C67E12">
      <w:pPr>
        <w:jc w:val="both"/>
        <w:rPr>
          <w:b/>
          <w:bCs/>
          <w:color w:val="222222"/>
        </w:rPr>
      </w:pPr>
      <w:r>
        <w:rPr>
          <w:b/>
          <w:bCs/>
          <w:color w:val="222222"/>
        </w:rPr>
        <w:t>5.</w:t>
      </w:r>
      <w:r w:rsidR="000F6BE9">
        <w:rPr>
          <w:b/>
          <w:bCs/>
          <w:color w:val="222222"/>
        </w:rPr>
        <w:t>5</w:t>
      </w:r>
      <w:r>
        <w:rPr>
          <w:b/>
          <w:bCs/>
          <w:color w:val="222222"/>
        </w:rPr>
        <w:t xml:space="preserve"> Income and Public Transit Use</w:t>
      </w:r>
    </w:p>
    <w:p w14:paraId="1E2EFB03" w14:textId="4D4DB50F" w:rsidR="00C67E12" w:rsidRDefault="006858CB" w:rsidP="00C67E12">
      <w:pPr>
        <w:jc w:val="both"/>
      </w:pPr>
      <w:r>
        <w:rPr>
          <w:color w:val="222222"/>
        </w:rPr>
        <w:t>L</w:t>
      </w:r>
      <w:r w:rsidRPr="000F6BE9">
        <w:rPr>
          <w:color w:val="222222"/>
        </w:rPr>
        <w:t>ow</w:t>
      </w:r>
      <w:r>
        <w:rPr>
          <w:color w:val="222222"/>
        </w:rPr>
        <w:t>-income</w:t>
      </w:r>
      <w:r w:rsidR="000F6BE9" w:rsidRPr="000F6BE9">
        <w:rPr>
          <w:color w:val="222222"/>
        </w:rPr>
        <w:t xml:space="preserve"> households</w:t>
      </w:r>
      <w:r w:rsidR="00DB618C">
        <w:rPr>
          <w:color w:val="222222"/>
        </w:rPr>
        <w:t xml:space="preserve"> (&lt;75K annual income)</w:t>
      </w:r>
      <w:r w:rsidR="000F6BE9" w:rsidRPr="000F6BE9">
        <w:rPr>
          <w:color w:val="222222"/>
        </w:rPr>
        <w:t xml:space="preserve"> are more likely to</w:t>
      </w:r>
      <w:r w:rsidR="00B11E43">
        <w:rPr>
          <w:color w:val="222222"/>
        </w:rPr>
        <w:t xml:space="preserve"> have increased their PT use during the pandemic</w:t>
      </w:r>
      <w:r>
        <w:rPr>
          <w:color w:val="222222"/>
        </w:rPr>
        <w:t>,</w:t>
      </w:r>
      <w:r w:rsidR="00B11E43">
        <w:rPr>
          <w:color w:val="222222"/>
        </w:rPr>
        <w:t xml:space="preserve"> or to be more willing to</w:t>
      </w:r>
      <w:r w:rsidR="000F6BE9" w:rsidRPr="000F6BE9">
        <w:rPr>
          <w:color w:val="222222"/>
        </w:rPr>
        <w:t xml:space="preserve"> return to transit</w:t>
      </w:r>
      <w:r w:rsidR="000C75A8">
        <w:rPr>
          <w:color w:val="222222"/>
        </w:rPr>
        <w:t xml:space="preserve"> in the future</w:t>
      </w:r>
      <w:r w:rsidR="002D638C">
        <w:rPr>
          <w:color w:val="222222"/>
        </w:rPr>
        <w:t xml:space="preserve"> </w:t>
      </w:r>
      <w:r w:rsidR="00D67733">
        <w:rPr>
          <w:color w:val="222222"/>
        </w:rPr>
        <w:t xml:space="preserve">if they </w:t>
      </w:r>
      <w:r>
        <w:rPr>
          <w:color w:val="222222"/>
        </w:rPr>
        <w:t>reduced</w:t>
      </w:r>
      <w:r w:rsidR="00D67733">
        <w:rPr>
          <w:color w:val="222222"/>
        </w:rPr>
        <w:t xml:space="preserve"> their</w:t>
      </w:r>
      <w:r>
        <w:rPr>
          <w:color w:val="222222"/>
        </w:rPr>
        <w:t xml:space="preserve"> PT</w:t>
      </w:r>
      <w:r w:rsidR="00D67733">
        <w:rPr>
          <w:color w:val="222222"/>
        </w:rPr>
        <w:t xml:space="preserve"> use</w:t>
      </w:r>
      <w:r>
        <w:rPr>
          <w:color w:val="222222"/>
        </w:rPr>
        <w:t>,</w:t>
      </w:r>
      <w:r w:rsidR="002D638C">
        <w:rPr>
          <w:color w:val="222222"/>
        </w:rPr>
        <w:t xml:space="preserve"> </w:t>
      </w:r>
      <w:r w:rsidR="00F75B67">
        <w:rPr>
          <w:color w:val="222222"/>
        </w:rPr>
        <w:t xml:space="preserve">compared to </w:t>
      </w:r>
      <w:r w:rsidR="002D638C">
        <w:rPr>
          <w:color w:val="222222"/>
        </w:rPr>
        <w:t>high</w:t>
      </w:r>
      <w:r>
        <w:rPr>
          <w:color w:val="222222"/>
        </w:rPr>
        <w:t>-</w:t>
      </w:r>
      <w:r w:rsidR="002D638C">
        <w:rPr>
          <w:color w:val="222222"/>
        </w:rPr>
        <w:t>income households</w:t>
      </w:r>
      <w:r w:rsidR="00D46E13">
        <w:rPr>
          <w:color w:val="222222"/>
        </w:rPr>
        <w:t xml:space="preserve"> (&gt;150K annual income)</w:t>
      </w:r>
      <w:r w:rsidR="000F6BE9" w:rsidRPr="000F6BE9">
        <w:rPr>
          <w:color w:val="222222"/>
        </w:rPr>
        <w:t xml:space="preserve">. </w:t>
      </w:r>
      <w:r w:rsidR="00857681">
        <w:rPr>
          <w:color w:val="222222"/>
        </w:rPr>
        <w:t>L</w:t>
      </w:r>
      <w:r w:rsidR="000F6BE9" w:rsidRPr="000F6BE9">
        <w:rPr>
          <w:color w:val="222222"/>
        </w:rPr>
        <w:t>ower</w:t>
      </w:r>
      <w:r w:rsidR="00E8497B">
        <w:rPr>
          <w:color w:val="222222"/>
        </w:rPr>
        <w:t>-</w:t>
      </w:r>
      <w:r w:rsidR="000F6BE9" w:rsidRPr="000F6BE9">
        <w:rPr>
          <w:color w:val="222222"/>
        </w:rPr>
        <w:t xml:space="preserve">income groups </w:t>
      </w:r>
      <w:r w:rsidR="003377CE">
        <w:rPr>
          <w:color w:val="222222"/>
        </w:rPr>
        <w:t xml:space="preserve">tend to face </w:t>
      </w:r>
      <w:r w:rsidR="00771C4A">
        <w:rPr>
          <w:color w:val="222222"/>
        </w:rPr>
        <w:t>more</w:t>
      </w:r>
      <w:r w:rsidR="003377CE">
        <w:rPr>
          <w:color w:val="222222"/>
        </w:rPr>
        <w:t xml:space="preserve"> challenges associated with transportation affordability </w:t>
      </w:r>
      <w:r w:rsidR="000E2079" w:rsidRPr="000E2079">
        <w:rPr>
          <w:color w:val="222222"/>
        </w:rPr>
        <w:t>and</w:t>
      </w:r>
      <w:r w:rsidR="003377CE">
        <w:rPr>
          <w:color w:val="222222"/>
        </w:rPr>
        <w:t xml:space="preserve"> </w:t>
      </w:r>
      <w:r w:rsidR="00771C4A">
        <w:rPr>
          <w:color w:val="222222"/>
        </w:rPr>
        <w:t xml:space="preserve">accessibility </w:t>
      </w:r>
      <w:r w:rsidR="00B5040B">
        <w:rPr>
          <w:color w:val="222222"/>
        </w:rPr>
        <w:fldChar w:fldCharType="begin"/>
      </w:r>
      <w:r w:rsidR="005C565E">
        <w:rPr>
          <w:color w:val="222222"/>
        </w:rPr>
        <w:instrText xml:space="preserve"> ADDIN ZOTERO_ITEM CSL_CITATION {"citationID":"Ib9rU8QN","properties":{"formattedCitation":"(Tiznado-Aitken et al., 2022)","plainCitation":"(Tiznado-Aitken et al., 2022)","noteIndex":0},"citationItems":[{"id":306,"uris":["http://zotero.org/groups/5345474/items/2S5FRZ46"],"itemData":{"id":306,"type":"article-journal","abstract":"Housing and transport affordability (H + TA) analysis has been receiving increasing attention among academics and practitioners worldwide, particularly in Global North settings. These studies usually overlook spatial and socioeconomic distributional considerations that potentially underestimate the simultaneous impact of transport and housing costs on lower-income family budgets. Our work seeks to address these knowledge gaps by understanding and measuring H + TA, considering different types of households in Santiago, Chile. Combining income, housing, transport, and census data, we estimate H + TA costs using spatial clusters and probability distribution functions, analyzing the “degree of choice” that socially disadvantaged groups have given their financial constraints. The results show that families with children, the elderly, and immigrants are among the most limited in their choices. Most central and eastern sectors of the city which provide the highest density of work opportunities are out of reach for the three lowest-income deciles given the high combined costs of H + TA, being dependents on government benefits and/or social housing. Middle class, from the 4th to 6th income deciles, can choose from between 30% and 65% of all housing and transport combinations, but from less than 6% of those offered on the two clusters with the best transport and urban conditions. These findings bring into question current inter-sectoral policies to alleviate the “cost pressure” of Santiago's lower- and middle-income households.","container-title":"Transport Policy","DOI":"10.1016/j.tranpol.2022.04.005","ISSN":"0967-070X","page":"39-53","source":"ScienceDirect","title":"Freedom of Choice? Social and Spatial Disparities on Combined Housing and Transport Affordability","URL":"https://www.sciencedirect.com/science/article/pii/S0967070X22000944","volume":"122","author":[{"family":"Tiznado-Aitken","given":"Ignacio"},{"family":"Lucas","given":"Karen"},{"family":"Muñoz","given":"Juan Carlos"},{"family":"Hurtubia","given":"Ricardo"}],"accessed":{"date-parts":[["2024",3,29]]},"issued":{"date-parts":[["2022",6,1]]}}}],"schema":"https://github.com/citation-style-language/schema/raw/master/csl-citation.json"} </w:instrText>
      </w:r>
      <w:r w:rsidR="00B5040B">
        <w:rPr>
          <w:color w:val="222222"/>
        </w:rPr>
        <w:fldChar w:fldCharType="separate"/>
      </w:r>
      <w:r w:rsidR="00B5040B" w:rsidRPr="00B5040B">
        <w:t>(Tiznado-Aitken et al., 2022)</w:t>
      </w:r>
      <w:r w:rsidR="00B5040B">
        <w:rPr>
          <w:color w:val="222222"/>
        </w:rPr>
        <w:fldChar w:fldCharType="end"/>
      </w:r>
      <w:r w:rsidR="00E15AE2">
        <w:rPr>
          <w:color w:val="222222"/>
        </w:rPr>
        <w:t xml:space="preserve"> </w:t>
      </w:r>
      <w:r w:rsidR="00771C4A">
        <w:rPr>
          <w:color w:val="222222"/>
        </w:rPr>
        <w:t>and are more likely to be required to work in-person, making</w:t>
      </w:r>
      <w:r w:rsidR="000F6BE9" w:rsidRPr="000F6BE9">
        <w:rPr>
          <w:color w:val="222222"/>
        </w:rPr>
        <w:t xml:space="preserve"> them ideal candidates for public transit ridership recovery</w:t>
      </w:r>
      <w:r>
        <w:rPr>
          <w:color w:val="222222"/>
        </w:rPr>
        <w:t xml:space="preserve"> efforts</w:t>
      </w:r>
      <w:r w:rsidR="000F6BE9" w:rsidRPr="000F6BE9">
        <w:rPr>
          <w:color w:val="222222"/>
        </w:rPr>
        <w:t>.</w:t>
      </w:r>
      <w:r w:rsidR="00AC7A04">
        <w:rPr>
          <w:color w:val="222222"/>
        </w:rPr>
        <w:t xml:space="preserve"> </w:t>
      </w:r>
      <w:r w:rsidR="00857681">
        <w:rPr>
          <w:color w:val="222222"/>
        </w:rPr>
        <w:t xml:space="preserve">Thus, </w:t>
      </w:r>
      <w:r w:rsidR="00AC7A04">
        <w:rPr>
          <w:color w:val="222222"/>
        </w:rPr>
        <w:t>providing</w:t>
      </w:r>
      <w:r w:rsidR="000F6BE9" w:rsidRPr="000F6BE9">
        <w:rPr>
          <w:color w:val="222222"/>
        </w:rPr>
        <w:t xml:space="preserve"> incentives and </w:t>
      </w:r>
      <w:r w:rsidR="00642A29" w:rsidRPr="000F6BE9">
        <w:rPr>
          <w:color w:val="222222"/>
        </w:rPr>
        <w:t>economically</w:t>
      </w:r>
      <w:r w:rsidR="00642A29">
        <w:rPr>
          <w:color w:val="222222"/>
        </w:rPr>
        <w:t xml:space="preserve"> friendly</w:t>
      </w:r>
      <w:r w:rsidR="000F6BE9" w:rsidRPr="000F6BE9">
        <w:rPr>
          <w:color w:val="222222"/>
        </w:rPr>
        <w:t xml:space="preserve"> </w:t>
      </w:r>
      <w:r w:rsidR="00771C4A">
        <w:rPr>
          <w:color w:val="222222"/>
        </w:rPr>
        <w:t>improvements</w:t>
      </w:r>
      <w:r w:rsidR="000F6BE9" w:rsidRPr="000F6BE9">
        <w:rPr>
          <w:color w:val="222222"/>
        </w:rPr>
        <w:t xml:space="preserve"> to public transit</w:t>
      </w:r>
      <w:r w:rsidR="005B36D7">
        <w:rPr>
          <w:color w:val="222222"/>
        </w:rPr>
        <w:t xml:space="preserve"> are</w:t>
      </w:r>
      <w:r w:rsidR="000F6BE9" w:rsidRPr="000F6BE9">
        <w:rPr>
          <w:color w:val="222222"/>
        </w:rPr>
        <w:t xml:space="preserve"> good steps to increase ridership</w:t>
      </w:r>
      <w:r w:rsidR="00771C4A">
        <w:rPr>
          <w:color w:val="222222"/>
        </w:rPr>
        <w:t xml:space="preserve"> for low-income individuals</w:t>
      </w:r>
      <w:r w:rsidR="000F6BE9" w:rsidRPr="000F6BE9">
        <w:rPr>
          <w:color w:val="222222"/>
        </w:rPr>
        <w:t xml:space="preserve">. </w:t>
      </w:r>
      <w:r w:rsidR="00405C49">
        <w:rPr>
          <w:color w:val="222222"/>
        </w:rPr>
        <w:t xml:space="preserve">Specifically, fare optimization policies and dynamic pricing provide an emerging method of addressing equity and ensuring access for low-income individuals. </w:t>
      </w:r>
      <w:r w:rsidR="00405C49" w:rsidRPr="00405C49">
        <w:rPr>
          <w:color w:val="222222"/>
        </w:rPr>
        <w:t xml:space="preserve">This </w:t>
      </w:r>
      <w:r w:rsidR="009C16B1">
        <w:rPr>
          <w:color w:val="222222"/>
        </w:rPr>
        <w:t xml:space="preserve">approach customizes PT service provision to </w:t>
      </w:r>
      <w:r w:rsidR="00405C49" w:rsidRPr="00405C49">
        <w:rPr>
          <w:color w:val="222222"/>
        </w:rPr>
        <w:t>rider</w:t>
      </w:r>
      <w:r w:rsidR="009C16B1">
        <w:rPr>
          <w:color w:val="222222"/>
        </w:rPr>
        <w:t>s’</w:t>
      </w:r>
      <w:r w:rsidR="00405C49" w:rsidRPr="00405C49">
        <w:rPr>
          <w:color w:val="222222"/>
        </w:rPr>
        <w:t xml:space="preserve"> personal needs</w:t>
      </w:r>
      <w:r w:rsidR="009C16B1">
        <w:rPr>
          <w:color w:val="222222"/>
        </w:rPr>
        <w:t xml:space="preserve">, </w:t>
      </w:r>
      <w:r w:rsidR="00405C49" w:rsidRPr="00405C49">
        <w:rPr>
          <w:color w:val="222222"/>
        </w:rPr>
        <w:t xml:space="preserve">and then </w:t>
      </w:r>
      <w:r w:rsidR="009C16B1">
        <w:rPr>
          <w:color w:val="222222"/>
        </w:rPr>
        <w:t xml:space="preserve">provides </w:t>
      </w:r>
      <w:r w:rsidR="00405C49" w:rsidRPr="00405C49">
        <w:rPr>
          <w:color w:val="222222"/>
        </w:rPr>
        <w:t xml:space="preserve">discounts and loyalty points to frequent commuters based on the personalized analysis </w:t>
      </w:r>
      <w:r w:rsidR="003C7F81">
        <w:rPr>
          <w:color w:val="222222"/>
        </w:rPr>
        <w:fldChar w:fldCharType="begin"/>
      </w:r>
      <w:r w:rsidR="005C565E">
        <w:rPr>
          <w:color w:val="222222"/>
        </w:rPr>
        <w:instrText xml:space="preserve"> ADDIN ZOTERO_ITEM CSL_CITATION {"citationID":"EzqMu6kp","properties":{"formattedCitation":"(Vemuri et al., 2024)","plainCitation":"(Vemuri et al., 2024)","noteIndex":0},"citationItems":[{"id":240,"uris":["http://zotero.org/groups/5345474/items/RPHFY7WT"],"itemData":{"id":240,"type":"article-journal","abstract":"The paper investigates the synergy between AI and IoT in revolutionizing public transit systems, emphasizing their role in addressing existing challenges and improving overall efficiency. It explores the application of IoT devices in creating a smart infrastructure that enables real-time data collection, monitoring, and management of transit operations.\nThe research delves into the realm of predictive maintenance, showcasing how AI algorithms, powered by IoT data, can anticipate potential issues in transit vehicles. By analyzing sensor data, transit authorities can proactively address maintenance needs, minimizing downtime, reducing repair costs, and ensuring a more reliable and sustainable public transit service.\nRoute optimization emerges as another crucial aspect of the study, highlighting how AI algorithms leverage historical and real-time data to recommend the most efficient transit routes. Factors such as traffic patterns, weather conditions, and passenger demand are considered to enhance overall system efficiency and reduce travel time for passengers.\nThe paper introduces the concept of dynamic scheduling, illustrating how AI-driven algorithms adapt transit schedules in real-time based on changing passenger needs and external factors. This dynamic approach aims to provide more responsive services, ultimately reducing wait times and improving overall user satisfaction.\nPassenger information systems are explored as a pivotal component, illustrating how AI and IoT technologies enhance the passenger experience. Real-time communication through mobile apps, digital displays, and other channels ensures that passengers have accurate and timely information about arrival times, delays, and alternative routes, empowering them to make informed decisions.\nThe researchers also delve into fare optimization, examining how AI algorithms analyze data on passenger demographics, travel patterns, and economic factors to create fair and affordable fare structures. This approach aims to encourage ridership, increase revenue, and improve the financial sustainability of public transit systems.\nThe abstract presents a comprehensive overview of how the integration of AI and IoT technologies in public transit systems transforms urban mobility. The findings suggest that leveraging real-time data, predictive analytics, and dynamic solutions can significantly enhance the reliability, accessibility, and sustainability of public transit. As cities continue to explore innovative solutions, the abstract serves as a roadmap for developing smarter, user-friendly, and efficient urban transportation networks, ultimately contributing to improved quality of life for residents.","container-title":"Valley International Journal Digital Library","DOI":"10.18535/ijsrm/v12i02.ec07","language":"en","license":"Copyright (c) 2024 Naveen  Vemuri, Venkata  Manoj Tatikonda, Naresh Thaneeru","page":"1057-1071","source":"vipublisher.com","title":"Enhancing Public Transit System Through AI and IoT","URL":"https://vipublisher.com/index.php/vij/article/view/204","author":[{"family":"Vemuri","given":"Naveen"},{"family":"Tatikonda","given":"Venkata Manoj"},{"family":"Thaneeru","given":"Naresh"}],"accessed":{"date-parts":[["2024",5,13]]},"issued":{"date-parts":[["2024",2,22]]}}}],"schema":"https://github.com/citation-style-language/schema/raw/master/csl-citation.json"} </w:instrText>
      </w:r>
      <w:r w:rsidR="003C7F81">
        <w:rPr>
          <w:color w:val="222222"/>
        </w:rPr>
        <w:fldChar w:fldCharType="separate"/>
      </w:r>
      <w:r w:rsidR="003C7F81">
        <w:rPr>
          <w:noProof/>
          <w:color w:val="222222"/>
        </w:rPr>
        <w:t>(Vemuri et al., 2024)</w:t>
      </w:r>
      <w:r w:rsidR="003C7F81">
        <w:rPr>
          <w:color w:val="222222"/>
        </w:rPr>
        <w:fldChar w:fldCharType="end"/>
      </w:r>
      <w:r w:rsidR="003C7F81">
        <w:rPr>
          <w:color w:val="222222"/>
        </w:rPr>
        <w:t>.</w:t>
      </w:r>
      <w:r w:rsidR="00405C49">
        <w:rPr>
          <w:color w:val="222222"/>
        </w:rPr>
        <w:t xml:space="preserve"> Other </w:t>
      </w:r>
      <w:r w:rsidR="009C16B1">
        <w:rPr>
          <w:color w:val="222222"/>
        </w:rPr>
        <w:t xml:space="preserve">general </w:t>
      </w:r>
      <w:r w:rsidR="00405C49">
        <w:rPr>
          <w:color w:val="222222"/>
        </w:rPr>
        <w:t xml:space="preserve">strategies </w:t>
      </w:r>
      <w:r w:rsidR="009C16B1">
        <w:rPr>
          <w:color w:val="222222"/>
        </w:rPr>
        <w:t xml:space="preserve">such as </w:t>
      </w:r>
      <w:r w:rsidR="00405C49">
        <w:rPr>
          <w:color w:val="222222"/>
        </w:rPr>
        <w:t xml:space="preserve">the provision of free rides, reduced fares for </w:t>
      </w:r>
      <w:r>
        <w:rPr>
          <w:color w:val="222222"/>
        </w:rPr>
        <w:t>specific</w:t>
      </w:r>
      <w:r w:rsidR="00405C49">
        <w:rPr>
          <w:color w:val="222222"/>
        </w:rPr>
        <w:t xml:space="preserve"> </w:t>
      </w:r>
      <w:r>
        <w:rPr>
          <w:color w:val="222222"/>
        </w:rPr>
        <w:t xml:space="preserve">low-income or disadvantaged </w:t>
      </w:r>
      <w:r w:rsidR="00405C49">
        <w:rPr>
          <w:color w:val="222222"/>
        </w:rPr>
        <w:t>population segments, and improved services and connectivity between low-income residential areas and low-income jobs centers are important to consider</w:t>
      </w:r>
      <w:r w:rsidR="0061469D">
        <w:rPr>
          <w:color w:val="222222"/>
        </w:rPr>
        <w:t xml:space="preserve"> </w:t>
      </w:r>
      <w:r w:rsidR="00F75B67">
        <w:rPr>
          <w:color w:val="222222"/>
        </w:rPr>
        <w:t xml:space="preserve">as well </w:t>
      </w:r>
      <w:r w:rsidR="004231BA">
        <w:rPr>
          <w:color w:val="222222"/>
        </w:rPr>
        <w:fldChar w:fldCharType="begin"/>
      </w:r>
      <w:r w:rsidR="005C565E">
        <w:rPr>
          <w:color w:val="222222"/>
        </w:rPr>
        <w:instrText xml:space="preserve"> ADDIN ZOTERO_ITEM CSL_CITATION {"citationID":"JkYEMH78","properties":{"unsorted":true,"formattedCitation":"(Saphores et al., 2020; Bull et al., 2021)","plainCitation":"(Saphores et al., 2020; Bull et al., 2021)","noteIndex":0},"citationItems":[{"id":309,"uris":["http://zotero.org/groups/5345474/items/GLIWZME2"],"itemData":{"id":309,"type":"article-journal","abstract":"To gain a better understanding of the current use and performance of free and reduced-fare transit pass programs, researchers at UC Irvine surveyed California transit agencies with a focus on members of the California Transit Association (CTA) during November and December 2019. Fifty-nine agencies, representing a broad cross-section of California transit operators, responded. Three quarters of respondents offered one or more free or reduced-fare transit pass programs in fiscal year 2018-19. While most respondents stated that free or reduced-fare transit passes increase ridership, many had concerns about the effect on their agency’s farebox recovery ratio, and to some extent on the fiscal health of their agency, though almost half of the respondents did not know the actual impacts. Those agencies offering student pass programs funded by student fees or employee programs funded by employers did not report any negative impact on ridership or on farebox recovery ratios. This confirms that free or reduced-fare transit pass programs structured like insurance programs (where a large group of potential transit riders—such as all students at a college or all employees in a large firm—periodically pays a lump sum to a transit agency while only a subset of that group actually uses transit) can be good for both riders and transit agencies. Free or reduced fare pass programs have an important role to play in transportation policy in California, but we should not ask too much from these programs. To achieve their full potential, they should be integrated into comprehensive policies to achieve California’s social and environmental goals.","DOI":"10.7922/G2XP735Q","language":"en","source":"escholarship.org","title":"A Review of Reduced and Free Transit Fare Programs in California","URL":"https://escholarship.org/uc/item/74m7f3rx","author":[{"family":"Saphores","given":"Jean-Daniel"},{"family":"Shah","given":"Deep"},{"family":"Khatun","given":"Farzana"}],"accessed":{"date-parts":[["2024",6,4]]},"issued":{"date-parts":[["2020",1,22]]}}},{"id":310,"uris":["http://zotero.org/groups/5345474/items/5QKSIC2H"],"itemData":{"id":310,"type":"article-journal","container-title":"Regional Science and Urban Economics","note":"publisher: Elsevier","page":"103616","source":"Google Scholar","title":"The impact of fare-free public transport on travel behavior: Evidence from a randomized controlled trial","title-short":"The impact of fare-free public transport on travel behavior","URL":"https://www.sciencedirect.com/science/article/pii/S016604622030301X","volume":"86","author":[{"family":"Bull","given":"Owen"},{"family":"Muñoz","given":"Juan Carlos"},{"family":"Silva","given":"Hugo E."}],"accessed":{"date-parts":[["2024",6,4]]},"issued":{"date-parts":[["2021"]]}}}],"schema":"https://github.com/citation-style-language/schema/raw/master/csl-citation.json"} </w:instrText>
      </w:r>
      <w:r w:rsidR="004231BA">
        <w:rPr>
          <w:color w:val="222222"/>
        </w:rPr>
        <w:fldChar w:fldCharType="separate"/>
      </w:r>
      <w:r w:rsidR="004231BA" w:rsidRPr="004231BA">
        <w:t xml:space="preserve">(Saphores </w:t>
      </w:r>
      <w:r w:rsidR="004231BA" w:rsidRPr="004231BA">
        <w:lastRenderedPageBreak/>
        <w:t>et al., 2020; Bull et al., 2021)</w:t>
      </w:r>
      <w:r w:rsidR="004231BA">
        <w:rPr>
          <w:color w:val="222222"/>
        </w:rPr>
        <w:fldChar w:fldCharType="end"/>
      </w:r>
      <w:r w:rsidR="00405C49" w:rsidRPr="00405C49">
        <w:t xml:space="preserve">. </w:t>
      </w:r>
      <w:r w:rsidR="00405C49">
        <w:t>PT provides critical services for many low-income individuals</w:t>
      </w:r>
      <w:r w:rsidR="006D4913">
        <w:t xml:space="preserve">, and these policies have the potential to increase ridership by incentivizing </w:t>
      </w:r>
      <w:r w:rsidR="00857681">
        <w:t>renewed use by</w:t>
      </w:r>
      <w:r w:rsidR="006D4913">
        <w:t xml:space="preserve"> those who are most interested and to improve equity </w:t>
      </w:r>
      <w:r w:rsidR="00FB4B36">
        <w:t xml:space="preserve">for these vulnerable groups. </w:t>
      </w:r>
    </w:p>
    <w:p w14:paraId="2F4CA7F6" w14:textId="77777777" w:rsidR="00C67E12" w:rsidRPr="00C67E12" w:rsidRDefault="00C67E12" w:rsidP="00C67E12">
      <w:pPr>
        <w:jc w:val="both"/>
      </w:pPr>
    </w:p>
    <w:p w14:paraId="7F81FBC9" w14:textId="651CEB81" w:rsidR="00537EB8" w:rsidRPr="00425F23" w:rsidRDefault="00537EB8" w:rsidP="00C67E12">
      <w:pPr>
        <w:pStyle w:val="NormalWeb"/>
        <w:shd w:val="clear" w:color="auto" w:fill="FFFFFF"/>
        <w:spacing w:before="0" w:beforeAutospacing="0" w:after="0" w:afterAutospacing="0"/>
        <w:jc w:val="both"/>
        <w:rPr>
          <w:b/>
          <w:bCs/>
          <w:color w:val="222222"/>
        </w:rPr>
      </w:pPr>
      <w:r w:rsidRPr="00425F23">
        <w:rPr>
          <w:b/>
          <w:bCs/>
          <w:color w:val="222222"/>
        </w:rPr>
        <w:t xml:space="preserve">6. </w:t>
      </w:r>
      <w:r w:rsidR="007310EF" w:rsidRPr="00425F23">
        <w:rPr>
          <w:b/>
          <w:bCs/>
          <w:color w:val="222222"/>
        </w:rPr>
        <w:t>CONCLUSIONS</w:t>
      </w:r>
    </w:p>
    <w:p w14:paraId="0EEC75B6" w14:textId="200FE3B0" w:rsidR="00C55378" w:rsidRPr="00425F23" w:rsidRDefault="00EF47C4" w:rsidP="00C67E12">
      <w:pPr>
        <w:pStyle w:val="NormalWeb"/>
        <w:shd w:val="clear" w:color="auto" w:fill="FFFFFF"/>
        <w:spacing w:before="0" w:beforeAutospacing="0" w:after="0" w:afterAutospacing="0"/>
        <w:jc w:val="both"/>
        <w:rPr>
          <w:color w:val="222222"/>
        </w:rPr>
      </w:pPr>
      <w:r w:rsidRPr="00425F23">
        <w:rPr>
          <w:color w:val="222222"/>
        </w:rPr>
        <w:t xml:space="preserve">This study presents </w:t>
      </w:r>
      <w:r w:rsidR="00EF4C22" w:rsidRPr="00425F23">
        <w:rPr>
          <w:color w:val="222222"/>
        </w:rPr>
        <w:t>an exploration of the impacts of the pandemic on public transit usage and identifies</w:t>
      </w:r>
      <w:r w:rsidRPr="00425F23">
        <w:rPr>
          <w:color w:val="222222"/>
        </w:rPr>
        <w:t xml:space="preserve"> the demographic groups exhibiting </w:t>
      </w:r>
      <w:r w:rsidR="00EF4C22" w:rsidRPr="00425F23">
        <w:rPr>
          <w:color w:val="222222"/>
        </w:rPr>
        <w:t xml:space="preserve">an </w:t>
      </w:r>
      <w:r w:rsidRPr="00425F23">
        <w:rPr>
          <w:color w:val="222222"/>
        </w:rPr>
        <w:t xml:space="preserve">increase, decrease, </w:t>
      </w:r>
      <w:r w:rsidR="00EF4C22" w:rsidRPr="00425F23">
        <w:rPr>
          <w:color w:val="222222"/>
        </w:rPr>
        <w:t>or no change in their</w:t>
      </w:r>
      <w:r w:rsidRPr="00425F23">
        <w:rPr>
          <w:color w:val="222222"/>
        </w:rPr>
        <w:t xml:space="preserve"> transit use following the pandemic. This research highlights </w:t>
      </w:r>
      <w:r w:rsidR="0094750B" w:rsidRPr="00425F23">
        <w:rPr>
          <w:color w:val="222222"/>
        </w:rPr>
        <w:t>significant</w:t>
      </w:r>
      <w:r w:rsidR="00884198" w:rsidRPr="00425F23">
        <w:rPr>
          <w:color w:val="222222"/>
        </w:rPr>
        <w:t xml:space="preserve"> </w:t>
      </w:r>
      <w:r w:rsidRPr="00425F23">
        <w:rPr>
          <w:color w:val="222222"/>
        </w:rPr>
        <w:t>racial</w:t>
      </w:r>
      <w:r w:rsidR="00AC7A04">
        <w:rPr>
          <w:color w:val="222222"/>
        </w:rPr>
        <w:t xml:space="preserve">, gender, and </w:t>
      </w:r>
      <w:r w:rsidR="00884198" w:rsidRPr="00425F23">
        <w:rPr>
          <w:color w:val="222222"/>
        </w:rPr>
        <w:t xml:space="preserve">age </w:t>
      </w:r>
      <w:r w:rsidRPr="00425F23">
        <w:rPr>
          <w:color w:val="222222"/>
        </w:rPr>
        <w:t>disparit</w:t>
      </w:r>
      <w:r w:rsidR="00EF4C22" w:rsidRPr="00425F23">
        <w:rPr>
          <w:color w:val="222222"/>
        </w:rPr>
        <w:t>ies</w:t>
      </w:r>
      <w:r w:rsidRPr="00425F23">
        <w:rPr>
          <w:color w:val="222222"/>
        </w:rPr>
        <w:t xml:space="preserve"> in public transit usage</w:t>
      </w:r>
      <w:r w:rsidR="0094750B" w:rsidRPr="00425F23">
        <w:rPr>
          <w:color w:val="222222"/>
        </w:rPr>
        <w:t xml:space="preserve"> during the pandemic, pointing </w:t>
      </w:r>
      <w:r w:rsidR="00FB4B36">
        <w:rPr>
          <w:color w:val="222222"/>
        </w:rPr>
        <w:t>t</w:t>
      </w:r>
      <w:r w:rsidR="0094750B" w:rsidRPr="00425F23">
        <w:rPr>
          <w:color w:val="222222"/>
        </w:rPr>
        <w:t>o significant equity issues that should be addressed as public transit continues to adapt to a post-pandemic world</w:t>
      </w:r>
      <w:r w:rsidRPr="00425F23">
        <w:rPr>
          <w:color w:val="222222"/>
        </w:rPr>
        <w:t xml:space="preserve">. </w:t>
      </w:r>
      <w:r w:rsidR="00B503A9" w:rsidRPr="00425F23">
        <w:rPr>
          <w:color w:val="222222"/>
        </w:rPr>
        <w:t xml:space="preserve">There are numerous </w:t>
      </w:r>
      <w:r w:rsidR="0094750B" w:rsidRPr="00425F23">
        <w:rPr>
          <w:color w:val="222222"/>
        </w:rPr>
        <w:t>ways that public transit agencies can adapt to provide</w:t>
      </w:r>
      <w:r w:rsidR="00B503A9" w:rsidRPr="00425F23">
        <w:rPr>
          <w:color w:val="222222"/>
        </w:rPr>
        <w:t xml:space="preserve"> a safer and cleaner </w:t>
      </w:r>
      <w:r w:rsidR="0094750B" w:rsidRPr="00425F23">
        <w:rPr>
          <w:color w:val="222222"/>
        </w:rPr>
        <w:t xml:space="preserve">environment </w:t>
      </w:r>
      <w:r w:rsidR="00B503A9" w:rsidRPr="00425F23">
        <w:rPr>
          <w:color w:val="222222"/>
        </w:rPr>
        <w:t>for riders that would promote usage and potentially regain previous ridership levels</w:t>
      </w:r>
      <w:r w:rsidR="00AC7A04">
        <w:rPr>
          <w:color w:val="222222"/>
        </w:rPr>
        <w:t xml:space="preserve"> for older and female individuals</w:t>
      </w:r>
      <w:r w:rsidR="00B503A9" w:rsidRPr="00425F23">
        <w:rPr>
          <w:color w:val="222222"/>
        </w:rPr>
        <w:t xml:space="preserve">. </w:t>
      </w:r>
      <w:r w:rsidR="00AC7A04">
        <w:rPr>
          <w:color w:val="222222"/>
        </w:rPr>
        <w:t>In addition, g</w:t>
      </w:r>
      <w:r w:rsidR="0094750B" w:rsidRPr="00425F23">
        <w:rPr>
          <w:color w:val="222222"/>
        </w:rPr>
        <w:t>iven that significant changes to mobility patterns have particularly impacted racial minorities</w:t>
      </w:r>
      <w:r w:rsidR="00884198" w:rsidRPr="00425F23">
        <w:rPr>
          <w:color w:val="222222"/>
        </w:rPr>
        <w:t xml:space="preserve">, </w:t>
      </w:r>
      <w:r w:rsidRPr="00425F23">
        <w:rPr>
          <w:color w:val="222222"/>
        </w:rPr>
        <w:t>polices</w:t>
      </w:r>
      <w:r w:rsidR="00846C11" w:rsidRPr="00425F23">
        <w:rPr>
          <w:color w:val="222222"/>
        </w:rPr>
        <w:t xml:space="preserve"> that focus on maintaining and further improving </w:t>
      </w:r>
      <w:r w:rsidR="00AC7A04">
        <w:rPr>
          <w:color w:val="222222"/>
        </w:rPr>
        <w:t xml:space="preserve">the PT environment will elevate their </w:t>
      </w:r>
      <w:r w:rsidR="006F00C0" w:rsidRPr="00425F23">
        <w:rPr>
          <w:color w:val="222222"/>
        </w:rPr>
        <w:t>experiences</w:t>
      </w:r>
      <w:r w:rsidR="00846C11" w:rsidRPr="00425F23">
        <w:rPr>
          <w:color w:val="222222"/>
        </w:rPr>
        <w:t xml:space="preserve">. </w:t>
      </w:r>
      <w:r w:rsidR="0094750B" w:rsidRPr="00425F23">
        <w:rPr>
          <w:color w:val="222222"/>
        </w:rPr>
        <w:t xml:space="preserve">At the same time, many of the changes impacting transit stem from lifestyle changes, such as telework, which have impacted these groups differently, and need to be better understood to adequately respond to these continuously evolving conditions. </w:t>
      </w:r>
      <w:r w:rsidR="00C55378" w:rsidRPr="00425F23">
        <w:rPr>
          <w:color w:val="222222"/>
        </w:rPr>
        <w:t xml:space="preserve">Further investigation is needed to analyze racial effects on telework to further understand the extent of impact this has on public transit usage. </w:t>
      </w:r>
      <w:r w:rsidR="00B059C1">
        <w:rPr>
          <w:color w:val="222222"/>
        </w:rPr>
        <w:t>In the same vein,</w:t>
      </w:r>
      <w:r w:rsidR="0094750B" w:rsidRPr="00425F23">
        <w:rPr>
          <w:color w:val="222222"/>
        </w:rPr>
        <w:t xml:space="preserve"> while the impacts of household location found in this study were small, additional research that better analyzes these dynamics across various locations and with more specific features of different neighborhoods (beyond the simple urban/rural categorization) would be beneficial. </w:t>
      </w:r>
    </w:p>
    <w:p w14:paraId="6671D01D" w14:textId="1AB8CF1B" w:rsidR="00D80D51" w:rsidRDefault="0094750B" w:rsidP="00C67E12">
      <w:pPr>
        <w:pStyle w:val="NormalWeb"/>
        <w:shd w:val="clear" w:color="auto" w:fill="FFFFFF"/>
        <w:spacing w:before="0" w:beforeAutospacing="0" w:after="0" w:afterAutospacing="0"/>
        <w:ind w:firstLine="720"/>
        <w:jc w:val="both"/>
        <w:rPr>
          <w:color w:val="222222"/>
        </w:rPr>
      </w:pPr>
      <w:r w:rsidRPr="00425F23">
        <w:rPr>
          <w:color w:val="222222"/>
        </w:rPr>
        <w:t xml:space="preserve">There are several other opportunities </w:t>
      </w:r>
      <w:r w:rsidR="00B059C1">
        <w:rPr>
          <w:color w:val="222222"/>
        </w:rPr>
        <w:t xml:space="preserve">as well </w:t>
      </w:r>
      <w:r w:rsidRPr="00425F23">
        <w:rPr>
          <w:color w:val="222222"/>
        </w:rPr>
        <w:t>for future research in this area. While our study examines the change</w:t>
      </w:r>
      <w:r w:rsidR="00AC7A04">
        <w:rPr>
          <w:color w:val="222222"/>
        </w:rPr>
        <w:t>s</w:t>
      </w:r>
      <w:r w:rsidRPr="00425F23">
        <w:rPr>
          <w:color w:val="222222"/>
        </w:rPr>
        <w:t xml:space="preserve"> during the COVID-19 pandemic, studies of impacts to public transit from other major disruptions would help to generalize these results to help with forecasting and the development of more detailed policy and service interventions. Additionally, a deeper investigation into the behaviors and choices of </w:t>
      </w:r>
      <w:r w:rsidR="00846C11" w:rsidRPr="00425F23">
        <w:rPr>
          <w:color w:val="222222"/>
        </w:rPr>
        <w:t xml:space="preserve">individuals who </w:t>
      </w:r>
      <w:r w:rsidR="00642A29">
        <w:rPr>
          <w:color w:val="222222"/>
        </w:rPr>
        <w:t xml:space="preserve">do not have driver’s license </w:t>
      </w:r>
      <w:r w:rsidR="00846C11" w:rsidRPr="00425F23">
        <w:rPr>
          <w:color w:val="222222"/>
        </w:rPr>
        <w:t>and</w:t>
      </w:r>
      <w:r w:rsidRPr="00425F23">
        <w:rPr>
          <w:color w:val="222222"/>
        </w:rPr>
        <w:t xml:space="preserve"> live in</w:t>
      </w:r>
      <w:r w:rsidR="00846C11" w:rsidRPr="00425F23">
        <w:rPr>
          <w:color w:val="222222"/>
        </w:rPr>
        <w:t xml:space="preserve"> vehicle </w:t>
      </w:r>
      <w:r w:rsidRPr="00425F23">
        <w:rPr>
          <w:color w:val="222222"/>
        </w:rPr>
        <w:t xml:space="preserve">constrained </w:t>
      </w:r>
      <w:r w:rsidR="00846C11" w:rsidRPr="00425F23">
        <w:rPr>
          <w:color w:val="222222"/>
        </w:rPr>
        <w:t>households</w:t>
      </w:r>
      <w:r w:rsidRPr="00425F23">
        <w:rPr>
          <w:color w:val="222222"/>
        </w:rPr>
        <w:t xml:space="preserve"> would be valuable. We find significant differences in the behaviors of these individuals, pointing to the need for </w:t>
      </w:r>
      <w:r w:rsidR="005B36D7">
        <w:rPr>
          <w:color w:val="222222"/>
        </w:rPr>
        <w:t xml:space="preserve">additional careful consideration of the behaviors of these individuals </w:t>
      </w:r>
      <w:r w:rsidRPr="00425F23">
        <w:rPr>
          <w:color w:val="222222"/>
        </w:rPr>
        <w:t xml:space="preserve">as well as </w:t>
      </w:r>
      <w:r w:rsidR="00846C11" w:rsidRPr="00425F23">
        <w:rPr>
          <w:color w:val="222222"/>
        </w:rPr>
        <w:t xml:space="preserve">further support </w:t>
      </w:r>
      <w:r w:rsidRPr="00425F23">
        <w:rPr>
          <w:color w:val="222222"/>
        </w:rPr>
        <w:t xml:space="preserve">for </w:t>
      </w:r>
      <w:r w:rsidR="00846C11" w:rsidRPr="00425F23">
        <w:rPr>
          <w:color w:val="222222"/>
        </w:rPr>
        <w:t xml:space="preserve">these groups through infrastructure investment (i.e. more bus stops </w:t>
      </w:r>
      <w:r w:rsidR="00884198" w:rsidRPr="00425F23">
        <w:rPr>
          <w:color w:val="222222"/>
        </w:rPr>
        <w:t xml:space="preserve">and </w:t>
      </w:r>
      <w:r w:rsidR="00846C11" w:rsidRPr="00425F23">
        <w:rPr>
          <w:color w:val="222222"/>
        </w:rPr>
        <w:t xml:space="preserve">route adjustments). This can be achieved through collaboration between transit services and top employers to create more flexible work schedules, reducing overcrowding (a key concern </w:t>
      </w:r>
      <w:r w:rsidR="00884198" w:rsidRPr="00425F23">
        <w:rPr>
          <w:color w:val="222222"/>
        </w:rPr>
        <w:t xml:space="preserve">mentioned </w:t>
      </w:r>
      <w:r w:rsidR="00846C11" w:rsidRPr="00425F23">
        <w:rPr>
          <w:color w:val="222222"/>
        </w:rPr>
        <w:t xml:space="preserve">among riders). </w:t>
      </w:r>
      <w:r w:rsidRPr="00425F23">
        <w:rPr>
          <w:color w:val="222222"/>
        </w:rPr>
        <w:t>Finally, examining the</w:t>
      </w:r>
      <w:r w:rsidR="00D80D51" w:rsidRPr="00425F23">
        <w:rPr>
          <w:color w:val="222222"/>
        </w:rPr>
        <w:t xml:space="preserve"> motivations for these changes during the pandemic and reasons for returning to public transit over the next few years would be extremely valuable. This deeper understanding of the dynamics at play would </w:t>
      </w:r>
      <w:r w:rsidR="00C55378" w:rsidRPr="00425F23">
        <w:rPr>
          <w:color w:val="222222"/>
        </w:rPr>
        <w:t xml:space="preserve">help to narrow the service and infrastructure improvements needed to attract and retain current riders. </w:t>
      </w:r>
    </w:p>
    <w:p w14:paraId="3EEE0E9C" w14:textId="4DB33B4E" w:rsidR="000F4E75" w:rsidRDefault="000F4E75" w:rsidP="00C67E12">
      <w:pPr>
        <w:pStyle w:val="NormalWeb"/>
        <w:shd w:val="clear" w:color="auto" w:fill="FFFFFF"/>
        <w:spacing w:before="0" w:beforeAutospacing="0" w:after="0" w:afterAutospacing="0"/>
        <w:ind w:firstLine="720"/>
        <w:jc w:val="both"/>
        <w:rPr>
          <w:color w:val="222222"/>
        </w:rPr>
      </w:pPr>
    </w:p>
    <w:p w14:paraId="7B356909" w14:textId="77777777" w:rsidR="000F4E75" w:rsidRDefault="000F4E75" w:rsidP="000F4E75">
      <w:pPr>
        <w:rPr>
          <w:b/>
          <w:bCs/>
          <w:color w:val="000000" w:themeColor="text1"/>
        </w:rPr>
      </w:pPr>
      <w:r>
        <w:rPr>
          <w:b/>
          <w:bCs/>
          <w:caps/>
        </w:rPr>
        <w:t>AcknowledgEments</w:t>
      </w:r>
    </w:p>
    <w:p w14:paraId="6FF707DC" w14:textId="779216FC" w:rsidR="000F4E75" w:rsidRDefault="000F4E75" w:rsidP="000F4E75">
      <w:pPr>
        <w:pStyle w:val="NormalWeb"/>
        <w:shd w:val="clear" w:color="auto" w:fill="FFFFFF"/>
        <w:spacing w:before="0" w:beforeAutospacing="0" w:after="0" w:afterAutospacing="0"/>
        <w:jc w:val="both"/>
      </w:pPr>
      <w:r>
        <w:t xml:space="preserve">This research was partially supported by the U.S. Department of Transportation through the Center for Understanding Future Travel Behavior and Demand (TBD) (Grant No. 69A3552344815 and No. 69A3552348320). The authors are grateful to Lisa Macias for her help in formatting this document, </w:t>
      </w:r>
      <w:r w:rsidRPr="00A72F65">
        <w:t>and to two anonymous reviewers who provided useful comments and suggestions on an earlier version of this paper</w:t>
      </w:r>
      <w:r>
        <w:t>.</w:t>
      </w:r>
    </w:p>
    <w:p w14:paraId="3A88C5B9" w14:textId="2C160D92" w:rsidR="000F4E75" w:rsidRDefault="000F4E75" w:rsidP="000F4E75">
      <w:pPr>
        <w:pStyle w:val="NormalWeb"/>
        <w:shd w:val="clear" w:color="auto" w:fill="FFFFFF"/>
        <w:spacing w:before="0" w:beforeAutospacing="0" w:after="0" w:afterAutospacing="0"/>
        <w:jc w:val="both"/>
      </w:pPr>
    </w:p>
    <w:p w14:paraId="651358D4" w14:textId="77777777" w:rsidR="000F4E75" w:rsidRPr="00425F23" w:rsidRDefault="000F4E75" w:rsidP="000F4E75">
      <w:pPr>
        <w:pStyle w:val="NormalWeb"/>
        <w:shd w:val="clear" w:color="auto" w:fill="FFFFFF"/>
        <w:spacing w:before="0" w:beforeAutospacing="0" w:after="0" w:afterAutospacing="0"/>
        <w:jc w:val="both"/>
        <w:rPr>
          <w:color w:val="222222"/>
        </w:rPr>
      </w:pPr>
    </w:p>
    <w:p w14:paraId="1AE85E19" w14:textId="77777777" w:rsidR="007310EF" w:rsidRPr="00425F23" w:rsidRDefault="007310EF" w:rsidP="00C67E12"/>
    <w:p w14:paraId="3B9217FB" w14:textId="26222863" w:rsidR="008F30E7" w:rsidRPr="0036521F" w:rsidRDefault="00537EB8" w:rsidP="00C67E12">
      <w:pPr>
        <w:rPr>
          <w:b/>
          <w:bCs/>
        </w:rPr>
      </w:pPr>
      <w:r w:rsidRPr="00425F23">
        <w:rPr>
          <w:b/>
          <w:bCs/>
        </w:rPr>
        <w:lastRenderedPageBreak/>
        <w:t>REFERENCES</w:t>
      </w:r>
    </w:p>
    <w:p w14:paraId="79105517" w14:textId="5BB8797E" w:rsidR="00352936" w:rsidRPr="00352936" w:rsidRDefault="00642A29" w:rsidP="00892153">
      <w:pPr>
        <w:ind w:left="540" w:hanging="540"/>
      </w:pPr>
      <w:r w:rsidRPr="00425F23">
        <w:fldChar w:fldCharType="begin"/>
      </w:r>
      <w:r w:rsidR="006858CB">
        <w:instrText xml:space="preserve"> ADDIN ZOTERO_BIBL {"uncited":[],"omitted":[],"custom":[]} CSL_BIBLIOGRAPHY </w:instrText>
      </w:r>
      <w:r w:rsidRPr="00425F23">
        <w:fldChar w:fldCharType="separate"/>
      </w:r>
      <w:proofErr w:type="spellStart"/>
      <w:r w:rsidR="00352936" w:rsidRPr="00352936">
        <w:t>Anable</w:t>
      </w:r>
      <w:proofErr w:type="spellEnd"/>
      <w:r w:rsidR="00352936" w:rsidRPr="00352936">
        <w:t xml:space="preserve">, </w:t>
      </w:r>
      <w:r w:rsidR="00892153">
        <w:t>J., Brown, L., Docherty, I. and Marsden, G. 2022. Less is more: Changing travel in a post-pandemic society. Centre for Research into Energy Demand Solutions. Oxford, UK. ISBN: 978-1-913299-15-6</w:t>
      </w:r>
      <w:r w:rsidR="00352936" w:rsidRPr="00352936">
        <w:t>.</w:t>
      </w:r>
    </w:p>
    <w:p w14:paraId="029D5C67" w14:textId="0771D02D" w:rsidR="00352936" w:rsidRPr="00661B6E" w:rsidRDefault="00352936" w:rsidP="007D0895">
      <w:pPr>
        <w:pStyle w:val="Bibliography"/>
        <w:ind w:left="540" w:hanging="540"/>
      </w:pPr>
      <w:r w:rsidRPr="00352936">
        <w:t>Angrist, J.D., Imbens, G.W., 1991. Sources of Identifying Information in Evaluation Models.</w:t>
      </w:r>
      <w:r w:rsidR="00661B6E">
        <w:t xml:space="preserve"> </w:t>
      </w:r>
      <w:r w:rsidR="00661B6E" w:rsidRPr="00661B6E">
        <w:t>NBER Technical Working Papers</w:t>
      </w:r>
      <w:r w:rsidR="00661B6E" w:rsidRPr="00661B6E">
        <w:rPr>
          <w:shd w:val="clear" w:color="auto" w:fill="FFFFFF"/>
        </w:rPr>
        <w:t> 0117, National Bureau of Economic Research, Inc.</w:t>
      </w:r>
    </w:p>
    <w:p w14:paraId="69EE976F" w14:textId="77777777" w:rsidR="00352936" w:rsidRPr="00352936" w:rsidRDefault="00352936" w:rsidP="007D0895">
      <w:pPr>
        <w:pStyle w:val="Bibliography"/>
        <w:ind w:left="540" w:hanging="540"/>
      </w:pPr>
      <w:r w:rsidRPr="00352936">
        <w:t>Anwar, M.A., Dhir, A., Jabeen, F., Zhang, Q., Siddiquei, A.N., 2023. Unconventional green transport innovations in the post-COVID-19 era. A trade-off between green actions and personal health protection. Journal of Business Research 155, 113442. https://doi.org/10.1016/j.jbusres.2022.113442</w:t>
      </w:r>
    </w:p>
    <w:p w14:paraId="01346A20" w14:textId="77777777" w:rsidR="00352936" w:rsidRPr="00352936" w:rsidRDefault="00352936" w:rsidP="007D0895">
      <w:pPr>
        <w:pStyle w:val="Bibliography"/>
        <w:keepLines/>
        <w:ind w:left="547" w:hanging="547"/>
      </w:pPr>
      <w:r w:rsidRPr="00352936">
        <w:t>Appleyard, B.S., Frost, A.R., Allen, C., 2019. Are all transit stations equal and equitable? Calculating sustainability, livability, health, &amp; equity performance of smart growth &amp; transit-oriented-development (TOD). Journal of Transport &amp; Health 14, 100584. https://doi.org/10.1016/j.jth.2019.100584</w:t>
      </w:r>
    </w:p>
    <w:p w14:paraId="52D80E36" w14:textId="77777777" w:rsidR="00352936" w:rsidRPr="00352936" w:rsidRDefault="00352936" w:rsidP="007D0895">
      <w:pPr>
        <w:pStyle w:val="Bibliography"/>
        <w:ind w:left="540" w:hanging="540"/>
      </w:pPr>
      <w:r w:rsidRPr="00352936">
        <w:t>Ashour, L.A., Shen, Q., Moudon, A., Cai, M., Wang, Y., Brown, M., 2024. Post-pandemic transit commute: Lessons from focus group discussions on the experience of essential workers during COVID-19. Journal of Transport Geography 116, 103832.</w:t>
      </w:r>
    </w:p>
    <w:p w14:paraId="45A61D7C" w14:textId="77777777" w:rsidR="00352936" w:rsidRPr="00352936" w:rsidRDefault="00352936" w:rsidP="007D0895">
      <w:pPr>
        <w:pStyle w:val="Bibliography"/>
        <w:ind w:left="540" w:hanging="540"/>
      </w:pPr>
      <w:r w:rsidRPr="00352936">
        <w:t>Astorquiza-Bustos, B.A., Quintero-Peña, J.W., 2023. Who can work from home? A remote working index for an emerging economy. Telecommunications Policy 47, 102669. https://doi.org/10.1016/j.telpol.2023.102669</w:t>
      </w:r>
    </w:p>
    <w:p w14:paraId="10C60A9F" w14:textId="77777777" w:rsidR="00352936" w:rsidRPr="00352936" w:rsidRDefault="00352936" w:rsidP="007D0895">
      <w:pPr>
        <w:pStyle w:val="Bibliography"/>
        <w:ind w:left="540" w:hanging="540"/>
      </w:pPr>
      <w:r w:rsidRPr="00352936">
        <w:t>Bandyopadhyaya, V., Bandyopadhyaya, R., 2022. Understanding public transport use intention post Covid-19 outbreak using modified theory of planned behavior: Case study from developing country perspective. Case Studies on Transport Policy 10, 2044–2052. https://doi.org/10.1016/j.cstp.2022.09.002</w:t>
      </w:r>
    </w:p>
    <w:p w14:paraId="189230CF" w14:textId="77777777" w:rsidR="00352936" w:rsidRPr="00352936" w:rsidRDefault="00352936" w:rsidP="007D0895">
      <w:pPr>
        <w:pStyle w:val="Bibliography"/>
        <w:ind w:left="540" w:hanging="540"/>
      </w:pPr>
      <w:r w:rsidRPr="00352936">
        <w:t>Barthelmes, L., Behren, S. von, Magdolen, M., Soylu, T., Chlond, B., Kagerbauer, M., 2023. Insights into public transit use in Berlin – The role of autonomy and public transit privacy. AIP Conference Proceedings 2928, 190002. https://doi.org/10.1063/5.0170513</w:t>
      </w:r>
    </w:p>
    <w:p w14:paraId="3B672DC5" w14:textId="77777777" w:rsidR="00352936" w:rsidRPr="00352936" w:rsidRDefault="00352936" w:rsidP="007D0895">
      <w:pPr>
        <w:pStyle w:val="Bibliography"/>
        <w:ind w:left="540" w:hanging="540"/>
      </w:pPr>
      <w:r w:rsidRPr="00352936">
        <w:t>Beaudoin, J., Farzin, Y.H., Lin Lawell, C.-Y.C., 2015. Public transit investment and sustainable transportation: A review of studies of transit’s impact on traffic congestion and air quality. Research in Transportation Economics, Sustainable Transportation 52, 15–22. https://doi.org/10.1016/j.retrec.2015.10.004</w:t>
      </w:r>
    </w:p>
    <w:p w14:paraId="0053BDBB" w14:textId="77777777" w:rsidR="00352936" w:rsidRPr="00352936" w:rsidRDefault="00352936" w:rsidP="007D0895">
      <w:pPr>
        <w:pStyle w:val="Bibliography"/>
        <w:ind w:left="540" w:hanging="540"/>
      </w:pPr>
      <w:r w:rsidRPr="00352936">
        <w:t>Bergquist, S., Otten, T., Sarich, N., 2020. COVID-19 pandemic in the United States. Health Policy and Technology, The COVID-19 pandemic: Global health policy and technology responses in the making 9, 623–638. https://doi.org/10.1016/j.hlpt.2020.08.007</w:t>
      </w:r>
    </w:p>
    <w:p w14:paraId="27A25646" w14:textId="77777777" w:rsidR="00352936" w:rsidRPr="00352936" w:rsidRDefault="00352936" w:rsidP="007D0895">
      <w:pPr>
        <w:pStyle w:val="Bibliography"/>
        <w:ind w:left="540" w:hanging="540"/>
      </w:pPr>
      <w:r w:rsidRPr="00352936">
        <w:t>Bhat, C.R., 2018. New Matrix-Based Methods for the Analytic Evaluation of the Multivariate Cumulative Normal Distribution Function. Transportation Research Part B: Methodological 109, 238–256. https://doi.org/10.1016/j.trb.2018.01.011</w:t>
      </w:r>
    </w:p>
    <w:p w14:paraId="19D47CC5" w14:textId="77777777" w:rsidR="00352936" w:rsidRPr="00352936" w:rsidRDefault="00352936" w:rsidP="007D0895">
      <w:pPr>
        <w:pStyle w:val="Bibliography"/>
        <w:ind w:left="540" w:hanging="540"/>
      </w:pPr>
      <w:r w:rsidRPr="00352936">
        <w:t>Bloodhart, B., Swim, J.K., 2020. Sustainability and Consumption: What’s Gender Got to Do with It? Journal of Social Issues 76, 101–113. https://doi.org/10.1111/josi.12370</w:t>
      </w:r>
    </w:p>
    <w:p w14:paraId="07C3626B" w14:textId="77777777" w:rsidR="00352936" w:rsidRPr="00352936" w:rsidRDefault="00352936" w:rsidP="007D0895">
      <w:pPr>
        <w:pStyle w:val="Bibliography"/>
        <w:ind w:left="540" w:hanging="540"/>
      </w:pPr>
      <w:r w:rsidRPr="00352936">
        <w:t>Bull, O., Muñoz, J.C., Silva, H.E., 2021. The impact of fare-free public transport on travel behavior: Evidence from a randomized controlled trial. Regional Science and Urban Economics 86, 103616.</w:t>
      </w:r>
    </w:p>
    <w:p w14:paraId="6DA355F8" w14:textId="0F07BFE3" w:rsidR="00352936" w:rsidRPr="00352936" w:rsidRDefault="00352936" w:rsidP="007D0895">
      <w:pPr>
        <w:pStyle w:val="Bibliography"/>
        <w:ind w:left="540" w:hanging="540"/>
      </w:pPr>
      <w:r w:rsidRPr="00352936">
        <w:t>Calderón Peralvo, F., Cazorla Vanegas, P., Avila-Ordóñez, E., 2022. A systematic review of COVID-19 transport policies and mitigation strategies around the globe. Transp</w:t>
      </w:r>
      <w:r w:rsidR="002668AC">
        <w:t>ortation</w:t>
      </w:r>
      <w:r w:rsidRPr="00352936">
        <w:t xml:space="preserve"> Res</w:t>
      </w:r>
      <w:r w:rsidR="002668AC">
        <w:t>earch</w:t>
      </w:r>
      <w:r w:rsidRPr="00352936">
        <w:t xml:space="preserve"> Interdiscip</w:t>
      </w:r>
      <w:r w:rsidR="002668AC">
        <w:t>linary</w:t>
      </w:r>
      <w:r w:rsidRPr="00352936">
        <w:t xml:space="preserve"> Perspect</w:t>
      </w:r>
      <w:r w:rsidR="002668AC">
        <w:t>ives</w:t>
      </w:r>
      <w:r w:rsidRPr="00352936">
        <w:t xml:space="preserve"> 15, 100653. https://doi.org/10.1016/j.trip.2022.100653</w:t>
      </w:r>
    </w:p>
    <w:p w14:paraId="2E2606A7" w14:textId="77777777" w:rsidR="00352936" w:rsidRPr="00352936" w:rsidRDefault="00352936" w:rsidP="000F4E75">
      <w:pPr>
        <w:pStyle w:val="Bibliography"/>
        <w:keepLines/>
        <w:ind w:left="547" w:hanging="547"/>
      </w:pPr>
      <w:r w:rsidRPr="00352936">
        <w:lastRenderedPageBreak/>
        <w:t>Chavan, P., Padwal, A., Pande, Y., Nevase, P., Gaikwad, M., 2023. Smart Ticketing and Overcrowding Control System for Public Transportation, in: 2023 IEEE International Conference on ICT in Business Industry &amp; Government (ICTBIG). Presented at the 2023 IEEE International Conference on ICT in Business Industry &amp; Government (ICTBIG), pp. 1–4. https://doi.org/10.1109/ICTBIG59752.2023.10455761</w:t>
      </w:r>
    </w:p>
    <w:p w14:paraId="03D9FC61" w14:textId="77777777" w:rsidR="00352936" w:rsidRPr="00352936" w:rsidRDefault="00352936" w:rsidP="007D0895">
      <w:pPr>
        <w:pStyle w:val="Bibliography"/>
        <w:ind w:left="540" w:hanging="540"/>
      </w:pPr>
      <w:r w:rsidRPr="00352936">
        <w:t>Cusack, M., 2021. Individual, social, and environmental factors associated with active transportation commuting during the COVID-19 pandemic. Journal of Transport &amp; Health 22, 101089. https://doi.org/10.1016/j.jth.2021.101089</w:t>
      </w:r>
    </w:p>
    <w:p w14:paraId="5CB3C232" w14:textId="77777777" w:rsidR="00352936" w:rsidRPr="00352936" w:rsidRDefault="00352936" w:rsidP="007D0895">
      <w:pPr>
        <w:pStyle w:val="Bibliography"/>
        <w:keepLines/>
        <w:ind w:left="547" w:hanging="547"/>
      </w:pPr>
      <w:r w:rsidRPr="00352936">
        <w:t>Čvirik, M., Naďová Krošláková, M., Milić Beran, I., Capor Hrosik, R., Drábik, P., 2023. Influence of health-conscious consumer behaviour on consumer ethnocentrism during the COVID-19 pandemic. Economic Research-Ekonomska Istraživanja 36, 1510–1526. https://doi.org/10.1080/1331677X.2022.2090402</w:t>
      </w:r>
    </w:p>
    <w:p w14:paraId="772DD167" w14:textId="77777777" w:rsidR="00352936" w:rsidRPr="00352936" w:rsidRDefault="00352936" w:rsidP="007D0895">
      <w:pPr>
        <w:pStyle w:val="Bibliography"/>
        <w:ind w:left="540" w:hanging="540"/>
      </w:pPr>
      <w:r w:rsidRPr="00352936">
        <w:t>de Haas, M., Faber, R., Hamersma, M., 2020. How COVID-19 and the Dutch ‘intelligent lockdown’ change activities, work and travel behaviour: Evidence from longitudinal data in the Netherlands. Transportation Research Interdisciplinary Perspectives 6, 100150. https://doi.org/10.1016/j.trip.2020.100150</w:t>
      </w:r>
    </w:p>
    <w:p w14:paraId="33C74312" w14:textId="77777777" w:rsidR="00352936" w:rsidRPr="00352936" w:rsidRDefault="00352936" w:rsidP="007D0895">
      <w:pPr>
        <w:pStyle w:val="Bibliography"/>
        <w:ind w:left="540" w:hanging="540"/>
      </w:pPr>
      <w:r w:rsidRPr="00352936">
        <w:t>Downey, L., Fonzone, A., Fountas, G., Semple, T., 2022. The impact of COVID-19 on future public transport use in Scotland. Transportation Research Part A: Policy and Practice 163, 338–352. https://doi.org/10.1016/j.tra.2022.06.005</w:t>
      </w:r>
    </w:p>
    <w:p w14:paraId="7E64DDAE" w14:textId="247C9C48" w:rsidR="00352936" w:rsidRPr="00352936" w:rsidRDefault="00352936" w:rsidP="007D0895">
      <w:pPr>
        <w:pStyle w:val="Bibliography"/>
        <w:ind w:left="540" w:hanging="540"/>
      </w:pPr>
      <w:r w:rsidRPr="00352936">
        <w:t>Doyle, T., 2022. Public Transportation Ridership Rises to More than 70 Percent of Pre-Pandemic Levels. American Public Transportation Association. https://www.apta.com/news-publications/press-releases/releases/public-transportation-ridership-rises-to-more-than-70-percent-of-pre-pandemic-levels/ (accessed 2.22.24).</w:t>
      </w:r>
    </w:p>
    <w:p w14:paraId="7E995BBC" w14:textId="77777777" w:rsidR="00352936" w:rsidRPr="00352936" w:rsidRDefault="00352936" w:rsidP="007D0895">
      <w:pPr>
        <w:pStyle w:val="Bibliography"/>
        <w:ind w:left="540" w:hanging="540"/>
      </w:pPr>
      <w:r w:rsidRPr="00352936">
        <w:t>El Khoury, C., Felix, A., Lorenzini, J., Rosset, J., 2023. The gender gap in pro-environmental political participation among older adults. Swiss Political Science Review 29, 58–74. https://doi.org/10.1111/spsr.12547</w:t>
      </w:r>
    </w:p>
    <w:p w14:paraId="5C61417E" w14:textId="77777777" w:rsidR="00352936" w:rsidRPr="00352936" w:rsidRDefault="00352936" w:rsidP="007D0895">
      <w:pPr>
        <w:pStyle w:val="Bibliography"/>
        <w:ind w:left="540" w:hanging="540"/>
      </w:pPr>
      <w:r w:rsidRPr="00352936">
        <w:t>Etu, E.-E., Sureshbabu, K., Summerville, S., Parmar, A., Huang, G., 2023. What changes the travel pattern: A national survey on the impacts of the COVID-19 pandemic on older adults’ public transportation usage. Journal of Transport &amp; Health 33, 101718. https://doi.org/10.1016/j.jth.2023.101718</w:t>
      </w:r>
    </w:p>
    <w:p w14:paraId="1A1A64E7" w14:textId="77777777" w:rsidR="00352936" w:rsidRPr="00352936" w:rsidRDefault="00352936" w:rsidP="007D0895">
      <w:pPr>
        <w:pStyle w:val="Bibliography"/>
        <w:ind w:left="540" w:hanging="540"/>
      </w:pPr>
      <w:r w:rsidRPr="00352936">
        <w:t>Etukudoh, E.A., Adefemi, A., Ilojianya, V.I., Umoh, A.A., Ibekwe, K.I., Nwokediegwu, Z.Q.S., Etukudoh, E.A., Adefemi, A., Ilojianya, V.I., Umoh, A.A., Ibekwe, K.I., Nwokediegwu, Z.Q.S., 2024. A Review of sustainable transportation solutions: Innovations, challenges, and future directions. World Journal of Advanced Research and Reviews 21, 1440–1452. https://doi.org/10.30574/wjarr.2024.21.1.0173</w:t>
      </w:r>
    </w:p>
    <w:p w14:paraId="019DBB80" w14:textId="77777777" w:rsidR="00352936" w:rsidRPr="00352936" w:rsidRDefault="00352936" w:rsidP="007D0895">
      <w:pPr>
        <w:pStyle w:val="Bibliography"/>
        <w:ind w:left="540" w:hanging="540"/>
      </w:pPr>
      <w:r w:rsidRPr="00352936">
        <w:t>Federal Highway Administration, 2023. 2022 NextGen National Household Travel Survey. https://nhts.ornl.gov</w:t>
      </w:r>
    </w:p>
    <w:p w14:paraId="7035FFEB" w14:textId="77777777" w:rsidR="00352936" w:rsidRPr="00352936" w:rsidRDefault="00352936" w:rsidP="007D0895">
      <w:pPr>
        <w:pStyle w:val="Bibliography"/>
        <w:ind w:left="540" w:hanging="540"/>
      </w:pPr>
      <w:r w:rsidRPr="00352936">
        <w:t>Federal Transit Administration, 2023. Asian American, Native Hawaiian, and Pacific Islanders Transit Listening Session: Bay Area Meeting Summary.</w:t>
      </w:r>
    </w:p>
    <w:p w14:paraId="62A7D5E3" w14:textId="26251323" w:rsidR="00352936" w:rsidRPr="00352936" w:rsidRDefault="00352936" w:rsidP="007D0895">
      <w:pPr>
        <w:pStyle w:val="Bibliography"/>
        <w:ind w:left="540" w:hanging="540"/>
      </w:pPr>
      <w:r w:rsidRPr="00352936">
        <w:t>Feraco, A., Armani, A., Amoah, I., Guseva, E., Camajani, E., Gorini, S., Strollo, R., Padua, E., Caprio, M., Lombardo, M., 2024. Assessing gender differences in food preferences and physical activity: a population-based survey. Front</w:t>
      </w:r>
      <w:r w:rsidR="002668AC">
        <w:t>iers in</w:t>
      </w:r>
      <w:r w:rsidRPr="00352936">
        <w:t xml:space="preserve"> Nutr</w:t>
      </w:r>
      <w:r w:rsidR="002668AC">
        <w:t>ition</w:t>
      </w:r>
      <w:r w:rsidRPr="00352936">
        <w:t xml:space="preserve"> 11. https://doi.org/10.3389/fnut.2024.1348456</w:t>
      </w:r>
    </w:p>
    <w:p w14:paraId="5BC56345" w14:textId="77777777" w:rsidR="00352936" w:rsidRPr="00352936" w:rsidRDefault="00352936" w:rsidP="007D0895">
      <w:pPr>
        <w:pStyle w:val="Bibliography"/>
        <w:ind w:left="540" w:hanging="540"/>
      </w:pPr>
      <w:r w:rsidRPr="00352936">
        <w:t>Gardner, N., Cui, J., Coiacetto, E., 2017. Harassment on public transport and its impacts on women’s travel behaviour. Australian Planner 54, 8–15. https://doi.org/10.1080/07293682.2017.1299189</w:t>
      </w:r>
    </w:p>
    <w:p w14:paraId="3E7E26EF" w14:textId="18E89C25" w:rsidR="00352936" w:rsidRPr="00352936" w:rsidRDefault="00352936" w:rsidP="007D0895">
      <w:pPr>
        <w:pStyle w:val="Bibliography"/>
        <w:ind w:left="540" w:hanging="540"/>
      </w:pPr>
      <w:r w:rsidRPr="00352936">
        <w:lastRenderedPageBreak/>
        <w:t xml:space="preserve">Giuliano, G., 2005. Low Income, Public Transit, and Mobility. </w:t>
      </w:r>
      <w:r w:rsidR="002668AC" w:rsidRPr="0069668E">
        <w:rPr>
          <w:shd w:val="clear" w:color="auto" w:fill="FFFFFF"/>
        </w:rPr>
        <w:t>Transportation Research Record 1927(1), 63</w:t>
      </w:r>
      <w:r w:rsidR="0069668E">
        <w:rPr>
          <w:shd w:val="clear" w:color="auto" w:fill="FFFFFF"/>
        </w:rPr>
        <w:t>–</w:t>
      </w:r>
      <w:r w:rsidR="002668AC" w:rsidRPr="0069668E">
        <w:rPr>
          <w:shd w:val="clear" w:color="auto" w:fill="FFFFFF"/>
        </w:rPr>
        <w:t>70</w:t>
      </w:r>
      <w:r w:rsidRPr="00352936">
        <w:t>. https://doi.org/10.1177/0361198105192700108</w:t>
      </w:r>
    </w:p>
    <w:p w14:paraId="08A862A3" w14:textId="47FBB2AB" w:rsidR="00352936" w:rsidRPr="00352936" w:rsidRDefault="00352936" w:rsidP="007D0895">
      <w:pPr>
        <w:pStyle w:val="Bibliography"/>
        <w:ind w:left="540" w:hanging="540"/>
      </w:pPr>
      <w:r w:rsidRPr="00352936">
        <w:t>Greer Cowan, P.L., 2023. Rethinking safe transit spaces for women and gender minorities.</w:t>
      </w:r>
      <w:r w:rsidR="0069668E">
        <w:t xml:space="preserve"> Policy Brief, </w:t>
      </w:r>
      <w:r w:rsidR="0069668E" w:rsidRPr="0069668E">
        <w:t>UCLA Institute of Transportation Studies.</w:t>
      </w:r>
      <w:r w:rsidRPr="0069668E">
        <w:t xml:space="preserve"> </w:t>
      </w:r>
      <w:r w:rsidRPr="00352936">
        <w:t>https://doi.org/10.17610/T6VG79</w:t>
      </w:r>
    </w:p>
    <w:p w14:paraId="3EDCC974" w14:textId="77777777" w:rsidR="00352936" w:rsidRPr="00352936" w:rsidRDefault="00352936" w:rsidP="007D0895">
      <w:pPr>
        <w:pStyle w:val="Bibliography"/>
        <w:ind w:left="540" w:hanging="540"/>
      </w:pPr>
      <w:r w:rsidRPr="00352936">
        <w:t>Gupta, A.S., Mukherjee, J., 2022. Long-term changes in consumers’ shopping behavior post-pandemic: an exploratory study. International Journal of Retail &amp; Distribution Management 50, 1518–1534. https://doi.org/10.1108/IJRDM-04-2022-0111</w:t>
      </w:r>
    </w:p>
    <w:p w14:paraId="3729307F" w14:textId="77777777" w:rsidR="00352936" w:rsidRPr="00352936" w:rsidRDefault="00352936" w:rsidP="007D0895">
      <w:pPr>
        <w:pStyle w:val="Bibliography"/>
        <w:ind w:left="540" w:hanging="540"/>
      </w:pPr>
      <w:r w:rsidRPr="00352936">
        <w:t>Hamad, K., El Traboulsi, Y., Shanableh, A., Al-Ruzouq, R., 2024. Assessing the long-term impact of COVID-19 on travel behavior: The United Arab Emirates perspective. Transportation Research Interdisciplinary Perspectives 23, 101008. https://doi.org/10.1016/j.trip.2023.101008</w:t>
      </w:r>
    </w:p>
    <w:p w14:paraId="42364B4F" w14:textId="77777777" w:rsidR="00352936" w:rsidRPr="00352936" w:rsidRDefault="00352936" w:rsidP="007D0895">
      <w:pPr>
        <w:pStyle w:val="Bibliography"/>
        <w:ind w:left="540" w:hanging="540"/>
      </w:pPr>
      <w:r w:rsidRPr="00352936">
        <w:t>Harford, J.D., 2006. Congestion, pollution, and benefit-to-cost ratios of US public transit systems. Transportation Research Part D: Transport and Environment 11, 45–58. https://doi.org/10.1016/j.trd.2005.09.001</w:t>
      </w:r>
    </w:p>
    <w:p w14:paraId="37F3E101" w14:textId="77777777" w:rsidR="00352936" w:rsidRPr="00352936" w:rsidRDefault="00352936" w:rsidP="007D0895">
      <w:pPr>
        <w:pStyle w:val="Bibliography"/>
        <w:ind w:left="540" w:hanging="540"/>
      </w:pPr>
      <w:r w:rsidRPr="00352936">
        <w:t>Harrington, D.M., Hadjiconstantinou, M., 2022. Changes in commuting behaviours in response to the COVID-19 pandemic in the UK. Journal of Transport &amp; Health 24, 101313. https://doi.org/10.1016/j.jth.2021.101313</w:t>
      </w:r>
    </w:p>
    <w:p w14:paraId="220BABE5" w14:textId="21F88E94" w:rsidR="00352936" w:rsidRPr="00352936" w:rsidRDefault="00352936" w:rsidP="007D0895">
      <w:pPr>
        <w:pStyle w:val="Bibliography"/>
        <w:ind w:left="540" w:hanging="540"/>
      </w:pPr>
      <w:r w:rsidRPr="00352936">
        <w:t>Hartman, L.M., Wooley, K.M., Tucker, R.C., 2024. The case for buses: interdisciplinary ethical arguments in support of strong public transit. J</w:t>
      </w:r>
      <w:r w:rsidR="0069668E">
        <w:t>ournal of</w:t>
      </w:r>
      <w:r w:rsidRPr="00352936">
        <w:t xml:space="preserve"> Environ</w:t>
      </w:r>
      <w:r w:rsidR="0069668E">
        <w:t>mental</w:t>
      </w:r>
      <w:r w:rsidRPr="00352936">
        <w:t xml:space="preserve"> Stud</w:t>
      </w:r>
      <w:r w:rsidR="0069668E">
        <w:t>ies and</w:t>
      </w:r>
      <w:r w:rsidRPr="00352936">
        <w:t xml:space="preserve"> Sci</w:t>
      </w:r>
      <w:r w:rsidR="0069668E">
        <w:t>ences</w:t>
      </w:r>
      <w:r w:rsidRPr="00352936">
        <w:t xml:space="preserve"> 14, 180–192. https://doi.org/10.1007/s13412-023-00874-1</w:t>
      </w:r>
    </w:p>
    <w:p w14:paraId="34CE4370" w14:textId="77777777" w:rsidR="00352936" w:rsidRPr="00352936" w:rsidRDefault="00352936" w:rsidP="007D0895">
      <w:pPr>
        <w:pStyle w:val="Bibliography"/>
        <w:ind w:left="540" w:hanging="540"/>
      </w:pPr>
      <w:r w:rsidRPr="00352936">
        <w:t>He, Q., Rowangould, D., Karner, A., Palm, M., LaRue, S., 2022. Covid-19 pandemic impacts on essential transit riders: Findings from a U.S. Survey. Transportation Research Part D: Transport and Environment 105, 103217. https://doi.org/10.1016/j.trd.2022.103217</w:t>
      </w:r>
    </w:p>
    <w:p w14:paraId="67FDF1F5" w14:textId="77777777" w:rsidR="00352936" w:rsidRPr="00352936" w:rsidRDefault="00352936" w:rsidP="007D0895">
      <w:pPr>
        <w:pStyle w:val="Bibliography"/>
        <w:ind w:left="540" w:hanging="540"/>
      </w:pPr>
      <w:r w:rsidRPr="00352936">
        <w:t>Heckman, J.J., Vytlacil, E.J., 2000. The relationship between treatment parameters within a latent variable framework. Economics Letters 66, 33–39. https://doi.org/10.1016/S0165-1765(99)00181-0</w:t>
      </w:r>
    </w:p>
    <w:p w14:paraId="14382EC8" w14:textId="77777777" w:rsidR="00352936" w:rsidRPr="00352936" w:rsidRDefault="00352936" w:rsidP="007D0895">
      <w:pPr>
        <w:pStyle w:val="Bibliography"/>
        <w:ind w:left="540" w:hanging="540"/>
      </w:pPr>
      <w:r w:rsidRPr="00352936">
        <w:t>Hu, S., Chen, P., 2021. Who left riding transit? Examining socioeconomic disparities in the impact of COVID-19 on ridership. Transportation Research Part D: Transport and Environment 90, 102654. https://doi.org/10.1016/j.trd.2020.102654</w:t>
      </w:r>
    </w:p>
    <w:p w14:paraId="4A675BEA" w14:textId="1C00BBD9" w:rsidR="00352936" w:rsidRPr="00352936" w:rsidRDefault="00352936" w:rsidP="007D0895">
      <w:pPr>
        <w:pStyle w:val="Bibliography"/>
        <w:ind w:left="540" w:hanging="540"/>
      </w:pPr>
      <w:r w:rsidRPr="00352936">
        <w:t>Huang, Y., 2024. Income Loss and Mental Health during the COVID-19 Pandemic in the United States—Investigating the Moderating Role of Race and Metro-Level Co-ethnic Density. J</w:t>
      </w:r>
      <w:r w:rsidR="0069668E">
        <w:t>ournal of</w:t>
      </w:r>
      <w:r w:rsidRPr="00352936">
        <w:t xml:space="preserve"> Urban Health 101, 205–217. https://doi.org/10.1007/s11524-024-00826-2</w:t>
      </w:r>
    </w:p>
    <w:p w14:paraId="7A3DEEC1" w14:textId="77777777" w:rsidR="00352936" w:rsidRPr="00352936" w:rsidRDefault="00352936" w:rsidP="007D0895">
      <w:pPr>
        <w:pStyle w:val="Bibliography"/>
        <w:ind w:left="540" w:hanging="540"/>
      </w:pPr>
      <w:r w:rsidRPr="00352936">
        <w:t>Iogansen, X., Malik, J.K., Lee, Y., Circella, G., 2024. Change in work arrangement during the COVID-19 pandemic: A large shift to remote and hybrid work. Transportation Research Interdisciplinary Perspectives 25, 100969. https://doi.org/10.1016/j.trip.2023.100969</w:t>
      </w:r>
    </w:p>
    <w:p w14:paraId="34FD5EA5" w14:textId="77777777" w:rsidR="00352936" w:rsidRPr="00352936" w:rsidRDefault="00352936" w:rsidP="007D0895">
      <w:pPr>
        <w:pStyle w:val="Bibliography"/>
        <w:ind w:left="540" w:hanging="540"/>
      </w:pPr>
      <w:r w:rsidRPr="00352936">
        <w:t>Jiao, J., Hansen, K., Azimian, A., 2023. Disparities in the Impacts of the COVID-19 Pandemic on Public Transit Ridership in Austin, Texas, U.S.A. Transportation Research Record 2677, 287–297. https://doi.org/10.1177/03611981231159906</w:t>
      </w:r>
    </w:p>
    <w:p w14:paraId="7724B595" w14:textId="77777777" w:rsidR="00352936" w:rsidRPr="00352936" w:rsidRDefault="00352936" w:rsidP="007D0895">
      <w:pPr>
        <w:pStyle w:val="Bibliography"/>
        <w:ind w:left="540" w:hanging="540"/>
      </w:pPr>
      <w:r w:rsidRPr="00352936">
        <w:t>Kacharo, D.K., Teshome, E., Woltamo, T., 2022. Safety and security of women and girls in public transport. Urban, Planning and Transport Research 10, 1–19. https://doi.org/10.1080/21650020.2022.2027268</w:t>
      </w:r>
    </w:p>
    <w:p w14:paraId="56570692" w14:textId="77777777" w:rsidR="00352936" w:rsidRPr="00352936" w:rsidRDefault="00352936" w:rsidP="007D0895">
      <w:pPr>
        <w:pStyle w:val="Bibliography"/>
        <w:ind w:left="540" w:hanging="540"/>
      </w:pPr>
      <w:r w:rsidRPr="00352936">
        <w:t>Kapatsila, Bogdan, G., Emily, 2024. What makes public transit demand management programmes successful? A systematic review of ex-post evidence. Transport Reviews. https://doi.org/10.1080/01441647.2024.2349751</w:t>
      </w:r>
    </w:p>
    <w:p w14:paraId="63A3E92D" w14:textId="77777777" w:rsidR="00352936" w:rsidRPr="00352936" w:rsidRDefault="00352936" w:rsidP="007D0895">
      <w:pPr>
        <w:pStyle w:val="Bibliography"/>
        <w:ind w:left="540" w:hanging="540"/>
      </w:pPr>
      <w:r w:rsidRPr="00352936">
        <w:lastRenderedPageBreak/>
        <w:t>Kiko, M., Coulombel, N., Poulhès, A., Seregina, T., Tremblin, G., 2024. Evaluation of Direct and Indirect Effects of Teleworking on Mobility: The Case of Paris. Transportation Research Record 2678, 865–878. https://doi.org/10.1177/03611981231182973</w:t>
      </w:r>
    </w:p>
    <w:p w14:paraId="223550E5" w14:textId="3E2E6E47" w:rsidR="00352936" w:rsidRPr="00352936" w:rsidRDefault="00352936" w:rsidP="007D0895">
      <w:pPr>
        <w:pStyle w:val="Bibliography"/>
        <w:ind w:left="540" w:hanging="540"/>
      </w:pPr>
      <w:r w:rsidRPr="00352936">
        <w:t>Li, J., Nguyen, T.H.H., Coca-Stefaniak, J.A., 2021. Coronavirus impacts on post-pandemic planned travel behaviours. Ann</w:t>
      </w:r>
      <w:r w:rsidR="0069668E">
        <w:t>als of</w:t>
      </w:r>
      <w:r w:rsidRPr="00352936">
        <w:t xml:space="preserve"> Tour</w:t>
      </w:r>
      <w:r w:rsidR="0069668E">
        <w:t>ism</w:t>
      </w:r>
      <w:r w:rsidRPr="00352936">
        <w:t xml:space="preserve"> Res</w:t>
      </w:r>
      <w:r w:rsidR="0069668E">
        <w:t>earch</w:t>
      </w:r>
      <w:r w:rsidRPr="00352936">
        <w:t xml:space="preserve"> 86, 102964. https://doi.org/10.1016/j.annals.2020.102964</w:t>
      </w:r>
    </w:p>
    <w:p w14:paraId="726D2A18" w14:textId="77777777" w:rsidR="00352936" w:rsidRPr="00352936" w:rsidRDefault="00352936" w:rsidP="007D0895">
      <w:pPr>
        <w:pStyle w:val="Bibliography"/>
        <w:ind w:left="540" w:hanging="540"/>
      </w:pPr>
      <w:r w:rsidRPr="00352936">
        <w:t>Lin, Y., Xu, Y., Zhao, Z., Tu, W., Park, S., Li, Q., 2024. Assessing effects of pandemic-related policies on individual public transit travel patterns: A Bayesian online changepoint detection based framework. Transportation Research Part A: Policy and Practice 181, 104003. https://doi.org/10.1016/j.tra.2024.104003</w:t>
      </w:r>
    </w:p>
    <w:p w14:paraId="60F4D0CE" w14:textId="43438B31" w:rsidR="00352936" w:rsidRPr="00352936" w:rsidRDefault="00352936" w:rsidP="007D0895">
      <w:pPr>
        <w:pStyle w:val="Bibliography"/>
        <w:ind w:left="540" w:hanging="540"/>
      </w:pPr>
      <w:r w:rsidRPr="00352936">
        <w:t>Marcén, M., Morales, M., 2024. The effect of COVID-19 on the gender gap in remote work.</w:t>
      </w:r>
      <w:r w:rsidR="00892153">
        <w:t xml:space="preserve"> </w:t>
      </w:r>
      <w:r w:rsidR="00892153" w:rsidRPr="00892153">
        <w:t>GLO Discussion Paper Series</w:t>
      </w:r>
      <w:r w:rsidR="00892153" w:rsidRPr="00892153">
        <w:rPr>
          <w:shd w:val="clear" w:color="auto" w:fill="FFFFFF"/>
        </w:rPr>
        <w:t> 1379, Global Labor Organization (GLO).</w:t>
      </w:r>
    </w:p>
    <w:p w14:paraId="2AFB52DE" w14:textId="5260341C" w:rsidR="00352936" w:rsidRPr="00352936" w:rsidRDefault="00352936" w:rsidP="007D0895">
      <w:pPr>
        <w:pStyle w:val="Bibliography"/>
        <w:ind w:left="540" w:hanging="540"/>
      </w:pPr>
      <w:r w:rsidRPr="00352936">
        <w:t>Maslakçı, A., Sürücü, L., 2024. Gender Effects on Depression, Anxiety, and Stress Regarding the Fear of COVID-19. Trends in Psychol</w:t>
      </w:r>
      <w:r w:rsidR="0069668E">
        <w:t>ogy</w:t>
      </w:r>
      <w:r w:rsidRPr="00352936">
        <w:t xml:space="preserve"> 32, 152–164. https://doi.org/10.1007/s43076-022-00227-x</w:t>
      </w:r>
    </w:p>
    <w:p w14:paraId="06A6D4EF" w14:textId="77777777" w:rsidR="00352936" w:rsidRPr="00352936" w:rsidRDefault="00352936" w:rsidP="007D0895">
      <w:pPr>
        <w:pStyle w:val="Bibliography"/>
        <w:ind w:left="540" w:hanging="540"/>
      </w:pPr>
      <w:r w:rsidRPr="00352936">
        <w:t>Molina, A., Malalgoda, N., Taleqani, A.R., Mattson, J., Ezekwem, K., Askarzadeh, T., Hough, J., Small Urban and Rural Center on Mobility, Upper Great Plains Transportation Institute, North Dakota State University, 2021. Surveys of Transit Riders and Agencies During the COVID-19 Pandemic (No. Staff Paper No. 188).</w:t>
      </w:r>
    </w:p>
    <w:p w14:paraId="494396D6" w14:textId="28F8E0E3" w:rsidR="00352936" w:rsidRPr="00352936" w:rsidRDefault="00352936" w:rsidP="007D0895">
      <w:pPr>
        <w:pStyle w:val="Bibliography"/>
        <w:ind w:left="540" w:hanging="540"/>
      </w:pPr>
      <w:r w:rsidRPr="00352936">
        <w:t xml:space="preserve">Molloy, Q., Garrick, N., Atkinson-Palombo, C., 2024. Black Households Are More Burdened by Vehicle Ownership than White Households. </w:t>
      </w:r>
      <w:r w:rsidR="0069668E" w:rsidRPr="0069668E">
        <w:t>Transportation Research Record 2678(10), 163-173</w:t>
      </w:r>
      <w:r w:rsidRPr="00352936">
        <w:t>. https://doi.org/10.1177/03611981241231968</w:t>
      </w:r>
    </w:p>
    <w:p w14:paraId="40FE6A8E" w14:textId="77777777" w:rsidR="00352936" w:rsidRPr="00352936" w:rsidRDefault="00352936" w:rsidP="007D0895">
      <w:pPr>
        <w:pStyle w:val="Bibliography"/>
        <w:ind w:left="540" w:hanging="540"/>
      </w:pPr>
      <w:r w:rsidRPr="00352936">
        <w:t>Navarrete-Hernandez, P., Rennert, L., Balducci, A., 2023. An evaluation of the impact of COVID-19 safety measures in public transit spaces on riders’ Worry of virus contraction. Transport Policy 131, 1–12. https://doi.org/10.1016/j.tranpol.2022.11.011</w:t>
      </w:r>
    </w:p>
    <w:p w14:paraId="7B4AA91E" w14:textId="77777777" w:rsidR="00352936" w:rsidRPr="00352936" w:rsidRDefault="00352936" w:rsidP="007D0895">
      <w:pPr>
        <w:pStyle w:val="Bibliography"/>
        <w:ind w:left="540" w:hanging="540"/>
      </w:pPr>
      <w:r w:rsidRPr="00352936">
        <w:t>Palm, M., Allen, J., Liu, B., Zhang, Y., Widener, M., Farber, S., 2021. Riders Who Avoided Public Transit During COVID-19: Personal Burdens and Implications for Social Equity. Journal of the American Planning Association 87, 455–469. https://doi.org/10.1080/01944363.2021.1886974</w:t>
      </w:r>
    </w:p>
    <w:p w14:paraId="7A46D470" w14:textId="77777777" w:rsidR="00352936" w:rsidRPr="00352936" w:rsidRDefault="00352936" w:rsidP="007D0895">
      <w:pPr>
        <w:pStyle w:val="Bibliography"/>
        <w:ind w:left="540" w:hanging="540"/>
      </w:pPr>
      <w:r w:rsidRPr="00352936">
        <w:t>Paulley, N., Balcombe, R., Mackett, R., Titheridge, H., Preston, J., Wardman, M., Shires, J., White, P., 2006. The demand for public transport: The effects of fares, quality of service, income and car ownership. Transport Policy, Innovation and Integration in Urban Transport Policy 13, 295–306. https://doi.org/10.1016/j.tranpol.2005.12.004</w:t>
      </w:r>
    </w:p>
    <w:p w14:paraId="0A50C64D" w14:textId="77777777" w:rsidR="00352936" w:rsidRPr="00352936" w:rsidRDefault="00352936" w:rsidP="007D0895">
      <w:pPr>
        <w:pStyle w:val="Bibliography"/>
        <w:ind w:left="540" w:hanging="540"/>
      </w:pPr>
      <w:r w:rsidRPr="00352936">
        <w:t>Pollock, S., Devasurendra, K.W., Weiss, A., de Barros, A., Wirasinghe, S.C., Kattan, L., 2024. Evaluating transit mode choice in the context of the COVID-19 pandemic – A stated preference approach. Travel Behaviour and Society 34, 100678. https://doi.org/10.1016/j.tbs.2023.100678</w:t>
      </w:r>
    </w:p>
    <w:p w14:paraId="57D423F4" w14:textId="77777777" w:rsidR="00352936" w:rsidRPr="00352936" w:rsidRDefault="00352936" w:rsidP="007D0895">
      <w:pPr>
        <w:pStyle w:val="Bibliography"/>
        <w:ind w:left="540" w:hanging="540"/>
      </w:pPr>
      <w:r w:rsidRPr="00352936">
        <w:t>Qi, Y., Liu, J., Tao, T., Zhao, Q., 2023. Impacts of COVID-19 on public transit ridership. International Journal of Transportation Science and Technology 12, 34–45. https://doi.org/10.1016/j.ijtst.2021.11.003</w:t>
      </w:r>
    </w:p>
    <w:p w14:paraId="00743963" w14:textId="3A5C8B98" w:rsidR="00352936" w:rsidRPr="00352936" w:rsidRDefault="00352936" w:rsidP="007D0895">
      <w:pPr>
        <w:pStyle w:val="Bibliography"/>
        <w:ind w:left="540" w:hanging="540"/>
      </w:pPr>
      <w:r w:rsidRPr="00352936">
        <w:t xml:space="preserve">Ravensbergen, L., Newbold, K.B., Ganann, R., Sinding, C., 2021. ‘Mobility work’: Older adults’ experiences using public transportation. Journal of </w:t>
      </w:r>
      <w:r w:rsidR="0069668E">
        <w:t>T</w:t>
      </w:r>
      <w:r w:rsidRPr="00352936">
        <w:t xml:space="preserve">ransport </w:t>
      </w:r>
      <w:r w:rsidR="0069668E">
        <w:t>G</w:t>
      </w:r>
      <w:r w:rsidRPr="00352936">
        <w:t>eography 97, 103221.</w:t>
      </w:r>
    </w:p>
    <w:p w14:paraId="05CA341B" w14:textId="77777777" w:rsidR="00352936" w:rsidRPr="00352936" w:rsidRDefault="00352936" w:rsidP="00A109CD">
      <w:pPr>
        <w:pStyle w:val="Bibliography"/>
        <w:keepLines/>
        <w:ind w:left="547" w:hanging="547"/>
      </w:pPr>
      <w:r w:rsidRPr="00352936">
        <w:lastRenderedPageBreak/>
        <w:t>Salon, D., Conway, M.W., Capasso da Silva, D., Chauhan, R.S., Derrible, S., Mohammadian, A. (Kouros), Khoeini, S., Parker, N., Mirtich, L., Shamshiripour, A., Rahimi, E., Pendyala, R.M., 2021. The potential stickiness of pandemic-induced behavior changes in the United States. Proceedings of the National Academy of Sciences 118, e2106499118. https://doi.org/10.1073/pnas.2106499118</w:t>
      </w:r>
    </w:p>
    <w:p w14:paraId="393D9892" w14:textId="521EB1FA" w:rsidR="00352936" w:rsidRPr="00352936" w:rsidRDefault="00352936" w:rsidP="007D0895">
      <w:pPr>
        <w:pStyle w:val="Bibliography"/>
        <w:ind w:left="540" w:hanging="540"/>
      </w:pPr>
      <w:r w:rsidRPr="00352936">
        <w:t xml:space="preserve">Saphores, J.-D., Shah, D., Khatun, F., 2020. A Review of Reduced and Free Transit Fare Programs in California. </w:t>
      </w:r>
      <w:r w:rsidR="0069668E" w:rsidRPr="00706A94">
        <w:t>Report No: UC-ITS-2019-55</w:t>
      </w:r>
      <w:r w:rsidR="0069668E" w:rsidRPr="00706A94">
        <w:t xml:space="preserve">, </w:t>
      </w:r>
      <w:r w:rsidR="00706A94" w:rsidRPr="00706A94">
        <w:t>University of California Institute of Transportation Studies</w:t>
      </w:r>
      <w:r w:rsidR="00706A94" w:rsidRPr="00706A94">
        <w:t xml:space="preserve">, </w:t>
      </w:r>
      <w:r w:rsidR="00706A94" w:rsidRPr="00706A94">
        <w:t>University of California, Irvine</w:t>
      </w:r>
      <w:r w:rsidR="00706A94" w:rsidRPr="00706A94">
        <w:t>.</w:t>
      </w:r>
      <w:r w:rsidR="00706A94">
        <w:t xml:space="preserve"> </w:t>
      </w:r>
      <w:r w:rsidRPr="00352936">
        <w:t>https://doi.org/10.7922/G2XP735Q</w:t>
      </w:r>
    </w:p>
    <w:p w14:paraId="0B12F72F" w14:textId="77777777" w:rsidR="00352936" w:rsidRPr="00352936" w:rsidRDefault="00352936" w:rsidP="007D0895">
      <w:pPr>
        <w:pStyle w:val="Bibliography"/>
        <w:ind w:left="540" w:hanging="540"/>
      </w:pPr>
      <w:r w:rsidRPr="00352936">
        <w:t>Siewwuttanagul, S., Jittrapirom, P., 2023. The impact of COVID-19 and related containment measures on Bangkok’s public transport ridership. Transportation Research Interdisciplinary Perspectives 17, 100737. https://doi.org/10.1016/j.trip.2022.100737</w:t>
      </w:r>
    </w:p>
    <w:p w14:paraId="71A18E01" w14:textId="77777777" w:rsidR="00352936" w:rsidRPr="00352936" w:rsidRDefault="00352936" w:rsidP="007D0895">
      <w:pPr>
        <w:pStyle w:val="Bibliography"/>
        <w:ind w:left="540" w:hanging="540"/>
      </w:pPr>
      <w:r w:rsidRPr="00352936">
        <w:t>Soria, J., Edward, D., Stathopoulos, A., 2023. Requiem for transit ridership? An examination of who abandoned, who will return, and who will ride more with mobility as a service. Transport Policy 134, 139–154. https://doi.org/10.1016/j.tranpol.2023.02.016</w:t>
      </w:r>
    </w:p>
    <w:p w14:paraId="5DD1A496" w14:textId="77777777" w:rsidR="00352936" w:rsidRPr="00352936" w:rsidRDefault="00352936" w:rsidP="007D0895">
      <w:pPr>
        <w:pStyle w:val="Bibliography"/>
        <w:ind w:left="540" w:hanging="540"/>
      </w:pPr>
      <w:r w:rsidRPr="00352936">
        <w:t>Speroni, S., Taylor, B.D., Hwang, Y.H., 2023. Pandemic Transit: A National Look at the Shock, Adaptation, and Prospects for Recovery, in: Loukaitou-Sideris, A., Bayen, A.M., Circella, G., Jayakrishnan, R. (Eds.), Pandemic in the Metropolis: Transportation Impacts and Recovery. Springer International Publishing, Cham, pp. 267–281. https://doi.org/10.1007/978-3-031-00148-2_17</w:t>
      </w:r>
    </w:p>
    <w:p w14:paraId="4EA401CE" w14:textId="745A41D6" w:rsidR="00352936" w:rsidRPr="00352936" w:rsidRDefault="00352936" w:rsidP="007D0895">
      <w:pPr>
        <w:pStyle w:val="Bibliography"/>
        <w:ind w:left="540" w:hanging="540"/>
      </w:pPr>
      <w:r w:rsidRPr="00352936">
        <w:t>Spieler, C., 2020. Racism has shaped public transit, and it’s riddled with inequities. Kinder Institute for Urban Research</w:t>
      </w:r>
      <w:r w:rsidR="00706A94">
        <w:t xml:space="preserve">, </w:t>
      </w:r>
      <w:r w:rsidRPr="00352936">
        <w:t>Rice University. https://kinder.rice.edu/urbanedge/racism-has-shaped-public-transit-and-its-riddled-inequities (accessed 6.7.24).</w:t>
      </w:r>
    </w:p>
    <w:p w14:paraId="04E62A95" w14:textId="77777777" w:rsidR="00352936" w:rsidRPr="00352936" w:rsidRDefault="00352936" w:rsidP="007D0895">
      <w:pPr>
        <w:pStyle w:val="Bibliography"/>
        <w:ind w:left="540" w:hanging="540"/>
      </w:pPr>
      <w:r w:rsidRPr="00352936">
        <w:t>Suneel, T., Vishnu Mahesh, A.S., Akhil Kumar, B., Blessy Babu, K., Gayatri, B., 2024. Over-Crowd Avoiding In Transportation With Face DetectionUsing Raspberrypi, in: 2024 International Conference on Automation and Computation (AUTOCOM). Presented at the 2024 International Conference on Automation and Computation (AUTOCOM), pp. 104–109. https://doi.org/10.1109/AUTOCOM60220.2024.10486072</w:t>
      </w:r>
    </w:p>
    <w:p w14:paraId="0CFC5B71" w14:textId="77777777" w:rsidR="00352936" w:rsidRPr="00352936" w:rsidRDefault="00352936" w:rsidP="007D0895">
      <w:pPr>
        <w:pStyle w:val="Bibliography"/>
        <w:ind w:left="540" w:hanging="540"/>
      </w:pPr>
      <w:r w:rsidRPr="00352936">
        <w:t>Sung, H., Dabrundashvili, N., Baek, S., 2023. Mode-specific impacts of social distancing measures on the intra- and inter-urban mobility of public transit in Seoul during the COVID-19 pandemic. Sustainable Cities and Society 98, 104842. https://doi.org/10.1016/j.scs.2023.104842</w:t>
      </w:r>
    </w:p>
    <w:p w14:paraId="484CB233" w14:textId="77777777" w:rsidR="00352936" w:rsidRPr="00352936" w:rsidRDefault="00352936" w:rsidP="007D0895">
      <w:pPr>
        <w:pStyle w:val="Bibliography"/>
        <w:ind w:left="540" w:hanging="540"/>
      </w:pPr>
      <w:r w:rsidRPr="00352936">
        <w:t>Sureshbabu, K., Etu, E.-E., Summerville, S., Parmar, A., Huang, G., 2022. Exploring the Use of Public Transportation Among Older Adults During the COVID-19 Pandemic: A National Survey. Mineta Transportation Institute. https://doi.org/10.31979/mti.2022.2204</w:t>
      </w:r>
    </w:p>
    <w:p w14:paraId="415D388D" w14:textId="77777777" w:rsidR="00352936" w:rsidRPr="00352936" w:rsidRDefault="00352936" w:rsidP="007D0895">
      <w:pPr>
        <w:pStyle w:val="Bibliography"/>
        <w:ind w:left="540" w:hanging="540"/>
      </w:pPr>
      <w:r w:rsidRPr="00352936">
        <w:t>Tahlyan, D., Said, M., Mahmassani, H., Stathopoulos, A., Walker, J., Shaheen, S., 2022. For Whom Did Telework Not Work During the Pandemic? Understanding the Factors Impacting Telework Satisfaction in the US Using a Multiple Indicator Multiple Cause (MIMIC) Model. Transportation Research Part A: Policy and Practice 155, 387–402. https://doi.org/10.1016/j.tra.2021.11.025</w:t>
      </w:r>
    </w:p>
    <w:p w14:paraId="304F53E3" w14:textId="77777777" w:rsidR="00352936" w:rsidRPr="00352936" w:rsidRDefault="00352936" w:rsidP="007D0895">
      <w:pPr>
        <w:pStyle w:val="Bibliography"/>
        <w:ind w:left="540" w:hanging="540"/>
      </w:pPr>
      <w:r w:rsidRPr="00352936">
        <w:t>Taylor, B.D., Ding, H., 2021. Making Transit Safe to Ride During a Pandemic: What Are The Risks and What Can Be Done in Response? (No. UC-ITS-2021-12). University of California Institute of Transportation Studies.</w:t>
      </w:r>
    </w:p>
    <w:p w14:paraId="6E51FD0F" w14:textId="77777777" w:rsidR="00352936" w:rsidRPr="00352936" w:rsidRDefault="00352936" w:rsidP="007D0895">
      <w:pPr>
        <w:pStyle w:val="Bibliography"/>
        <w:ind w:left="540" w:hanging="540"/>
      </w:pPr>
      <w:r w:rsidRPr="00352936">
        <w:t>Tirachini, A., Cats, O., 2020. COVID-19 and Public Transportation: Current Assessment, Prospects, and Research Needs. Journal of Public Transportation 22, 1–21. https://doi.org/10.5038/2375-0901.22.1.1</w:t>
      </w:r>
    </w:p>
    <w:p w14:paraId="5A66213B" w14:textId="77777777" w:rsidR="00352936" w:rsidRPr="00352936" w:rsidRDefault="00352936" w:rsidP="007D0895">
      <w:pPr>
        <w:pStyle w:val="Bibliography"/>
        <w:ind w:left="540" w:hanging="540"/>
      </w:pPr>
      <w:r w:rsidRPr="00352936">
        <w:lastRenderedPageBreak/>
        <w:t>Tiznado-Aitken, I., Lucas, K., Muñoz, J.C., Hurtubia, R., 2022. Freedom of Choice? Social and Spatial Disparities on Combined Housing and Transport Affordability. Transport Policy 122, 39–53. https://doi.org/10.1016/j.tranpol.2022.04.005</w:t>
      </w:r>
    </w:p>
    <w:p w14:paraId="1B15CD25" w14:textId="77777777" w:rsidR="00352936" w:rsidRPr="00352936" w:rsidRDefault="00352936" w:rsidP="007D0895">
      <w:pPr>
        <w:pStyle w:val="Bibliography"/>
        <w:ind w:left="540" w:hanging="540"/>
      </w:pPr>
      <w:r w:rsidRPr="00352936">
        <w:t>Transit App, 2024. APTA - Ridership Trends [WWW Document]. URL https://transitapp.com/APTA (accessed 2.22.24).</w:t>
      </w:r>
    </w:p>
    <w:p w14:paraId="2E6BCFD2" w14:textId="77777777" w:rsidR="00352936" w:rsidRPr="00352936" w:rsidRDefault="00352936" w:rsidP="007D0895">
      <w:pPr>
        <w:pStyle w:val="Bibliography"/>
        <w:ind w:left="540" w:hanging="540"/>
      </w:pPr>
      <w:r w:rsidRPr="00352936">
        <w:t>Tsavdari, D., Klimi, V., Georgiadis, G., Fountas, G., Basbas, S., 2022. The Anticipated Use of Public Transport in the Post-Pandemic Era: Insights from an Academic Community in Thessaloniki, Greece. Social Sciences 11, 400. https://doi.org/10.3390/socsci11090400</w:t>
      </w:r>
    </w:p>
    <w:p w14:paraId="79107AC9" w14:textId="77777777" w:rsidR="00352936" w:rsidRPr="00352936" w:rsidRDefault="00352936" w:rsidP="007D0895">
      <w:pPr>
        <w:pStyle w:val="Bibliography"/>
        <w:ind w:left="540" w:hanging="540"/>
      </w:pPr>
      <w:r w:rsidRPr="00352936">
        <w:t>U.S. Census Bureau [WWW Document], 2022. URL https://data.census.gov/profile/United_States?g=010XX00US (accessed 3.25.24).</w:t>
      </w:r>
    </w:p>
    <w:p w14:paraId="08436683" w14:textId="77777777" w:rsidR="00352936" w:rsidRPr="00352936" w:rsidRDefault="00352936" w:rsidP="007D0895">
      <w:pPr>
        <w:pStyle w:val="Bibliography"/>
        <w:ind w:left="540" w:hanging="540"/>
      </w:pPr>
      <w:r w:rsidRPr="00352936">
        <w:t>Vemuri, N., Tatikonda, V.M., Thaneeru, N., 2024. Enhancing Public Transit System Through AI and IoT. Valley International Journal Digital Library 1057–1071. https://doi.org/10.18535/ijsrm/v12i02.ec07</w:t>
      </w:r>
    </w:p>
    <w:p w14:paraId="1CC05BE0" w14:textId="77777777" w:rsidR="00352936" w:rsidRPr="00352936" w:rsidRDefault="00352936" w:rsidP="007D0895">
      <w:pPr>
        <w:pStyle w:val="Bibliography"/>
        <w:ind w:left="540" w:hanging="540"/>
      </w:pPr>
      <w:r w:rsidRPr="00352936">
        <w:t>Wilbur, M., Ayman, A., Sivagnanam, A., Ouyang, A., Poon, V., Kabir, R., Vadali, A., Pugliese, P., Freudberg, D., Laszka, A., Dubey, A., 2023. Impact of COVID-19 on Public Transit Accessibility and Ridership. Transportation Research Record 2677, 531–546. https://doi.org/10.1177/03611981231160531</w:t>
      </w:r>
    </w:p>
    <w:p w14:paraId="1A916144" w14:textId="77777777" w:rsidR="00352936" w:rsidRPr="00352936" w:rsidRDefault="00352936" w:rsidP="007D0895">
      <w:pPr>
        <w:pStyle w:val="Bibliography"/>
        <w:ind w:left="540" w:hanging="540"/>
      </w:pPr>
      <w:r w:rsidRPr="00352936">
        <w:t>Zhang, N., Jia, W., Lei, H., Wang, P., Zhao, P., Guo, Y., Dung, C.-H., Bu, Z., Xue, P., Xie, J., Zhang, Y., Cheng, R., Li, Y., 2021. Effects of Human Behavior Changes During the Coronavirus Disease 2019 (COVID-19) Pandemic on Influenza Spread in Hong Kong. Clinical Infectious Diseases 73, e1142–e1150. https://doi.org/10.1093/cid/ciaa1818</w:t>
      </w:r>
    </w:p>
    <w:p w14:paraId="564D2CB7" w14:textId="77777777" w:rsidR="00352936" w:rsidRPr="00352936" w:rsidRDefault="00352936" w:rsidP="007D0895">
      <w:pPr>
        <w:pStyle w:val="Bibliography"/>
        <w:ind w:left="540" w:hanging="540"/>
      </w:pPr>
      <w:r w:rsidRPr="00352936">
        <w:t>Zhao, P., Gao, Y., 2022. Public transit travel choice in the post COVID-19 pandemic era: An application of the extended Theory of Planned behavior. Travel Behaviour and Society 28, 181–195. https://doi.org/10.1016/j.tbs.2022.04.002</w:t>
      </w:r>
    </w:p>
    <w:p w14:paraId="69B95F77" w14:textId="61A0841C" w:rsidR="00352936" w:rsidRPr="003F38F2" w:rsidRDefault="00352936" w:rsidP="007D0895">
      <w:pPr>
        <w:pStyle w:val="Bibliography"/>
        <w:ind w:left="540" w:hanging="540"/>
      </w:pPr>
      <w:r w:rsidRPr="00352936">
        <w:t xml:space="preserve">Ziedan, A., Lima, L., Brakewood, C., 2023. A Multiple Mediation Analysis to Untangle the Impacts of </w:t>
      </w:r>
      <w:r w:rsidR="003F38F2" w:rsidRPr="00352936">
        <w:t>COVID-19</w:t>
      </w:r>
      <w:r w:rsidRPr="00352936">
        <w:t xml:space="preserve"> on Nationwide Bus Ridership in the United States. </w:t>
      </w:r>
      <w:r w:rsidR="003F38F2" w:rsidRPr="00352936">
        <w:t xml:space="preserve">Transportation Research Part A: Policy and Practice </w:t>
      </w:r>
      <w:r w:rsidR="003F38F2">
        <w:t>173</w:t>
      </w:r>
      <w:r w:rsidR="003F38F2" w:rsidRPr="00352936">
        <w:t xml:space="preserve">, </w:t>
      </w:r>
      <w:r w:rsidR="003F38F2">
        <w:t>103718</w:t>
      </w:r>
      <w:r w:rsidRPr="00352936">
        <w:t>.</w:t>
      </w:r>
      <w:r w:rsidR="003F38F2">
        <w:t xml:space="preserve"> </w:t>
      </w:r>
      <w:r w:rsidR="003F38F2" w:rsidRPr="003F38F2">
        <w:rPr>
          <w:rStyle w:val="anchor-text"/>
        </w:rPr>
        <w:t>https://doi.org/10.1016/j.tra.2023.103718</w:t>
      </w:r>
    </w:p>
    <w:p w14:paraId="07904328" w14:textId="1F8DB801" w:rsidR="00352936" w:rsidRPr="00352936" w:rsidRDefault="00352936" w:rsidP="007D0895">
      <w:pPr>
        <w:pStyle w:val="Bibliography"/>
        <w:ind w:left="540" w:hanging="540"/>
      </w:pPr>
      <w:r w:rsidRPr="00352936">
        <w:t>Zipper, D., 2023. How to Save America’s Public Transit System from a Doom Spiral. VOX. https://www.vox.com/future-perfect/23653855/covid-transit-fares-buses-subways-crisis (accessed 6.3.24).</w:t>
      </w:r>
    </w:p>
    <w:p w14:paraId="459548CD" w14:textId="0472C641" w:rsidR="004F1752" w:rsidRDefault="00642A29" w:rsidP="007D0895">
      <w:pPr>
        <w:pStyle w:val="Bibliography"/>
        <w:ind w:left="540" w:hanging="540"/>
        <w:rPr>
          <w:b/>
          <w:color w:val="000000"/>
          <w:sz w:val="21"/>
        </w:rPr>
      </w:pPr>
      <w:r w:rsidRPr="00425F23">
        <w:fldChar w:fldCharType="end"/>
      </w:r>
      <w:bookmarkStart w:id="2" w:name="_Hlk166571514"/>
      <w:bookmarkStart w:id="3" w:name="_Hlk166573435"/>
      <w:bookmarkStart w:id="4" w:name="_Hlk168743155"/>
      <w:bookmarkStart w:id="5" w:name="_Hlk164680678"/>
      <w:bookmarkEnd w:id="2"/>
      <w:bookmarkEnd w:id="3"/>
      <w:bookmarkEnd w:id="4"/>
      <w:bookmarkEnd w:id="5"/>
    </w:p>
    <w:sectPr w:rsidR="004F1752" w:rsidSect="007D0895">
      <w:footerReference w:type="first" r:id="rId14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BE4DE" w14:textId="77777777" w:rsidR="00E325CB" w:rsidRDefault="00E325CB" w:rsidP="00537EB8">
      <w:r>
        <w:separator/>
      </w:r>
    </w:p>
  </w:endnote>
  <w:endnote w:type="continuationSeparator" w:id="0">
    <w:p w14:paraId="489FEC38" w14:textId="77777777" w:rsidR="00E325CB" w:rsidRDefault="00E325CB" w:rsidP="00537EB8">
      <w:r>
        <w:continuationSeparator/>
      </w:r>
    </w:p>
  </w:endnote>
  <w:endnote w:type="continuationNotice" w:id="1">
    <w:p w14:paraId="4397F113" w14:textId="77777777" w:rsidR="00E325CB" w:rsidRDefault="00E32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5094948"/>
      <w:docPartObj>
        <w:docPartGallery w:val="Page Numbers (Bottom of Page)"/>
        <w:docPartUnique/>
      </w:docPartObj>
    </w:sdtPr>
    <w:sdtEndPr>
      <w:rPr>
        <w:rStyle w:val="PageNumber"/>
      </w:rPr>
    </w:sdtEndPr>
    <w:sdtContent>
      <w:p w14:paraId="6C78012E" w14:textId="634F2CC2" w:rsidR="00B451C6" w:rsidRDefault="00B451C6" w:rsidP="006220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5FCE3E" w14:textId="77777777" w:rsidR="00B451C6" w:rsidRDefault="00B45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2995" w14:textId="17B21410" w:rsidR="00B451C6" w:rsidRDefault="00B451C6" w:rsidP="001766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897660"/>
      <w:docPartObj>
        <w:docPartGallery w:val="Page Numbers (Bottom of Page)"/>
        <w:docPartUnique/>
      </w:docPartObj>
    </w:sdtPr>
    <w:sdtEndPr>
      <w:rPr>
        <w:noProof/>
      </w:rPr>
    </w:sdtEndPr>
    <w:sdtContent>
      <w:p w14:paraId="54FBC2FF" w14:textId="3A228BD2" w:rsidR="00B451C6" w:rsidRDefault="006F2CB1" w:rsidP="006F2C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441396"/>
      <w:docPartObj>
        <w:docPartGallery w:val="Page Numbers (Bottom of Page)"/>
        <w:docPartUnique/>
      </w:docPartObj>
    </w:sdtPr>
    <w:sdtEndPr>
      <w:rPr>
        <w:noProof/>
      </w:rPr>
    </w:sdtEndPr>
    <w:sdtContent>
      <w:p w14:paraId="3E50A52A" w14:textId="23876F1B" w:rsidR="000F4E75" w:rsidRDefault="000F4E75" w:rsidP="000F4E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9891907"/>
      <w:docPartObj>
        <w:docPartGallery w:val="Page Numbers (Bottom of Page)"/>
        <w:docPartUnique/>
      </w:docPartObj>
    </w:sdtPr>
    <w:sdtEndPr>
      <w:rPr>
        <w:rStyle w:val="PageNumber"/>
      </w:rPr>
    </w:sdtEndPr>
    <w:sdtContent>
      <w:p w14:paraId="38644C8C" w14:textId="2945B751" w:rsidR="00B451C6" w:rsidRDefault="00B451C6" w:rsidP="00642A29">
        <w:pPr>
          <w:pStyle w:val="Footer"/>
          <w:framePr w:wrap="none" w:vAnchor="text" w:hAnchor="page" w:x="7692" w:y="1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14:paraId="35FFDD7D" w14:textId="6532A296" w:rsidR="00B451C6" w:rsidRDefault="00B451C6" w:rsidP="00642A29">
    <w:pPr>
      <w:pStyle w:val="Footer"/>
    </w:pPr>
  </w:p>
  <w:p w14:paraId="33E0E2E5" w14:textId="77777777" w:rsidR="00B451C6" w:rsidRDefault="00B451C6" w:rsidP="003E16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4A57" w14:textId="77777777" w:rsidR="00E325CB" w:rsidRDefault="00E325CB" w:rsidP="00537EB8">
      <w:r>
        <w:separator/>
      </w:r>
    </w:p>
  </w:footnote>
  <w:footnote w:type="continuationSeparator" w:id="0">
    <w:p w14:paraId="65F58FDA" w14:textId="77777777" w:rsidR="00E325CB" w:rsidRDefault="00E325CB" w:rsidP="00537EB8">
      <w:r>
        <w:continuationSeparator/>
      </w:r>
    </w:p>
  </w:footnote>
  <w:footnote w:type="continuationNotice" w:id="1">
    <w:p w14:paraId="48B3D070" w14:textId="77777777" w:rsidR="00E325CB" w:rsidRDefault="00E325CB"/>
  </w:footnote>
  <w:footnote w:id="2">
    <w:p w14:paraId="1924D297" w14:textId="4E3B56F1" w:rsidR="00B451C6" w:rsidRPr="00C67E12" w:rsidRDefault="00B451C6" w:rsidP="00C67E12">
      <w:pPr>
        <w:pStyle w:val="NormalWeb"/>
        <w:shd w:val="clear" w:color="auto" w:fill="FFFFFF"/>
        <w:spacing w:before="0" w:beforeAutospacing="0" w:after="0" w:afterAutospacing="0"/>
        <w:jc w:val="both"/>
        <w:rPr>
          <w:color w:val="222222"/>
          <w:sz w:val="20"/>
          <w:szCs w:val="20"/>
        </w:rPr>
      </w:pPr>
      <w:r w:rsidRPr="00C67E12">
        <w:rPr>
          <w:rStyle w:val="FootnoteReference"/>
          <w:sz w:val="20"/>
          <w:szCs w:val="20"/>
        </w:rPr>
        <w:footnoteRef/>
      </w:r>
      <w:r w:rsidR="00C67E12">
        <w:rPr>
          <w:sz w:val="20"/>
          <w:szCs w:val="20"/>
        </w:rPr>
        <w:t xml:space="preserve"> </w:t>
      </w:r>
      <w:r w:rsidRPr="00307065">
        <w:rPr>
          <w:sz w:val="20"/>
          <w:szCs w:val="20"/>
        </w:rPr>
        <w:t xml:space="preserve">In addition to the variables in </w:t>
      </w:r>
      <w:r>
        <w:rPr>
          <w:sz w:val="20"/>
          <w:szCs w:val="20"/>
        </w:rPr>
        <w:t xml:space="preserve">the final specification of </w:t>
      </w:r>
      <w:r w:rsidRPr="00307065">
        <w:rPr>
          <w:sz w:val="20"/>
          <w:szCs w:val="20"/>
        </w:rPr>
        <w:t>Table 3, additional variables were tested in the model and found not to be statistically significant</w:t>
      </w:r>
      <w:r>
        <w:rPr>
          <w:sz w:val="20"/>
          <w:szCs w:val="20"/>
        </w:rPr>
        <w:t xml:space="preserve"> at the 90% confidence level (or even at much lower confidence levels in most cases)</w:t>
      </w:r>
      <w:r w:rsidRPr="00307065">
        <w:rPr>
          <w:sz w:val="20"/>
          <w:szCs w:val="20"/>
        </w:rPr>
        <w:t>. These include</w:t>
      </w:r>
      <w:r>
        <w:rPr>
          <w:sz w:val="20"/>
          <w:szCs w:val="20"/>
        </w:rPr>
        <w:t>d</w:t>
      </w:r>
      <w:r w:rsidRPr="00307065">
        <w:rPr>
          <w:sz w:val="20"/>
          <w:szCs w:val="20"/>
        </w:rPr>
        <w:t xml:space="preserve"> </w:t>
      </w:r>
      <w:r w:rsidRPr="00307065">
        <w:rPr>
          <w:color w:val="222222"/>
          <w:sz w:val="20"/>
          <w:szCs w:val="20"/>
        </w:rPr>
        <w:t>the level of educational attainment</w:t>
      </w:r>
      <w:r>
        <w:rPr>
          <w:color w:val="222222"/>
          <w:sz w:val="20"/>
          <w:szCs w:val="20"/>
        </w:rPr>
        <w:t xml:space="preserve">, </w:t>
      </w:r>
      <w:r w:rsidRPr="00307065">
        <w:rPr>
          <w:color w:val="222222"/>
          <w:sz w:val="20"/>
          <w:szCs w:val="20"/>
        </w:rPr>
        <w:t>individual employment status</w:t>
      </w:r>
      <w:r>
        <w:rPr>
          <w:color w:val="222222"/>
          <w:sz w:val="20"/>
          <w:szCs w:val="20"/>
        </w:rPr>
        <w:t>, and household location variables based on the U.S. Census Division classification.</w:t>
      </w:r>
      <w:r w:rsidRPr="00307065">
        <w:rPr>
          <w:color w:val="222222"/>
          <w:sz w:val="20"/>
          <w:szCs w:val="20"/>
        </w:rPr>
        <w:t xml:space="preserve"> Additionally, endogenous effects among the outcomes were tested </w:t>
      </w:r>
      <w:r>
        <w:rPr>
          <w:color w:val="222222"/>
          <w:sz w:val="20"/>
          <w:szCs w:val="20"/>
        </w:rPr>
        <w:t xml:space="preserve">(after accounting for jointness due to error correlation effects), but no such endogenous effects turned out </w:t>
      </w:r>
      <w:r w:rsidRPr="00307065">
        <w:rPr>
          <w:color w:val="222222"/>
          <w:sz w:val="20"/>
          <w:szCs w:val="20"/>
        </w:rPr>
        <w:t xml:space="preserve">to be statistically significant.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CE23" w14:textId="77777777" w:rsidR="00B451C6" w:rsidRDefault="00B451C6" w:rsidP="004D22F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8913" w14:textId="77777777" w:rsidR="00B451C6" w:rsidRDefault="00B451C6" w:rsidP="004D22F3">
    <w:pPr>
      <w:pStyle w:val="Header"/>
      <w:framePr w:wrap="none" w:vAnchor="text" w:hAnchor="margin" w:xAlign="right" w:y="1"/>
      <w:rPr>
        <w:rStyle w:val="PageNumber"/>
      </w:rPr>
    </w:pPr>
  </w:p>
  <w:p w14:paraId="6DD786F3" w14:textId="77777777" w:rsidR="00B451C6" w:rsidRDefault="00B451C6" w:rsidP="004D22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6305"/>
    <w:multiLevelType w:val="hybridMultilevel"/>
    <w:tmpl w:val="C2863F68"/>
    <w:lvl w:ilvl="0" w:tplc="157A51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B313D"/>
    <w:multiLevelType w:val="hybridMultilevel"/>
    <w:tmpl w:val="026EB5EE"/>
    <w:lvl w:ilvl="0" w:tplc="76B209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B4F1D"/>
    <w:multiLevelType w:val="multilevel"/>
    <w:tmpl w:val="1F6E1B6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0F3426"/>
    <w:multiLevelType w:val="hybridMultilevel"/>
    <w:tmpl w:val="882453EA"/>
    <w:lvl w:ilvl="0" w:tplc="AB9ADCC8">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42254"/>
    <w:multiLevelType w:val="hybridMultilevel"/>
    <w:tmpl w:val="EED88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0389D"/>
    <w:multiLevelType w:val="hybridMultilevel"/>
    <w:tmpl w:val="4EFA1E54"/>
    <w:lvl w:ilvl="0" w:tplc="26F03316">
      <w:start w:val="5"/>
      <w:numFmt w:val="bullet"/>
      <w:lvlText w:val="-"/>
      <w:lvlJc w:val="left"/>
      <w:pPr>
        <w:ind w:left="400" w:hanging="360"/>
      </w:pPr>
      <w:rPr>
        <w:rFonts w:ascii="Calibri" w:eastAsiaTheme="minorHAnsi"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 w15:restartNumberingAfterBreak="0">
    <w:nsid w:val="12655422"/>
    <w:multiLevelType w:val="hybridMultilevel"/>
    <w:tmpl w:val="E8A8F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24787"/>
    <w:multiLevelType w:val="hybridMultilevel"/>
    <w:tmpl w:val="AF74A12E"/>
    <w:lvl w:ilvl="0" w:tplc="B6A8DD0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25EA3"/>
    <w:multiLevelType w:val="hybridMultilevel"/>
    <w:tmpl w:val="554EE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501C7"/>
    <w:multiLevelType w:val="hybridMultilevel"/>
    <w:tmpl w:val="DD98C174"/>
    <w:lvl w:ilvl="0" w:tplc="C75E108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14906"/>
    <w:multiLevelType w:val="hybridMultilevel"/>
    <w:tmpl w:val="C158D79E"/>
    <w:lvl w:ilvl="0" w:tplc="3E5A76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46C21"/>
    <w:multiLevelType w:val="hybridMultilevel"/>
    <w:tmpl w:val="933CFEFE"/>
    <w:lvl w:ilvl="0" w:tplc="09F4572C">
      <w:start w:val="3"/>
      <w:numFmt w:val="bullet"/>
      <w:lvlText w:val="-"/>
      <w:lvlJc w:val="left"/>
      <w:pPr>
        <w:ind w:left="720" w:hanging="360"/>
      </w:pPr>
      <w:rPr>
        <w:rFonts w:ascii="Calibri" w:eastAsiaTheme="minorHAnsi" w:hAnsi="Calibri" w:cstheme="minorBidi"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047D1"/>
    <w:multiLevelType w:val="hybridMultilevel"/>
    <w:tmpl w:val="0F42A89E"/>
    <w:lvl w:ilvl="0" w:tplc="27B239D6">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4ADE720B"/>
    <w:multiLevelType w:val="hybridMultilevel"/>
    <w:tmpl w:val="5608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B911EF"/>
    <w:multiLevelType w:val="hybridMultilevel"/>
    <w:tmpl w:val="CDF48332"/>
    <w:lvl w:ilvl="0" w:tplc="EC1695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452FC6"/>
    <w:multiLevelType w:val="hybridMultilevel"/>
    <w:tmpl w:val="8B721EA8"/>
    <w:lvl w:ilvl="0" w:tplc="432A37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C621F5"/>
    <w:multiLevelType w:val="multilevel"/>
    <w:tmpl w:val="BFFE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25373B"/>
    <w:multiLevelType w:val="hybridMultilevel"/>
    <w:tmpl w:val="43D81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A80766"/>
    <w:multiLevelType w:val="hybridMultilevel"/>
    <w:tmpl w:val="3AECF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15"/>
  </w:num>
  <w:num w:numId="4">
    <w:abstractNumId w:val="1"/>
  </w:num>
  <w:num w:numId="5">
    <w:abstractNumId w:val="14"/>
  </w:num>
  <w:num w:numId="6">
    <w:abstractNumId w:val="0"/>
  </w:num>
  <w:num w:numId="7">
    <w:abstractNumId w:val="4"/>
  </w:num>
  <w:num w:numId="8">
    <w:abstractNumId w:val="2"/>
  </w:num>
  <w:num w:numId="9">
    <w:abstractNumId w:val="10"/>
  </w:num>
  <w:num w:numId="10">
    <w:abstractNumId w:val="12"/>
  </w:num>
  <w:num w:numId="11">
    <w:abstractNumId w:val="6"/>
  </w:num>
  <w:num w:numId="12">
    <w:abstractNumId w:val="9"/>
  </w:num>
  <w:num w:numId="13">
    <w:abstractNumId w:val="8"/>
  </w:num>
  <w:num w:numId="14">
    <w:abstractNumId w:val="17"/>
  </w:num>
  <w:num w:numId="15">
    <w:abstractNumId w:val="5"/>
  </w:num>
  <w:num w:numId="16">
    <w:abstractNumId w:val="3"/>
  </w:num>
  <w:num w:numId="17">
    <w:abstractNumId w:val="7"/>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B8"/>
    <w:rsid w:val="0000039B"/>
    <w:rsid w:val="00000A94"/>
    <w:rsid w:val="0000390A"/>
    <w:rsid w:val="00003F7A"/>
    <w:rsid w:val="000066C4"/>
    <w:rsid w:val="00006A3C"/>
    <w:rsid w:val="00007D2F"/>
    <w:rsid w:val="00011884"/>
    <w:rsid w:val="0001298F"/>
    <w:rsid w:val="00014230"/>
    <w:rsid w:val="00017138"/>
    <w:rsid w:val="0002082D"/>
    <w:rsid w:val="00021738"/>
    <w:rsid w:val="00027C0C"/>
    <w:rsid w:val="000301B5"/>
    <w:rsid w:val="00033B86"/>
    <w:rsid w:val="000352E8"/>
    <w:rsid w:val="000413F5"/>
    <w:rsid w:val="000422DD"/>
    <w:rsid w:val="00046F58"/>
    <w:rsid w:val="0005087C"/>
    <w:rsid w:val="000538B4"/>
    <w:rsid w:val="0005404D"/>
    <w:rsid w:val="00054F30"/>
    <w:rsid w:val="00060CA1"/>
    <w:rsid w:val="00061C71"/>
    <w:rsid w:val="00070B62"/>
    <w:rsid w:val="00071F01"/>
    <w:rsid w:val="0007301E"/>
    <w:rsid w:val="0007420C"/>
    <w:rsid w:val="00075CF4"/>
    <w:rsid w:val="00076E15"/>
    <w:rsid w:val="00077F94"/>
    <w:rsid w:val="00080852"/>
    <w:rsid w:val="00083010"/>
    <w:rsid w:val="0008338C"/>
    <w:rsid w:val="00083690"/>
    <w:rsid w:val="00084E21"/>
    <w:rsid w:val="000876CF"/>
    <w:rsid w:val="00087CE5"/>
    <w:rsid w:val="00087D89"/>
    <w:rsid w:val="00090EF9"/>
    <w:rsid w:val="00093FEE"/>
    <w:rsid w:val="00094AF5"/>
    <w:rsid w:val="00094D23"/>
    <w:rsid w:val="00095F90"/>
    <w:rsid w:val="000979AB"/>
    <w:rsid w:val="000A28DE"/>
    <w:rsid w:val="000A3599"/>
    <w:rsid w:val="000A5007"/>
    <w:rsid w:val="000A58B2"/>
    <w:rsid w:val="000A78C6"/>
    <w:rsid w:val="000B0B4B"/>
    <w:rsid w:val="000B4A58"/>
    <w:rsid w:val="000B67E0"/>
    <w:rsid w:val="000B7592"/>
    <w:rsid w:val="000C0FF7"/>
    <w:rsid w:val="000C297E"/>
    <w:rsid w:val="000C2E46"/>
    <w:rsid w:val="000C3AA8"/>
    <w:rsid w:val="000C568F"/>
    <w:rsid w:val="000C569B"/>
    <w:rsid w:val="000C5EC4"/>
    <w:rsid w:val="000C6EBD"/>
    <w:rsid w:val="000C75A8"/>
    <w:rsid w:val="000C7674"/>
    <w:rsid w:val="000C78C8"/>
    <w:rsid w:val="000D5C23"/>
    <w:rsid w:val="000D67DC"/>
    <w:rsid w:val="000E2079"/>
    <w:rsid w:val="000E3CE6"/>
    <w:rsid w:val="000E5267"/>
    <w:rsid w:val="000E535E"/>
    <w:rsid w:val="000F10A8"/>
    <w:rsid w:val="000F3B76"/>
    <w:rsid w:val="000F4E75"/>
    <w:rsid w:val="000F5399"/>
    <w:rsid w:val="000F5E04"/>
    <w:rsid w:val="000F6BE9"/>
    <w:rsid w:val="0010175B"/>
    <w:rsid w:val="001055C9"/>
    <w:rsid w:val="00106BC1"/>
    <w:rsid w:val="001072FF"/>
    <w:rsid w:val="00110A83"/>
    <w:rsid w:val="00110DED"/>
    <w:rsid w:val="001117C4"/>
    <w:rsid w:val="00111B22"/>
    <w:rsid w:val="001122A2"/>
    <w:rsid w:val="001173C5"/>
    <w:rsid w:val="0012504E"/>
    <w:rsid w:val="00126699"/>
    <w:rsid w:val="00130FE8"/>
    <w:rsid w:val="001315A7"/>
    <w:rsid w:val="00131718"/>
    <w:rsid w:val="00133AD2"/>
    <w:rsid w:val="001355E9"/>
    <w:rsid w:val="00135EFC"/>
    <w:rsid w:val="00140F55"/>
    <w:rsid w:val="00142B36"/>
    <w:rsid w:val="0014340F"/>
    <w:rsid w:val="0014611D"/>
    <w:rsid w:val="00146172"/>
    <w:rsid w:val="001470FD"/>
    <w:rsid w:val="00150FC0"/>
    <w:rsid w:val="001531F9"/>
    <w:rsid w:val="00153EA0"/>
    <w:rsid w:val="001545C1"/>
    <w:rsid w:val="00154E46"/>
    <w:rsid w:val="001571D1"/>
    <w:rsid w:val="0015723C"/>
    <w:rsid w:val="00157EDA"/>
    <w:rsid w:val="0016020B"/>
    <w:rsid w:val="001603C8"/>
    <w:rsid w:val="001607A8"/>
    <w:rsid w:val="00162171"/>
    <w:rsid w:val="00165984"/>
    <w:rsid w:val="001666BE"/>
    <w:rsid w:val="00170327"/>
    <w:rsid w:val="001712B4"/>
    <w:rsid w:val="00172A3E"/>
    <w:rsid w:val="00175E67"/>
    <w:rsid w:val="001766B9"/>
    <w:rsid w:val="001778CA"/>
    <w:rsid w:val="0018356B"/>
    <w:rsid w:val="0018697D"/>
    <w:rsid w:val="001877D4"/>
    <w:rsid w:val="00190292"/>
    <w:rsid w:val="00190C98"/>
    <w:rsid w:val="00191684"/>
    <w:rsid w:val="001918FC"/>
    <w:rsid w:val="00191D7F"/>
    <w:rsid w:val="001939D4"/>
    <w:rsid w:val="00194563"/>
    <w:rsid w:val="001966D9"/>
    <w:rsid w:val="001A38AF"/>
    <w:rsid w:val="001A4027"/>
    <w:rsid w:val="001A6BD6"/>
    <w:rsid w:val="001B03B0"/>
    <w:rsid w:val="001B0BC9"/>
    <w:rsid w:val="001B2407"/>
    <w:rsid w:val="001B5D2E"/>
    <w:rsid w:val="001C08B0"/>
    <w:rsid w:val="001C1E24"/>
    <w:rsid w:val="001C6696"/>
    <w:rsid w:val="001C6D47"/>
    <w:rsid w:val="001D114B"/>
    <w:rsid w:val="001D2391"/>
    <w:rsid w:val="001D361E"/>
    <w:rsid w:val="001D639E"/>
    <w:rsid w:val="001D7A2F"/>
    <w:rsid w:val="001D7F56"/>
    <w:rsid w:val="001E01AA"/>
    <w:rsid w:val="001E1DC5"/>
    <w:rsid w:val="001E3ECD"/>
    <w:rsid w:val="001E4FEF"/>
    <w:rsid w:val="001F0277"/>
    <w:rsid w:val="001F06F4"/>
    <w:rsid w:val="001F2A90"/>
    <w:rsid w:val="001F3FAF"/>
    <w:rsid w:val="001F4585"/>
    <w:rsid w:val="001F470C"/>
    <w:rsid w:val="001F62AC"/>
    <w:rsid w:val="001F6ECB"/>
    <w:rsid w:val="001F7B74"/>
    <w:rsid w:val="00200444"/>
    <w:rsid w:val="00200759"/>
    <w:rsid w:val="00200809"/>
    <w:rsid w:val="00200B96"/>
    <w:rsid w:val="00201E04"/>
    <w:rsid w:val="00201FA5"/>
    <w:rsid w:val="00203E73"/>
    <w:rsid w:val="00204189"/>
    <w:rsid w:val="002101EC"/>
    <w:rsid w:val="002109A1"/>
    <w:rsid w:val="002116A1"/>
    <w:rsid w:val="002142EB"/>
    <w:rsid w:val="00215303"/>
    <w:rsid w:val="00215747"/>
    <w:rsid w:val="00215968"/>
    <w:rsid w:val="002171B8"/>
    <w:rsid w:val="002205D1"/>
    <w:rsid w:val="00221BD7"/>
    <w:rsid w:val="00223A62"/>
    <w:rsid w:val="00223C90"/>
    <w:rsid w:val="0022591C"/>
    <w:rsid w:val="0022755E"/>
    <w:rsid w:val="00227A53"/>
    <w:rsid w:val="00230ADC"/>
    <w:rsid w:val="00231B5E"/>
    <w:rsid w:val="00234B54"/>
    <w:rsid w:val="00236A49"/>
    <w:rsid w:val="00236F1A"/>
    <w:rsid w:val="00241913"/>
    <w:rsid w:val="00242B22"/>
    <w:rsid w:val="00242FCC"/>
    <w:rsid w:val="002448E6"/>
    <w:rsid w:val="00246AB4"/>
    <w:rsid w:val="00250C86"/>
    <w:rsid w:val="00253617"/>
    <w:rsid w:val="00254D6F"/>
    <w:rsid w:val="00255A8C"/>
    <w:rsid w:val="00261344"/>
    <w:rsid w:val="00262B6A"/>
    <w:rsid w:val="00265537"/>
    <w:rsid w:val="00265C26"/>
    <w:rsid w:val="002668AC"/>
    <w:rsid w:val="00270C8B"/>
    <w:rsid w:val="00271A2C"/>
    <w:rsid w:val="002733D2"/>
    <w:rsid w:val="002756A2"/>
    <w:rsid w:val="00280A3E"/>
    <w:rsid w:val="00280FC6"/>
    <w:rsid w:val="00282136"/>
    <w:rsid w:val="002822A9"/>
    <w:rsid w:val="002840C2"/>
    <w:rsid w:val="00285436"/>
    <w:rsid w:val="002910E0"/>
    <w:rsid w:val="0029309F"/>
    <w:rsid w:val="00294CD8"/>
    <w:rsid w:val="00295FE9"/>
    <w:rsid w:val="002A0064"/>
    <w:rsid w:val="002A06A1"/>
    <w:rsid w:val="002A2C18"/>
    <w:rsid w:val="002A5D89"/>
    <w:rsid w:val="002B3766"/>
    <w:rsid w:val="002B4D3B"/>
    <w:rsid w:val="002B5819"/>
    <w:rsid w:val="002B639A"/>
    <w:rsid w:val="002B736F"/>
    <w:rsid w:val="002C0A4F"/>
    <w:rsid w:val="002C14DD"/>
    <w:rsid w:val="002C17DF"/>
    <w:rsid w:val="002C2F69"/>
    <w:rsid w:val="002C3B7A"/>
    <w:rsid w:val="002C3D2D"/>
    <w:rsid w:val="002C72DB"/>
    <w:rsid w:val="002C7790"/>
    <w:rsid w:val="002D1A2F"/>
    <w:rsid w:val="002D300E"/>
    <w:rsid w:val="002D633B"/>
    <w:rsid w:val="002D638C"/>
    <w:rsid w:val="002D6E2C"/>
    <w:rsid w:val="002D7943"/>
    <w:rsid w:val="002E096E"/>
    <w:rsid w:val="002E2C56"/>
    <w:rsid w:val="002E7D05"/>
    <w:rsid w:val="00301A71"/>
    <w:rsid w:val="00302074"/>
    <w:rsid w:val="0030241D"/>
    <w:rsid w:val="00303245"/>
    <w:rsid w:val="003036EB"/>
    <w:rsid w:val="00303AB9"/>
    <w:rsid w:val="00303F51"/>
    <w:rsid w:val="00307065"/>
    <w:rsid w:val="003108B3"/>
    <w:rsid w:val="0031212E"/>
    <w:rsid w:val="0031524C"/>
    <w:rsid w:val="00315324"/>
    <w:rsid w:val="0031645A"/>
    <w:rsid w:val="00316E61"/>
    <w:rsid w:val="003205B7"/>
    <w:rsid w:val="0032208C"/>
    <w:rsid w:val="00322313"/>
    <w:rsid w:val="00324257"/>
    <w:rsid w:val="00324D7E"/>
    <w:rsid w:val="00324F30"/>
    <w:rsid w:val="00326389"/>
    <w:rsid w:val="00327312"/>
    <w:rsid w:val="0033158A"/>
    <w:rsid w:val="003377CE"/>
    <w:rsid w:val="003417A4"/>
    <w:rsid w:val="00343EFA"/>
    <w:rsid w:val="00343FAA"/>
    <w:rsid w:val="0034626C"/>
    <w:rsid w:val="00347CD5"/>
    <w:rsid w:val="0035217E"/>
    <w:rsid w:val="003526E0"/>
    <w:rsid w:val="00352936"/>
    <w:rsid w:val="00352E42"/>
    <w:rsid w:val="00354E92"/>
    <w:rsid w:val="00357C75"/>
    <w:rsid w:val="00357CAC"/>
    <w:rsid w:val="00360A27"/>
    <w:rsid w:val="0036462A"/>
    <w:rsid w:val="0036501E"/>
    <w:rsid w:val="0036521F"/>
    <w:rsid w:val="003667B0"/>
    <w:rsid w:val="00367252"/>
    <w:rsid w:val="00367987"/>
    <w:rsid w:val="00367E91"/>
    <w:rsid w:val="003702E0"/>
    <w:rsid w:val="00372C48"/>
    <w:rsid w:val="00374490"/>
    <w:rsid w:val="0037459F"/>
    <w:rsid w:val="003821CB"/>
    <w:rsid w:val="00382B4E"/>
    <w:rsid w:val="0038423F"/>
    <w:rsid w:val="003863AE"/>
    <w:rsid w:val="003A06EC"/>
    <w:rsid w:val="003A1C3E"/>
    <w:rsid w:val="003A635F"/>
    <w:rsid w:val="003A7E27"/>
    <w:rsid w:val="003A7EBE"/>
    <w:rsid w:val="003B27DD"/>
    <w:rsid w:val="003B57BA"/>
    <w:rsid w:val="003B73E6"/>
    <w:rsid w:val="003C4E01"/>
    <w:rsid w:val="003C63DA"/>
    <w:rsid w:val="003C7F81"/>
    <w:rsid w:val="003D0A73"/>
    <w:rsid w:val="003D0CAA"/>
    <w:rsid w:val="003D214A"/>
    <w:rsid w:val="003D5EBF"/>
    <w:rsid w:val="003D6134"/>
    <w:rsid w:val="003D67CD"/>
    <w:rsid w:val="003E1618"/>
    <w:rsid w:val="003E16BA"/>
    <w:rsid w:val="003E605A"/>
    <w:rsid w:val="003E71D5"/>
    <w:rsid w:val="003E772A"/>
    <w:rsid w:val="003F38F2"/>
    <w:rsid w:val="003F5B6E"/>
    <w:rsid w:val="003F610F"/>
    <w:rsid w:val="0040529B"/>
    <w:rsid w:val="00405C49"/>
    <w:rsid w:val="004075B6"/>
    <w:rsid w:val="00412B0D"/>
    <w:rsid w:val="0041318B"/>
    <w:rsid w:val="0041371F"/>
    <w:rsid w:val="00415523"/>
    <w:rsid w:val="0042283E"/>
    <w:rsid w:val="004231BA"/>
    <w:rsid w:val="00424448"/>
    <w:rsid w:val="00425D02"/>
    <w:rsid w:val="00425F23"/>
    <w:rsid w:val="00426056"/>
    <w:rsid w:val="004275B4"/>
    <w:rsid w:val="004317DC"/>
    <w:rsid w:val="0043208F"/>
    <w:rsid w:val="00437D2B"/>
    <w:rsid w:val="004416D9"/>
    <w:rsid w:val="004430F9"/>
    <w:rsid w:val="00451998"/>
    <w:rsid w:val="00453E0D"/>
    <w:rsid w:val="00454B36"/>
    <w:rsid w:val="00457A4C"/>
    <w:rsid w:val="004651D5"/>
    <w:rsid w:val="00465FC4"/>
    <w:rsid w:val="004678CD"/>
    <w:rsid w:val="00470B70"/>
    <w:rsid w:val="00470E9C"/>
    <w:rsid w:val="00472CC5"/>
    <w:rsid w:val="0047398F"/>
    <w:rsid w:val="00473CC0"/>
    <w:rsid w:val="00482673"/>
    <w:rsid w:val="00484DE6"/>
    <w:rsid w:val="004903C3"/>
    <w:rsid w:val="0049118D"/>
    <w:rsid w:val="00493964"/>
    <w:rsid w:val="004954E6"/>
    <w:rsid w:val="004A17FD"/>
    <w:rsid w:val="004A3AE8"/>
    <w:rsid w:val="004A4122"/>
    <w:rsid w:val="004A4B24"/>
    <w:rsid w:val="004B4E9F"/>
    <w:rsid w:val="004B7295"/>
    <w:rsid w:val="004C0981"/>
    <w:rsid w:val="004C0BAF"/>
    <w:rsid w:val="004C1686"/>
    <w:rsid w:val="004C198F"/>
    <w:rsid w:val="004C2B0F"/>
    <w:rsid w:val="004C3C0D"/>
    <w:rsid w:val="004C5DF3"/>
    <w:rsid w:val="004D1D8D"/>
    <w:rsid w:val="004D22F3"/>
    <w:rsid w:val="004D333D"/>
    <w:rsid w:val="004D42B8"/>
    <w:rsid w:val="004D42CB"/>
    <w:rsid w:val="004D4482"/>
    <w:rsid w:val="004D72DF"/>
    <w:rsid w:val="004E0AE1"/>
    <w:rsid w:val="004E1982"/>
    <w:rsid w:val="004E3625"/>
    <w:rsid w:val="004E385E"/>
    <w:rsid w:val="004E6DA2"/>
    <w:rsid w:val="004E7B16"/>
    <w:rsid w:val="004F0435"/>
    <w:rsid w:val="004F1191"/>
    <w:rsid w:val="004F1752"/>
    <w:rsid w:val="004F58B6"/>
    <w:rsid w:val="00500200"/>
    <w:rsid w:val="005012AA"/>
    <w:rsid w:val="005013EE"/>
    <w:rsid w:val="00502D62"/>
    <w:rsid w:val="00504F12"/>
    <w:rsid w:val="00506A8A"/>
    <w:rsid w:val="00507CA2"/>
    <w:rsid w:val="005103BA"/>
    <w:rsid w:val="00511811"/>
    <w:rsid w:val="005122D3"/>
    <w:rsid w:val="005148BB"/>
    <w:rsid w:val="00514C90"/>
    <w:rsid w:val="00514E8C"/>
    <w:rsid w:val="005157FF"/>
    <w:rsid w:val="00517593"/>
    <w:rsid w:val="00520303"/>
    <w:rsid w:val="00520633"/>
    <w:rsid w:val="00520EA2"/>
    <w:rsid w:val="0052109C"/>
    <w:rsid w:val="00526DD5"/>
    <w:rsid w:val="00531993"/>
    <w:rsid w:val="005319E1"/>
    <w:rsid w:val="0053320A"/>
    <w:rsid w:val="00533F6B"/>
    <w:rsid w:val="005365B3"/>
    <w:rsid w:val="00537EB8"/>
    <w:rsid w:val="00540B52"/>
    <w:rsid w:val="005439FC"/>
    <w:rsid w:val="005448E9"/>
    <w:rsid w:val="00546513"/>
    <w:rsid w:val="00550F5A"/>
    <w:rsid w:val="005518CD"/>
    <w:rsid w:val="005528C6"/>
    <w:rsid w:val="00554A21"/>
    <w:rsid w:val="0055671C"/>
    <w:rsid w:val="0056067D"/>
    <w:rsid w:val="005616E5"/>
    <w:rsid w:val="005720E2"/>
    <w:rsid w:val="00572E81"/>
    <w:rsid w:val="00573C2F"/>
    <w:rsid w:val="0057488B"/>
    <w:rsid w:val="00574BAB"/>
    <w:rsid w:val="00574CB0"/>
    <w:rsid w:val="0057592A"/>
    <w:rsid w:val="00584E0C"/>
    <w:rsid w:val="00585FDE"/>
    <w:rsid w:val="0058614C"/>
    <w:rsid w:val="00590568"/>
    <w:rsid w:val="005909A4"/>
    <w:rsid w:val="00591D48"/>
    <w:rsid w:val="00594997"/>
    <w:rsid w:val="00595EF1"/>
    <w:rsid w:val="005A01A6"/>
    <w:rsid w:val="005A0207"/>
    <w:rsid w:val="005A0B61"/>
    <w:rsid w:val="005A173A"/>
    <w:rsid w:val="005A2548"/>
    <w:rsid w:val="005A3E26"/>
    <w:rsid w:val="005A4142"/>
    <w:rsid w:val="005A63C3"/>
    <w:rsid w:val="005A713B"/>
    <w:rsid w:val="005B092D"/>
    <w:rsid w:val="005B29BC"/>
    <w:rsid w:val="005B36D7"/>
    <w:rsid w:val="005B62A0"/>
    <w:rsid w:val="005C175F"/>
    <w:rsid w:val="005C37D2"/>
    <w:rsid w:val="005C50A1"/>
    <w:rsid w:val="005C565E"/>
    <w:rsid w:val="005C6B14"/>
    <w:rsid w:val="005C6E57"/>
    <w:rsid w:val="005D006A"/>
    <w:rsid w:val="005D12F9"/>
    <w:rsid w:val="005D26AD"/>
    <w:rsid w:val="005D4EE4"/>
    <w:rsid w:val="005D75EF"/>
    <w:rsid w:val="005D7614"/>
    <w:rsid w:val="005E2553"/>
    <w:rsid w:val="005E3351"/>
    <w:rsid w:val="005E580B"/>
    <w:rsid w:val="005F07F5"/>
    <w:rsid w:val="005F0B39"/>
    <w:rsid w:val="005F244F"/>
    <w:rsid w:val="00602B5F"/>
    <w:rsid w:val="00603175"/>
    <w:rsid w:val="00603D77"/>
    <w:rsid w:val="00607713"/>
    <w:rsid w:val="00612992"/>
    <w:rsid w:val="0061469D"/>
    <w:rsid w:val="00615213"/>
    <w:rsid w:val="006159E6"/>
    <w:rsid w:val="00621082"/>
    <w:rsid w:val="00621DA1"/>
    <w:rsid w:val="006220C5"/>
    <w:rsid w:val="00622D22"/>
    <w:rsid w:val="00624CB7"/>
    <w:rsid w:val="006265DF"/>
    <w:rsid w:val="006278DC"/>
    <w:rsid w:val="006423BA"/>
    <w:rsid w:val="00642A29"/>
    <w:rsid w:val="0064321B"/>
    <w:rsid w:val="00644710"/>
    <w:rsid w:val="00644E29"/>
    <w:rsid w:val="00645261"/>
    <w:rsid w:val="00651148"/>
    <w:rsid w:val="0065191B"/>
    <w:rsid w:val="006535A8"/>
    <w:rsid w:val="00653BF9"/>
    <w:rsid w:val="006550DE"/>
    <w:rsid w:val="00655710"/>
    <w:rsid w:val="00655782"/>
    <w:rsid w:val="00655E5E"/>
    <w:rsid w:val="00656348"/>
    <w:rsid w:val="00661B6E"/>
    <w:rsid w:val="00664678"/>
    <w:rsid w:val="006650C5"/>
    <w:rsid w:val="00674322"/>
    <w:rsid w:val="00676E4B"/>
    <w:rsid w:val="00676FB6"/>
    <w:rsid w:val="006779FB"/>
    <w:rsid w:val="006810D0"/>
    <w:rsid w:val="00682D6A"/>
    <w:rsid w:val="00682F8D"/>
    <w:rsid w:val="00684DE2"/>
    <w:rsid w:val="006858CB"/>
    <w:rsid w:val="0069007B"/>
    <w:rsid w:val="006959A5"/>
    <w:rsid w:val="0069668E"/>
    <w:rsid w:val="00696D8D"/>
    <w:rsid w:val="00696F3C"/>
    <w:rsid w:val="006A063E"/>
    <w:rsid w:val="006A2C8F"/>
    <w:rsid w:val="006A61A3"/>
    <w:rsid w:val="006A6433"/>
    <w:rsid w:val="006A767D"/>
    <w:rsid w:val="006B47EF"/>
    <w:rsid w:val="006B6735"/>
    <w:rsid w:val="006C0375"/>
    <w:rsid w:val="006C0E33"/>
    <w:rsid w:val="006C390F"/>
    <w:rsid w:val="006C3E20"/>
    <w:rsid w:val="006C4325"/>
    <w:rsid w:val="006C609A"/>
    <w:rsid w:val="006C7B5C"/>
    <w:rsid w:val="006D08E3"/>
    <w:rsid w:val="006D0A12"/>
    <w:rsid w:val="006D0FB1"/>
    <w:rsid w:val="006D1C7A"/>
    <w:rsid w:val="006D1D08"/>
    <w:rsid w:val="006D2090"/>
    <w:rsid w:val="006D35C2"/>
    <w:rsid w:val="006D4913"/>
    <w:rsid w:val="006D6E9C"/>
    <w:rsid w:val="006E3EAD"/>
    <w:rsid w:val="006F00C0"/>
    <w:rsid w:val="006F028D"/>
    <w:rsid w:val="006F06AD"/>
    <w:rsid w:val="006F13B3"/>
    <w:rsid w:val="006F2CB1"/>
    <w:rsid w:val="006F38B1"/>
    <w:rsid w:val="006F5198"/>
    <w:rsid w:val="006F78EC"/>
    <w:rsid w:val="006F7932"/>
    <w:rsid w:val="0070042A"/>
    <w:rsid w:val="00701010"/>
    <w:rsid w:val="00702185"/>
    <w:rsid w:val="00705FCE"/>
    <w:rsid w:val="00706A94"/>
    <w:rsid w:val="00706EC4"/>
    <w:rsid w:val="00707FC6"/>
    <w:rsid w:val="00716318"/>
    <w:rsid w:val="00720E34"/>
    <w:rsid w:val="007212E4"/>
    <w:rsid w:val="00723C16"/>
    <w:rsid w:val="007310EF"/>
    <w:rsid w:val="0073118F"/>
    <w:rsid w:val="007321A1"/>
    <w:rsid w:val="00732F2A"/>
    <w:rsid w:val="007341E1"/>
    <w:rsid w:val="0073707D"/>
    <w:rsid w:val="0074176E"/>
    <w:rsid w:val="00744793"/>
    <w:rsid w:val="0074681F"/>
    <w:rsid w:val="0075110F"/>
    <w:rsid w:val="00751692"/>
    <w:rsid w:val="00751C18"/>
    <w:rsid w:val="007529DD"/>
    <w:rsid w:val="007578BE"/>
    <w:rsid w:val="00761145"/>
    <w:rsid w:val="0076224C"/>
    <w:rsid w:val="0076513F"/>
    <w:rsid w:val="00766DED"/>
    <w:rsid w:val="007703AC"/>
    <w:rsid w:val="00771C4A"/>
    <w:rsid w:val="00773EAF"/>
    <w:rsid w:val="007745BC"/>
    <w:rsid w:val="0077491D"/>
    <w:rsid w:val="0077527E"/>
    <w:rsid w:val="007752BD"/>
    <w:rsid w:val="007779DA"/>
    <w:rsid w:val="00780B09"/>
    <w:rsid w:val="007810DE"/>
    <w:rsid w:val="00782BF4"/>
    <w:rsid w:val="0078641A"/>
    <w:rsid w:val="007957DD"/>
    <w:rsid w:val="00795F9C"/>
    <w:rsid w:val="007970C8"/>
    <w:rsid w:val="007A0707"/>
    <w:rsid w:val="007A60D5"/>
    <w:rsid w:val="007A6470"/>
    <w:rsid w:val="007A6531"/>
    <w:rsid w:val="007A6879"/>
    <w:rsid w:val="007A7548"/>
    <w:rsid w:val="007B194E"/>
    <w:rsid w:val="007B1F71"/>
    <w:rsid w:val="007B3BC7"/>
    <w:rsid w:val="007B3EAB"/>
    <w:rsid w:val="007B43B7"/>
    <w:rsid w:val="007B5B15"/>
    <w:rsid w:val="007B7142"/>
    <w:rsid w:val="007B75D2"/>
    <w:rsid w:val="007C2EC6"/>
    <w:rsid w:val="007C6A98"/>
    <w:rsid w:val="007C7553"/>
    <w:rsid w:val="007D0895"/>
    <w:rsid w:val="007D10AA"/>
    <w:rsid w:val="007D28DB"/>
    <w:rsid w:val="007D68D9"/>
    <w:rsid w:val="007D7154"/>
    <w:rsid w:val="007E1E79"/>
    <w:rsid w:val="007E3BF5"/>
    <w:rsid w:val="007E3DFD"/>
    <w:rsid w:val="007E5460"/>
    <w:rsid w:val="007E591F"/>
    <w:rsid w:val="007E7C7F"/>
    <w:rsid w:val="007F2B1D"/>
    <w:rsid w:val="007F3D13"/>
    <w:rsid w:val="007F432D"/>
    <w:rsid w:val="007F4409"/>
    <w:rsid w:val="007F536D"/>
    <w:rsid w:val="007F771E"/>
    <w:rsid w:val="0080053D"/>
    <w:rsid w:val="00800A47"/>
    <w:rsid w:val="00803196"/>
    <w:rsid w:val="008054E2"/>
    <w:rsid w:val="008125C0"/>
    <w:rsid w:val="00812CF4"/>
    <w:rsid w:val="00812F71"/>
    <w:rsid w:val="00817374"/>
    <w:rsid w:val="00817876"/>
    <w:rsid w:val="00817D41"/>
    <w:rsid w:val="00821BAC"/>
    <w:rsid w:val="00826964"/>
    <w:rsid w:val="00831972"/>
    <w:rsid w:val="00831B94"/>
    <w:rsid w:val="0083607B"/>
    <w:rsid w:val="008362F2"/>
    <w:rsid w:val="008400A3"/>
    <w:rsid w:val="00844818"/>
    <w:rsid w:val="00846C11"/>
    <w:rsid w:val="00847E6C"/>
    <w:rsid w:val="00853D16"/>
    <w:rsid w:val="008561B1"/>
    <w:rsid w:val="00857681"/>
    <w:rsid w:val="00861B1E"/>
    <w:rsid w:val="00862BBF"/>
    <w:rsid w:val="00863612"/>
    <w:rsid w:val="00863ADB"/>
    <w:rsid w:val="00864090"/>
    <w:rsid w:val="00864269"/>
    <w:rsid w:val="00865C0B"/>
    <w:rsid w:val="00865D4A"/>
    <w:rsid w:val="00873015"/>
    <w:rsid w:val="00873AB1"/>
    <w:rsid w:val="008747BE"/>
    <w:rsid w:val="00874F8B"/>
    <w:rsid w:val="00876147"/>
    <w:rsid w:val="00876A58"/>
    <w:rsid w:val="008818E5"/>
    <w:rsid w:val="008840DB"/>
    <w:rsid w:val="00884198"/>
    <w:rsid w:val="008850A8"/>
    <w:rsid w:val="008856E1"/>
    <w:rsid w:val="008857B3"/>
    <w:rsid w:val="00885AB4"/>
    <w:rsid w:val="00885C61"/>
    <w:rsid w:val="00885FFD"/>
    <w:rsid w:val="00890E71"/>
    <w:rsid w:val="00892153"/>
    <w:rsid w:val="008930AF"/>
    <w:rsid w:val="008940B4"/>
    <w:rsid w:val="00895A30"/>
    <w:rsid w:val="008B03BA"/>
    <w:rsid w:val="008B25E5"/>
    <w:rsid w:val="008B265F"/>
    <w:rsid w:val="008B682D"/>
    <w:rsid w:val="008C2974"/>
    <w:rsid w:val="008C3A05"/>
    <w:rsid w:val="008C52EA"/>
    <w:rsid w:val="008C6E62"/>
    <w:rsid w:val="008D4971"/>
    <w:rsid w:val="008D4A60"/>
    <w:rsid w:val="008D583B"/>
    <w:rsid w:val="008D7D2D"/>
    <w:rsid w:val="008E02EC"/>
    <w:rsid w:val="008E0C59"/>
    <w:rsid w:val="008E20A2"/>
    <w:rsid w:val="008E2593"/>
    <w:rsid w:val="008E41CE"/>
    <w:rsid w:val="008E66D4"/>
    <w:rsid w:val="008E6ADF"/>
    <w:rsid w:val="008F00D9"/>
    <w:rsid w:val="008F0863"/>
    <w:rsid w:val="008F24A3"/>
    <w:rsid w:val="008F30E7"/>
    <w:rsid w:val="008F4BF1"/>
    <w:rsid w:val="008F6AC3"/>
    <w:rsid w:val="008F7F08"/>
    <w:rsid w:val="0090110A"/>
    <w:rsid w:val="009062A1"/>
    <w:rsid w:val="00910FD1"/>
    <w:rsid w:val="00914236"/>
    <w:rsid w:val="00914286"/>
    <w:rsid w:val="00920CC4"/>
    <w:rsid w:val="00921080"/>
    <w:rsid w:val="00921921"/>
    <w:rsid w:val="00922185"/>
    <w:rsid w:val="00923724"/>
    <w:rsid w:val="009262E7"/>
    <w:rsid w:val="00926EBC"/>
    <w:rsid w:val="00927209"/>
    <w:rsid w:val="00931F1E"/>
    <w:rsid w:val="00933AA7"/>
    <w:rsid w:val="00935B5A"/>
    <w:rsid w:val="0093606C"/>
    <w:rsid w:val="00936D12"/>
    <w:rsid w:val="00937D85"/>
    <w:rsid w:val="00940C8D"/>
    <w:rsid w:val="00941B01"/>
    <w:rsid w:val="00943916"/>
    <w:rsid w:val="0094459A"/>
    <w:rsid w:val="0094542A"/>
    <w:rsid w:val="0094750B"/>
    <w:rsid w:val="009507BF"/>
    <w:rsid w:val="00954022"/>
    <w:rsid w:val="009612FE"/>
    <w:rsid w:val="009627B3"/>
    <w:rsid w:val="00964E95"/>
    <w:rsid w:val="00965D76"/>
    <w:rsid w:val="00965E2C"/>
    <w:rsid w:val="00971039"/>
    <w:rsid w:val="00973C5F"/>
    <w:rsid w:val="00974912"/>
    <w:rsid w:val="00976939"/>
    <w:rsid w:val="009808D5"/>
    <w:rsid w:val="00980D2D"/>
    <w:rsid w:val="00980F8C"/>
    <w:rsid w:val="00981D73"/>
    <w:rsid w:val="009826B8"/>
    <w:rsid w:val="00984D28"/>
    <w:rsid w:val="00985AB2"/>
    <w:rsid w:val="00991C02"/>
    <w:rsid w:val="00992741"/>
    <w:rsid w:val="00992D4C"/>
    <w:rsid w:val="009A0077"/>
    <w:rsid w:val="009A16D4"/>
    <w:rsid w:val="009A29BA"/>
    <w:rsid w:val="009A70C1"/>
    <w:rsid w:val="009A76BE"/>
    <w:rsid w:val="009B2147"/>
    <w:rsid w:val="009B4C24"/>
    <w:rsid w:val="009C0095"/>
    <w:rsid w:val="009C16B1"/>
    <w:rsid w:val="009C33D2"/>
    <w:rsid w:val="009C7F87"/>
    <w:rsid w:val="009D0BEC"/>
    <w:rsid w:val="009D0D25"/>
    <w:rsid w:val="009D0E0D"/>
    <w:rsid w:val="009D25BF"/>
    <w:rsid w:val="009D58D2"/>
    <w:rsid w:val="009D5E55"/>
    <w:rsid w:val="009D7E94"/>
    <w:rsid w:val="009E0BB6"/>
    <w:rsid w:val="009E2D2E"/>
    <w:rsid w:val="009E5B3A"/>
    <w:rsid w:val="009E79FC"/>
    <w:rsid w:val="009E7BE1"/>
    <w:rsid w:val="009F047D"/>
    <w:rsid w:val="009F1782"/>
    <w:rsid w:val="009F2583"/>
    <w:rsid w:val="009F295D"/>
    <w:rsid w:val="009F3FDA"/>
    <w:rsid w:val="009F499F"/>
    <w:rsid w:val="009F6F81"/>
    <w:rsid w:val="009F794C"/>
    <w:rsid w:val="00A00197"/>
    <w:rsid w:val="00A00198"/>
    <w:rsid w:val="00A03CF9"/>
    <w:rsid w:val="00A054F7"/>
    <w:rsid w:val="00A0773F"/>
    <w:rsid w:val="00A109CD"/>
    <w:rsid w:val="00A11019"/>
    <w:rsid w:val="00A204AB"/>
    <w:rsid w:val="00A228A2"/>
    <w:rsid w:val="00A2320C"/>
    <w:rsid w:val="00A23600"/>
    <w:rsid w:val="00A24D26"/>
    <w:rsid w:val="00A25022"/>
    <w:rsid w:val="00A257EB"/>
    <w:rsid w:val="00A3062D"/>
    <w:rsid w:val="00A3176E"/>
    <w:rsid w:val="00A3447B"/>
    <w:rsid w:val="00A344EA"/>
    <w:rsid w:val="00A3481D"/>
    <w:rsid w:val="00A40D4F"/>
    <w:rsid w:val="00A4134B"/>
    <w:rsid w:val="00A4190B"/>
    <w:rsid w:val="00A46072"/>
    <w:rsid w:val="00A522FC"/>
    <w:rsid w:val="00A52448"/>
    <w:rsid w:val="00A53A9E"/>
    <w:rsid w:val="00A56923"/>
    <w:rsid w:val="00A60C83"/>
    <w:rsid w:val="00A613BF"/>
    <w:rsid w:val="00A61A77"/>
    <w:rsid w:val="00A63BAB"/>
    <w:rsid w:val="00A64B99"/>
    <w:rsid w:val="00A66B4D"/>
    <w:rsid w:val="00A66CF7"/>
    <w:rsid w:val="00A67E73"/>
    <w:rsid w:val="00A70219"/>
    <w:rsid w:val="00A71314"/>
    <w:rsid w:val="00A71B94"/>
    <w:rsid w:val="00A73FD2"/>
    <w:rsid w:val="00A740E0"/>
    <w:rsid w:val="00A74293"/>
    <w:rsid w:val="00A742CD"/>
    <w:rsid w:val="00A77B6F"/>
    <w:rsid w:val="00A82FD4"/>
    <w:rsid w:val="00A83440"/>
    <w:rsid w:val="00A84162"/>
    <w:rsid w:val="00A85E56"/>
    <w:rsid w:val="00A9044E"/>
    <w:rsid w:val="00A923F1"/>
    <w:rsid w:val="00A93F2D"/>
    <w:rsid w:val="00A94AA5"/>
    <w:rsid w:val="00A95759"/>
    <w:rsid w:val="00A964F6"/>
    <w:rsid w:val="00A9705D"/>
    <w:rsid w:val="00A97818"/>
    <w:rsid w:val="00AA40A3"/>
    <w:rsid w:val="00AA53C6"/>
    <w:rsid w:val="00AA602B"/>
    <w:rsid w:val="00AA7021"/>
    <w:rsid w:val="00AB14F9"/>
    <w:rsid w:val="00AB4C3A"/>
    <w:rsid w:val="00AB4FD0"/>
    <w:rsid w:val="00AC7A04"/>
    <w:rsid w:val="00AC7B79"/>
    <w:rsid w:val="00AD4731"/>
    <w:rsid w:val="00AD690E"/>
    <w:rsid w:val="00AE32BF"/>
    <w:rsid w:val="00AE3567"/>
    <w:rsid w:val="00AE3636"/>
    <w:rsid w:val="00AE60D3"/>
    <w:rsid w:val="00AE6646"/>
    <w:rsid w:val="00AF1B73"/>
    <w:rsid w:val="00AF22A6"/>
    <w:rsid w:val="00AF520E"/>
    <w:rsid w:val="00AF79A9"/>
    <w:rsid w:val="00AF7ED0"/>
    <w:rsid w:val="00B0153B"/>
    <w:rsid w:val="00B0188C"/>
    <w:rsid w:val="00B01D98"/>
    <w:rsid w:val="00B04667"/>
    <w:rsid w:val="00B059C1"/>
    <w:rsid w:val="00B06CFB"/>
    <w:rsid w:val="00B118E9"/>
    <w:rsid w:val="00B11E43"/>
    <w:rsid w:val="00B12788"/>
    <w:rsid w:val="00B13CD5"/>
    <w:rsid w:val="00B140EF"/>
    <w:rsid w:val="00B146DC"/>
    <w:rsid w:val="00B14964"/>
    <w:rsid w:val="00B2064B"/>
    <w:rsid w:val="00B20CA8"/>
    <w:rsid w:val="00B216FB"/>
    <w:rsid w:val="00B236B6"/>
    <w:rsid w:val="00B2573D"/>
    <w:rsid w:val="00B274A1"/>
    <w:rsid w:val="00B3078D"/>
    <w:rsid w:val="00B311C1"/>
    <w:rsid w:val="00B32C3F"/>
    <w:rsid w:val="00B34CD1"/>
    <w:rsid w:val="00B36494"/>
    <w:rsid w:val="00B36707"/>
    <w:rsid w:val="00B37BF9"/>
    <w:rsid w:val="00B40337"/>
    <w:rsid w:val="00B42041"/>
    <w:rsid w:val="00B451C6"/>
    <w:rsid w:val="00B474B8"/>
    <w:rsid w:val="00B47968"/>
    <w:rsid w:val="00B47C38"/>
    <w:rsid w:val="00B503A9"/>
    <w:rsid w:val="00B5040B"/>
    <w:rsid w:val="00B5076C"/>
    <w:rsid w:val="00B54194"/>
    <w:rsid w:val="00B568CE"/>
    <w:rsid w:val="00B57728"/>
    <w:rsid w:val="00B57EBA"/>
    <w:rsid w:val="00B6138C"/>
    <w:rsid w:val="00B617AB"/>
    <w:rsid w:val="00B6235B"/>
    <w:rsid w:val="00B64C03"/>
    <w:rsid w:val="00B70D9C"/>
    <w:rsid w:val="00B73A2A"/>
    <w:rsid w:val="00B73A80"/>
    <w:rsid w:val="00B7659F"/>
    <w:rsid w:val="00B809CD"/>
    <w:rsid w:val="00B8223C"/>
    <w:rsid w:val="00B82F95"/>
    <w:rsid w:val="00B84C20"/>
    <w:rsid w:val="00B85E4A"/>
    <w:rsid w:val="00B85EB7"/>
    <w:rsid w:val="00B90D0A"/>
    <w:rsid w:val="00B94C83"/>
    <w:rsid w:val="00BA02EF"/>
    <w:rsid w:val="00BA5200"/>
    <w:rsid w:val="00BA7FF9"/>
    <w:rsid w:val="00BB36F8"/>
    <w:rsid w:val="00BB4ECA"/>
    <w:rsid w:val="00BB5009"/>
    <w:rsid w:val="00BB6100"/>
    <w:rsid w:val="00BB6C9E"/>
    <w:rsid w:val="00BB7144"/>
    <w:rsid w:val="00BC1D59"/>
    <w:rsid w:val="00BC2E7B"/>
    <w:rsid w:val="00BC59CE"/>
    <w:rsid w:val="00BC6E38"/>
    <w:rsid w:val="00BC7C0F"/>
    <w:rsid w:val="00BD3232"/>
    <w:rsid w:val="00BD631B"/>
    <w:rsid w:val="00BD6922"/>
    <w:rsid w:val="00BD7AEE"/>
    <w:rsid w:val="00BE2C3C"/>
    <w:rsid w:val="00BE48F6"/>
    <w:rsid w:val="00BF05CF"/>
    <w:rsid w:val="00BF4258"/>
    <w:rsid w:val="00BF4B94"/>
    <w:rsid w:val="00BF5788"/>
    <w:rsid w:val="00BF5BD0"/>
    <w:rsid w:val="00BF7754"/>
    <w:rsid w:val="00C01B70"/>
    <w:rsid w:val="00C07B6F"/>
    <w:rsid w:val="00C07D27"/>
    <w:rsid w:val="00C15882"/>
    <w:rsid w:val="00C1617C"/>
    <w:rsid w:val="00C173E8"/>
    <w:rsid w:val="00C1763E"/>
    <w:rsid w:val="00C17B34"/>
    <w:rsid w:val="00C2068A"/>
    <w:rsid w:val="00C23492"/>
    <w:rsid w:val="00C27017"/>
    <w:rsid w:val="00C275C6"/>
    <w:rsid w:val="00C308B0"/>
    <w:rsid w:val="00C3344D"/>
    <w:rsid w:val="00C3389F"/>
    <w:rsid w:val="00C36035"/>
    <w:rsid w:val="00C360BD"/>
    <w:rsid w:val="00C37E90"/>
    <w:rsid w:val="00C404F5"/>
    <w:rsid w:val="00C4099E"/>
    <w:rsid w:val="00C40CE0"/>
    <w:rsid w:val="00C43F37"/>
    <w:rsid w:val="00C45808"/>
    <w:rsid w:val="00C46191"/>
    <w:rsid w:val="00C463E3"/>
    <w:rsid w:val="00C513BE"/>
    <w:rsid w:val="00C53179"/>
    <w:rsid w:val="00C53ACC"/>
    <w:rsid w:val="00C55378"/>
    <w:rsid w:val="00C553DD"/>
    <w:rsid w:val="00C56941"/>
    <w:rsid w:val="00C61565"/>
    <w:rsid w:val="00C61AAD"/>
    <w:rsid w:val="00C63E45"/>
    <w:rsid w:val="00C663B9"/>
    <w:rsid w:val="00C66A15"/>
    <w:rsid w:val="00C67E12"/>
    <w:rsid w:val="00C67F8B"/>
    <w:rsid w:val="00C712C9"/>
    <w:rsid w:val="00C7130C"/>
    <w:rsid w:val="00C71E65"/>
    <w:rsid w:val="00C72122"/>
    <w:rsid w:val="00C7230D"/>
    <w:rsid w:val="00C74AE4"/>
    <w:rsid w:val="00C75A38"/>
    <w:rsid w:val="00C82316"/>
    <w:rsid w:val="00C84E6E"/>
    <w:rsid w:val="00C93B7C"/>
    <w:rsid w:val="00C95A81"/>
    <w:rsid w:val="00C968AB"/>
    <w:rsid w:val="00C97E28"/>
    <w:rsid w:val="00C97E34"/>
    <w:rsid w:val="00CA397D"/>
    <w:rsid w:val="00CA4A4C"/>
    <w:rsid w:val="00CB1777"/>
    <w:rsid w:val="00CB29F1"/>
    <w:rsid w:val="00CB2FD0"/>
    <w:rsid w:val="00CB6638"/>
    <w:rsid w:val="00CB792A"/>
    <w:rsid w:val="00CC1564"/>
    <w:rsid w:val="00CC1C54"/>
    <w:rsid w:val="00CC4BDA"/>
    <w:rsid w:val="00CC5143"/>
    <w:rsid w:val="00CD1513"/>
    <w:rsid w:val="00CD466C"/>
    <w:rsid w:val="00CD4CCA"/>
    <w:rsid w:val="00CD60B1"/>
    <w:rsid w:val="00CE0755"/>
    <w:rsid w:val="00CE1F76"/>
    <w:rsid w:val="00CE2245"/>
    <w:rsid w:val="00CE4DCC"/>
    <w:rsid w:val="00CE5092"/>
    <w:rsid w:val="00CE50E6"/>
    <w:rsid w:val="00CE7888"/>
    <w:rsid w:val="00CF1F64"/>
    <w:rsid w:val="00CF3004"/>
    <w:rsid w:val="00CF3D63"/>
    <w:rsid w:val="00CF403A"/>
    <w:rsid w:val="00CF4F93"/>
    <w:rsid w:val="00CF5C8E"/>
    <w:rsid w:val="00CF6D55"/>
    <w:rsid w:val="00D00043"/>
    <w:rsid w:val="00D0142A"/>
    <w:rsid w:val="00D07221"/>
    <w:rsid w:val="00D11FA2"/>
    <w:rsid w:val="00D12B64"/>
    <w:rsid w:val="00D139FA"/>
    <w:rsid w:val="00D145A8"/>
    <w:rsid w:val="00D1713F"/>
    <w:rsid w:val="00D17A00"/>
    <w:rsid w:val="00D2174A"/>
    <w:rsid w:val="00D22D9B"/>
    <w:rsid w:val="00D23122"/>
    <w:rsid w:val="00D247FD"/>
    <w:rsid w:val="00D260B2"/>
    <w:rsid w:val="00D277C3"/>
    <w:rsid w:val="00D322FA"/>
    <w:rsid w:val="00D41502"/>
    <w:rsid w:val="00D41F41"/>
    <w:rsid w:val="00D42B73"/>
    <w:rsid w:val="00D46207"/>
    <w:rsid w:val="00D468AD"/>
    <w:rsid w:val="00D46E13"/>
    <w:rsid w:val="00D50726"/>
    <w:rsid w:val="00D53A7F"/>
    <w:rsid w:val="00D56D7F"/>
    <w:rsid w:val="00D5788F"/>
    <w:rsid w:val="00D57FCD"/>
    <w:rsid w:val="00D62916"/>
    <w:rsid w:val="00D630F9"/>
    <w:rsid w:val="00D65348"/>
    <w:rsid w:val="00D667D2"/>
    <w:rsid w:val="00D6690C"/>
    <w:rsid w:val="00D67733"/>
    <w:rsid w:val="00D75F21"/>
    <w:rsid w:val="00D80D51"/>
    <w:rsid w:val="00D813F4"/>
    <w:rsid w:val="00D819AE"/>
    <w:rsid w:val="00D834D4"/>
    <w:rsid w:val="00D846C4"/>
    <w:rsid w:val="00D85525"/>
    <w:rsid w:val="00D85696"/>
    <w:rsid w:val="00D86231"/>
    <w:rsid w:val="00D867E0"/>
    <w:rsid w:val="00D90B30"/>
    <w:rsid w:val="00D92076"/>
    <w:rsid w:val="00D92A16"/>
    <w:rsid w:val="00D94112"/>
    <w:rsid w:val="00D957C5"/>
    <w:rsid w:val="00D96BBA"/>
    <w:rsid w:val="00DA0907"/>
    <w:rsid w:val="00DA14F1"/>
    <w:rsid w:val="00DA1A21"/>
    <w:rsid w:val="00DA3BB6"/>
    <w:rsid w:val="00DA45F1"/>
    <w:rsid w:val="00DA6992"/>
    <w:rsid w:val="00DA6A22"/>
    <w:rsid w:val="00DA6C6B"/>
    <w:rsid w:val="00DA7625"/>
    <w:rsid w:val="00DA7F25"/>
    <w:rsid w:val="00DB26C9"/>
    <w:rsid w:val="00DB34EC"/>
    <w:rsid w:val="00DB3943"/>
    <w:rsid w:val="00DB618C"/>
    <w:rsid w:val="00DB75F6"/>
    <w:rsid w:val="00DB7CFA"/>
    <w:rsid w:val="00DB7E48"/>
    <w:rsid w:val="00DC06CE"/>
    <w:rsid w:val="00DC102E"/>
    <w:rsid w:val="00DC4257"/>
    <w:rsid w:val="00DC4755"/>
    <w:rsid w:val="00DC5CF3"/>
    <w:rsid w:val="00DC6BCF"/>
    <w:rsid w:val="00DC6F5A"/>
    <w:rsid w:val="00DC78CF"/>
    <w:rsid w:val="00DD3CF0"/>
    <w:rsid w:val="00DE0B8B"/>
    <w:rsid w:val="00DE2C46"/>
    <w:rsid w:val="00DE3018"/>
    <w:rsid w:val="00DE50D3"/>
    <w:rsid w:val="00DE5795"/>
    <w:rsid w:val="00DE6BC1"/>
    <w:rsid w:val="00DE73D0"/>
    <w:rsid w:val="00DE7F36"/>
    <w:rsid w:val="00DF0ED4"/>
    <w:rsid w:val="00DF1963"/>
    <w:rsid w:val="00DF6604"/>
    <w:rsid w:val="00DF6FDE"/>
    <w:rsid w:val="00E017E5"/>
    <w:rsid w:val="00E01B73"/>
    <w:rsid w:val="00E0226C"/>
    <w:rsid w:val="00E0368A"/>
    <w:rsid w:val="00E041E6"/>
    <w:rsid w:val="00E04BE8"/>
    <w:rsid w:val="00E06EEE"/>
    <w:rsid w:val="00E11DA8"/>
    <w:rsid w:val="00E121D8"/>
    <w:rsid w:val="00E131C9"/>
    <w:rsid w:val="00E15AE2"/>
    <w:rsid w:val="00E20414"/>
    <w:rsid w:val="00E23BDA"/>
    <w:rsid w:val="00E2689E"/>
    <w:rsid w:val="00E26D2B"/>
    <w:rsid w:val="00E312E1"/>
    <w:rsid w:val="00E31EE8"/>
    <w:rsid w:val="00E324DD"/>
    <w:rsid w:val="00E325CB"/>
    <w:rsid w:val="00E34716"/>
    <w:rsid w:val="00E41875"/>
    <w:rsid w:val="00E4608D"/>
    <w:rsid w:val="00E460EC"/>
    <w:rsid w:val="00E529F5"/>
    <w:rsid w:val="00E542B7"/>
    <w:rsid w:val="00E556C7"/>
    <w:rsid w:val="00E55F91"/>
    <w:rsid w:val="00E61291"/>
    <w:rsid w:val="00E61898"/>
    <w:rsid w:val="00E62D13"/>
    <w:rsid w:val="00E631BD"/>
    <w:rsid w:val="00E67325"/>
    <w:rsid w:val="00E718DE"/>
    <w:rsid w:val="00E725E2"/>
    <w:rsid w:val="00E7635E"/>
    <w:rsid w:val="00E76A9D"/>
    <w:rsid w:val="00E8022E"/>
    <w:rsid w:val="00E81F10"/>
    <w:rsid w:val="00E834ED"/>
    <w:rsid w:val="00E8497B"/>
    <w:rsid w:val="00E84E0A"/>
    <w:rsid w:val="00E86C07"/>
    <w:rsid w:val="00E926A8"/>
    <w:rsid w:val="00E928C2"/>
    <w:rsid w:val="00E929C3"/>
    <w:rsid w:val="00E940C8"/>
    <w:rsid w:val="00E95566"/>
    <w:rsid w:val="00E95DF1"/>
    <w:rsid w:val="00E962DD"/>
    <w:rsid w:val="00E97027"/>
    <w:rsid w:val="00E9716E"/>
    <w:rsid w:val="00EA13A5"/>
    <w:rsid w:val="00EA3350"/>
    <w:rsid w:val="00EA3B43"/>
    <w:rsid w:val="00EA3BCE"/>
    <w:rsid w:val="00EA3D86"/>
    <w:rsid w:val="00EC13DE"/>
    <w:rsid w:val="00EC472A"/>
    <w:rsid w:val="00EC6942"/>
    <w:rsid w:val="00EC7E67"/>
    <w:rsid w:val="00ED0B7F"/>
    <w:rsid w:val="00ED6D43"/>
    <w:rsid w:val="00ED75DE"/>
    <w:rsid w:val="00EE0862"/>
    <w:rsid w:val="00EE4703"/>
    <w:rsid w:val="00EE542C"/>
    <w:rsid w:val="00EE556E"/>
    <w:rsid w:val="00EE77AB"/>
    <w:rsid w:val="00EF47C4"/>
    <w:rsid w:val="00EF4C22"/>
    <w:rsid w:val="00EF54D0"/>
    <w:rsid w:val="00F04AD5"/>
    <w:rsid w:val="00F067D1"/>
    <w:rsid w:val="00F10121"/>
    <w:rsid w:val="00F1081F"/>
    <w:rsid w:val="00F13518"/>
    <w:rsid w:val="00F13976"/>
    <w:rsid w:val="00F14292"/>
    <w:rsid w:val="00F142DB"/>
    <w:rsid w:val="00F1489E"/>
    <w:rsid w:val="00F162C1"/>
    <w:rsid w:val="00F17FEC"/>
    <w:rsid w:val="00F2215C"/>
    <w:rsid w:val="00F22280"/>
    <w:rsid w:val="00F26637"/>
    <w:rsid w:val="00F37E6E"/>
    <w:rsid w:val="00F40C8A"/>
    <w:rsid w:val="00F4221D"/>
    <w:rsid w:val="00F4440C"/>
    <w:rsid w:val="00F461BD"/>
    <w:rsid w:val="00F467BF"/>
    <w:rsid w:val="00F47FD8"/>
    <w:rsid w:val="00F539DE"/>
    <w:rsid w:val="00F549DF"/>
    <w:rsid w:val="00F5654E"/>
    <w:rsid w:val="00F612F1"/>
    <w:rsid w:val="00F61EDD"/>
    <w:rsid w:val="00F631F3"/>
    <w:rsid w:val="00F63A4B"/>
    <w:rsid w:val="00F647BA"/>
    <w:rsid w:val="00F70010"/>
    <w:rsid w:val="00F711D0"/>
    <w:rsid w:val="00F730F0"/>
    <w:rsid w:val="00F73801"/>
    <w:rsid w:val="00F73802"/>
    <w:rsid w:val="00F73DD5"/>
    <w:rsid w:val="00F744F7"/>
    <w:rsid w:val="00F75B67"/>
    <w:rsid w:val="00F800D7"/>
    <w:rsid w:val="00F8315B"/>
    <w:rsid w:val="00F91886"/>
    <w:rsid w:val="00F920E9"/>
    <w:rsid w:val="00F934B3"/>
    <w:rsid w:val="00F96057"/>
    <w:rsid w:val="00F97A66"/>
    <w:rsid w:val="00FA4F40"/>
    <w:rsid w:val="00FA607D"/>
    <w:rsid w:val="00FA70AD"/>
    <w:rsid w:val="00FB1AA2"/>
    <w:rsid w:val="00FB1EF8"/>
    <w:rsid w:val="00FB3C7C"/>
    <w:rsid w:val="00FB4B36"/>
    <w:rsid w:val="00FB4BEE"/>
    <w:rsid w:val="00FC2570"/>
    <w:rsid w:val="00FC3E8C"/>
    <w:rsid w:val="00FD4E0B"/>
    <w:rsid w:val="00FD67F8"/>
    <w:rsid w:val="00FE3F8B"/>
    <w:rsid w:val="00FE4560"/>
    <w:rsid w:val="00FE5732"/>
    <w:rsid w:val="00FE6189"/>
    <w:rsid w:val="00FE727D"/>
    <w:rsid w:val="00FE72DA"/>
    <w:rsid w:val="00FE7557"/>
    <w:rsid w:val="00FE76C0"/>
    <w:rsid w:val="00FF121E"/>
    <w:rsid w:val="00FF3D3F"/>
    <w:rsid w:val="00FF7090"/>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BCE751"/>
  <w15:chartTrackingRefBased/>
  <w15:docId w15:val="{A2F0BD89-496C-3D4C-9486-08979AE9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5A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7EB8"/>
    <w:pPr>
      <w:spacing w:before="100" w:beforeAutospacing="1" w:after="100" w:afterAutospacing="1"/>
    </w:pPr>
  </w:style>
  <w:style w:type="character" w:styleId="Hyperlink">
    <w:name w:val="Hyperlink"/>
    <w:basedOn w:val="DefaultParagraphFont"/>
    <w:uiPriority w:val="99"/>
    <w:unhideWhenUsed/>
    <w:rsid w:val="00537EB8"/>
    <w:rPr>
      <w:color w:val="0563C1" w:themeColor="hyperlink"/>
      <w:u w:val="single"/>
    </w:rPr>
  </w:style>
  <w:style w:type="character" w:styleId="UnresolvedMention">
    <w:name w:val="Unresolved Mention"/>
    <w:basedOn w:val="DefaultParagraphFont"/>
    <w:uiPriority w:val="99"/>
    <w:semiHidden/>
    <w:unhideWhenUsed/>
    <w:rsid w:val="00537EB8"/>
    <w:rPr>
      <w:color w:val="605E5C"/>
      <w:shd w:val="clear" w:color="auto" w:fill="E1DFDD"/>
    </w:rPr>
  </w:style>
  <w:style w:type="paragraph" w:styleId="BalloonText">
    <w:name w:val="Balloon Text"/>
    <w:basedOn w:val="Normal"/>
    <w:link w:val="BalloonTextChar"/>
    <w:uiPriority w:val="99"/>
    <w:semiHidden/>
    <w:unhideWhenUsed/>
    <w:rsid w:val="00537EB8"/>
    <w:rPr>
      <w:rFonts w:eastAsiaTheme="minorHAnsi"/>
      <w:sz w:val="18"/>
      <w:szCs w:val="18"/>
    </w:rPr>
  </w:style>
  <w:style w:type="character" w:customStyle="1" w:styleId="BalloonTextChar">
    <w:name w:val="Balloon Text Char"/>
    <w:basedOn w:val="DefaultParagraphFont"/>
    <w:link w:val="BalloonText"/>
    <w:uiPriority w:val="99"/>
    <w:semiHidden/>
    <w:rsid w:val="00537EB8"/>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537EB8"/>
    <w:rPr>
      <w:color w:val="954F72" w:themeColor="followedHyperlink"/>
      <w:u w:val="single"/>
    </w:rPr>
  </w:style>
  <w:style w:type="table" w:styleId="TableGrid">
    <w:name w:val="Table Grid"/>
    <w:basedOn w:val="TableNormal"/>
    <w:uiPriority w:val="39"/>
    <w:rsid w:val="0053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37EB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37EB8"/>
    <w:rPr>
      <w:sz w:val="16"/>
      <w:szCs w:val="16"/>
    </w:rPr>
  </w:style>
  <w:style w:type="paragraph" w:styleId="CommentText">
    <w:name w:val="annotation text"/>
    <w:basedOn w:val="Normal"/>
    <w:link w:val="CommentTextChar"/>
    <w:uiPriority w:val="99"/>
    <w:unhideWhenUsed/>
    <w:rsid w:val="00537EB8"/>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37EB8"/>
    <w:rPr>
      <w:sz w:val="20"/>
      <w:szCs w:val="20"/>
    </w:rPr>
  </w:style>
  <w:style w:type="paragraph" w:styleId="CommentSubject">
    <w:name w:val="annotation subject"/>
    <w:basedOn w:val="CommentText"/>
    <w:next w:val="CommentText"/>
    <w:link w:val="CommentSubjectChar"/>
    <w:uiPriority w:val="99"/>
    <w:semiHidden/>
    <w:unhideWhenUsed/>
    <w:rsid w:val="00537EB8"/>
    <w:rPr>
      <w:b/>
      <w:bCs/>
    </w:rPr>
  </w:style>
  <w:style w:type="character" w:customStyle="1" w:styleId="CommentSubjectChar">
    <w:name w:val="Comment Subject Char"/>
    <w:basedOn w:val="CommentTextChar"/>
    <w:link w:val="CommentSubject"/>
    <w:uiPriority w:val="99"/>
    <w:semiHidden/>
    <w:rsid w:val="00537EB8"/>
    <w:rPr>
      <w:b/>
      <w:bCs/>
      <w:sz w:val="20"/>
      <w:szCs w:val="20"/>
    </w:rPr>
  </w:style>
  <w:style w:type="paragraph" w:styleId="Header">
    <w:name w:val="header"/>
    <w:basedOn w:val="Normal"/>
    <w:link w:val="HeaderChar"/>
    <w:uiPriority w:val="99"/>
    <w:unhideWhenUsed/>
    <w:rsid w:val="00537EB8"/>
    <w:pPr>
      <w:tabs>
        <w:tab w:val="center" w:pos="4680"/>
        <w:tab w:val="right" w:pos="9360"/>
      </w:tabs>
    </w:pPr>
  </w:style>
  <w:style w:type="character" w:customStyle="1" w:styleId="HeaderChar">
    <w:name w:val="Header Char"/>
    <w:basedOn w:val="DefaultParagraphFont"/>
    <w:link w:val="Header"/>
    <w:uiPriority w:val="99"/>
    <w:rsid w:val="00537EB8"/>
    <w:rPr>
      <w:rFonts w:ascii="Times New Roman" w:eastAsia="Times New Roman" w:hAnsi="Times New Roman" w:cs="Times New Roman"/>
    </w:rPr>
  </w:style>
  <w:style w:type="paragraph" w:styleId="Footer">
    <w:name w:val="footer"/>
    <w:basedOn w:val="Normal"/>
    <w:link w:val="FooterChar"/>
    <w:uiPriority w:val="99"/>
    <w:unhideWhenUsed/>
    <w:rsid w:val="00537EB8"/>
    <w:pPr>
      <w:tabs>
        <w:tab w:val="center" w:pos="4680"/>
        <w:tab w:val="right" w:pos="9360"/>
      </w:tabs>
    </w:pPr>
  </w:style>
  <w:style w:type="character" w:customStyle="1" w:styleId="FooterChar">
    <w:name w:val="Footer Char"/>
    <w:basedOn w:val="DefaultParagraphFont"/>
    <w:link w:val="Footer"/>
    <w:uiPriority w:val="99"/>
    <w:rsid w:val="00537EB8"/>
    <w:rPr>
      <w:rFonts w:ascii="Times New Roman" w:eastAsia="Times New Roman" w:hAnsi="Times New Roman" w:cs="Times New Roman"/>
    </w:rPr>
  </w:style>
  <w:style w:type="character" w:styleId="PageNumber">
    <w:name w:val="page number"/>
    <w:basedOn w:val="DefaultParagraphFont"/>
    <w:uiPriority w:val="99"/>
    <w:semiHidden/>
    <w:unhideWhenUsed/>
    <w:rsid w:val="00537EB8"/>
  </w:style>
  <w:style w:type="paragraph" w:styleId="Revision">
    <w:name w:val="Revision"/>
    <w:hidden/>
    <w:uiPriority w:val="99"/>
    <w:semiHidden/>
    <w:rsid w:val="00537EB8"/>
    <w:rPr>
      <w:rFonts w:ascii="Times New Roman" w:eastAsia="Times New Roman" w:hAnsi="Times New Roman" w:cs="Times New Roman"/>
    </w:rPr>
  </w:style>
  <w:style w:type="paragraph" w:styleId="Bibliography">
    <w:name w:val="Bibliography"/>
    <w:basedOn w:val="Normal"/>
    <w:next w:val="Normal"/>
    <w:uiPriority w:val="37"/>
    <w:unhideWhenUsed/>
    <w:rsid w:val="00537EB8"/>
    <w:pPr>
      <w:ind w:left="720" w:hanging="720"/>
    </w:pPr>
  </w:style>
  <w:style w:type="paragraph" w:customStyle="1" w:styleId="MTDisplayEquation">
    <w:name w:val="MTDisplayEquation"/>
    <w:basedOn w:val="Normal"/>
    <w:next w:val="Normal"/>
    <w:link w:val="MTDisplayEquationChar"/>
    <w:rsid w:val="00780B09"/>
    <w:pPr>
      <w:tabs>
        <w:tab w:val="center" w:pos="4680"/>
        <w:tab w:val="right" w:pos="9360"/>
      </w:tabs>
      <w:spacing w:after="160" w:line="278" w:lineRule="auto"/>
    </w:pPr>
    <w:rPr>
      <w:rFonts w:eastAsiaTheme="minorHAnsi" w:cstheme="minorBidi"/>
      <w:kern w:val="2"/>
      <w14:ligatures w14:val="standardContextual"/>
    </w:rPr>
  </w:style>
  <w:style w:type="character" w:customStyle="1" w:styleId="MTDisplayEquationChar">
    <w:name w:val="MTDisplayEquation Char"/>
    <w:basedOn w:val="DefaultParagraphFont"/>
    <w:link w:val="MTDisplayEquation"/>
    <w:rsid w:val="00780B09"/>
    <w:rPr>
      <w:rFonts w:ascii="Times New Roman" w:hAnsi="Times New Roman"/>
      <w:kern w:val="2"/>
      <w14:ligatures w14:val="standardContextual"/>
    </w:rPr>
  </w:style>
  <w:style w:type="character" w:styleId="PlaceholderText">
    <w:name w:val="Placeholder Text"/>
    <w:basedOn w:val="DefaultParagraphFont"/>
    <w:uiPriority w:val="99"/>
    <w:semiHidden/>
    <w:rsid w:val="00E84E0A"/>
    <w:rPr>
      <w:color w:val="808080"/>
    </w:rPr>
  </w:style>
  <w:style w:type="paragraph" w:styleId="ListParagraph">
    <w:name w:val="List Paragraph"/>
    <w:basedOn w:val="Normal"/>
    <w:uiPriority w:val="34"/>
    <w:qFormat/>
    <w:rsid w:val="00BD6922"/>
    <w:pPr>
      <w:ind w:left="720"/>
      <w:contextualSpacing/>
    </w:pPr>
  </w:style>
  <w:style w:type="paragraph" w:styleId="FootnoteText">
    <w:name w:val="footnote text"/>
    <w:basedOn w:val="Normal"/>
    <w:link w:val="FootnoteTextChar"/>
    <w:uiPriority w:val="99"/>
    <w:semiHidden/>
    <w:unhideWhenUsed/>
    <w:rsid w:val="006220C5"/>
    <w:rPr>
      <w:sz w:val="20"/>
      <w:szCs w:val="20"/>
    </w:rPr>
  </w:style>
  <w:style w:type="character" w:customStyle="1" w:styleId="FootnoteTextChar">
    <w:name w:val="Footnote Text Char"/>
    <w:basedOn w:val="DefaultParagraphFont"/>
    <w:link w:val="FootnoteText"/>
    <w:uiPriority w:val="99"/>
    <w:semiHidden/>
    <w:rsid w:val="006220C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220C5"/>
    <w:rPr>
      <w:vertAlign w:val="superscript"/>
    </w:rPr>
  </w:style>
  <w:style w:type="character" w:styleId="EndnoteReference">
    <w:name w:val="endnote reference"/>
    <w:basedOn w:val="DefaultParagraphFont"/>
    <w:uiPriority w:val="99"/>
    <w:semiHidden/>
    <w:unhideWhenUsed/>
    <w:rsid w:val="001C6696"/>
    <w:rPr>
      <w:vertAlign w:val="superscript"/>
    </w:rPr>
  </w:style>
  <w:style w:type="table" w:customStyle="1" w:styleId="TableGrid0">
    <w:name w:val="TableGrid"/>
    <w:rsid w:val="00520633"/>
    <w:rPr>
      <w:rFonts w:eastAsiaTheme="minorEastAsia"/>
    </w:rPr>
    <w:tblPr>
      <w:tblCellMar>
        <w:top w:w="0" w:type="dxa"/>
        <w:left w:w="0" w:type="dxa"/>
        <w:bottom w:w="0" w:type="dxa"/>
        <w:right w:w="0" w:type="dxa"/>
      </w:tblCellMar>
    </w:tblPr>
  </w:style>
  <w:style w:type="paragraph" w:styleId="EndnoteText">
    <w:name w:val="endnote text"/>
    <w:basedOn w:val="Normal"/>
    <w:link w:val="EndnoteTextChar"/>
    <w:uiPriority w:val="99"/>
    <w:semiHidden/>
    <w:unhideWhenUsed/>
    <w:rsid w:val="00F22280"/>
    <w:rPr>
      <w:sz w:val="20"/>
      <w:szCs w:val="20"/>
    </w:rPr>
  </w:style>
  <w:style w:type="character" w:customStyle="1" w:styleId="EndnoteTextChar">
    <w:name w:val="Endnote Text Char"/>
    <w:basedOn w:val="DefaultParagraphFont"/>
    <w:link w:val="EndnoteText"/>
    <w:uiPriority w:val="99"/>
    <w:semiHidden/>
    <w:rsid w:val="00F22280"/>
    <w:rPr>
      <w:rFonts w:ascii="Times New Roman" w:eastAsia="Times New Roman" w:hAnsi="Times New Roman" w:cs="Times New Roman"/>
      <w:sz w:val="20"/>
      <w:szCs w:val="20"/>
    </w:rPr>
  </w:style>
  <w:style w:type="character" w:styleId="Strong">
    <w:name w:val="Strong"/>
    <w:basedOn w:val="DefaultParagraphFont"/>
    <w:uiPriority w:val="22"/>
    <w:qFormat/>
    <w:rsid w:val="00285436"/>
    <w:rPr>
      <w:b/>
      <w:bCs/>
    </w:rPr>
  </w:style>
  <w:style w:type="character" w:customStyle="1" w:styleId="anchor-text">
    <w:name w:val="anchor-text"/>
    <w:basedOn w:val="DefaultParagraphFont"/>
    <w:rsid w:val="003F38F2"/>
  </w:style>
  <w:style w:type="character" w:styleId="Emphasis">
    <w:name w:val="Emphasis"/>
    <w:basedOn w:val="DefaultParagraphFont"/>
    <w:uiPriority w:val="20"/>
    <w:qFormat/>
    <w:rsid w:val="006966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2743">
      <w:bodyDiv w:val="1"/>
      <w:marLeft w:val="0"/>
      <w:marRight w:val="0"/>
      <w:marTop w:val="0"/>
      <w:marBottom w:val="0"/>
      <w:divBdr>
        <w:top w:val="none" w:sz="0" w:space="0" w:color="auto"/>
        <w:left w:val="none" w:sz="0" w:space="0" w:color="auto"/>
        <w:bottom w:val="none" w:sz="0" w:space="0" w:color="auto"/>
        <w:right w:val="none" w:sz="0" w:space="0" w:color="auto"/>
      </w:divBdr>
    </w:div>
    <w:div w:id="43868808">
      <w:bodyDiv w:val="1"/>
      <w:marLeft w:val="0"/>
      <w:marRight w:val="0"/>
      <w:marTop w:val="0"/>
      <w:marBottom w:val="0"/>
      <w:divBdr>
        <w:top w:val="none" w:sz="0" w:space="0" w:color="auto"/>
        <w:left w:val="none" w:sz="0" w:space="0" w:color="auto"/>
        <w:bottom w:val="none" w:sz="0" w:space="0" w:color="auto"/>
        <w:right w:val="none" w:sz="0" w:space="0" w:color="auto"/>
      </w:divBdr>
    </w:div>
    <w:div w:id="59637845">
      <w:bodyDiv w:val="1"/>
      <w:marLeft w:val="0"/>
      <w:marRight w:val="0"/>
      <w:marTop w:val="0"/>
      <w:marBottom w:val="0"/>
      <w:divBdr>
        <w:top w:val="none" w:sz="0" w:space="0" w:color="auto"/>
        <w:left w:val="none" w:sz="0" w:space="0" w:color="auto"/>
        <w:bottom w:val="none" w:sz="0" w:space="0" w:color="auto"/>
        <w:right w:val="none" w:sz="0" w:space="0" w:color="auto"/>
      </w:divBdr>
    </w:div>
    <w:div w:id="87969570">
      <w:bodyDiv w:val="1"/>
      <w:marLeft w:val="0"/>
      <w:marRight w:val="0"/>
      <w:marTop w:val="0"/>
      <w:marBottom w:val="0"/>
      <w:divBdr>
        <w:top w:val="none" w:sz="0" w:space="0" w:color="auto"/>
        <w:left w:val="none" w:sz="0" w:space="0" w:color="auto"/>
        <w:bottom w:val="none" w:sz="0" w:space="0" w:color="auto"/>
        <w:right w:val="none" w:sz="0" w:space="0" w:color="auto"/>
      </w:divBdr>
    </w:div>
    <w:div w:id="142891567">
      <w:bodyDiv w:val="1"/>
      <w:marLeft w:val="0"/>
      <w:marRight w:val="0"/>
      <w:marTop w:val="0"/>
      <w:marBottom w:val="0"/>
      <w:divBdr>
        <w:top w:val="none" w:sz="0" w:space="0" w:color="auto"/>
        <w:left w:val="none" w:sz="0" w:space="0" w:color="auto"/>
        <w:bottom w:val="none" w:sz="0" w:space="0" w:color="auto"/>
        <w:right w:val="none" w:sz="0" w:space="0" w:color="auto"/>
      </w:divBdr>
    </w:div>
    <w:div w:id="155153122">
      <w:bodyDiv w:val="1"/>
      <w:marLeft w:val="0"/>
      <w:marRight w:val="0"/>
      <w:marTop w:val="0"/>
      <w:marBottom w:val="0"/>
      <w:divBdr>
        <w:top w:val="none" w:sz="0" w:space="0" w:color="auto"/>
        <w:left w:val="none" w:sz="0" w:space="0" w:color="auto"/>
        <w:bottom w:val="none" w:sz="0" w:space="0" w:color="auto"/>
        <w:right w:val="none" w:sz="0" w:space="0" w:color="auto"/>
      </w:divBdr>
    </w:div>
    <w:div w:id="161820739">
      <w:bodyDiv w:val="1"/>
      <w:marLeft w:val="0"/>
      <w:marRight w:val="0"/>
      <w:marTop w:val="0"/>
      <w:marBottom w:val="0"/>
      <w:divBdr>
        <w:top w:val="none" w:sz="0" w:space="0" w:color="auto"/>
        <w:left w:val="none" w:sz="0" w:space="0" w:color="auto"/>
        <w:bottom w:val="none" w:sz="0" w:space="0" w:color="auto"/>
        <w:right w:val="none" w:sz="0" w:space="0" w:color="auto"/>
      </w:divBdr>
    </w:div>
    <w:div w:id="190800173">
      <w:bodyDiv w:val="1"/>
      <w:marLeft w:val="0"/>
      <w:marRight w:val="0"/>
      <w:marTop w:val="0"/>
      <w:marBottom w:val="0"/>
      <w:divBdr>
        <w:top w:val="none" w:sz="0" w:space="0" w:color="auto"/>
        <w:left w:val="none" w:sz="0" w:space="0" w:color="auto"/>
        <w:bottom w:val="none" w:sz="0" w:space="0" w:color="auto"/>
        <w:right w:val="none" w:sz="0" w:space="0" w:color="auto"/>
      </w:divBdr>
    </w:div>
    <w:div w:id="228807351">
      <w:bodyDiv w:val="1"/>
      <w:marLeft w:val="0"/>
      <w:marRight w:val="0"/>
      <w:marTop w:val="0"/>
      <w:marBottom w:val="0"/>
      <w:divBdr>
        <w:top w:val="none" w:sz="0" w:space="0" w:color="auto"/>
        <w:left w:val="none" w:sz="0" w:space="0" w:color="auto"/>
        <w:bottom w:val="none" w:sz="0" w:space="0" w:color="auto"/>
        <w:right w:val="none" w:sz="0" w:space="0" w:color="auto"/>
      </w:divBdr>
      <w:divsChild>
        <w:div w:id="109289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2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30578">
      <w:bodyDiv w:val="1"/>
      <w:marLeft w:val="0"/>
      <w:marRight w:val="0"/>
      <w:marTop w:val="0"/>
      <w:marBottom w:val="0"/>
      <w:divBdr>
        <w:top w:val="none" w:sz="0" w:space="0" w:color="auto"/>
        <w:left w:val="none" w:sz="0" w:space="0" w:color="auto"/>
        <w:bottom w:val="none" w:sz="0" w:space="0" w:color="auto"/>
        <w:right w:val="none" w:sz="0" w:space="0" w:color="auto"/>
      </w:divBdr>
    </w:div>
    <w:div w:id="297271599">
      <w:bodyDiv w:val="1"/>
      <w:marLeft w:val="0"/>
      <w:marRight w:val="0"/>
      <w:marTop w:val="0"/>
      <w:marBottom w:val="0"/>
      <w:divBdr>
        <w:top w:val="none" w:sz="0" w:space="0" w:color="auto"/>
        <w:left w:val="none" w:sz="0" w:space="0" w:color="auto"/>
        <w:bottom w:val="none" w:sz="0" w:space="0" w:color="auto"/>
        <w:right w:val="none" w:sz="0" w:space="0" w:color="auto"/>
      </w:divBdr>
    </w:div>
    <w:div w:id="383719533">
      <w:bodyDiv w:val="1"/>
      <w:marLeft w:val="0"/>
      <w:marRight w:val="0"/>
      <w:marTop w:val="0"/>
      <w:marBottom w:val="0"/>
      <w:divBdr>
        <w:top w:val="none" w:sz="0" w:space="0" w:color="auto"/>
        <w:left w:val="none" w:sz="0" w:space="0" w:color="auto"/>
        <w:bottom w:val="none" w:sz="0" w:space="0" w:color="auto"/>
        <w:right w:val="none" w:sz="0" w:space="0" w:color="auto"/>
      </w:divBdr>
    </w:div>
    <w:div w:id="387343684">
      <w:bodyDiv w:val="1"/>
      <w:marLeft w:val="0"/>
      <w:marRight w:val="0"/>
      <w:marTop w:val="0"/>
      <w:marBottom w:val="0"/>
      <w:divBdr>
        <w:top w:val="none" w:sz="0" w:space="0" w:color="auto"/>
        <w:left w:val="none" w:sz="0" w:space="0" w:color="auto"/>
        <w:bottom w:val="none" w:sz="0" w:space="0" w:color="auto"/>
        <w:right w:val="none" w:sz="0" w:space="0" w:color="auto"/>
      </w:divBdr>
    </w:div>
    <w:div w:id="442193403">
      <w:bodyDiv w:val="1"/>
      <w:marLeft w:val="0"/>
      <w:marRight w:val="0"/>
      <w:marTop w:val="0"/>
      <w:marBottom w:val="0"/>
      <w:divBdr>
        <w:top w:val="none" w:sz="0" w:space="0" w:color="auto"/>
        <w:left w:val="none" w:sz="0" w:space="0" w:color="auto"/>
        <w:bottom w:val="none" w:sz="0" w:space="0" w:color="auto"/>
        <w:right w:val="none" w:sz="0" w:space="0" w:color="auto"/>
      </w:divBdr>
    </w:div>
    <w:div w:id="455491057">
      <w:bodyDiv w:val="1"/>
      <w:marLeft w:val="0"/>
      <w:marRight w:val="0"/>
      <w:marTop w:val="0"/>
      <w:marBottom w:val="0"/>
      <w:divBdr>
        <w:top w:val="none" w:sz="0" w:space="0" w:color="auto"/>
        <w:left w:val="none" w:sz="0" w:space="0" w:color="auto"/>
        <w:bottom w:val="none" w:sz="0" w:space="0" w:color="auto"/>
        <w:right w:val="none" w:sz="0" w:space="0" w:color="auto"/>
      </w:divBdr>
      <w:divsChild>
        <w:div w:id="1957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5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26063">
      <w:bodyDiv w:val="1"/>
      <w:marLeft w:val="0"/>
      <w:marRight w:val="0"/>
      <w:marTop w:val="0"/>
      <w:marBottom w:val="0"/>
      <w:divBdr>
        <w:top w:val="none" w:sz="0" w:space="0" w:color="auto"/>
        <w:left w:val="none" w:sz="0" w:space="0" w:color="auto"/>
        <w:bottom w:val="none" w:sz="0" w:space="0" w:color="auto"/>
        <w:right w:val="none" w:sz="0" w:space="0" w:color="auto"/>
      </w:divBdr>
    </w:div>
    <w:div w:id="464585242">
      <w:bodyDiv w:val="1"/>
      <w:marLeft w:val="0"/>
      <w:marRight w:val="0"/>
      <w:marTop w:val="0"/>
      <w:marBottom w:val="0"/>
      <w:divBdr>
        <w:top w:val="none" w:sz="0" w:space="0" w:color="auto"/>
        <w:left w:val="none" w:sz="0" w:space="0" w:color="auto"/>
        <w:bottom w:val="none" w:sz="0" w:space="0" w:color="auto"/>
        <w:right w:val="none" w:sz="0" w:space="0" w:color="auto"/>
      </w:divBdr>
    </w:div>
    <w:div w:id="516047410">
      <w:bodyDiv w:val="1"/>
      <w:marLeft w:val="0"/>
      <w:marRight w:val="0"/>
      <w:marTop w:val="0"/>
      <w:marBottom w:val="0"/>
      <w:divBdr>
        <w:top w:val="none" w:sz="0" w:space="0" w:color="auto"/>
        <w:left w:val="none" w:sz="0" w:space="0" w:color="auto"/>
        <w:bottom w:val="none" w:sz="0" w:space="0" w:color="auto"/>
        <w:right w:val="none" w:sz="0" w:space="0" w:color="auto"/>
      </w:divBdr>
    </w:div>
    <w:div w:id="579364228">
      <w:bodyDiv w:val="1"/>
      <w:marLeft w:val="0"/>
      <w:marRight w:val="0"/>
      <w:marTop w:val="0"/>
      <w:marBottom w:val="0"/>
      <w:divBdr>
        <w:top w:val="none" w:sz="0" w:space="0" w:color="auto"/>
        <w:left w:val="none" w:sz="0" w:space="0" w:color="auto"/>
        <w:bottom w:val="none" w:sz="0" w:space="0" w:color="auto"/>
        <w:right w:val="none" w:sz="0" w:space="0" w:color="auto"/>
      </w:divBdr>
    </w:div>
    <w:div w:id="602107378">
      <w:bodyDiv w:val="1"/>
      <w:marLeft w:val="0"/>
      <w:marRight w:val="0"/>
      <w:marTop w:val="0"/>
      <w:marBottom w:val="0"/>
      <w:divBdr>
        <w:top w:val="none" w:sz="0" w:space="0" w:color="auto"/>
        <w:left w:val="none" w:sz="0" w:space="0" w:color="auto"/>
        <w:bottom w:val="none" w:sz="0" w:space="0" w:color="auto"/>
        <w:right w:val="none" w:sz="0" w:space="0" w:color="auto"/>
      </w:divBdr>
    </w:div>
    <w:div w:id="629359395">
      <w:bodyDiv w:val="1"/>
      <w:marLeft w:val="0"/>
      <w:marRight w:val="0"/>
      <w:marTop w:val="0"/>
      <w:marBottom w:val="0"/>
      <w:divBdr>
        <w:top w:val="none" w:sz="0" w:space="0" w:color="auto"/>
        <w:left w:val="none" w:sz="0" w:space="0" w:color="auto"/>
        <w:bottom w:val="none" w:sz="0" w:space="0" w:color="auto"/>
        <w:right w:val="none" w:sz="0" w:space="0" w:color="auto"/>
      </w:divBdr>
    </w:div>
    <w:div w:id="636493459">
      <w:bodyDiv w:val="1"/>
      <w:marLeft w:val="0"/>
      <w:marRight w:val="0"/>
      <w:marTop w:val="0"/>
      <w:marBottom w:val="0"/>
      <w:divBdr>
        <w:top w:val="none" w:sz="0" w:space="0" w:color="auto"/>
        <w:left w:val="none" w:sz="0" w:space="0" w:color="auto"/>
        <w:bottom w:val="none" w:sz="0" w:space="0" w:color="auto"/>
        <w:right w:val="none" w:sz="0" w:space="0" w:color="auto"/>
      </w:divBdr>
    </w:div>
    <w:div w:id="659430191">
      <w:bodyDiv w:val="1"/>
      <w:marLeft w:val="0"/>
      <w:marRight w:val="0"/>
      <w:marTop w:val="0"/>
      <w:marBottom w:val="0"/>
      <w:divBdr>
        <w:top w:val="none" w:sz="0" w:space="0" w:color="auto"/>
        <w:left w:val="none" w:sz="0" w:space="0" w:color="auto"/>
        <w:bottom w:val="none" w:sz="0" w:space="0" w:color="auto"/>
        <w:right w:val="none" w:sz="0" w:space="0" w:color="auto"/>
      </w:divBdr>
    </w:div>
    <w:div w:id="662515357">
      <w:bodyDiv w:val="1"/>
      <w:marLeft w:val="0"/>
      <w:marRight w:val="0"/>
      <w:marTop w:val="0"/>
      <w:marBottom w:val="0"/>
      <w:divBdr>
        <w:top w:val="none" w:sz="0" w:space="0" w:color="auto"/>
        <w:left w:val="none" w:sz="0" w:space="0" w:color="auto"/>
        <w:bottom w:val="none" w:sz="0" w:space="0" w:color="auto"/>
        <w:right w:val="none" w:sz="0" w:space="0" w:color="auto"/>
      </w:divBdr>
    </w:div>
    <w:div w:id="685055396">
      <w:bodyDiv w:val="1"/>
      <w:marLeft w:val="0"/>
      <w:marRight w:val="0"/>
      <w:marTop w:val="0"/>
      <w:marBottom w:val="0"/>
      <w:divBdr>
        <w:top w:val="none" w:sz="0" w:space="0" w:color="auto"/>
        <w:left w:val="none" w:sz="0" w:space="0" w:color="auto"/>
        <w:bottom w:val="none" w:sz="0" w:space="0" w:color="auto"/>
        <w:right w:val="none" w:sz="0" w:space="0" w:color="auto"/>
      </w:divBdr>
    </w:div>
    <w:div w:id="748692040">
      <w:bodyDiv w:val="1"/>
      <w:marLeft w:val="0"/>
      <w:marRight w:val="0"/>
      <w:marTop w:val="0"/>
      <w:marBottom w:val="0"/>
      <w:divBdr>
        <w:top w:val="none" w:sz="0" w:space="0" w:color="auto"/>
        <w:left w:val="none" w:sz="0" w:space="0" w:color="auto"/>
        <w:bottom w:val="none" w:sz="0" w:space="0" w:color="auto"/>
        <w:right w:val="none" w:sz="0" w:space="0" w:color="auto"/>
      </w:divBdr>
    </w:div>
    <w:div w:id="799223151">
      <w:bodyDiv w:val="1"/>
      <w:marLeft w:val="0"/>
      <w:marRight w:val="0"/>
      <w:marTop w:val="0"/>
      <w:marBottom w:val="0"/>
      <w:divBdr>
        <w:top w:val="none" w:sz="0" w:space="0" w:color="auto"/>
        <w:left w:val="none" w:sz="0" w:space="0" w:color="auto"/>
        <w:bottom w:val="none" w:sz="0" w:space="0" w:color="auto"/>
        <w:right w:val="none" w:sz="0" w:space="0" w:color="auto"/>
      </w:divBdr>
    </w:div>
    <w:div w:id="1079253363">
      <w:bodyDiv w:val="1"/>
      <w:marLeft w:val="0"/>
      <w:marRight w:val="0"/>
      <w:marTop w:val="0"/>
      <w:marBottom w:val="0"/>
      <w:divBdr>
        <w:top w:val="none" w:sz="0" w:space="0" w:color="auto"/>
        <w:left w:val="none" w:sz="0" w:space="0" w:color="auto"/>
        <w:bottom w:val="none" w:sz="0" w:space="0" w:color="auto"/>
        <w:right w:val="none" w:sz="0" w:space="0" w:color="auto"/>
      </w:divBdr>
    </w:div>
    <w:div w:id="1120881919">
      <w:bodyDiv w:val="1"/>
      <w:marLeft w:val="0"/>
      <w:marRight w:val="0"/>
      <w:marTop w:val="0"/>
      <w:marBottom w:val="0"/>
      <w:divBdr>
        <w:top w:val="none" w:sz="0" w:space="0" w:color="auto"/>
        <w:left w:val="none" w:sz="0" w:space="0" w:color="auto"/>
        <w:bottom w:val="none" w:sz="0" w:space="0" w:color="auto"/>
        <w:right w:val="none" w:sz="0" w:space="0" w:color="auto"/>
      </w:divBdr>
    </w:div>
    <w:div w:id="1125197889">
      <w:bodyDiv w:val="1"/>
      <w:marLeft w:val="0"/>
      <w:marRight w:val="0"/>
      <w:marTop w:val="0"/>
      <w:marBottom w:val="0"/>
      <w:divBdr>
        <w:top w:val="none" w:sz="0" w:space="0" w:color="auto"/>
        <w:left w:val="none" w:sz="0" w:space="0" w:color="auto"/>
        <w:bottom w:val="none" w:sz="0" w:space="0" w:color="auto"/>
        <w:right w:val="none" w:sz="0" w:space="0" w:color="auto"/>
      </w:divBdr>
      <w:divsChild>
        <w:div w:id="159983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3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872">
      <w:bodyDiv w:val="1"/>
      <w:marLeft w:val="0"/>
      <w:marRight w:val="0"/>
      <w:marTop w:val="0"/>
      <w:marBottom w:val="0"/>
      <w:divBdr>
        <w:top w:val="none" w:sz="0" w:space="0" w:color="auto"/>
        <w:left w:val="none" w:sz="0" w:space="0" w:color="auto"/>
        <w:bottom w:val="none" w:sz="0" w:space="0" w:color="auto"/>
        <w:right w:val="none" w:sz="0" w:space="0" w:color="auto"/>
      </w:divBdr>
    </w:div>
    <w:div w:id="1192886886">
      <w:bodyDiv w:val="1"/>
      <w:marLeft w:val="0"/>
      <w:marRight w:val="0"/>
      <w:marTop w:val="0"/>
      <w:marBottom w:val="0"/>
      <w:divBdr>
        <w:top w:val="none" w:sz="0" w:space="0" w:color="auto"/>
        <w:left w:val="none" w:sz="0" w:space="0" w:color="auto"/>
        <w:bottom w:val="none" w:sz="0" w:space="0" w:color="auto"/>
        <w:right w:val="none" w:sz="0" w:space="0" w:color="auto"/>
      </w:divBdr>
    </w:div>
    <w:div w:id="1213031300">
      <w:bodyDiv w:val="1"/>
      <w:marLeft w:val="0"/>
      <w:marRight w:val="0"/>
      <w:marTop w:val="0"/>
      <w:marBottom w:val="0"/>
      <w:divBdr>
        <w:top w:val="none" w:sz="0" w:space="0" w:color="auto"/>
        <w:left w:val="none" w:sz="0" w:space="0" w:color="auto"/>
        <w:bottom w:val="none" w:sz="0" w:space="0" w:color="auto"/>
        <w:right w:val="none" w:sz="0" w:space="0" w:color="auto"/>
      </w:divBdr>
    </w:div>
    <w:div w:id="1224025519">
      <w:bodyDiv w:val="1"/>
      <w:marLeft w:val="0"/>
      <w:marRight w:val="0"/>
      <w:marTop w:val="0"/>
      <w:marBottom w:val="0"/>
      <w:divBdr>
        <w:top w:val="none" w:sz="0" w:space="0" w:color="auto"/>
        <w:left w:val="none" w:sz="0" w:space="0" w:color="auto"/>
        <w:bottom w:val="none" w:sz="0" w:space="0" w:color="auto"/>
        <w:right w:val="none" w:sz="0" w:space="0" w:color="auto"/>
      </w:divBdr>
    </w:div>
    <w:div w:id="1229613644">
      <w:bodyDiv w:val="1"/>
      <w:marLeft w:val="0"/>
      <w:marRight w:val="0"/>
      <w:marTop w:val="0"/>
      <w:marBottom w:val="0"/>
      <w:divBdr>
        <w:top w:val="none" w:sz="0" w:space="0" w:color="auto"/>
        <w:left w:val="none" w:sz="0" w:space="0" w:color="auto"/>
        <w:bottom w:val="none" w:sz="0" w:space="0" w:color="auto"/>
        <w:right w:val="none" w:sz="0" w:space="0" w:color="auto"/>
      </w:divBdr>
    </w:div>
    <w:div w:id="1275405170">
      <w:bodyDiv w:val="1"/>
      <w:marLeft w:val="0"/>
      <w:marRight w:val="0"/>
      <w:marTop w:val="0"/>
      <w:marBottom w:val="0"/>
      <w:divBdr>
        <w:top w:val="none" w:sz="0" w:space="0" w:color="auto"/>
        <w:left w:val="none" w:sz="0" w:space="0" w:color="auto"/>
        <w:bottom w:val="none" w:sz="0" w:space="0" w:color="auto"/>
        <w:right w:val="none" w:sz="0" w:space="0" w:color="auto"/>
      </w:divBdr>
    </w:div>
    <w:div w:id="1296445790">
      <w:bodyDiv w:val="1"/>
      <w:marLeft w:val="0"/>
      <w:marRight w:val="0"/>
      <w:marTop w:val="0"/>
      <w:marBottom w:val="0"/>
      <w:divBdr>
        <w:top w:val="none" w:sz="0" w:space="0" w:color="auto"/>
        <w:left w:val="none" w:sz="0" w:space="0" w:color="auto"/>
        <w:bottom w:val="none" w:sz="0" w:space="0" w:color="auto"/>
        <w:right w:val="none" w:sz="0" w:space="0" w:color="auto"/>
      </w:divBdr>
    </w:div>
    <w:div w:id="1298484972">
      <w:bodyDiv w:val="1"/>
      <w:marLeft w:val="0"/>
      <w:marRight w:val="0"/>
      <w:marTop w:val="0"/>
      <w:marBottom w:val="0"/>
      <w:divBdr>
        <w:top w:val="none" w:sz="0" w:space="0" w:color="auto"/>
        <w:left w:val="none" w:sz="0" w:space="0" w:color="auto"/>
        <w:bottom w:val="none" w:sz="0" w:space="0" w:color="auto"/>
        <w:right w:val="none" w:sz="0" w:space="0" w:color="auto"/>
      </w:divBdr>
    </w:div>
    <w:div w:id="1421608338">
      <w:bodyDiv w:val="1"/>
      <w:marLeft w:val="0"/>
      <w:marRight w:val="0"/>
      <w:marTop w:val="0"/>
      <w:marBottom w:val="0"/>
      <w:divBdr>
        <w:top w:val="none" w:sz="0" w:space="0" w:color="auto"/>
        <w:left w:val="none" w:sz="0" w:space="0" w:color="auto"/>
        <w:bottom w:val="none" w:sz="0" w:space="0" w:color="auto"/>
        <w:right w:val="none" w:sz="0" w:space="0" w:color="auto"/>
      </w:divBdr>
    </w:div>
    <w:div w:id="1487017793">
      <w:bodyDiv w:val="1"/>
      <w:marLeft w:val="0"/>
      <w:marRight w:val="0"/>
      <w:marTop w:val="0"/>
      <w:marBottom w:val="0"/>
      <w:divBdr>
        <w:top w:val="none" w:sz="0" w:space="0" w:color="auto"/>
        <w:left w:val="none" w:sz="0" w:space="0" w:color="auto"/>
        <w:bottom w:val="none" w:sz="0" w:space="0" w:color="auto"/>
        <w:right w:val="none" w:sz="0" w:space="0" w:color="auto"/>
      </w:divBdr>
      <w:divsChild>
        <w:div w:id="239099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8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92801">
      <w:bodyDiv w:val="1"/>
      <w:marLeft w:val="0"/>
      <w:marRight w:val="0"/>
      <w:marTop w:val="0"/>
      <w:marBottom w:val="0"/>
      <w:divBdr>
        <w:top w:val="none" w:sz="0" w:space="0" w:color="auto"/>
        <w:left w:val="none" w:sz="0" w:space="0" w:color="auto"/>
        <w:bottom w:val="none" w:sz="0" w:space="0" w:color="auto"/>
        <w:right w:val="none" w:sz="0" w:space="0" w:color="auto"/>
      </w:divBdr>
    </w:div>
    <w:div w:id="1569412435">
      <w:bodyDiv w:val="1"/>
      <w:marLeft w:val="0"/>
      <w:marRight w:val="0"/>
      <w:marTop w:val="0"/>
      <w:marBottom w:val="0"/>
      <w:divBdr>
        <w:top w:val="none" w:sz="0" w:space="0" w:color="auto"/>
        <w:left w:val="none" w:sz="0" w:space="0" w:color="auto"/>
        <w:bottom w:val="none" w:sz="0" w:space="0" w:color="auto"/>
        <w:right w:val="none" w:sz="0" w:space="0" w:color="auto"/>
      </w:divBdr>
    </w:div>
    <w:div w:id="1582568898">
      <w:bodyDiv w:val="1"/>
      <w:marLeft w:val="0"/>
      <w:marRight w:val="0"/>
      <w:marTop w:val="0"/>
      <w:marBottom w:val="0"/>
      <w:divBdr>
        <w:top w:val="none" w:sz="0" w:space="0" w:color="auto"/>
        <w:left w:val="none" w:sz="0" w:space="0" w:color="auto"/>
        <w:bottom w:val="none" w:sz="0" w:space="0" w:color="auto"/>
        <w:right w:val="none" w:sz="0" w:space="0" w:color="auto"/>
      </w:divBdr>
    </w:div>
    <w:div w:id="1656641287">
      <w:bodyDiv w:val="1"/>
      <w:marLeft w:val="0"/>
      <w:marRight w:val="0"/>
      <w:marTop w:val="0"/>
      <w:marBottom w:val="0"/>
      <w:divBdr>
        <w:top w:val="none" w:sz="0" w:space="0" w:color="auto"/>
        <w:left w:val="none" w:sz="0" w:space="0" w:color="auto"/>
        <w:bottom w:val="none" w:sz="0" w:space="0" w:color="auto"/>
        <w:right w:val="none" w:sz="0" w:space="0" w:color="auto"/>
      </w:divBdr>
      <w:divsChild>
        <w:div w:id="249198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8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0363">
      <w:bodyDiv w:val="1"/>
      <w:marLeft w:val="0"/>
      <w:marRight w:val="0"/>
      <w:marTop w:val="0"/>
      <w:marBottom w:val="0"/>
      <w:divBdr>
        <w:top w:val="none" w:sz="0" w:space="0" w:color="auto"/>
        <w:left w:val="none" w:sz="0" w:space="0" w:color="auto"/>
        <w:bottom w:val="none" w:sz="0" w:space="0" w:color="auto"/>
        <w:right w:val="none" w:sz="0" w:space="0" w:color="auto"/>
      </w:divBdr>
      <w:divsChild>
        <w:div w:id="111824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08117">
      <w:bodyDiv w:val="1"/>
      <w:marLeft w:val="0"/>
      <w:marRight w:val="0"/>
      <w:marTop w:val="0"/>
      <w:marBottom w:val="0"/>
      <w:divBdr>
        <w:top w:val="none" w:sz="0" w:space="0" w:color="auto"/>
        <w:left w:val="none" w:sz="0" w:space="0" w:color="auto"/>
        <w:bottom w:val="none" w:sz="0" w:space="0" w:color="auto"/>
        <w:right w:val="none" w:sz="0" w:space="0" w:color="auto"/>
      </w:divBdr>
    </w:div>
    <w:div w:id="1737507190">
      <w:bodyDiv w:val="1"/>
      <w:marLeft w:val="0"/>
      <w:marRight w:val="0"/>
      <w:marTop w:val="0"/>
      <w:marBottom w:val="0"/>
      <w:divBdr>
        <w:top w:val="none" w:sz="0" w:space="0" w:color="auto"/>
        <w:left w:val="none" w:sz="0" w:space="0" w:color="auto"/>
        <w:bottom w:val="none" w:sz="0" w:space="0" w:color="auto"/>
        <w:right w:val="none" w:sz="0" w:space="0" w:color="auto"/>
      </w:divBdr>
    </w:div>
    <w:div w:id="1750543300">
      <w:bodyDiv w:val="1"/>
      <w:marLeft w:val="0"/>
      <w:marRight w:val="0"/>
      <w:marTop w:val="0"/>
      <w:marBottom w:val="0"/>
      <w:divBdr>
        <w:top w:val="none" w:sz="0" w:space="0" w:color="auto"/>
        <w:left w:val="none" w:sz="0" w:space="0" w:color="auto"/>
        <w:bottom w:val="none" w:sz="0" w:space="0" w:color="auto"/>
        <w:right w:val="none" w:sz="0" w:space="0" w:color="auto"/>
      </w:divBdr>
    </w:div>
    <w:div w:id="1793939023">
      <w:bodyDiv w:val="1"/>
      <w:marLeft w:val="0"/>
      <w:marRight w:val="0"/>
      <w:marTop w:val="0"/>
      <w:marBottom w:val="0"/>
      <w:divBdr>
        <w:top w:val="none" w:sz="0" w:space="0" w:color="auto"/>
        <w:left w:val="none" w:sz="0" w:space="0" w:color="auto"/>
        <w:bottom w:val="none" w:sz="0" w:space="0" w:color="auto"/>
        <w:right w:val="none" w:sz="0" w:space="0" w:color="auto"/>
      </w:divBdr>
      <w:divsChild>
        <w:div w:id="1526598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7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6291">
      <w:bodyDiv w:val="1"/>
      <w:marLeft w:val="0"/>
      <w:marRight w:val="0"/>
      <w:marTop w:val="0"/>
      <w:marBottom w:val="0"/>
      <w:divBdr>
        <w:top w:val="none" w:sz="0" w:space="0" w:color="auto"/>
        <w:left w:val="none" w:sz="0" w:space="0" w:color="auto"/>
        <w:bottom w:val="none" w:sz="0" w:space="0" w:color="auto"/>
        <w:right w:val="none" w:sz="0" w:space="0" w:color="auto"/>
      </w:divBdr>
    </w:div>
    <w:div w:id="1873423863">
      <w:bodyDiv w:val="1"/>
      <w:marLeft w:val="0"/>
      <w:marRight w:val="0"/>
      <w:marTop w:val="0"/>
      <w:marBottom w:val="0"/>
      <w:divBdr>
        <w:top w:val="none" w:sz="0" w:space="0" w:color="auto"/>
        <w:left w:val="none" w:sz="0" w:space="0" w:color="auto"/>
        <w:bottom w:val="none" w:sz="0" w:space="0" w:color="auto"/>
        <w:right w:val="none" w:sz="0" w:space="0" w:color="auto"/>
      </w:divBdr>
    </w:div>
    <w:div w:id="1899125241">
      <w:bodyDiv w:val="1"/>
      <w:marLeft w:val="0"/>
      <w:marRight w:val="0"/>
      <w:marTop w:val="0"/>
      <w:marBottom w:val="0"/>
      <w:divBdr>
        <w:top w:val="none" w:sz="0" w:space="0" w:color="auto"/>
        <w:left w:val="none" w:sz="0" w:space="0" w:color="auto"/>
        <w:bottom w:val="none" w:sz="0" w:space="0" w:color="auto"/>
        <w:right w:val="none" w:sz="0" w:space="0" w:color="auto"/>
      </w:divBdr>
    </w:div>
    <w:div w:id="1980643517">
      <w:bodyDiv w:val="1"/>
      <w:marLeft w:val="0"/>
      <w:marRight w:val="0"/>
      <w:marTop w:val="0"/>
      <w:marBottom w:val="0"/>
      <w:divBdr>
        <w:top w:val="none" w:sz="0" w:space="0" w:color="auto"/>
        <w:left w:val="none" w:sz="0" w:space="0" w:color="auto"/>
        <w:bottom w:val="none" w:sz="0" w:space="0" w:color="auto"/>
        <w:right w:val="none" w:sz="0" w:space="0" w:color="auto"/>
      </w:divBdr>
      <w:divsChild>
        <w:div w:id="2028823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0521">
      <w:bodyDiv w:val="1"/>
      <w:marLeft w:val="0"/>
      <w:marRight w:val="0"/>
      <w:marTop w:val="0"/>
      <w:marBottom w:val="0"/>
      <w:divBdr>
        <w:top w:val="none" w:sz="0" w:space="0" w:color="auto"/>
        <w:left w:val="none" w:sz="0" w:space="0" w:color="auto"/>
        <w:bottom w:val="none" w:sz="0" w:space="0" w:color="auto"/>
        <w:right w:val="none" w:sz="0" w:space="0" w:color="auto"/>
      </w:divBdr>
    </w:div>
    <w:div w:id="211231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image" Target="media/image3.wmf"/><Relationship Id="rId42" Type="http://schemas.openxmlformats.org/officeDocument/2006/relationships/image" Target="media/image13.wmf"/><Relationship Id="rId63" Type="http://schemas.openxmlformats.org/officeDocument/2006/relationships/oleObject" Target="embeddings/oleObject25.bin"/><Relationship Id="rId84" Type="http://schemas.openxmlformats.org/officeDocument/2006/relationships/oleObject" Target="embeddings/oleObject36.bin"/><Relationship Id="rId138" Type="http://schemas.openxmlformats.org/officeDocument/2006/relationships/oleObject" Target="embeddings/oleObject64.bin"/><Relationship Id="rId107" Type="http://schemas.openxmlformats.org/officeDocument/2006/relationships/image" Target="media/image43.wmf"/><Relationship Id="rId11" Type="http://schemas.openxmlformats.org/officeDocument/2006/relationships/header" Target="header1.xml"/><Relationship Id="rId32" Type="http://schemas.openxmlformats.org/officeDocument/2006/relationships/oleObject" Target="embeddings/oleObject8.bin"/><Relationship Id="rId37" Type="http://schemas.openxmlformats.org/officeDocument/2006/relationships/oleObject" Target="embeddings/oleObject11.bin"/><Relationship Id="rId53" Type="http://schemas.openxmlformats.org/officeDocument/2006/relationships/oleObject" Target="embeddings/oleObject19.bin"/><Relationship Id="rId58" Type="http://schemas.openxmlformats.org/officeDocument/2006/relationships/image" Target="media/image20.wmf"/><Relationship Id="rId74" Type="http://schemas.openxmlformats.org/officeDocument/2006/relationships/image" Target="media/image28.wmf"/><Relationship Id="rId79" Type="http://schemas.openxmlformats.org/officeDocument/2006/relationships/image" Target="media/image30.wmf"/><Relationship Id="rId102" Type="http://schemas.openxmlformats.org/officeDocument/2006/relationships/oleObject" Target="embeddings/oleObject45.bin"/><Relationship Id="rId123" Type="http://schemas.openxmlformats.org/officeDocument/2006/relationships/image" Target="media/image51.wmf"/><Relationship Id="rId128"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38.wmf"/><Relationship Id="rId22" Type="http://schemas.openxmlformats.org/officeDocument/2006/relationships/oleObject" Target="embeddings/oleObject3.bin"/><Relationship Id="rId27" Type="http://schemas.openxmlformats.org/officeDocument/2006/relationships/image" Target="media/image6.wmf"/><Relationship Id="rId43" Type="http://schemas.openxmlformats.org/officeDocument/2006/relationships/oleObject" Target="embeddings/oleObject14.bin"/><Relationship Id="rId48" Type="http://schemas.openxmlformats.org/officeDocument/2006/relationships/image" Target="media/image16.wmf"/><Relationship Id="rId64" Type="http://schemas.openxmlformats.org/officeDocument/2006/relationships/image" Target="media/image23.wmf"/><Relationship Id="rId69" Type="http://schemas.openxmlformats.org/officeDocument/2006/relationships/oleObject" Target="embeddings/oleObject28.bin"/><Relationship Id="rId113" Type="http://schemas.openxmlformats.org/officeDocument/2006/relationships/image" Target="media/image46.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59.wmf"/><Relationship Id="rId80" Type="http://schemas.openxmlformats.org/officeDocument/2006/relationships/oleObject" Target="embeddings/oleObject34.bin"/><Relationship Id="rId85" Type="http://schemas.openxmlformats.org/officeDocument/2006/relationships/image" Target="media/image33.wmf"/><Relationship Id="rId12" Type="http://schemas.openxmlformats.org/officeDocument/2006/relationships/footer" Target="footer1.xml"/><Relationship Id="rId17" Type="http://schemas.openxmlformats.org/officeDocument/2006/relationships/image" Target="media/image1.wmf"/><Relationship Id="rId33" Type="http://schemas.openxmlformats.org/officeDocument/2006/relationships/oleObject" Target="embeddings/oleObject9.bin"/><Relationship Id="rId38" Type="http://schemas.openxmlformats.org/officeDocument/2006/relationships/image" Target="media/image11.wmf"/><Relationship Id="rId59" Type="http://schemas.openxmlformats.org/officeDocument/2006/relationships/oleObject" Target="embeddings/oleObject23.bin"/><Relationship Id="rId103" Type="http://schemas.openxmlformats.org/officeDocument/2006/relationships/oleObject" Target="embeddings/oleObject46.bin"/><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54.wmf"/><Relationship Id="rId54" Type="http://schemas.openxmlformats.org/officeDocument/2006/relationships/image" Target="media/image19.wmf"/><Relationship Id="rId70" Type="http://schemas.openxmlformats.org/officeDocument/2006/relationships/image" Target="media/image26.wmf"/><Relationship Id="rId75" Type="http://schemas.openxmlformats.org/officeDocument/2006/relationships/oleObject" Target="embeddings/oleObject31.bin"/><Relationship Id="rId91" Type="http://schemas.openxmlformats.org/officeDocument/2006/relationships/image" Target="media/image36.wmf"/><Relationship Id="rId96" Type="http://schemas.openxmlformats.org/officeDocument/2006/relationships/oleObject" Target="embeddings/oleObject42.bin"/><Relationship Id="rId140" Type="http://schemas.openxmlformats.org/officeDocument/2006/relationships/oleObject" Target="embeddings/oleObject65.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4.wmf"/><Relationship Id="rId28" Type="http://schemas.openxmlformats.org/officeDocument/2006/relationships/oleObject" Target="embeddings/oleObject6.bin"/><Relationship Id="rId49" Type="http://schemas.openxmlformats.org/officeDocument/2006/relationships/oleObject" Target="embeddings/oleObject17.bin"/><Relationship Id="rId114" Type="http://schemas.openxmlformats.org/officeDocument/2006/relationships/oleObject" Target="embeddings/oleObject52.bin"/><Relationship Id="rId119" Type="http://schemas.openxmlformats.org/officeDocument/2006/relationships/image" Target="media/image49.wmf"/><Relationship Id="rId44" Type="http://schemas.openxmlformats.org/officeDocument/2006/relationships/image" Target="media/image14.wmf"/><Relationship Id="rId60" Type="http://schemas.openxmlformats.org/officeDocument/2006/relationships/image" Target="media/image21.wmf"/><Relationship Id="rId65" Type="http://schemas.openxmlformats.org/officeDocument/2006/relationships/oleObject" Target="embeddings/oleObject26.bin"/><Relationship Id="rId81" Type="http://schemas.openxmlformats.org/officeDocument/2006/relationships/image" Target="media/image31.wmf"/><Relationship Id="rId86" Type="http://schemas.openxmlformats.org/officeDocument/2006/relationships/oleObject" Target="embeddings/oleObject37.bin"/><Relationship Id="rId130" Type="http://schemas.openxmlformats.org/officeDocument/2006/relationships/oleObject" Target="embeddings/oleObject60.bin"/><Relationship Id="rId135" Type="http://schemas.openxmlformats.org/officeDocument/2006/relationships/image" Target="media/image57.wmf"/><Relationship Id="rId13" Type="http://schemas.openxmlformats.org/officeDocument/2006/relationships/footer" Target="footer2.xml"/><Relationship Id="rId18" Type="http://schemas.openxmlformats.org/officeDocument/2006/relationships/oleObject" Target="embeddings/oleObject1.bin"/><Relationship Id="rId39" Type="http://schemas.openxmlformats.org/officeDocument/2006/relationships/oleObject" Target="embeddings/oleObject12.bin"/><Relationship Id="rId109" Type="http://schemas.openxmlformats.org/officeDocument/2006/relationships/image" Target="media/image44.wmf"/><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oleObject" Target="embeddings/oleObject20.bin"/><Relationship Id="rId76" Type="http://schemas.openxmlformats.org/officeDocument/2006/relationships/oleObject" Target="embeddings/oleObject32.bin"/><Relationship Id="rId97" Type="http://schemas.openxmlformats.org/officeDocument/2006/relationships/image" Target="media/image39.wmf"/><Relationship Id="rId104" Type="http://schemas.openxmlformats.org/officeDocument/2006/relationships/image" Target="media/image42.wmf"/><Relationship Id="rId120" Type="http://schemas.openxmlformats.org/officeDocument/2006/relationships/oleObject" Target="embeddings/oleObject55.bin"/><Relationship Id="rId125" Type="http://schemas.openxmlformats.org/officeDocument/2006/relationships/image" Target="media/image52.wmf"/><Relationship Id="rId141"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image" Target="media/image7.wmf"/><Relationship Id="rId24" Type="http://schemas.openxmlformats.org/officeDocument/2006/relationships/oleObject" Target="embeddings/oleObject4.bin"/><Relationship Id="rId40" Type="http://schemas.openxmlformats.org/officeDocument/2006/relationships/image" Target="media/image12.wmf"/><Relationship Id="rId45" Type="http://schemas.openxmlformats.org/officeDocument/2006/relationships/oleObject" Target="embeddings/oleObject15.bin"/><Relationship Id="rId66" Type="http://schemas.openxmlformats.org/officeDocument/2006/relationships/image" Target="media/image24.wmf"/><Relationship Id="rId87" Type="http://schemas.openxmlformats.org/officeDocument/2006/relationships/image" Target="media/image34.wmf"/><Relationship Id="rId110" Type="http://schemas.openxmlformats.org/officeDocument/2006/relationships/oleObject" Target="embeddings/oleObject50.bin"/><Relationship Id="rId115" Type="http://schemas.openxmlformats.org/officeDocument/2006/relationships/image" Target="media/image47.wmf"/><Relationship Id="rId131" Type="http://schemas.openxmlformats.org/officeDocument/2006/relationships/image" Target="media/image55.wmf"/><Relationship Id="rId136" Type="http://schemas.openxmlformats.org/officeDocument/2006/relationships/oleObject" Target="embeddings/oleObject63.bin"/><Relationship Id="rId61" Type="http://schemas.openxmlformats.org/officeDocument/2006/relationships/oleObject" Target="embeddings/oleObject24.bin"/><Relationship Id="rId82" Type="http://schemas.openxmlformats.org/officeDocument/2006/relationships/oleObject" Target="embeddings/oleObject35.bin"/><Relationship Id="rId19" Type="http://schemas.openxmlformats.org/officeDocument/2006/relationships/image" Target="media/image2.wmf"/><Relationship Id="rId14" Type="http://schemas.openxmlformats.org/officeDocument/2006/relationships/header" Target="header2.xml"/><Relationship Id="rId30" Type="http://schemas.openxmlformats.org/officeDocument/2006/relationships/oleObject" Target="embeddings/oleObject7.bin"/><Relationship Id="rId35" Type="http://schemas.openxmlformats.org/officeDocument/2006/relationships/oleObject" Target="embeddings/oleObject10.bin"/><Relationship Id="rId56" Type="http://schemas.openxmlformats.org/officeDocument/2006/relationships/oleObject" Target="embeddings/oleObject21.bin"/><Relationship Id="rId77" Type="http://schemas.openxmlformats.org/officeDocument/2006/relationships/image" Target="media/image29.wmf"/><Relationship Id="rId100" Type="http://schemas.openxmlformats.org/officeDocument/2006/relationships/oleObject" Target="embeddings/oleObject44.bin"/><Relationship Id="rId105" Type="http://schemas.openxmlformats.org/officeDocument/2006/relationships/oleObject" Target="embeddings/oleObject47.bin"/><Relationship Id="rId126" Type="http://schemas.openxmlformats.org/officeDocument/2006/relationships/oleObject" Target="embeddings/oleObject58.bin"/><Relationship Id="rId8" Type="http://schemas.openxmlformats.org/officeDocument/2006/relationships/hyperlink" Target="mailto:bonny.smith@utexas.edu" TargetMode="External"/><Relationship Id="rId51" Type="http://schemas.openxmlformats.org/officeDocument/2006/relationships/oleObject" Target="embeddings/oleObject18.bin"/><Relationship Id="rId72" Type="http://schemas.openxmlformats.org/officeDocument/2006/relationships/image" Target="media/image27.wmf"/><Relationship Id="rId93" Type="http://schemas.openxmlformats.org/officeDocument/2006/relationships/image" Target="media/image37.wmf"/><Relationship Id="rId98" Type="http://schemas.openxmlformats.org/officeDocument/2006/relationships/oleObject" Target="embeddings/oleObject43.bin"/><Relationship Id="rId121" Type="http://schemas.openxmlformats.org/officeDocument/2006/relationships/image" Target="media/image50.wmf"/><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5.wmf"/><Relationship Id="rId46" Type="http://schemas.openxmlformats.org/officeDocument/2006/relationships/image" Target="media/image15.wmf"/><Relationship Id="rId67" Type="http://schemas.openxmlformats.org/officeDocument/2006/relationships/oleObject" Target="embeddings/oleObject27.bin"/><Relationship Id="rId116" Type="http://schemas.openxmlformats.org/officeDocument/2006/relationships/oleObject" Target="embeddings/oleObject53.bin"/><Relationship Id="rId137" Type="http://schemas.openxmlformats.org/officeDocument/2006/relationships/image" Target="media/image58.wmf"/><Relationship Id="rId20" Type="http://schemas.openxmlformats.org/officeDocument/2006/relationships/oleObject" Target="embeddings/oleObject2.bin"/><Relationship Id="rId41" Type="http://schemas.openxmlformats.org/officeDocument/2006/relationships/oleObject" Target="embeddings/oleObject13.bin"/><Relationship Id="rId62" Type="http://schemas.openxmlformats.org/officeDocument/2006/relationships/image" Target="media/image22.wmf"/><Relationship Id="rId83" Type="http://schemas.openxmlformats.org/officeDocument/2006/relationships/image" Target="media/image32.wmf"/><Relationship Id="rId88" Type="http://schemas.openxmlformats.org/officeDocument/2006/relationships/oleObject" Target="embeddings/oleObject38.bin"/><Relationship Id="rId111" Type="http://schemas.openxmlformats.org/officeDocument/2006/relationships/image" Target="media/image45.wmf"/><Relationship Id="rId132" Type="http://schemas.openxmlformats.org/officeDocument/2006/relationships/oleObject" Target="embeddings/oleObject61.bin"/><Relationship Id="rId15" Type="http://schemas.openxmlformats.org/officeDocument/2006/relationships/footer" Target="footer3.xml"/><Relationship Id="rId36" Type="http://schemas.openxmlformats.org/officeDocument/2006/relationships/image" Target="media/image10.wmf"/><Relationship Id="rId57" Type="http://schemas.openxmlformats.org/officeDocument/2006/relationships/oleObject" Target="embeddings/oleObject22.bin"/><Relationship Id="rId106" Type="http://schemas.openxmlformats.org/officeDocument/2006/relationships/oleObject" Target="embeddings/oleObject48.bin"/><Relationship Id="rId127" Type="http://schemas.openxmlformats.org/officeDocument/2006/relationships/image" Target="media/image53.wmf"/><Relationship Id="rId10" Type="http://schemas.openxmlformats.org/officeDocument/2006/relationships/hyperlink" Target="mailto:bhat@mail.utexas.edu" TargetMode="External"/><Relationship Id="rId31" Type="http://schemas.openxmlformats.org/officeDocument/2006/relationships/image" Target="media/image8.wmf"/><Relationship Id="rId52" Type="http://schemas.openxmlformats.org/officeDocument/2006/relationships/image" Target="media/image18.wmf"/><Relationship Id="rId73" Type="http://schemas.openxmlformats.org/officeDocument/2006/relationships/oleObject" Target="embeddings/oleObject30.bin"/><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56.bin"/><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r4836@utexas.edu" TargetMode="External"/><Relationship Id="rId26" Type="http://schemas.openxmlformats.org/officeDocument/2006/relationships/oleObject" Target="embeddings/oleObject5.bin"/><Relationship Id="rId47" Type="http://schemas.openxmlformats.org/officeDocument/2006/relationships/oleObject" Target="embeddings/oleObject16.bin"/><Relationship Id="rId68" Type="http://schemas.openxmlformats.org/officeDocument/2006/relationships/image" Target="media/image25.wmf"/><Relationship Id="rId89" Type="http://schemas.openxmlformats.org/officeDocument/2006/relationships/image" Target="media/image35.wmf"/><Relationship Id="rId112" Type="http://schemas.openxmlformats.org/officeDocument/2006/relationships/oleObject" Target="embeddings/oleObject51.bin"/><Relationship Id="rId133" Type="http://schemas.openxmlformats.org/officeDocument/2006/relationships/image" Target="media/image56.wmf"/><Relationship Id="rId16"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B94A1-8648-E343-A781-301D5F6B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40335</Words>
  <Characters>229916</Characters>
  <Application>Microsoft Office Word</Application>
  <DocSecurity>0</DocSecurity>
  <Lines>1915</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Bonny V</dc:creator>
  <cp:keywords/>
  <dc:description/>
  <cp:lastModifiedBy>Macias, Lisa J</cp:lastModifiedBy>
  <cp:revision>2</cp:revision>
  <cp:lastPrinted>2025-04-15T02:42:00Z</cp:lastPrinted>
  <dcterms:created xsi:type="dcterms:W3CDTF">2025-04-29T20:11:00Z</dcterms:created>
  <dcterms:modified xsi:type="dcterms:W3CDTF">2025-04-29T20:11:00Z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id="3sTwnh0R"/&gt;&lt;style id="http://www.zotero.org/styles/transportation-research-part-b" hasBibliography="1" bibliographyStyleHasBeenSet="1"/&gt;&lt;prefs&gt;&lt;pref name="fieldType" value="Field"/&gt;&lt;/prefs&gt;&lt;/data</vt:lpwstr>
  </property>
  <property fmtid="{D5CDD505-2E9C-101B-9397-08002B2CF9AE}" pid="3" name="ZOTERO_PREF_2">
    <vt:lpwstr>&gt;</vt:lpwstr>
  </property>
  <property fmtid="{D5CDD505-2E9C-101B-9397-08002B2CF9AE}" pid="4" name="MTWinEqns">
    <vt:bool>true</vt:bool>
  </property>
</Properties>
</file>