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D782A" w14:textId="622A23EC" w:rsidR="00AF46AE" w:rsidRDefault="00884D61" w:rsidP="00432BEC">
      <w:pPr>
        <w:spacing w:before="0" w:after="0" w:line="240" w:lineRule="auto"/>
        <w:jc w:val="center"/>
        <w:rPr>
          <w:b/>
          <w:shd w:val="clear" w:color="auto" w:fill="FFFFFF"/>
        </w:rPr>
      </w:pPr>
      <w:r>
        <w:rPr>
          <w:b/>
          <w:shd w:val="clear" w:color="auto" w:fill="FFFFFF"/>
        </w:rPr>
        <w:t xml:space="preserve">PEDESTRIAN CRASH </w:t>
      </w:r>
      <w:r w:rsidR="008F20CA">
        <w:rPr>
          <w:b/>
          <w:shd w:val="clear" w:color="auto" w:fill="FFFFFF"/>
        </w:rPr>
        <w:t>FREQUENCY</w:t>
      </w:r>
      <w:r>
        <w:rPr>
          <w:b/>
          <w:shd w:val="clear" w:color="auto" w:fill="FFFFFF"/>
        </w:rPr>
        <w:t xml:space="preserve">: UNPACKING </w:t>
      </w:r>
      <w:r w:rsidR="008F20CA">
        <w:rPr>
          <w:b/>
          <w:shd w:val="clear" w:color="auto" w:fill="FFFFFF"/>
        </w:rPr>
        <w:t xml:space="preserve">THE </w:t>
      </w:r>
      <w:r>
        <w:rPr>
          <w:b/>
          <w:shd w:val="clear" w:color="auto" w:fill="FFFFFF"/>
        </w:rPr>
        <w:t xml:space="preserve">EFFECTS OF </w:t>
      </w:r>
      <w:r w:rsidR="008F20CA">
        <w:rPr>
          <w:b/>
          <w:shd w:val="clear" w:color="auto" w:fill="FFFFFF"/>
        </w:rPr>
        <w:t xml:space="preserve">CONTRIBUTING FACTORS </w:t>
      </w:r>
      <w:r>
        <w:rPr>
          <w:b/>
          <w:shd w:val="clear" w:color="auto" w:fill="FFFFFF"/>
        </w:rPr>
        <w:t>AND RACIAL DISPARIT</w:t>
      </w:r>
      <w:r w:rsidR="008F20CA">
        <w:rPr>
          <w:b/>
          <w:shd w:val="clear" w:color="auto" w:fill="FFFFFF"/>
        </w:rPr>
        <w:t>IES</w:t>
      </w:r>
    </w:p>
    <w:p w14:paraId="5555A675" w14:textId="77777777" w:rsidR="00884D61" w:rsidRPr="007E6974" w:rsidRDefault="00884D61" w:rsidP="00432BEC">
      <w:pPr>
        <w:spacing w:before="0" w:after="0" w:line="240" w:lineRule="auto"/>
        <w:jc w:val="center"/>
        <w:rPr>
          <w:b/>
          <w:shd w:val="clear" w:color="auto" w:fill="FFFFFF"/>
        </w:rPr>
      </w:pPr>
    </w:p>
    <w:p w14:paraId="3E28993E" w14:textId="77777777" w:rsidR="00432BEC" w:rsidRDefault="00432BEC" w:rsidP="00D909B5">
      <w:pPr>
        <w:spacing w:before="0" w:after="0" w:line="240" w:lineRule="auto"/>
        <w:jc w:val="center"/>
        <w:rPr>
          <w:b/>
          <w:shd w:val="clear" w:color="auto" w:fill="FFFFFF"/>
        </w:rPr>
      </w:pPr>
    </w:p>
    <w:p w14:paraId="368BB804" w14:textId="77777777" w:rsidR="00432BEC" w:rsidRDefault="00432BEC" w:rsidP="00D909B5">
      <w:pPr>
        <w:spacing w:before="0" w:after="0" w:line="240" w:lineRule="auto"/>
        <w:jc w:val="center"/>
        <w:rPr>
          <w:b/>
          <w:color w:val="auto"/>
        </w:rPr>
      </w:pPr>
      <w:r>
        <w:rPr>
          <w:b/>
        </w:rPr>
        <w:t>Angela J. Haddad</w:t>
      </w:r>
    </w:p>
    <w:p w14:paraId="291F38C9" w14:textId="77777777" w:rsidR="00432BEC" w:rsidRDefault="00432BEC" w:rsidP="00D909B5">
      <w:pPr>
        <w:spacing w:before="0" w:after="0" w:line="240" w:lineRule="auto"/>
        <w:jc w:val="center"/>
      </w:pPr>
      <w:r>
        <w:t>The University of Texas at Austin, Dept of Civil, Architectural and Environmental Engineering</w:t>
      </w:r>
    </w:p>
    <w:p w14:paraId="2DD24DDD" w14:textId="77777777" w:rsidR="00432BEC" w:rsidRDefault="00432BEC" w:rsidP="00D909B5">
      <w:pPr>
        <w:spacing w:before="0" w:after="0" w:line="240" w:lineRule="auto"/>
        <w:jc w:val="center"/>
      </w:pPr>
      <w:r>
        <w:t>301 E. Dean Keeton St, Stop C1761, Austin TX 78712, USA</w:t>
      </w:r>
    </w:p>
    <w:p w14:paraId="7801DEC3" w14:textId="77777777" w:rsidR="00432BEC" w:rsidRDefault="00432BEC" w:rsidP="00D909B5">
      <w:pPr>
        <w:spacing w:before="0" w:after="0" w:line="240" w:lineRule="auto"/>
        <w:jc w:val="center"/>
      </w:pPr>
      <w:r>
        <w:t xml:space="preserve">Email: </w:t>
      </w:r>
      <w:hyperlink r:id="rId9" w:history="1">
        <w:r>
          <w:rPr>
            <w:rStyle w:val="Hyperlink"/>
          </w:rPr>
          <w:t>angela.haddad@utexas.edu</w:t>
        </w:r>
      </w:hyperlink>
      <w:r>
        <w:t xml:space="preserve"> </w:t>
      </w:r>
    </w:p>
    <w:p w14:paraId="7ACBE9FA" w14:textId="77777777" w:rsidR="00432BEC" w:rsidRDefault="00432BEC" w:rsidP="00D909B5">
      <w:pPr>
        <w:spacing w:before="0" w:after="0" w:line="240" w:lineRule="auto"/>
        <w:jc w:val="center"/>
      </w:pPr>
    </w:p>
    <w:p w14:paraId="7BDC27DC" w14:textId="77777777" w:rsidR="00432BEC" w:rsidRDefault="00432BEC" w:rsidP="00D909B5">
      <w:pPr>
        <w:spacing w:before="0" w:after="0" w:line="240" w:lineRule="auto"/>
        <w:jc w:val="center"/>
        <w:rPr>
          <w:b/>
          <w:bCs/>
        </w:rPr>
      </w:pPr>
      <w:r>
        <w:rPr>
          <w:b/>
          <w:bCs/>
        </w:rPr>
        <w:t>Aupal Mondal</w:t>
      </w:r>
    </w:p>
    <w:p w14:paraId="47F20F7E" w14:textId="77777777" w:rsidR="00432BEC" w:rsidRDefault="00432BEC" w:rsidP="00D909B5">
      <w:pPr>
        <w:spacing w:before="0" w:after="0" w:line="240" w:lineRule="auto"/>
        <w:jc w:val="center"/>
        <w:rPr>
          <w:bCs/>
        </w:rPr>
      </w:pPr>
      <w:r>
        <w:t>The University of Texas at Austin</w:t>
      </w:r>
      <w:r>
        <w:rPr>
          <w:bCs/>
        </w:rPr>
        <w:t xml:space="preserve">, </w:t>
      </w:r>
      <w:r>
        <w:t>Dept of Civil, Architectural and Environmental Engineering</w:t>
      </w:r>
    </w:p>
    <w:p w14:paraId="2C493642" w14:textId="77777777" w:rsidR="00432BEC" w:rsidRDefault="00432BEC" w:rsidP="00D909B5">
      <w:pPr>
        <w:spacing w:before="0" w:after="0" w:line="240" w:lineRule="auto"/>
        <w:jc w:val="center"/>
        <w:rPr>
          <w:bCs/>
        </w:rPr>
      </w:pPr>
      <w:r>
        <w:t>301 E. Dean Keeton St. Stop C1761, Austin TX 78712, USA</w:t>
      </w:r>
    </w:p>
    <w:p w14:paraId="0FB34185" w14:textId="77777777" w:rsidR="00432BEC" w:rsidRDefault="00432BEC" w:rsidP="00D909B5">
      <w:pPr>
        <w:spacing w:before="0" w:after="0" w:line="240" w:lineRule="auto"/>
        <w:jc w:val="center"/>
      </w:pPr>
      <w:r>
        <w:t xml:space="preserve">Email: </w:t>
      </w:r>
      <w:hyperlink r:id="rId10" w:history="1">
        <w:r>
          <w:rPr>
            <w:rStyle w:val="Hyperlink"/>
          </w:rPr>
          <w:t>aupal.mondal@utexas.edu</w:t>
        </w:r>
      </w:hyperlink>
      <w:r>
        <w:t xml:space="preserve"> </w:t>
      </w:r>
    </w:p>
    <w:p w14:paraId="6AE53FFD" w14:textId="77777777" w:rsidR="00432BEC" w:rsidRDefault="00432BEC" w:rsidP="00D909B5">
      <w:pPr>
        <w:spacing w:before="0" w:after="0" w:line="240" w:lineRule="auto"/>
        <w:jc w:val="center"/>
        <w:rPr>
          <w:rStyle w:val="Style1Char"/>
          <w:b w:val="0"/>
          <w:bCs w:val="0"/>
        </w:rPr>
      </w:pPr>
    </w:p>
    <w:p w14:paraId="77D4C158" w14:textId="77777777" w:rsidR="00432BEC" w:rsidRDefault="00432BEC" w:rsidP="00D909B5">
      <w:pPr>
        <w:spacing w:before="0" w:after="0" w:line="240" w:lineRule="auto"/>
        <w:jc w:val="center"/>
        <w:rPr>
          <w:b/>
          <w:lang w:val="fr-FR"/>
        </w:rPr>
      </w:pPr>
      <w:r>
        <w:rPr>
          <w:b/>
          <w:lang w:val="fr-FR"/>
        </w:rPr>
        <w:t xml:space="preserve">Chandra R. Bhat </w:t>
      </w:r>
      <w:r>
        <w:rPr>
          <w:b/>
        </w:rPr>
        <w:t>(corresponding author)</w:t>
      </w:r>
    </w:p>
    <w:p w14:paraId="380A57A9" w14:textId="77777777" w:rsidR="00432BEC" w:rsidRDefault="00432BEC" w:rsidP="00D909B5">
      <w:pPr>
        <w:spacing w:before="0" w:after="0" w:line="240" w:lineRule="auto"/>
        <w:jc w:val="center"/>
        <w:rPr>
          <w:bCs/>
        </w:rPr>
      </w:pPr>
      <w:r>
        <w:t>The University of Texas at Austin</w:t>
      </w:r>
      <w:r>
        <w:rPr>
          <w:bCs/>
        </w:rPr>
        <w:t xml:space="preserve">, </w:t>
      </w:r>
      <w:r>
        <w:t>Dept of Civil, Architectural and Environmental Engineering</w:t>
      </w:r>
    </w:p>
    <w:p w14:paraId="7FD1D09F" w14:textId="77777777" w:rsidR="00432BEC" w:rsidRDefault="00432BEC" w:rsidP="00D909B5">
      <w:pPr>
        <w:spacing w:before="0" w:after="0" w:line="240" w:lineRule="auto"/>
        <w:jc w:val="center"/>
        <w:rPr>
          <w:bCs/>
        </w:rPr>
      </w:pPr>
      <w:r>
        <w:t>301 E. Dean Keeton St. Stop C1761, Austin TX 78712, USA</w:t>
      </w:r>
    </w:p>
    <w:p w14:paraId="2F3D68FC" w14:textId="77777777" w:rsidR="00432BEC" w:rsidRDefault="00432BEC" w:rsidP="00D909B5">
      <w:pPr>
        <w:spacing w:before="0" w:after="0" w:line="240" w:lineRule="auto"/>
        <w:jc w:val="center"/>
        <w:rPr>
          <w:bCs/>
          <w:lang w:val="fr-FR"/>
        </w:rPr>
      </w:pPr>
      <w:r>
        <w:rPr>
          <w:lang w:val="pt-BR"/>
        </w:rPr>
        <w:t>Tel:</w:t>
      </w:r>
      <w:r>
        <w:t xml:space="preserve"> 1-512-471-4535; </w:t>
      </w:r>
      <w:r>
        <w:rPr>
          <w:lang w:val="fr-FR"/>
        </w:rPr>
        <w:t xml:space="preserve">Email: </w:t>
      </w:r>
      <w:hyperlink r:id="rId11" w:history="1">
        <w:r>
          <w:rPr>
            <w:rStyle w:val="Hyperlink"/>
            <w:lang w:val="fr-FR"/>
          </w:rPr>
          <w:t>bhat@mail.utexas.edu</w:t>
        </w:r>
      </w:hyperlink>
      <w:r>
        <w:rPr>
          <w:lang w:val="fr-FR"/>
        </w:rPr>
        <w:t xml:space="preserve"> </w:t>
      </w:r>
    </w:p>
    <w:p w14:paraId="61F163E3" w14:textId="77777777" w:rsidR="00432BEC" w:rsidRDefault="00432BEC" w:rsidP="00D909B5">
      <w:pPr>
        <w:spacing w:before="0" w:after="0" w:line="240" w:lineRule="auto"/>
        <w:jc w:val="center"/>
        <w:rPr>
          <w:bCs/>
        </w:rPr>
      </w:pPr>
      <w:r>
        <w:t>and</w:t>
      </w:r>
    </w:p>
    <w:p w14:paraId="0491DB3A" w14:textId="77777777" w:rsidR="00432BEC" w:rsidRDefault="00432BEC" w:rsidP="00D909B5">
      <w:pPr>
        <w:spacing w:before="0" w:after="0" w:line="240" w:lineRule="auto"/>
        <w:jc w:val="center"/>
        <w:rPr>
          <w:b/>
        </w:rPr>
      </w:pPr>
      <w:r>
        <w:t xml:space="preserve">The Hong Kong Polytechnic University, Hung </w:t>
      </w:r>
      <w:proofErr w:type="spellStart"/>
      <w:r>
        <w:t>Hom</w:t>
      </w:r>
      <w:proofErr w:type="spellEnd"/>
      <w:r>
        <w:t>, Kowloon, Hong Kong</w:t>
      </w:r>
    </w:p>
    <w:p w14:paraId="6A93F8CA" w14:textId="77777777" w:rsidR="00432BEC" w:rsidRDefault="00432BEC" w:rsidP="00D909B5">
      <w:pPr>
        <w:spacing w:before="0" w:after="0" w:line="240" w:lineRule="auto"/>
        <w:rPr>
          <w:b/>
          <w:bCs/>
          <w:lang w:val="fr-FR"/>
        </w:rPr>
      </w:pPr>
    </w:p>
    <w:p w14:paraId="49BC4A7A" w14:textId="77777777" w:rsidR="00432BEC" w:rsidRDefault="00432BEC" w:rsidP="00D909B5">
      <w:pPr>
        <w:spacing w:before="0" w:after="0" w:line="240" w:lineRule="auto"/>
        <w:jc w:val="center"/>
        <w:rPr>
          <w:b/>
          <w:bCs/>
          <w:lang w:val="fr-FR"/>
        </w:rPr>
      </w:pPr>
      <w:r>
        <w:rPr>
          <w:b/>
          <w:bCs/>
          <w:lang w:val="fr-FR"/>
        </w:rPr>
        <w:t>Angie Zhang</w:t>
      </w:r>
    </w:p>
    <w:p w14:paraId="57821624" w14:textId="77777777" w:rsidR="00432BEC" w:rsidRDefault="00432BEC" w:rsidP="00D909B5">
      <w:pPr>
        <w:spacing w:before="0" w:after="0" w:line="240" w:lineRule="auto"/>
        <w:jc w:val="center"/>
      </w:pPr>
      <w:r>
        <w:t>The University of Texas at Austin, School of Information</w:t>
      </w:r>
    </w:p>
    <w:p w14:paraId="34984B87" w14:textId="77777777" w:rsidR="00432BEC" w:rsidRPr="00342D93" w:rsidRDefault="00432BEC" w:rsidP="00D909B5">
      <w:pPr>
        <w:spacing w:before="0" w:after="0" w:line="240" w:lineRule="auto"/>
        <w:jc w:val="center"/>
      </w:pPr>
      <w:r w:rsidRPr="00342D93">
        <w:t>1616 Guadalupe St, Stop D8600, Austin, TX 78701, USA</w:t>
      </w:r>
    </w:p>
    <w:p w14:paraId="51965BD3" w14:textId="77777777" w:rsidR="00432BEC" w:rsidRPr="00342D93" w:rsidRDefault="00432BEC" w:rsidP="00D909B5">
      <w:pPr>
        <w:spacing w:before="0" w:after="0" w:line="240" w:lineRule="auto"/>
        <w:jc w:val="center"/>
      </w:pPr>
      <w:r w:rsidRPr="00342D93">
        <w:t xml:space="preserve">Email: </w:t>
      </w:r>
      <w:hyperlink r:id="rId12" w:history="1">
        <w:r w:rsidRPr="00342D93">
          <w:rPr>
            <w:rStyle w:val="Hyperlink"/>
          </w:rPr>
          <w:t>angie.zhang@austin.utexas.edu</w:t>
        </w:r>
      </w:hyperlink>
      <w:r w:rsidRPr="00342D93">
        <w:t xml:space="preserve">  </w:t>
      </w:r>
    </w:p>
    <w:p w14:paraId="104D8911" w14:textId="77777777" w:rsidR="00432BEC" w:rsidRPr="00342D93" w:rsidRDefault="00432BEC" w:rsidP="00D909B5">
      <w:pPr>
        <w:spacing w:before="0" w:after="0" w:line="240" w:lineRule="auto"/>
        <w:jc w:val="center"/>
        <w:rPr>
          <w:rStyle w:val="Style1Char"/>
          <w:b w:val="0"/>
          <w:bCs w:val="0"/>
        </w:rPr>
      </w:pPr>
    </w:p>
    <w:p w14:paraId="14E7E3DF" w14:textId="77777777" w:rsidR="00D7445C" w:rsidRPr="00342D93" w:rsidRDefault="00D7445C" w:rsidP="00D7445C">
      <w:pPr>
        <w:spacing w:before="0" w:after="0" w:line="240" w:lineRule="auto"/>
        <w:jc w:val="center"/>
        <w:rPr>
          <w:b/>
          <w:bCs/>
          <w:color w:val="auto"/>
          <w:shd w:val="clear" w:color="auto" w:fill="FFFFFF"/>
        </w:rPr>
      </w:pPr>
      <w:r w:rsidRPr="00342D93">
        <w:rPr>
          <w:b/>
          <w:bCs/>
          <w:shd w:val="clear" w:color="auto" w:fill="FFFFFF"/>
        </w:rPr>
        <w:t>Madison C. Liao</w:t>
      </w:r>
    </w:p>
    <w:p w14:paraId="1F1D9065" w14:textId="77777777" w:rsidR="00D7445C" w:rsidRPr="00342D93" w:rsidRDefault="00D7445C" w:rsidP="00D7445C">
      <w:pPr>
        <w:spacing w:before="0" w:after="0" w:line="240" w:lineRule="auto"/>
        <w:jc w:val="center"/>
      </w:pPr>
      <w:r w:rsidRPr="00342D93">
        <w:t>The University of Texas at Austin, Dept of Civil, Architectural and Environmental Engineering</w:t>
      </w:r>
    </w:p>
    <w:p w14:paraId="4C3936E0" w14:textId="77777777" w:rsidR="00D7445C" w:rsidRPr="00342D93" w:rsidRDefault="00D7445C" w:rsidP="00D7445C">
      <w:pPr>
        <w:spacing w:before="0" w:after="0" w:line="240" w:lineRule="auto"/>
        <w:jc w:val="center"/>
      </w:pPr>
      <w:r w:rsidRPr="00342D93">
        <w:t>301 E. Dean Keeton St, Stop C1761, Austin TX 78712, USA</w:t>
      </w:r>
    </w:p>
    <w:p w14:paraId="6D2739F8" w14:textId="404C8141" w:rsidR="00D7445C" w:rsidRPr="00342D93" w:rsidRDefault="00D7445C" w:rsidP="00D7445C">
      <w:pPr>
        <w:spacing w:before="0" w:after="0" w:line="240" w:lineRule="auto"/>
        <w:jc w:val="center"/>
        <w:rPr>
          <w:rStyle w:val="Hyperlink"/>
        </w:rPr>
      </w:pPr>
      <w:r w:rsidRPr="00342D93">
        <w:t xml:space="preserve">Email: </w:t>
      </w:r>
      <w:hyperlink r:id="rId13" w:tgtFrame="_blank" w:history="1">
        <w:r w:rsidRPr="00342D93">
          <w:rPr>
            <w:rStyle w:val="Hyperlink"/>
          </w:rPr>
          <w:t>madison.liao@utexas.edu</w:t>
        </w:r>
      </w:hyperlink>
    </w:p>
    <w:p w14:paraId="52076FA8" w14:textId="77777777" w:rsidR="00D7445C" w:rsidRPr="00342D93" w:rsidRDefault="00D7445C" w:rsidP="00D7445C">
      <w:pPr>
        <w:spacing w:before="0" w:after="0" w:line="240" w:lineRule="auto"/>
        <w:jc w:val="center"/>
        <w:rPr>
          <w:b/>
          <w:bCs/>
        </w:rPr>
      </w:pPr>
    </w:p>
    <w:p w14:paraId="09901BBC" w14:textId="35F7593D" w:rsidR="00432BEC" w:rsidRPr="00342D93" w:rsidRDefault="00432BEC" w:rsidP="00D909B5">
      <w:pPr>
        <w:spacing w:before="0" w:after="0" w:line="240" w:lineRule="auto"/>
        <w:jc w:val="center"/>
        <w:rPr>
          <w:b/>
          <w:bCs/>
        </w:rPr>
      </w:pPr>
      <w:r w:rsidRPr="00342D93">
        <w:rPr>
          <w:b/>
          <w:bCs/>
        </w:rPr>
        <w:t>Lisa J. Macias</w:t>
      </w:r>
    </w:p>
    <w:p w14:paraId="7884A481" w14:textId="77777777" w:rsidR="00432BEC" w:rsidRPr="00342D93" w:rsidRDefault="00432BEC" w:rsidP="00D909B5">
      <w:pPr>
        <w:spacing w:before="0" w:after="0" w:line="240" w:lineRule="auto"/>
        <w:jc w:val="center"/>
      </w:pPr>
      <w:r w:rsidRPr="00342D93">
        <w:t>The University of Texas at Austin, Dept of Civil, Architectural and Environmental Engineering</w:t>
      </w:r>
    </w:p>
    <w:p w14:paraId="13A7E552" w14:textId="77777777" w:rsidR="00432BEC" w:rsidRDefault="00432BEC" w:rsidP="00D909B5">
      <w:pPr>
        <w:spacing w:before="0" w:after="0" w:line="240" w:lineRule="auto"/>
        <w:jc w:val="center"/>
      </w:pPr>
      <w:r w:rsidRPr="00342D93">
        <w:t>301 E. Dean Keeton St, Stop C1761, Austin TX</w:t>
      </w:r>
      <w:r>
        <w:t xml:space="preserve"> 78712, USA</w:t>
      </w:r>
    </w:p>
    <w:p w14:paraId="2B154964" w14:textId="51201C24" w:rsidR="00432BEC" w:rsidRDefault="00432BEC" w:rsidP="00D909B5">
      <w:pPr>
        <w:spacing w:before="0" w:after="0" w:line="240" w:lineRule="auto"/>
        <w:jc w:val="center"/>
      </w:pPr>
      <w:r>
        <w:t xml:space="preserve">Email: </w:t>
      </w:r>
      <w:hyperlink r:id="rId14" w:history="1">
        <w:r>
          <w:rPr>
            <w:rStyle w:val="Hyperlink"/>
          </w:rPr>
          <w:t>lisaweyant@mail.utexas.edu</w:t>
        </w:r>
      </w:hyperlink>
      <w:r>
        <w:t xml:space="preserve"> </w:t>
      </w:r>
    </w:p>
    <w:p w14:paraId="6AAD498F" w14:textId="77777777" w:rsidR="00432BEC" w:rsidRDefault="00432BEC" w:rsidP="00342D93">
      <w:pPr>
        <w:spacing w:before="0" w:after="0" w:line="240" w:lineRule="auto"/>
        <w:rPr>
          <w:b/>
          <w:bCs/>
        </w:rPr>
      </w:pPr>
    </w:p>
    <w:p w14:paraId="14EBD0B0" w14:textId="77777777" w:rsidR="00432BEC" w:rsidRDefault="00432BEC" w:rsidP="00D909B5">
      <w:pPr>
        <w:spacing w:before="0" w:after="0" w:line="240" w:lineRule="auto"/>
        <w:jc w:val="center"/>
        <w:rPr>
          <w:b/>
        </w:rPr>
      </w:pPr>
      <w:r>
        <w:rPr>
          <w:b/>
        </w:rPr>
        <w:t xml:space="preserve">Min Kyung Lee </w:t>
      </w:r>
    </w:p>
    <w:p w14:paraId="35B1AC55" w14:textId="77777777" w:rsidR="00432BEC" w:rsidRDefault="00432BEC" w:rsidP="00D909B5">
      <w:pPr>
        <w:spacing w:before="0" w:after="0" w:line="240" w:lineRule="auto"/>
        <w:jc w:val="center"/>
      </w:pPr>
      <w:r>
        <w:t>The University of Texas at Austin, School of Information</w:t>
      </w:r>
    </w:p>
    <w:p w14:paraId="7C2CFBC9" w14:textId="77777777" w:rsidR="00432BEC" w:rsidRDefault="00432BEC" w:rsidP="00D909B5">
      <w:pPr>
        <w:spacing w:before="0" w:after="0" w:line="240" w:lineRule="auto"/>
        <w:jc w:val="center"/>
      </w:pPr>
      <w:r>
        <w:t>1616 Guadalupe St, Stop D8600, Austin, TX 78701, USA</w:t>
      </w:r>
    </w:p>
    <w:p w14:paraId="64C45616" w14:textId="77777777" w:rsidR="00432BEC" w:rsidRDefault="00432BEC" w:rsidP="00D909B5">
      <w:pPr>
        <w:spacing w:before="0" w:after="0" w:line="240" w:lineRule="auto"/>
        <w:jc w:val="center"/>
      </w:pPr>
      <w:r>
        <w:t xml:space="preserve">Email: </w:t>
      </w:r>
      <w:hyperlink r:id="rId15" w:history="1">
        <w:r>
          <w:rPr>
            <w:rStyle w:val="Hyperlink"/>
          </w:rPr>
          <w:t>minkyung.lee@austin.utexas.edu</w:t>
        </w:r>
      </w:hyperlink>
      <w:r>
        <w:t xml:space="preserve"> </w:t>
      </w:r>
    </w:p>
    <w:p w14:paraId="5B2784CC" w14:textId="77777777" w:rsidR="00432BEC" w:rsidRDefault="00432BEC" w:rsidP="00D909B5">
      <w:pPr>
        <w:spacing w:before="0" w:after="0" w:line="240" w:lineRule="auto"/>
        <w:jc w:val="center"/>
      </w:pPr>
    </w:p>
    <w:p w14:paraId="161E7B26" w14:textId="77777777" w:rsidR="00432BEC" w:rsidRDefault="00432BEC" w:rsidP="00D909B5">
      <w:pPr>
        <w:spacing w:before="0" w:after="0" w:line="240" w:lineRule="auto"/>
        <w:jc w:val="center"/>
        <w:rPr>
          <w:b/>
          <w:bCs/>
        </w:rPr>
      </w:pPr>
      <w:r>
        <w:rPr>
          <w:b/>
          <w:bCs/>
        </w:rPr>
        <w:t>S. Craig Watkins</w:t>
      </w:r>
    </w:p>
    <w:p w14:paraId="2A673001" w14:textId="77777777" w:rsidR="00432BEC" w:rsidRDefault="00432BEC" w:rsidP="00D909B5">
      <w:pPr>
        <w:spacing w:before="0" w:after="0" w:line="240" w:lineRule="auto"/>
        <w:jc w:val="center"/>
      </w:pPr>
      <w:r>
        <w:t>The University of Texas at Austin, School of Journalism and Media</w:t>
      </w:r>
    </w:p>
    <w:p w14:paraId="53A96FFA" w14:textId="77777777" w:rsidR="00432BEC" w:rsidRDefault="00432BEC" w:rsidP="00D909B5">
      <w:pPr>
        <w:spacing w:before="0" w:after="0" w:line="240" w:lineRule="auto"/>
        <w:jc w:val="center"/>
      </w:pPr>
      <w:r>
        <w:t>300 W. Dean Keeton St, Stop A0800, Austin TX 78712, USA</w:t>
      </w:r>
    </w:p>
    <w:p w14:paraId="2639ACF4" w14:textId="77777777" w:rsidR="00432BEC" w:rsidRDefault="00432BEC" w:rsidP="00D909B5">
      <w:pPr>
        <w:spacing w:before="0" w:after="0" w:line="240" w:lineRule="auto"/>
        <w:jc w:val="center"/>
      </w:pPr>
      <w:r>
        <w:t xml:space="preserve">Email: </w:t>
      </w:r>
      <w:hyperlink r:id="rId16" w:history="1">
        <w:r>
          <w:rPr>
            <w:rStyle w:val="Hyperlink"/>
          </w:rPr>
          <w:t>craig.watkins@austin.utexas.edu</w:t>
        </w:r>
      </w:hyperlink>
      <w:r>
        <w:t xml:space="preserve"> </w:t>
      </w:r>
    </w:p>
    <w:p w14:paraId="38795CA0" w14:textId="423C6114" w:rsidR="00432BEC" w:rsidRPr="00432BEC" w:rsidRDefault="00432BEC" w:rsidP="004F159F">
      <w:pPr>
        <w:spacing w:before="0" w:after="0" w:line="240" w:lineRule="auto"/>
        <w:sectPr w:rsidR="00432BEC" w:rsidRPr="00432BEC" w:rsidSect="00966F5E">
          <w:headerReference w:type="default" r:id="rId17"/>
          <w:footerReference w:type="default" r:id="rId18"/>
          <w:pgSz w:w="12240" w:h="15840"/>
          <w:pgMar w:top="1440" w:right="1440" w:bottom="1440" w:left="1440" w:header="720" w:footer="720" w:gutter="0"/>
          <w:pgNumType w:start="1"/>
          <w:cols w:space="720"/>
          <w:titlePg/>
          <w:docGrid w:linePitch="326"/>
        </w:sectPr>
      </w:pPr>
      <w:r>
        <w:t xml:space="preserve"> </w:t>
      </w:r>
    </w:p>
    <w:p w14:paraId="62AC3DA0" w14:textId="69B0DEC3" w:rsidR="00C37C8C" w:rsidRDefault="00C37C8C" w:rsidP="00966F5E">
      <w:pPr>
        <w:pStyle w:val="Heading1"/>
        <w:numPr>
          <w:ilvl w:val="0"/>
          <w:numId w:val="0"/>
        </w:numPr>
        <w:spacing w:line="360" w:lineRule="auto"/>
        <w:ind w:left="360" w:hanging="360"/>
      </w:pPr>
      <w:r>
        <w:lastRenderedPageBreak/>
        <w:t>ABSTRACT</w:t>
      </w:r>
    </w:p>
    <w:p w14:paraId="11742597" w14:textId="7EA5E4DE" w:rsidR="00550D8E" w:rsidRDefault="00C37C8C" w:rsidP="00966F5E">
      <w:pPr>
        <w:spacing w:before="0" w:after="0" w:line="360" w:lineRule="auto"/>
      </w:pPr>
      <w:r w:rsidRPr="00C37C8C">
        <w:t>In this paper, we unpack the magnitude effects of the determinants of pedestrian crashes using a multivariate analysis approach. We consider four sets of exogenous factors that characterize residential neighborhoods as well as potentially affect pedestrian crashes and the racial composition of such crashes: (1) crash risk exposure (CE) attributes, (2) cultural variables, (3) built environment (BE) features, and (4) sociodemographic (SD) factors. Our investigation uses pedestrian crash and related data from the City of Houston, Texas, which we analyze at the</w:t>
      </w:r>
      <w:r w:rsidR="00A40C0C">
        <w:t xml:space="preserve"> </w:t>
      </w:r>
      <w:r w:rsidRPr="00C37C8C">
        <w:t xml:space="preserve">spatial Census Block Group (CBG) level. Our results indicate that social resistance considerations (that is, minorities resisting norms as they are perceived as being set by the majority group), </w:t>
      </w:r>
      <w:r w:rsidR="00CD0593">
        <w:t>density of</w:t>
      </w:r>
      <w:r w:rsidRPr="00C37C8C">
        <w:t xml:space="preserve"> transit stops, and road design considerations (in particular in and around areas with high land-use diversity) are the three strongest determinants of pedestrian crashes, particularly in CBGs</w:t>
      </w:r>
      <w:r w:rsidR="00A40C0C">
        <w:t xml:space="preserve"> with a majority of the resident population being Black.</w:t>
      </w:r>
      <w:r w:rsidRPr="00C37C8C">
        <w:t xml:space="preserve"> The findings of this study can enable policymakers and planners to develop more effective countermeasures and interventions to contain the growing number of pedestrian crashes in recent years, as well as racial disparities in pedestrian crashes. Importantly, transportation safety engineers need to work with social scientists and engage with community leaders to build trust before leaping into implementing planning countermeasures and interventions. Issues of social resistance, in particular, need to be kept in mind.   </w:t>
      </w:r>
    </w:p>
    <w:p w14:paraId="0D957BB5" w14:textId="1216D849" w:rsidR="00C37C8C" w:rsidRPr="00C37C8C" w:rsidRDefault="00C37C8C" w:rsidP="00966F5E">
      <w:pPr>
        <w:spacing w:before="0" w:after="0" w:line="360" w:lineRule="auto"/>
      </w:pPr>
      <w:r w:rsidRPr="00C37C8C">
        <w:t xml:space="preserve"> </w:t>
      </w:r>
    </w:p>
    <w:p w14:paraId="6D68E882" w14:textId="27E55CBB" w:rsidR="006C3943" w:rsidRDefault="00C37C8C" w:rsidP="00966F5E">
      <w:pPr>
        <w:spacing w:before="0" w:after="0" w:line="360" w:lineRule="auto"/>
        <w:rPr>
          <w:rFonts w:eastAsiaTheme="majorEastAsia"/>
          <w:b/>
          <w:color w:val="000000" w:themeColor="text1"/>
        </w:rPr>
      </w:pPr>
      <w:r w:rsidRPr="00EE0309">
        <w:rPr>
          <w:b/>
        </w:rPr>
        <w:t>Keywords:</w:t>
      </w:r>
      <w:r>
        <w:t xml:space="preserve"> </w:t>
      </w:r>
      <w:r w:rsidR="00550D8E">
        <w:t>Pedestrian crashes, racial bias, implicit bias, safety, crash risk exposure, social resistance, built environmen</w:t>
      </w:r>
      <w:r w:rsidR="006055F2">
        <w:t>t</w:t>
      </w:r>
      <w:r w:rsidR="006C3943">
        <w:br w:type="page"/>
      </w:r>
    </w:p>
    <w:p w14:paraId="654C7B1E" w14:textId="5BFBFEC0" w:rsidR="00974A3F" w:rsidRDefault="00432BEC" w:rsidP="00966F5E">
      <w:pPr>
        <w:pStyle w:val="Heading1"/>
        <w:spacing w:line="360" w:lineRule="auto"/>
      </w:pPr>
      <w:r>
        <w:lastRenderedPageBreak/>
        <w:t>INTRODUCTION</w:t>
      </w:r>
    </w:p>
    <w:p w14:paraId="7EB75113" w14:textId="32A8CAC2" w:rsidR="00B51AC4" w:rsidRDefault="002B1F22" w:rsidP="007D5556">
      <w:pPr>
        <w:spacing w:before="0" w:after="0" w:line="360" w:lineRule="auto"/>
        <w:ind w:firstLine="720"/>
      </w:pPr>
      <w:r w:rsidRPr="00665140">
        <w:t>According to data collected by the National Highway Traffic Safety Administration, a total of 6,516 pedestrians were killed in vehicular crashes</w:t>
      </w:r>
      <w:r w:rsidRPr="00BF0DD3">
        <w:t xml:space="preserve"> in the U.S. in 20</w:t>
      </w:r>
      <w:r>
        <w:t xml:space="preserve">20 </w:t>
      </w:r>
      <w:bookmarkStart w:id="0" w:name="_Hlk110157483"/>
      <w:r>
        <w:fldChar w:fldCharType="begin"/>
      </w:r>
      <w:r>
        <w:instrText xml:space="preserve"> ADDIN ZOTERO_ITEM CSL_CITATION {"citationID":"FkGIxeOs","properties":{"formattedCitation":"(National Center for Statistics and Analysis, 2022)","plainCitation":"(National Center for Statistics and Analysis, 2022)","noteIndex":0},"citationItems":[{"id":635,"uris":["http://zotero.org/users/9292995/items/7C5YP85K"],"itemData":{"id":635,"type":"report","number":"Traffic Safety Facts. Report No. DOT HS 813 310","publisher":"National Highway Traffic Safety Administration","title":"Pedestrians: 2020 data","author":[{"literal":"National Center for Statistics and Analysis"}],"issued":{"date-parts":[["2022"]]}}}],"schema":"https://github.com/citation-style-language/schema/raw/master/csl-citation.json"} </w:instrText>
      </w:r>
      <w:r>
        <w:fldChar w:fldCharType="separate"/>
      </w:r>
      <w:r w:rsidRPr="001E6275">
        <w:t>(National Center for Statistics and Analysis, 2022)</w:t>
      </w:r>
      <w:r>
        <w:fldChar w:fldCharType="end"/>
      </w:r>
      <w:r w:rsidRPr="00BF0DD3">
        <w:t xml:space="preserve">. </w:t>
      </w:r>
      <w:bookmarkEnd w:id="0"/>
      <w:r w:rsidRPr="00BF0DD3">
        <w:t xml:space="preserve">This value reflects a </w:t>
      </w:r>
      <w:r>
        <w:t>51</w:t>
      </w:r>
      <w:r w:rsidRPr="00BF0DD3">
        <w:t xml:space="preserve">% increase in the number of </w:t>
      </w:r>
      <w:r w:rsidR="00B4471B">
        <w:t xml:space="preserve">pedestrian </w:t>
      </w:r>
      <w:r w:rsidRPr="00BF0DD3">
        <w:t>fatalities</w:t>
      </w:r>
      <w:r w:rsidR="00D122CC">
        <w:t xml:space="preserve"> relative to a 7% increase in p</w:t>
      </w:r>
      <w:r w:rsidR="008D5D3E">
        <w:t>opulation</w:t>
      </w:r>
      <w:r w:rsidRPr="00BF0DD3">
        <w:t xml:space="preserve"> over the last decade</w:t>
      </w:r>
      <w:r w:rsidR="00AC06E5">
        <w:t>,</w:t>
      </w:r>
      <w:r w:rsidRPr="00BF0DD3">
        <w:t xml:space="preserve"> while the share of walking trips </w:t>
      </w:r>
      <w:r w:rsidR="00C30D6A">
        <w:t xml:space="preserve">has </w:t>
      </w:r>
      <w:r w:rsidRPr="00BF0DD3">
        <w:t>remained constant at approximately 10.5%</w:t>
      </w:r>
      <w:r>
        <w:t xml:space="preserve"> </w:t>
      </w:r>
      <w:bookmarkStart w:id="1" w:name="_Hlk110157498"/>
      <w:r>
        <w:fldChar w:fldCharType="begin"/>
      </w:r>
      <w:r w:rsidR="00EF7FCA">
        <w:instrText xml:space="preserve"> ADDIN ZOTERO_ITEM CSL_CITATION {"citationID":"zAn2nFwy","properties":{"formattedCitation":"(McGuckin &amp; Fucci, 2018; Smart Growth America, 2021; Statista, 2022)","plainCitation":"(McGuckin &amp; Fucci, 2018; Smart Growth America, 2021; Statista, 2022)","dontUpdate":true,"noteIndex":0},"citationItems":[{"id":636,"uris":["http://zotero.org/users/9292995/items/8N5JN3F5"],"itemData":{"id":636,"type":"report","publisher":"Federal Highway Administration","title":"Summary of Travel Trends: 2017 National Household Travel Survey","URL":"https://nhts.ornl.gov/assets/2017_nhts_summary_travel_trends.pdf","author":[{"family":"McGuckin","given":"N."},{"family":"Fucci","given":"A."}],"issued":{"date-parts":[["2018"]]}}},{"id":737,"uris":["http://zotero.org/users/9292995/items/LQMS7FRD"],"itemData":{"id":737,"type":"webpage","abstract":"In the past four centuries, the population of the United States has grown from a recorded 350 people around the Jamestown colony of Virginia in 1610, to an estimated 331 million people in 2020.","container-title":"Statista","language":"en","title":"Population of the United States 1610-2020","URL":"https://www.statista.com/statistics/1067138/population-united-states-historical/","author":[{"literal":"Statista"}],"accessed":{"date-parts":[["2022",7,17]]},"issued":{"date-parts":[["2022"]]}}},{"id":347,"uris":["http://zotero.org/users/9292995/items/UCPDCFZ9"],"itemData":{"id":347,"type":"report","title":"Dangerous by Design 2021","URL":"https://smartgrowthamerica.org/wp-content/uploads/2021/03/Dangerous-By-Design-2021-update.pdf","author":[{"literal":"Smart Growth America"}],"issued":{"date-parts":[["2021"]]}}}],"schema":"https://github.com/citation-style-language/schema/raw/master/csl-citation.json"} </w:instrText>
      </w:r>
      <w:r>
        <w:fldChar w:fldCharType="separate"/>
      </w:r>
      <w:r w:rsidR="008D5D3E" w:rsidRPr="008D5D3E">
        <w:t xml:space="preserve">(McGuckin </w:t>
      </w:r>
      <w:r w:rsidR="008D5D3E">
        <w:t>and</w:t>
      </w:r>
      <w:r w:rsidR="008D5D3E" w:rsidRPr="008D5D3E">
        <w:t xml:space="preserve"> Fucci, 2018</w:t>
      </w:r>
      <w:r w:rsidR="0082167E">
        <w:t>;</w:t>
      </w:r>
      <w:r w:rsidR="008D5D3E" w:rsidRPr="008D5D3E">
        <w:t xml:space="preserve"> Smart Growth America, 2021</w:t>
      </w:r>
      <w:r w:rsidR="0082167E">
        <w:t>;</w:t>
      </w:r>
      <w:r w:rsidR="008D5D3E" w:rsidRPr="008D5D3E">
        <w:t xml:space="preserve"> Statista, 2022)</w:t>
      </w:r>
      <w:r>
        <w:fldChar w:fldCharType="end"/>
      </w:r>
      <w:r>
        <w:t xml:space="preserve">. </w:t>
      </w:r>
      <w:bookmarkEnd w:id="1"/>
      <w:r w:rsidRPr="00BF0DD3">
        <w:t>In addition to fatalities, the Center for Disease Control and Prevention has estimated that 137,</w:t>
      </w:r>
      <w:r w:rsidRPr="00B51AC4">
        <w:t xml:space="preserve">000 pedestrians were hospitalized due to vehicular crash-related injuries in 2017 </w:t>
      </w:r>
      <w:bookmarkStart w:id="2" w:name="_Hlk110157512"/>
      <w:r w:rsidR="00B51AC4" w:rsidRPr="00B51AC4">
        <w:fldChar w:fldCharType="begin"/>
      </w:r>
      <w:r w:rsidR="00B51AC4" w:rsidRPr="00B51AC4">
        <w:instrText xml:space="preserve"> ADDIN ZOTERO_ITEM CSL_CITATION {"citationID":"ZlGhDq39","properties":{"formattedCitation":"(CDC, 2020)","plainCitation":"(CDC, 2020)","noteIndex":0},"citationItems":[{"id":355,"uris":["http://zotero.org/users/9292995/items/N8ZNWZIU"],"itemData":{"id":355,"type":"article-journal","container-title":"MMWR. Morbidity and Mortality Weekly Report","DOI":"10.15585/mmwr.mm6939a7","ISSN":"0149-21951545-861X","journalAbbreviation":"MMWR Morb Mortal Wkly Rep","language":"en-us","source":"www.cdc.gov","title":"QuickStats: Age-Adjusted Pedestrian Death Rates, by Race/Ethnicity — National Vital Statistics System, United States, 2009 and 2018","title-short":"QuickStats","URL":"https://www.cdc.gov/mmwr/volumes/69/wr/mm6939a7.htm","volume":"69","author":[{"family":"CDC","given":""}],"accessed":{"date-parts":[["2022",2,2]]},"issued":{"date-parts":[["2020"]]}}}],"schema":"https://github.com/citation-style-language/schema/raw/master/csl-citation.json"} </w:instrText>
      </w:r>
      <w:r w:rsidR="00B51AC4" w:rsidRPr="00B51AC4">
        <w:fldChar w:fldCharType="separate"/>
      </w:r>
      <w:r w:rsidR="00B51AC4" w:rsidRPr="00B51AC4">
        <w:t>(CDC, 2020)</w:t>
      </w:r>
      <w:r w:rsidR="00B51AC4" w:rsidRPr="00B51AC4">
        <w:fldChar w:fldCharType="end"/>
      </w:r>
      <w:r w:rsidRPr="00B51AC4">
        <w:t xml:space="preserve">. </w:t>
      </w:r>
      <w:bookmarkEnd w:id="2"/>
      <w:r w:rsidR="00986AD5">
        <w:t>Moreo</w:t>
      </w:r>
      <w:r w:rsidRPr="00B51AC4">
        <w:t xml:space="preserve">ver, crash and fatality risks are not proportionally distributed among different communities. </w:t>
      </w:r>
      <w:r w:rsidR="00AC06E5" w:rsidRPr="00B51AC4">
        <w:t>Multiple earlier studies have provided evidence that m</w:t>
      </w:r>
      <w:r w:rsidRPr="00B51AC4">
        <w:t>embers of ethnic or racial minority groups in the U.S. continue to experience a higher risk of severe or fatal pedestrian crashes</w:t>
      </w:r>
      <w:r w:rsidR="00B51AC4" w:rsidRPr="00B51AC4">
        <w:t xml:space="preserve"> </w:t>
      </w:r>
      <w:r w:rsidR="00B51AC4" w:rsidRPr="00B51AC4">
        <w:fldChar w:fldCharType="begin" w:fldLock="1"/>
      </w:r>
      <w:r w:rsidR="00D34B3C">
        <w:instrText xml:space="preserve"> ADDIN ZOTERO_ITEM CSL_CITATION {"citationID":"OBt63yYo","properties":{"formattedCitation":"(Apardian &amp; Smirnov, 2020; Barajas, 2019; Bhat et al., 2017; Guerra et al., 2019; Kaufman &amp; Wiebe, 2017; Lee et al., 2019)","plainCitation":"(Apardian &amp; Smirnov, 2020; Barajas, 2019; Bhat et al., 2017; Guerra et al., 2019; Kaufman &amp; Wiebe, 2017; Lee et al., 2019)","dontUpdate":true,"noteIndex":0},"citationItems":[{"id":402,"uris":["http://zotero.org/users/9292995/items/BEUT6G3G"],"itemData":{"id":402,"type":"article-journal","container-title":"Papers in Regional Science","ISSN":"1056-8190","issue":"5","journalAbbreviation":"Papers in Regional Science","note":"publisher: Wiley Online Library","page":"1317-1338","title":"An analysis of pedestrian crashes using a spatial count data model","volume":"99","author":[{"family":"Apardian","given":"Rebekka E"},{"family":"Smirnov","given":"Oleg"}],"issued":{"date-parts":[["2020"]]}},"label":"page"},{"id":"wB6ig8YL/KfAQ5eac","uris":["http://www.mendeley.com/documents/?uuid=ecae595f-6ac6-4140-8930-2f82d7966a65"],"itemData":{"DOI":"10.1177/0739456X19864714","ISSN":"0739-456X","abstract":"The recent growth in cycling in the United States has paralleled a growth in the diversity of cyclists, but what encourages people to bicycle is not the same across all demographic groups. This study uses intercept survey data from predominately Latino-immigrant neighborhoods to understand how social ecological motivations for cycling differ for immigrants and U.S.-born residents. Both perceptions of cycling and social relationships with cyclists are strong predictors of cycling, and more strongly so for immigrants. Planning that supports both social and physical infrastructure may help meet the needs of diverse cyclists and promote equity.","author":[{"dropping-particle":"","family":"Barajas","given":"Jesus M","non-dropping-particle":"","parse-names":false,"suffix":""}],"container-title":"Journal of Planning Education and Research","id":"SU1Fz0xT/73qnlpdX","issued":{"date-parts":[["2019","7","31"]]},"note":"doi: 10.1177/0739456X19864714","page":"0739456X19864714","publisher":"SAGE Publications Inc","title":"Perceptions, People, and Places: Influences on Cycling for Latino Immigrants and Implications for Equity","type":"article-journal"}},{"id":"wB6ig8YL/1HeXdLCY","uris":["http://www.mendeley.com/documents/?uuid=1a3c607f-61c1-474b-8c4b-3ce5a9c5bdbb"],"itemData":{"DOI":"https://doi.org/10.1016/j.amar.2017.05.001","ISSN":"2213-6657","abstract":"We propose in this paper a spatial random coefficients flexible multivariate count model to examine, at the spatial level of a census tract, the number of pedestrian injuries by injury severity level. Our model, unlike many other macro-level pedestrian injury studies in the literature, explicitly acknowledges that risk factors for different types of pedestrian injuries can be very different, as well as accounts for unobserved heterogeneity in the risk factor effects. We also recognize the multivariate nature of the injury counts by injury severity level within each census tract (as opposed to independently modeling the count of pedestrian injuries by severity level). In concrete methodological terms, our model: (a) allows a full covariance matrix for the random coefficients (constant heterogeneity, or CH, and slope heterogeneity, or SH, effects) characterizing spatial heterogeneity for each count category, (b) addresses excess zeros (or any other excess count value for that matter) within a multivariate count setting in a simple and elegant fashion, while recognizing multivariateness engendered through covariances in both the CH and SH effects, (c) accommodates spatial dependency through a spatial autoregressive lag structure, allowing for varying spatial autoregressive parameters across count categories, and (d) captures spatial drift effects through the spatial structure on the constants and the slope heterogeneity effects. To our knowledge, this is the first time that such a general spatial multivariate model has been formulated. For estimation, we use a composite marginal likelihood (CML) inference approach that is simple to implement and is based on evaluating lower-dimensional marginal probability expressions. The data for our analysis is drawn from a 2009 pedestrian crash database from the Manhattan region of New York City. Several groups of census tract-based risk factors are considered in the empirical analysis based on earlier research, including (1) socio-demographic characteristics, (2) land-use and road network characteristics, (3) activity intensity characteristics, and (4) commute mode shares and transit supply characteristics. The empirical analysis sheds light on both engineering as well as behavioral countermeasures to reduce the number of pedestrian-vehicle crashes by severity of these crashes.","author":[{"dropping-particle":"","family":"Bhat","given":"Chandra R","non-dropping-particle":"","parse-names":false,"suffix":""},{"dropping-particle":"","family":"Astroza","given":"Sebastian","non-dropping-particle":"","parse-names":false,"suffix":""},{"dropping-particle":"","family":"Lavieri","given":"Patrícia S","non-dropping-particle":"","parse-names":false,"suffix":""}],"container-title":"Analytic Methods in Accident Research","id":"ITEM-3","issued":{"date-parts":[["2017"]]},"page":"1-22","title":"A new spatial and flexible multivariate random-coefficients model for the analysis of pedestrian injury counts by severity level","type":"article-journal","volume":"16"}},{"id":400,"uris":["http://zotero.org/users/9292995/items/NDTPD5KB"],"itemData":{"id":400,"type":"article-journal","container-title":"Journal of Planning Education and Research","ISSN":"0739-456X","journalAbbreviation":"Journal of Planning Education and Research","note":"publisher: SAGE Publications Sage CA: Los Angeles, CA","page":"0739456X19845043","title":"Do denser neighborhoods have safer streets? population density and traffic safety in the Philadelphia Region","author":[{"family":"Guerra","given":"Erick"},{"family":"Dong","given":"Xiaoxia"},{"family":"Kondo","given":"Michelle"}],"issued":{"date-parts":[["2019"]]}}},{"id":"wB6ig8YL/08z6hYmu","uris":["http://www.mendeley.com/documents/?uuid=ae821d40-edd8-463e-96c5-21bcc73a2432"],"itemData":{"DOI":"10.1136/injuryprev-2017-042560.103","abstract":"Purpose Racial disparities in violent injury are well documented but disparities in injuries from non-violent means are less studied. Nearly 5000 pedestrians are killed by motor vehicles annually in the US and 1 50 000 are injured. We examined whether racial disparities exist in pedestrian deaths.Methods/Approach Using CDC annual mortality data, 1999–2015, each death was classified into one of five mutually exclusive racial/ethnic categories: White, Black/African American, Asian/Pacific Islander, American Indian/Alaska Native, and Latino. Individuals categorised as Latino were not included in any other group. Deaths missing race/ethnicity were excluded. We compared death rates between racial groups annually and across the rural-urban continuum using Kruskal-Wallis tests. Given substantial geographic segregation, we separately analysed those counties with â‰¥10 deaths among multiple racial/ethnic groups.Results We identified 49 494 pedestrian deaths over 17 years. The overall average pedestrian death rate was 1.4/100,000 population per year, with a decline from 1.8 in 1999 to 1.0 in 2015. The median death rate was lowest for Asians, at 0.8/100,000 (IQR=0.6–1.0), followed by Whites, at 0.9 (IQR=0.7–1.0). Blacks and Latinos had similar mortality rates at 1.4 (IQR=1.0–1.5) and 1.2 (IQR=0.9–1.6) respectively. Native Americans had the highest rate of pedestrian death at 2.6 (IQR=2.4–2.9); p=0.0001. Although death rates varied across urbanisation levels, disparities were consistent. Seventy-three U.S. counties had ¥10 pedestrian deaths among Blacks, Latinos and Whites. In these counties, the median death rate was 1.2 for Whites (IQR=0.8–1.5), 1.4 (IQR=1–2.1) for Blacks, and 1.4 (IQR=1.0–1.9) for Latinos; p=0.011.Conclusions Significant racial disparities in pedestrian death rates exist even in racially diverse counties and were not accounted for by urbanisation.Significance and Contributions to Injury and Violence Prevention Science Having identified these disparities, future studies can target prevention efforts by identifying social, environmental and geographic contributors, as well as those areas of the country accounting for greatest disparity burden.","author":[{"dropping-particle":"","family":"Kaufman","given":"Elinore J","non-dropping-particle":"","parse-names":false,"suffix":""},{"dropping-particle":"","family":"Wiebe","given":"Douglas J","non-dropping-particle":"","parse-names":false,"suffix":""}],"container-title":"Injury Prevention","id":"ITEM-5","issue":"Suppl 1","issued":{"date-parts":[["2017","9","1"]]},"page":"A38 LP  - A39","title":"103 Racial disparities in pedestrian deaths in the united states, 1999–2015","type":"article-journal","volume":"23"}},{"id":"wB6ig8YL/RqrhIDHJ","uris":["http://www.mendeley.com/documents/?uuid=a952a09d-4404-4290-ab9c-180835957a99"],"itemData":{"DOI":"10.1177/0361198119837962","ISSN":"0361-1981","abstract":"Multiple approaches have been proposed to take traffic safety into consideration in long-term transportation plans, referred to as transportation safety planning. Some early studies used trip generation data as the explanatory variables for their macro-level crash safety performance functions, or crash prediction models. However, no study to date has attempted to integrate walking exposure and pedestrian safety at the modeling stage. Thus, a novel methodological framework for integrating the analyses of walking exposure and pedestrian crashes is proposed toward better transportation safety planning for pedestrians. In comparison with walking trips and walking miles, walking hours was identified as the best walking exposure variable by a preliminary analysis. Thus, an integrated modeling structure with walking hours as its exposure variable was developed. The modeling results indicate that climate conditions, population, and car usage patterns affect walking hours, and predicted walking hours, climate conditions, percentage of mid-elderly (64?75?years), proportions of minority race/ethnicity, and percent of tertiary industry occupations have significant effects on pedestrian fatalities. In addition, the integrated modeling framework was compared with non-integrated ones, and the results indicate that the integrated framework outperforms its counterparts in relation to deviance information criterion. The proposed approach and the findings from this study are expected to provide useful insights not only to researchers but also to policy makers and practitioners in the fields of transportation planning and traffic safety.","author":[{"dropping-particle":"","family":"Lee","given":"Jaeyoung","non-dropping-particle":"","parse-names":false,"suffix":""},{"dropping-particle":"","family":"Abdel-Aty","given":"Mohamed","non-dropping-particle":"","parse-names":false,"suffix":""},{"dropping-particle":"","family":"Huang","given":"Helai","non-dropping-particle":"","parse-names":false,"suffix":""},{"dropping-particle":"","family":"Cai","given":"Qing","non-dropping-particle":"","parse-names":false,"suffix":""}],"container-title":"Transportation Research Record","id":"SU1Fz0xT/ygSyErlL","issue":"4","issued":{"date-parts":[["2019","3","25"]]},"note":"doi: 10.1177/0361198119837962","page":"898-906","publisher":"SAGE Publications Inc","title":"Transportation Safety Planning Approach for Pedestrians: An Integrated Framework of Modeling Walking Duration and Pedestrian Fatalities","type":"article-journal","volume":"2673"}}],"schema":"https://github.com/citation-style-language/schema/raw/master/csl-citation.json"} </w:instrText>
      </w:r>
      <w:r w:rsidR="00B51AC4" w:rsidRPr="00B51AC4">
        <w:fldChar w:fldCharType="separate"/>
      </w:r>
      <w:r w:rsidR="00B51AC4" w:rsidRPr="00B51AC4">
        <w:t>(see, for example,</w:t>
      </w:r>
      <w:r w:rsidR="00B51AC4">
        <w:t xml:space="preserve"> </w:t>
      </w:r>
      <w:r w:rsidR="00B51AC4" w:rsidRPr="00B51AC4">
        <w:t xml:space="preserve">Apardian </w:t>
      </w:r>
      <w:r w:rsidR="00B51AC4">
        <w:t>and</w:t>
      </w:r>
      <w:r w:rsidR="00B51AC4" w:rsidRPr="00B51AC4">
        <w:t xml:space="preserve"> Smirnov, 2020</w:t>
      </w:r>
      <w:r w:rsidR="007A2D0F">
        <w:t>;</w:t>
      </w:r>
      <w:r w:rsidR="00B51AC4" w:rsidRPr="00B51AC4">
        <w:t xml:space="preserve"> Bhat et al., 2017</w:t>
      </w:r>
      <w:r w:rsidR="007A2D0F">
        <w:t>;</w:t>
      </w:r>
      <w:r w:rsidR="00B51AC4" w:rsidRPr="00B51AC4">
        <w:t xml:space="preserve"> Guerra et al., 2019</w:t>
      </w:r>
      <w:r w:rsidR="007A2D0F">
        <w:t>;</w:t>
      </w:r>
      <w:r w:rsidR="00846D33">
        <w:t xml:space="preserve"> </w:t>
      </w:r>
      <w:r w:rsidR="00B51AC4" w:rsidRPr="00B51AC4">
        <w:t>Lee et al., 2019)</w:t>
      </w:r>
      <w:r w:rsidR="00B51AC4" w:rsidRPr="00B51AC4">
        <w:fldChar w:fldCharType="end"/>
      </w:r>
      <w:r w:rsidR="00B51AC4" w:rsidRPr="00B51AC4">
        <w:t>.</w:t>
      </w:r>
      <w:r w:rsidR="00C85136">
        <w:t xml:space="preserve"> </w:t>
      </w:r>
      <w:r w:rsidR="00C85136">
        <w:rPr>
          <w:color w:val="000000" w:themeColor="text1"/>
        </w:rPr>
        <w:t xml:space="preserve">For example, </w:t>
      </w:r>
      <w:r w:rsidR="00C85136">
        <w:t>o</w:t>
      </w:r>
      <w:r w:rsidR="00C85136" w:rsidRPr="00F46C3F">
        <w:t xml:space="preserve">ver the </w:t>
      </w:r>
      <w:r w:rsidR="00C85136">
        <w:t xml:space="preserve">past </w:t>
      </w:r>
      <w:r w:rsidR="00C85136" w:rsidRPr="00F46C3F">
        <w:t xml:space="preserve">decade, </w:t>
      </w:r>
      <w:r w:rsidR="00C85136">
        <w:t>B</w:t>
      </w:r>
      <w:r w:rsidR="00C85136" w:rsidRPr="00F46C3F">
        <w:t xml:space="preserve">lack pedestrians were 82% more likely to be involved in fatal crashes compared to </w:t>
      </w:r>
      <w:r w:rsidR="00C85136">
        <w:t>white</w:t>
      </w:r>
      <w:r w:rsidR="00C85136" w:rsidRPr="00F46C3F">
        <w:t xml:space="preserve">, non-Hispanic Americans </w:t>
      </w:r>
      <w:r w:rsidR="00C85136" w:rsidRPr="00F46C3F">
        <w:fldChar w:fldCharType="begin"/>
      </w:r>
      <w:r w:rsidR="00C85136">
        <w:instrText xml:space="preserve"> ADDIN ZOTERO_ITEM CSL_CITATION {"citationID":"FIjdibOQ","properties":{"formattedCitation":"(Smart Growth America, 2021)","plainCitation":"(Smart Growth America, 2021)","noteIndex":0},"citationItems":[{"id":347,"uris":["http://zotero.org/users/9292995/items/UCPDCFZ9"],"itemData":{"id":347,"type":"report","title":"Dangerous by Design 2021","URL":"https://smartgrowthamerica.org/wp-content/uploads/2021/03/Dangerous-By-Design-2021-update.pdf","author":[{"literal":"Smart Growth America"}],"issued":{"date-parts":[["2021"]]}}}],"schema":"https://github.com/citation-style-language/schema/raw/master/csl-citation.json"} </w:instrText>
      </w:r>
      <w:r w:rsidR="00C85136" w:rsidRPr="00F46C3F">
        <w:fldChar w:fldCharType="separate"/>
      </w:r>
      <w:r w:rsidR="00C85136" w:rsidRPr="00F52382">
        <w:t>(Smart Growth America, 2021)</w:t>
      </w:r>
      <w:r w:rsidR="00C85136" w:rsidRPr="00F46C3F">
        <w:fldChar w:fldCharType="end"/>
      </w:r>
      <w:r w:rsidR="00C85136" w:rsidRPr="00F46C3F">
        <w:t xml:space="preserve">. </w:t>
      </w:r>
      <w:r w:rsidR="003848D4">
        <w:t>In addition, the 2021 edition of the “Dangerous by Design” report</w:t>
      </w:r>
      <w:r w:rsidR="003848D4" w:rsidRPr="00F46C3F">
        <w:t xml:space="preserve"> compared pedestrian crash risks among different races and ethnicities using the “Pedestrian Danger Index” (PDI) metric which controls for population and walking rates (% of work trips made by walking)</w:t>
      </w:r>
      <w:r w:rsidR="003848D4" w:rsidRPr="00AA1E2A">
        <w:t xml:space="preserve"> </w:t>
      </w:r>
      <w:r w:rsidR="003848D4" w:rsidRPr="00F46C3F">
        <w:fldChar w:fldCharType="begin"/>
      </w:r>
      <w:r w:rsidR="003848D4">
        <w:instrText xml:space="preserve"> ADDIN ZOTERO_ITEM CSL_CITATION {"citationID":"pcJw4mRm","properties":{"formattedCitation":"(Smart Growth America, 2021)","plainCitation":"(Smart Growth America, 2021)","noteIndex":0},"citationItems":[{"id":347,"uris":["http://zotero.org/users/9292995/items/UCPDCFZ9"],"itemData":{"id":347,"type":"report","title":"Dangerous by Design 2021","URL":"https://smartgrowthamerica.org/wp-content/uploads/2021/03/Dangerous-By-Design-2021-update.pdf","author":[{"literal":"Smart Growth America"}],"issued":{"date-parts":[["2021"]]}}}],"schema":"https://github.com/citation-style-language/schema/raw/master/csl-citation.json"} </w:instrText>
      </w:r>
      <w:r w:rsidR="003848D4" w:rsidRPr="00F46C3F">
        <w:fldChar w:fldCharType="separate"/>
      </w:r>
      <w:r w:rsidR="003848D4" w:rsidRPr="00093DCB">
        <w:t>(Smart Growth America, 2021)</w:t>
      </w:r>
      <w:r w:rsidR="003848D4" w:rsidRPr="00F46C3F">
        <w:fldChar w:fldCharType="end"/>
      </w:r>
      <w:r w:rsidR="003848D4" w:rsidRPr="00F46C3F">
        <w:t xml:space="preserve">. Between 2010 and 2019, people of color, especially Black and American Indian/Alaskan Native </w:t>
      </w:r>
      <w:r w:rsidR="003848D4">
        <w:t>individuals</w:t>
      </w:r>
      <w:r w:rsidR="003848D4" w:rsidRPr="00F46C3F">
        <w:t xml:space="preserve">, had danger indices that were 79% </w:t>
      </w:r>
      <w:r w:rsidR="003848D4" w:rsidRPr="00240D3C">
        <w:t>and 67% higher than those corresponding to white</w:t>
      </w:r>
      <w:r w:rsidR="003848D4" w:rsidRPr="006C3943">
        <w:t>, non-Hispanic individuals.</w:t>
      </w:r>
      <w:r w:rsidR="003848D4" w:rsidRPr="00A57B2A">
        <w:t xml:space="preserve"> </w:t>
      </w:r>
      <w:r w:rsidR="007A2D0F">
        <w:t>Further,</w:t>
      </w:r>
      <w:r w:rsidR="00C85136" w:rsidRPr="00756C75">
        <w:t xml:space="preserve"> according to </w:t>
      </w:r>
      <w:proofErr w:type="spellStart"/>
      <w:r w:rsidR="00C85136" w:rsidRPr="00966F5E">
        <w:t>Glassbrenner</w:t>
      </w:r>
      <w:proofErr w:type="spellEnd"/>
      <w:r w:rsidR="00C85136" w:rsidRPr="00966F5E">
        <w:t xml:space="preserve"> et al.</w:t>
      </w:r>
      <w:r w:rsidR="00C85136" w:rsidRPr="00240D3C">
        <w:t xml:space="preserve"> (2022), Black pedestrian fatality rates per Black individual relative to white pedestrian fatality rates</w:t>
      </w:r>
      <w:r w:rsidR="00C85136">
        <w:t xml:space="preserve"> per white individual </w:t>
      </w:r>
      <w:r w:rsidR="00B402E4">
        <w:t xml:space="preserve">in the U.S. </w:t>
      </w:r>
      <w:r w:rsidR="00C85136">
        <w:t xml:space="preserve">increased from 1.81 to 2.00 between 2014 and 2018. That is, Black pedestrians were 81% more likely to be involved in fatal crashes compared to white </w:t>
      </w:r>
      <w:r w:rsidR="00B402E4">
        <w:t>pedestrians</w:t>
      </w:r>
      <w:r w:rsidR="00C85136">
        <w:t xml:space="preserve"> in 2014, and this disparity increased even more to 100% in 2018. </w:t>
      </w:r>
      <w:r w:rsidR="00C85136" w:rsidRPr="00F46C3F">
        <w:t>Th</w:t>
      </w:r>
      <w:r w:rsidR="00C85136">
        <w:t>ese findings</w:t>
      </w:r>
      <w:r w:rsidR="00C85136" w:rsidRPr="00F46C3F">
        <w:t xml:space="preserve"> ha</w:t>
      </w:r>
      <w:r w:rsidR="00C85136">
        <w:t>ve</w:t>
      </w:r>
      <w:r w:rsidR="00C85136" w:rsidRPr="00F46C3F">
        <w:t xml:space="preserve"> </w:t>
      </w:r>
      <w:r w:rsidR="00C85136">
        <w:t xml:space="preserve">motivated </w:t>
      </w:r>
      <w:r w:rsidR="00C85136" w:rsidRPr="00F46C3F">
        <w:t>the revival of the “Walking While Black” expression</w:t>
      </w:r>
      <w:r w:rsidR="00C85136">
        <w:t>,</w:t>
      </w:r>
      <w:r w:rsidR="00C85136" w:rsidRPr="00F46C3F">
        <w:t xml:space="preserve"> which reflects how Black </w:t>
      </w:r>
      <w:r w:rsidR="00C85136" w:rsidRPr="00BF0844">
        <w:rPr>
          <w:color w:val="000000" w:themeColor="text1"/>
        </w:rPr>
        <w:t xml:space="preserve">pedestrians, as well as other minorities, are disproportionately affected by pedestrian injuries and deaths </w:t>
      </w:r>
      <w:r w:rsidR="00C85136" w:rsidRPr="00BF0844">
        <w:rPr>
          <w:color w:val="000000" w:themeColor="text1"/>
        </w:rPr>
        <w:fldChar w:fldCharType="begin" w:fldLock="1"/>
      </w:r>
      <w:r w:rsidR="00C85136">
        <w:rPr>
          <w:color w:val="000000" w:themeColor="text1"/>
        </w:rPr>
        <w:instrText xml:space="preserve"> ADDIN ZOTERO_ITEM CSL_CITATION {"citationID":"OhKHMhf9","properties":{"formattedCitation":"(Bullard, 2003; Lee et al., 2019)","plainCitation":"(Bullard, 2003; Lee et al., 2019)","dontUpdate":true,"noteIndex":0},"citationItems":[{"id":"wB6ig8YL/vbqFElLk","uris":["http://www.mendeley.com/documents/?uuid=4c01bf12-c542-4a8e-ac2b-dbe47b36cc55"],"itemData":{"author":[{"dropping-particle":"","family":"Bullard","given":"Robert D","non-dropping-particle":"","parse-names":false,"suffix":""}],"container-title":"Fordham Urb. LJ","id":"ITEM-1","issued":{"date-parts":[["2003"]]},"page":"1183","publisher":"HeinOnline","title":"Addressing urban transportation equity in the United States","type":"article-journal","volume":"31"}},{"id":"wB6ig8YL/RqrhIDHJ","uris":["http://www.mendeley.com/documents/?uuid=a952a09d-4404-4290-ab9c-180835957a99"],"itemData":{"DOI":"10.1177/0361198119837962","ISSN":"0361-1981","abstract":"Multiple approaches have been proposed to take traffic safety into consideration in long-term transportation plans, referred to as transportation safety planning. Some early studies used trip generation data as the explanatory variables for their macro-level crash safety performance functions, or crash prediction models. However, no study to date has attempted to integrate walking exposure and pedestrian safety at the modeling stage. Thus, a novel methodological framework for integrating the analyses of walking exposure and pedestrian crashes is proposed toward better transportation safety planning for pedestrians. In comparison with walking trips and walking miles, walking hours was identified as the best walking exposure variable by a preliminary analysis. Thus, an integrated modeling structure with walking hours as its exposure variable was developed. The modeling results indicate that climate conditions, population, and car usage patterns affect walking hours, and predicted walking hours, climate conditions, percentage of mid-elderly (64?75?years), proportions of minority race/ethnicity, and percent of tertiary industry occupations have significant effects on pedestrian fatalities. In addition, the integrated modeling framework was compared with non-integrated ones, and the results indicate that the integrated framework outperforms its counterparts in relation to deviance information criterion. The proposed approach and the findings from this study are expected to provide useful insights not only to researchers but also to policy makers and practitioners in the fields of transportation planning and traffic safety.","author":[{"dropping-particle":"","family":"Lee","given":"Jaeyoung","non-dropping-particle":"","parse-names":false,"suffix":""},{"dropping-particle":"","family":"Abdel-Aty","given":"Mohamed","non-dropping-particle":"","parse-names":false,"suffix":""},{"dropping-particle":"","family":"Huang","given":"Helai","non-dropping-particle":"","parse-names":false,"suffix":""},{"dropping-particle":"","family":"Cai","given":"Qing","non-dropping-particle":"","parse-names":false,"suffix":""}],"container-title":"Transportation Research Record","id":"ITEM-2","issue":"4","issued":{"date-parts":[["2019","3","25"]]},"note":"doi: 10.1177/0361198119837962","page":"898-906","publisher":"SAGE Publications Inc","title":"Transportation Safety Planning Approach for Pedestrians: An Integrated Framework of Modeling Walking Duration and Pedestrian Fatalities","type":"article-journal","volume":"2673"}}],"schema":"https://github.com/citation-style-language/schema/raw/master/csl-citation.json"} </w:instrText>
      </w:r>
      <w:r w:rsidR="00C85136" w:rsidRPr="00BF0844">
        <w:rPr>
          <w:color w:val="000000" w:themeColor="text1"/>
        </w:rPr>
        <w:fldChar w:fldCharType="separate"/>
      </w:r>
      <w:r w:rsidR="00C85136" w:rsidRPr="00BF0844">
        <w:rPr>
          <w:color w:val="000000" w:themeColor="text1"/>
        </w:rPr>
        <w:t>(Bullard, 2003</w:t>
      </w:r>
      <w:r w:rsidR="00C85136">
        <w:rPr>
          <w:color w:val="000000" w:themeColor="text1"/>
        </w:rPr>
        <w:t>;</w:t>
      </w:r>
      <w:r w:rsidR="00C85136" w:rsidRPr="00BF0844">
        <w:rPr>
          <w:color w:val="000000" w:themeColor="text1"/>
        </w:rPr>
        <w:t xml:space="preserve"> Lee et al., 2019)</w:t>
      </w:r>
      <w:r w:rsidR="00C85136" w:rsidRPr="00BF0844">
        <w:rPr>
          <w:color w:val="000000" w:themeColor="text1"/>
        </w:rPr>
        <w:fldChar w:fldCharType="end"/>
      </w:r>
      <w:r w:rsidR="00C85136" w:rsidRPr="00BF0844">
        <w:rPr>
          <w:color w:val="000000" w:themeColor="text1"/>
        </w:rPr>
        <w:t>.</w:t>
      </w:r>
    </w:p>
    <w:p w14:paraId="44B67460" w14:textId="40B67A28" w:rsidR="00B402E4" w:rsidRDefault="00AC06E5" w:rsidP="00966F5E">
      <w:pPr>
        <w:autoSpaceDE w:val="0"/>
        <w:autoSpaceDN w:val="0"/>
        <w:adjustRightInd w:val="0"/>
        <w:spacing w:before="0" w:after="0" w:line="360" w:lineRule="auto"/>
        <w:ind w:firstLine="720"/>
      </w:pPr>
      <w:r>
        <w:t xml:space="preserve">The </w:t>
      </w:r>
      <w:r w:rsidR="003702B0">
        <w:t xml:space="preserve">racial </w:t>
      </w:r>
      <w:r w:rsidR="00AE3E90">
        <w:t xml:space="preserve">disparity </w:t>
      </w:r>
      <w:r w:rsidR="003702B0">
        <w:t xml:space="preserve">in </w:t>
      </w:r>
      <w:r w:rsidR="00C30D6A">
        <w:t xml:space="preserve">pedestrian </w:t>
      </w:r>
      <w:r w:rsidR="003702B0">
        <w:t xml:space="preserve">safety may be tied, at least in part, to the broader </w:t>
      </w:r>
      <w:r w:rsidR="00C30D6A">
        <w:t xml:space="preserve">systemic </w:t>
      </w:r>
      <w:r w:rsidR="008D6D6A">
        <w:t xml:space="preserve">discrimination </w:t>
      </w:r>
      <w:r w:rsidR="00C30D6A">
        <w:t xml:space="preserve">experienced by </w:t>
      </w:r>
      <w:r w:rsidR="00EB1977">
        <w:t xml:space="preserve">racial minorities across the smorgasbord of societal domains. From a </w:t>
      </w:r>
      <w:r w:rsidR="003702B0">
        <w:t>historic</w:t>
      </w:r>
      <w:r w:rsidR="00C23485">
        <w:t xml:space="preserve"> </w:t>
      </w:r>
      <w:r w:rsidR="00EB1977">
        <w:t xml:space="preserve">perspective, the </w:t>
      </w:r>
      <w:r w:rsidR="003702B0">
        <w:t xml:space="preserve">tension </w:t>
      </w:r>
      <w:r w:rsidR="002B1F22" w:rsidRPr="00F46C3F">
        <w:t xml:space="preserve">between mobility </w:t>
      </w:r>
      <w:r w:rsidR="005C1CD3">
        <w:t xml:space="preserve">justice </w:t>
      </w:r>
      <w:r w:rsidR="002B1F22" w:rsidRPr="00F46C3F">
        <w:t>and racial justice</w:t>
      </w:r>
      <w:r w:rsidR="00EB1977">
        <w:t xml:space="preserve"> </w:t>
      </w:r>
      <w:r w:rsidR="002B1F22" w:rsidRPr="00F46C3F">
        <w:t>start</w:t>
      </w:r>
      <w:r w:rsidR="00EB1977">
        <w:t>ed</w:t>
      </w:r>
      <w:r w:rsidR="002B1F22" w:rsidRPr="00F46C3F">
        <w:t xml:space="preserve"> </w:t>
      </w:r>
      <w:r w:rsidR="002B1F22">
        <w:t>from</w:t>
      </w:r>
      <w:r w:rsidR="002B1F22" w:rsidRPr="00F46C3F">
        <w:t xml:space="preserve"> the segregation of races on intercity trains</w:t>
      </w:r>
      <w:r w:rsidR="00C30D6A">
        <w:t>, a</w:t>
      </w:r>
      <w:r w:rsidR="000A5E5D">
        <w:t>s well as</w:t>
      </w:r>
      <w:r w:rsidR="00C30D6A">
        <w:t xml:space="preserve"> the disproportionate displacement of </w:t>
      </w:r>
      <w:r w:rsidR="00C30D6A" w:rsidRPr="00F46C3F">
        <w:t xml:space="preserve">low-income </w:t>
      </w:r>
      <w:r w:rsidR="00C30D6A" w:rsidRPr="00F46C3F">
        <w:lastRenderedPageBreak/>
        <w:t>and non-</w:t>
      </w:r>
      <w:r w:rsidR="002B4BA6">
        <w:t>white</w:t>
      </w:r>
      <w:r w:rsidR="00C30D6A" w:rsidRPr="00F46C3F">
        <w:t xml:space="preserve"> communities</w:t>
      </w:r>
      <w:r w:rsidR="00C30D6A">
        <w:t xml:space="preserve"> during the design/construction of </w:t>
      </w:r>
      <w:r w:rsidR="002B1F22" w:rsidRPr="00F46C3F">
        <w:t>the freeway and rail transit infrastructure network</w:t>
      </w:r>
      <w:r w:rsidR="008D6D6A">
        <w:rPr>
          <w:color w:val="auto"/>
        </w:rPr>
        <w:t>.</w:t>
      </w:r>
      <w:r w:rsidR="00C30D6A">
        <w:rPr>
          <w:color w:val="auto"/>
        </w:rPr>
        <w:t xml:space="preserve"> </w:t>
      </w:r>
      <w:r w:rsidR="002B1F22" w:rsidRPr="00F46C3F">
        <w:t xml:space="preserve">Today, the underdevelopment of transportation infrastructure in Black communities stands as a </w:t>
      </w:r>
      <w:r w:rsidR="00C30D6A">
        <w:t xml:space="preserve">continuing </w:t>
      </w:r>
      <w:r w:rsidR="005C1CD3">
        <w:t xml:space="preserve">stark </w:t>
      </w:r>
      <w:r w:rsidR="002B1F22" w:rsidRPr="00F46C3F">
        <w:t xml:space="preserve">reminder of systemic racism and </w:t>
      </w:r>
      <w:r w:rsidR="00A00A7A">
        <w:t>inequitable</w:t>
      </w:r>
      <w:r w:rsidR="002B1F22" w:rsidRPr="00F46C3F">
        <w:t xml:space="preserve"> </w:t>
      </w:r>
      <w:r w:rsidR="002B1F22" w:rsidRPr="00F46C3F">
        <w:rPr>
          <w:color w:val="000000" w:themeColor="text1"/>
        </w:rPr>
        <w:t>transportation funding and policies.</w:t>
      </w:r>
      <w:r w:rsidR="002B1F22">
        <w:rPr>
          <w:color w:val="000000" w:themeColor="text1"/>
        </w:rPr>
        <w:t xml:space="preserve"> C</w:t>
      </w:r>
      <w:r w:rsidR="002B1F22" w:rsidRPr="00F46C3F">
        <w:rPr>
          <w:color w:val="000000" w:themeColor="text1"/>
        </w:rPr>
        <w:t>ommunities of color are exposed to a large density of highways and high</w:t>
      </w:r>
      <w:r w:rsidR="002B1F22">
        <w:rPr>
          <w:color w:val="000000" w:themeColor="text1"/>
        </w:rPr>
        <w:t>-</w:t>
      </w:r>
      <w:r w:rsidR="002B1F22" w:rsidRPr="00F46C3F">
        <w:rPr>
          <w:color w:val="000000" w:themeColor="text1"/>
        </w:rPr>
        <w:t xml:space="preserve">speed arterials </w:t>
      </w:r>
      <w:bookmarkStart w:id="3" w:name="_Hlk110157718"/>
      <w:bookmarkStart w:id="4" w:name="_Hlk109502880"/>
      <w:r w:rsidR="002B1F22" w:rsidRPr="00F46C3F">
        <w:rPr>
          <w:color w:val="000000" w:themeColor="text1"/>
        </w:rPr>
        <w:fldChar w:fldCharType="begin"/>
      </w:r>
      <w:r w:rsidR="002B1F22">
        <w:rPr>
          <w:color w:val="000000" w:themeColor="text1"/>
        </w:rPr>
        <w:instrText xml:space="preserve"> ADDIN ZOTERO_ITEM CSL_CITATION {"citationID":"f6bSENIT","properties":{"formattedCitation":"(The Governors Highway Safety Association, 2021)","plainCitation":"(The Governors Highway Safety Association, 2021)","noteIndex":0},"citationItems":[{"id":336,"uris":["http://zotero.org/users/9292995/items/7UA62J4K"],"itemData":{"id":336,"type":"report","event-place":"Washington, D.C.","publisher-place":"Washington, D.C.","title":"An Analysis of Traffic Fatalities by Race and Ethnicity","URL":"https://www.ghsa.org/sites/default/files/2021-06/An%20Analysis%20of%20Traffic%20Fatalities%20by%20Race%20and%20Ethnicity.pdf","author":[{"literal":"The Governors Highway Safety Association"}],"issued":{"date-parts":[["2021"]]}}}],"schema":"https://github.com/citation-style-language/schema/raw/master/csl-citation.json"} </w:instrText>
      </w:r>
      <w:r w:rsidR="002B1F22" w:rsidRPr="00F46C3F">
        <w:rPr>
          <w:color w:val="000000" w:themeColor="text1"/>
        </w:rPr>
        <w:fldChar w:fldCharType="separate"/>
      </w:r>
      <w:r w:rsidR="002B1F22" w:rsidRPr="00F52382">
        <w:t>(The Governors Highway Safety Association, 2021)</w:t>
      </w:r>
      <w:r w:rsidR="002B1F22" w:rsidRPr="00F46C3F">
        <w:rPr>
          <w:color w:val="000000" w:themeColor="text1"/>
        </w:rPr>
        <w:fldChar w:fldCharType="end"/>
      </w:r>
      <w:bookmarkEnd w:id="3"/>
      <w:r w:rsidR="002B1F22" w:rsidRPr="00F46C3F">
        <w:rPr>
          <w:color w:val="000000" w:themeColor="text1"/>
        </w:rPr>
        <w:t xml:space="preserve">, </w:t>
      </w:r>
      <w:bookmarkEnd w:id="4"/>
      <w:r w:rsidR="002B1F22" w:rsidRPr="00F46C3F">
        <w:rPr>
          <w:color w:val="000000" w:themeColor="text1"/>
        </w:rPr>
        <w:t xml:space="preserve">discriminatory land-use practices, and insufficient walking and rolling infrastructure </w:t>
      </w:r>
      <w:bookmarkStart w:id="5" w:name="_Hlk109502886"/>
      <w:bookmarkStart w:id="6" w:name="_Hlk110157726"/>
      <w:r w:rsidR="002B1F22" w:rsidRPr="00F46C3F">
        <w:rPr>
          <w:color w:val="000000" w:themeColor="text1"/>
        </w:rPr>
        <w:fldChar w:fldCharType="begin"/>
      </w:r>
      <w:r w:rsidR="008A16C1">
        <w:rPr>
          <w:color w:val="000000" w:themeColor="text1"/>
        </w:rPr>
        <w:instrText xml:space="preserve"> ADDIN ZOTERO_ITEM CSL_CITATION {"citationID":"6XdIqCbr","properties":{"formattedCitation":"(Bridging the Gap, 2012; Choices, 2020)","plainCitation":"(Bridging the Gap, 2012; Choices, 2020)","dontUpdate":true,"noteIndex":0},"citationItems":[{"id":337,"uris":["http://zotero.org/users/9292995/items/BA8IS2JY"],"itemData":{"id":337,"type":"report","title":"Income Disparities in Street Features that Encourage Walking","URL":"https://www.cityofeastlansing.com/DocumentCenter/View/1583/Income-Disparities-in-Street-Features-That-Encourage-Walking-PDF#:~:text=Key%20Findings,%2Dincome%20communities%20(51%25).","author":[{"literal":"Bridging the Gap"}],"issued":{"date-parts":[["2012"]]}}},{"id":327,"uris":["http://zotero.org/users/9292995/items/9F9MV4B2"],"itemData":{"id":327,"type":"webpage","abstract":"The long history of racism and systemic violence against Black people in America is shameful, and so many of us are outraged at the senseless deaths of George Floyd, Breonna Taylor, Ahmaud Arbery, Tony McDade - yet more lives lost in this unbroken chain of over 400 years of injustice.","container-title":"Transportation Choices Coalition","language":"en-US","title":"There Is No Mobility Justice Without Racial Justice","URL":"https://transportationchoices.org/there-is-no-mobility-justice-without-racial-justice/","author":[{"literal":"Transportation Choices"}],"accessed":{"date-parts":[["2022",1,27]]},"issued":{"date-parts":[["2020",6,5]]}}}],"schema":"https://github.com/citation-style-language/schema/raw/master/csl-citation.json"} </w:instrText>
      </w:r>
      <w:r w:rsidR="002B1F22" w:rsidRPr="00F46C3F">
        <w:rPr>
          <w:color w:val="000000" w:themeColor="text1"/>
        </w:rPr>
        <w:fldChar w:fldCharType="separate"/>
      </w:r>
      <w:r w:rsidR="002B1F22" w:rsidRPr="00F52382">
        <w:t>(</w:t>
      </w:r>
      <w:r w:rsidR="00BB7819" w:rsidRPr="00D34B3C">
        <w:t>Gibbs et al., 2012</w:t>
      </w:r>
      <w:r w:rsidR="0082167E">
        <w:t>;</w:t>
      </w:r>
      <w:r w:rsidR="002B1F22" w:rsidRPr="00F52382">
        <w:t xml:space="preserve"> </w:t>
      </w:r>
      <w:r w:rsidR="008A16C1">
        <w:t xml:space="preserve">Transportation </w:t>
      </w:r>
      <w:r w:rsidR="002B1F22" w:rsidRPr="00F52382">
        <w:t>Choices, 2020)</w:t>
      </w:r>
      <w:r w:rsidR="002B1F22" w:rsidRPr="00F46C3F">
        <w:rPr>
          <w:color w:val="000000" w:themeColor="text1"/>
        </w:rPr>
        <w:fldChar w:fldCharType="end"/>
      </w:r>
      <w:bookmarkEnd w:id="5"/>
      <w:r w:rsidR="002B1F22" w:rsidRPr="00F46C3F">
        <w:rPr>
          <w:color w:val="000000" w:themeColor="text1"/>
        </w:rPr>
        <w:t xml:space="preserve">. </w:t>
      </w:r>
      <w:bookmarkEnd w:id="6"/>
      <w:r w:rsidR="00B402E4">
        <w:t xml:space="preserve">In this context, </w:t>
      </w:r>
      <w:r w:rsidR="005C1CD3">
        <w:t xml:space="preserve">despite the </w:t>
      </w:r>
      <w:r w:rsidR="002B1F22" w:rsidRPr="00F46C3F">
        <w:t xml:space="preserve">considerable research efforts </w:t>
      </w:r>
      <w:r w:rsidR="005C1CD3">
        <w:t xml:space="preserve">to analyze </w:t>
      </w:r>
      <w:r w:rsidR="002B1F22" w:rsidRPr="00F46C3F">
        <w:t>pedestrian safet</w:t>
      </w:r>
      <w:r w:rsidR="005C1CD3">
        <w:t>y</w:t>
      </w:r>
      <w:r w:rsidR="00353C49">
        <w:t xml:space="preserve"> as a function of demographic and built environment characteristics</w:t>
      </w:r>
      <w:r w:rsidR="005C1CD3">
        <w:t>,</w:t>
      </w:r>
      <w:r w:rsidR="002B1F22" w:rsidRPr="00F46C3F">
        <w:t xml:space="preserve"> </w:t>
      </w:r>
      <w:r w:rsidR="005C7B3F">
        <w:t xml:space="preserve">not many </w:t>
      </w:r>
      <w:r w:rsidR="00EB45A5">
        <w:t xml:space="preserve">pedestrian safety </w:t>
      </w:r>
      <w:r w:rsidR="00C30D6A">
        <w:t xml:space="preserve">studies </w:t>
      </w:r>
      <w:r w:rsidR="00EB45A5">
        <w:t xml:space="preserve">have considered </w:t>
      </w:r>
      <w:r w:rsidR="002B1F22" w:rsidRPr="00F46C3F">
        <w:t>rac</w:t>
      </w:r>
      <w:r w:rsidR="00B402E4">
        <w:t xml:space="preserve">ial disparities </w:t>
      </w:r>
      <w:r w:rsidR="008B2EA3">
        <w:t>along</w:t>
      </w:r>
      <w:r w:rsidR="001E4515">
        <w:t>side other crash-related determinants</w:t>
      </w:r>
      <w:r w:rsidR="008B2EA3">
        <w:t xml:space="preserve">. </w:t>
      </w:r>
      <w:bookmarkStart w:id="7" w:name="_Hlk116885477"/>
      <w:r w:rsidR="00926194">
        <w:t>In particular</w:t>
      </w:r>
      <w:r w:rsidR="0036725F">
        <w:t xml:space="preserve">, there is </w:t>
      </w:r>
      <w:r w:rsidR="00C30D6A">
        <w:t xml:space="preserve">a need for more research to </w:t>
      </w:r>
      <w:r w:rsidR="0036725F">
        <w:t>investigat</w:t>
      </w:r>
      <w:r w:rsidR="00C30D6A">
        <w:t>e</w:t>
      </w:r>
      <w:r w:rsidR="0036725F">
        <w:t xml:space="preserve"> the underlying </w:t>
      </w:r>
      <w:r w:rsidR="002B1F22">
        <w:t>factors causing</w:t>
      </w:r>
      <w:r w:rsidR="002B1F22" w:rsidRPr="00F46C3F">
        <w:t xml:space="preserve"> </w:t>
      </w:r>
      <w:r w:rsidR="00974A3F">
        <w:t xml:space="preserve">pedestrian crashes in general, but also why </w:t>
      </w:r>
      <w:r w:rsidR="004D0B0F">
        <w:t>racial</w:t>
      </w:r>
      <w:r w:rsidR="0036725F">
        <w:t xml:space="preserve"> </w:t>
      </w:r>
      <w:r w:rsidR="002B1F22" w:rsidRPr="00F46C3F">
        <w:t>disparities</w:t>
      </w:r>
      <w:r w:rsidR="00974A3F">
        <w:t xml:space="preserve"> </w:t>
      </w:r>
      <w:r w:rsidR="00C107D1">
        <w:t xml:space="preserve">exist </w:t>
      </w:r>
      <w:r w:rsidR="00974A3F">
        <w:t>in the pool of such crashes</w:t>
      </w:r>
      <w:r w:rsidR="0036725F">
        <w:t xml:space="preserve">, as also </w:t>
      </w:r>
      <w:r w:rsidR="00C107D1">
        <w:t xml:space="preserve">recently </w:t>
      </w:r>
      <w:r w:rsidR="0036725F">
        <w:t>pointed out by</w:t>
      </w:r>
      <w:r w:rsidR="002B1F22">
        <w:t xml:space="preserve"> </w:t>
      </w:r>
      <w:r w:rsidR="002D746F">
        <w:t>Merlin et al. (2020)</w:t>
      </w:r>
      <w:r w:rsidR="002B1F22" w:rsidRPr="00F46C3F">
        <w:t xml:space="preserve">. </w:t>
      </w:r>
      <w:r w:rsidR="002B1F22">
        <w:t>I</w:t>
      </w:r>
      <w:bookmarkEnd w:id="7"/>
      <w:r w:rsidR="002B1F22">
        <w:t>s it the</w:t>
      </w:r>
      <w:r w:rsidR="002B1F22" w:rsidRPr="00F46C3F">
        <w:t xml:space="preserve"> increased use of transit</w:t>
      </w:r>
      <w:r w:rsidR="002B1F22">
        <w:t xml:space="preserve"> by minorities? Do minorities exhibit </w:t>
      </w:r>
      <w:r w:rsidR="002B1F22" w:rsidRPr="00F46C3F">
        <w:t xml:space="preserve">riskier </w:t>
      </w:r>
      <w:r w:rsidR="002B1F22">
        <w:t xml:space="preserve">pedestrian </w:t>
      </w:r>
      <w:r w:rsidR="002B1F22" w:rsidRPr="00F46C3F">
        <w:t>behavior</w:t>
      </w:r>
      <w:r w:rsidR="002B1F22">
        <w:t xml:space="preserve">? Is the transportation infrastructure in minority neighborhoods </w:t>
      </w:r>
      <w:r w:rsidR="002B1F22" w:rsidRPr="00F46C3F">
        <w:t>deficient</w:t>
      </w:r>
      <w:r w:rsidR="002B1F22">
        <w:t>? Or are there other forms of</w:t>
      </w:r>
      <w:r w:rsidR="002B1F22" w:rsidRPr="00F46C3F">
        <w:t xml:space="preserve"> racial and socioeconomic bias</w:t>
      </w:r>
      <w:r w:rsidR="002B1F22">
        <w:t xml:space="preserve"> at play?</w:t>
      </w:r>
      <w:r w:rsidR="002B1F22" w:rsidRPr="00F46C3F">
        <w:t xml:space="preserve"> </w:t>
      </w:r>
      <w:r w:rsidR="00B402E4">
        <w:rPr>
          <w:color w:val="000000" w:themeColor="text1"/>
        </w:rPr>
        <w:t>A</w:t>
      </w:r>
      <w:r w:rsidR="00B402E4" w:rsidRPr="00BF0844">
        <w:rPr>
          <w:color w:val="000000" w:themeColor="text1"/>
        </w:rPr>
        <w:t xml:space="preserve">nd what configurations </w:t>
      </w:r>
      <w:r w:rsidR="00B402E4">
        <w:rPr>
          <w:color w:val="000000" w:themeColor="text1"/>
        </w:rPr>
        <w:t xml:space="preserve">of </w:t>
      </w:r>
      <w:r w:rsidR="00B402E4" w:rsidRPr="00BF0844">
        <w:rPr>
          <w:color w:val="000000" w:themeColor="text1"/>
        </w:rPr>
        <w:t xml:space="preserve">factors cause these disparities? </w:t>
      </w:r>
    </w:p>
    <w:p w14:paraId="3F15A9D5" w14:textId="4125A579" w:rsidR="00F648B3" w:rsidRDefault="002B1F22" w:rsidP="00966F5E">
      <w:pPr>
        <w:spacing w:before="0" w:after="0" w:line="360" w:lineRule="auto"/>
        <w:ind w:firstLine="720"/>
        <w:rPr>
          <w:b/>
        </w:rPr>
      </w:pPr>
      <w:r w:rsidRPr="00F46C3F">
        <w:t xml:space="preserve">In this paper, we </w:t>
      </w:r>
      <w:r w:rsidR="002840DF">
        <w:t xml:space="preserve">contribute toward addressing the </w:t>
      </w:r>
      <w:r w:rsidR="00C107D1">
        <w:t xml:space="preserve">above </w:t>
      </w:r>
      <w:r w:rsidR="002840DF">
        <w:t xml:space="preserve">questions by </w:t>
      </w:r>
      <w:bookmarkStart w:id="8" w:name="_Hlk110010619"/>
      <w:r w:rsidR="002840DF">
        <w:t>considering four sets of exogenous factors that</w:t>
      </w:r>
      <w:r w:rsidR="00A503F8">
        <w:t xml:space="preserve"> </w:t>
      </w:r>
      <w:r w:rsidR="002840DF">
        <w:t xml:space="preserve">characterize </w:t>
      </w:r>
      <w:r w:rsidR="00A503F8">
        <w:t xml:space="preserve">residential neighborhoods as well as potentially affect </w:t>
      </w:r>
      <w:r w:rsidR="002840DF">
        <w:t xml:space="preserve">pedestrian </w:t>
      </w:r>
      <w:r w:rsidR="00A503F8">
        <w:t>crashes and the racial composition of such crashes</w:t>
      </w:r>
      <w:bookmarkStart w:id="9" w:name="_Hlk106188914"/>
      <w:r w:rsidR="00C30D6A">
        <w:t>:</w:t>
      </w:r>
      <w:r w:rsidR="004D0B0F">
        <w:t xml:space="preserve"> </w:t>
      </w:r>
      <w:r w:rsidR="0036725F">
        <w:t xml:space="preserve">(1) </w:t>
      </w:r>
      <w:r w:rsidR="00BC05A9">
        <w:t xml:space="preserve">crash </w:t>
      </w:r>
      <w:r w:rsidR="00A503F8">
        <w:t xml:space="preserve">risk </w:t>
      </w:r>
      <w:r w:rsidR="004D0B0F">
        <w:t>exposure</w:t>
      </w:r>
      <w:r w:rsidR="007B5D41">
        <w:t xml:space="preserve"> </w:t>
      </w:r>
      <w:r w:rsidR="00BC05A9">
        <w:t xml:space="preserve">(CE) </w:t>
      </w:r>
      <w:r w:rsidR="007B5D41">
        <w:t>attributes</w:t>
      </w:r>
      <w:r w:rsidR="004D0B0F">
        <w:t>, (</w:t>
      </w:r>
      <w:r w:rsidR="007B5D41">
        <w:t>2</w:t>
      </w:r>
      <w:r w:rsidR="004D0B0F">
        <w:t xml:space="preserve">) cultural </w:t>
      </w:r>
      <w:r w:rsidR="007B5D41">
        <w:t>variables</w:t>
      </w:r>
      <w:r w:rsidR="004D0B0F">
        <w:t xml:space="preserve">, </w:t>
      </w:r>
      <w:r w:rsidR="007B5D41">
        <w:t xml:space="preserve">(3) </w:t>
      </w:r>
      <w:r w:rsidR="00BC05A9">
        <w:t>built environment (</w:t>
      </w:r>
      <w:r w:rsidR="004D0B0F">
        <w:t>BE</w:t>
      </w:r>
      <w:r w:rsidR="00BC05A9">
        <w:t>)</w:t>
      </w:r>
      <w:r w:rsidR="004D0B0F">
        <w:t xml:space="preserve"> </w:t>
      </w:r>
      <w:r w:rsidR="007B5D41">
        <w:t xml:space="preserve">features, and (4) sociodemographic </w:t>
      </w:r>
      <w:r w:rsidR="00BC05A9">
        <w:t xml:space="preserve">(SD) </w:t>
      </w:r>
      <w:r w:rsidR="007B5D41">
        <w:t>factors</w:t>
      </w:r>
      <w:r w:rsidR="004D0B0F">
        <w:t xml:space="preserve">. </w:t>
      </w:r>
      <w:r w:rsidR="003D2EB8">
        <w:t xml:space="preserve">Our investigation </w:t>
      </w:r>
      <w:r w:rsidR="00880E0C">
        <w:t>use</w:t>
      </w:r>
      <w:r w:rsidR="00F975E8">
        <w:t>s</w:t>
      </w:r>
      <w:r w:rsidR="00880E0C">
        <w:t xml:space="preserve"> </w:t>
      </w:r>
      <w:r w:rsidR="003D2EB8">
        <w:t xml:space="preserve">pedestrian crash and related data from the City </w:t>
      </w:r>
      <w:r w:rsidR="005810B3">
        <w:t>of Houston</w:t>
      </w:r>
      <w:r w:rsidR="003D2EB8">
        <w:t>, Texas</w:t>
      </w:r>
      <w:r w:rsidR="000A03B6">
        <w:t xml:space="preserve">, which we analyze at the </w:t>
      </w:r>
      <w:r w:rsidR="000A03B6" w:rsidRPr="00B141A3">
        <w:t xml:space="preserve">Census </w:t>
      </w:r>
      <w:r w:rsidR="000A03B6">
        <w:t>Block Group (CBG) level</w:t>
      </w:r>
      <w:r w:rsidR="000A03B6" w:rsidRPr="00B141A3">
        <w:t xml:space="preserve">. </w:t>
      </w:r>
      <w:bookmarkEnd w:id="8"/>
      <w:r w:rsidR="00F94BB1">
        <w:t>Then, u</w:t>
      </w:r>
      <w:r w:rsidR="000A03B6">
        <w:t>sing the</w:t>
      </w:r>
      <w:r w:rsidR="00F94BB1">
        <w:t xml:space="preserve"> </w:t>
      </w:r>
      <w:r w:rsidR="000A03B6">
        <w:t>CBG spatia</w:t>
      </w:r>
      <w:r w:rsidR="0031234D">
        <w:t>l</w:t>
      </w:r>
      <w:r w:rsidR="000A03B6">
        <w:t xml:space="preserve"> unit of analysis, </w:t>
      </w:r>
      <w:r w:rsidR="003D2EB8">
        <w:t xml:space="preserve">we </w:t>
      </w:r>
      <w:r w:rsidR="000E006D">
        <w:t xml:space="preserve">examine (a) </w:t>
      </w:r>
      <w:r w:rsidR="003D2EB8">
        <w:t xml:space="preserve">whether or not </w:t>
      </w:r>
      <w:r w:rsidR="00945946">
        <w:t xml:space="preserve">there exist differences in the four exogenous factors identified </w:t>
      </w:r>
      <w:r w:rsidR="007A2D0F">
        <w:t>above</w:t>
      </w:r>
      <w:r w:rsidR="00945946">
        <w:t xml:space="preserve"> between </w:t>
      </w:r>
      <w:r w:rsidR="003D2EB8">
        <w:t xml:space="preserve">majority Black </w:t>
      </w:r>
      <w:r w:rsidR="00E500F0">
        <w:t>(</w:t>
      </w:r>
      <w:r w:rsidR="00E500F0" w:rsidRPr="006055F2">
        <w:rPr>
          <w:i/>
        </w:rPr>
        <w:t>MB</w:t>
      </w:r>
      <w:r w:rsidR="00E500F0">
        <w:t xml:space="preserve">) </w:t>
      </w:r>
      <w:r w:rsidR="003D2EB8">
        <w:t xml:space="preserve">Census Block Groups (or </w:t>
      </w:r>
      <w:r w:rsidR="003D2EB8" w:rsidRPr="00166A74">
        <w:rPr>
          <w:i/>
        </w:rPr>
        <w:t>MB</w:t>
      </w:r>
      <w:r w:rsidR="003D2EB8">
        <w:t xml:space="preserve"> CBGs) </w:t>
      </w:r>
      <w:r w:rsidR="00945946">
        <w:t xml:space="preserve">and </w:t>
      </w:r>
      <w:r w:rsidR="003D2EB8">
        <w:t>majority non-Black CBGs (</w:t>
      </w:r>
      <w:r w:rsidR="00C23485">
        <w:t xml:space="preserve">or </w:t>
      </w:r>
      <w:r w:rsidR="00C23485" w:rsidRPr="003976E0">
        <w:rPr>
          <w:i/>
        </w:rPr>
        <w:t>NMB</w:t>
      </w:r>
      <w:r w:rsidR="00C23485">
        <w:t xml:space="preserve"> CBGs)</w:t>
      </w:r>
      <w:r w:rsidR="000E006D">
        <w:t xml:space="preserve"> (</w:t>
      </w:r>
      <w:r w:rsidR="00742530">
        <w:t>throughout this paper, an</w:t>
      </w:r>
      <w:r w:rsidR="00656510">
        <w:t xml:space="preserve"> </w:t>
      </w:r>
      <w:r w:rsidR="00656510" w:rsidRPr="00656510">
        <w:rPr>
          <w:i/>
        </w:rPr>
        <w:t>MB</w:t>
      </w:r>
      <w:r w:rsidR="00656510">
        <w:t xml:space="preserve"> </w:t>
      </w:r>
      <w:r w:rsidR="00742530">
        <w:t>CBG is defined as one where the proportion of the Black population is the highest of all the racial groupings</w:t>
      </w:r>
      <w:r w:rsidR="000E006D">
        <w:t>),</w:t>
      </w:r>
      <w:r w:rsidR="00742530">
        <w:t xml:space="preserve"> </w:t>
      </w:r>
      <w:r w:rsidR="000E006D">
        <w:t xml:space="preserve">(b) </w:t>
      </w:r>
      <w:r w:rsidR="00233EE1">
        <w:t xml:space="preserve">the </w:t>
      </w:r>
      <w:r w:rsidR="00985106">
        <w:t xml:space="preserve">determinants of </w:t>
      </w:r>
      <w:r w:rsidR="00FB3934">
        <w:t xml:space="preserve">CBG-level </w:t>
      </w:r>
      <w:r>
        <w:t xml:space="preserve">fatal and severe pedestrian </w:t>
      </w:r>
      <w:r w:rsidR="00233EE1">
        <w:t>crashes</w:t>
      </w:r>
      <w:r w:rsidR="00FB3934">
        <w:t xml:space="preserve"> </w:t>
      </w:r>
      <w:r w:rsidR="006A653B">
        <w:t>(</w:t>
      </w:r>
      <w:r w:rsidR="00233EE1">
        <w:t xml:space="preserve">for presentation ease, </w:t>
      </w:r>
      <w:r w:rsidR="006A653B">
        <w:t xml:space="preserve">we will refer to </w:t>
      </w:r>
      <w:r w:rsidR="00233EE1">
        <w:t xml:space="preserve">the sum of fatal and severe </w:t>
      </w:r>
      <w:r w:rsidR="00E25D6B">
        <w:t xml:space="preserve">pedestrian </w:t>
      </w:r>
      <w:r w:rsidR="00233EE1">
        <w:t xml:space="preserve">crashes </w:t>
      </w:r>
      <w:r w:rsidR="00E25D6B">
        <w:t xml:space="preserve">simply </w:t>
      </w:r>
      <w:r w:rsidR="006A653B">
        <w:t xml:space="preserve">as </w:t>
      </w:r>
      <w:r w:rsidR="00E25D6B">
        <w:t>“</w:t>
      </w:r>
      <w:r w:rsidR="006A653B">
        <w:t>total crashes</w:t>
      </w:r>
      <w:r w:rsidR="00E25D6B">
        <w:t>” in the rest of this paper</w:t>
      </w:r>
      <w:r w:rsidR="006A653B">
        <w:t>)</w:t>
      </w:r>
      <w:r w:rsidR="000E006D">
        <w:t>,</w:t>
      </w:r>
      <w:r w:rsidR="00742530">
        <w:t xml:space="preserve"> </w:t>
      </w:r>
      <w:bookmarkStart w:id="10" w:name="_Hlk116972405"/>
      <w:r w:rsidR="00945946">
        <w:t xml:space="preserve">while also </w:t>
      </w:r>
      <w:r w:rsidR="00C30D6A">
        <w:t xml:space="preserve">assessing </w:t>
      </w:r>
      <w:r w:rsidR="00945946">
        <w:t xml:space="preserve">how race composition within a CBG </w:t>
      </w:r>
      <w:r w:rsidR="001130F8">
        <w:t xml:space="preserve">(specifically, </w:t>
      </w:r>
      <w:r w:rsidR="00E500F0">
        <w:t xml:space="preserve">the </w:t>
      </w:r>
      <w:r w:rsidR="00E500F0" w:rsidRPr="006055F2">
        <w:rPr>
          <w:i/>
        </w:rPr>
        <w:t>MB</w:t>
      </w:r>
      <w:r w:rsidR="00E500F0">
        <w:t xml:space="preserve"> CBG dummy variable representation of </w:t>
      </w:r>
      <w:r w:rsidR="001130F8">
        <w:t xml:space="preserve">whether </w:t>
      </w:r>
      <w:r w:rsidR="00E500F0">
        <w:t xml:space="preserve">or not </w:t>
      </w:r>
      <w:r w:rsidR="001130F8">
        <w:t xml:space="preserve">a CBG is </w:t>
      </w:r>
      <w:r w:rsidR="001130F8" w:rsidRPr="006055F2">
        <w:rPr>
          <w:i/>
        </w:rPr>
        <w:t>MB</w:t>
      </w:r>
      <w:r w:rsidR="001130F8">
        <w:t xml:space="preserve">) </w:t>
      </w:r>
      <w:r w:rsidR="008A16C1">
        <w:t>affects the</w:t>
      </w:r>
      <w:r w:rsidR="00ED2947">
        <w:t xml:space="preserve"> total pedestrian crash count</w:t>
      </w:r>
      <w:r w:rsidR="000E006D">
        <w:t>, and (c)</w:t>
      </w:r>
      <w:r w:rsidR="00ED2947">
        <w:t xml:space="preserve"> </w:t>
      </w:r>
      <w:bookmarkEnd w:id="10"/>
      <w:r w:rsidR="00C53AF3">
        <w:t xml:space="preserve">the determinants of a Black pedestrian crash at any CBG. </w:t>
      </w:r>
    </w:p>
    <w:p w14:paraId="5E684443" w14:textId="77777777" w:rsidR="000430C9" w:rsidRDefault="000430C9" w:rsidP="00966F5E">
      <w:pPr>
        <w:pBdr>
          <w:top w:val="nil"/>
          <w:left w:val="nil"/>
          <w:bottom w:val="nil"/>
          <w:right w:val="nil"/>
          <w:between w:val="nil"/>
        </w:pBdr>
        <w:spacing w:before="0" w:after="0" w:line="360" w:lineRule="auto"/>
        <w:rPr>
          <w:b/>
        </w:rPr>
      </w:pPr>
    </w:p>
    <w:bookmarkEnd w:id="9"/>
    <w:p w14:paraId="493D5AF5" w14:textId="5218CCE1" w:rsidR="002B1F22" w:rsidRDefault="00846D33" w:rsidP="00A57B2A">
      <w:pPr>
        <w:pStyle w:val="Heading1"/>
      </w:pPr>
      <w:r>
        <w:lastRenderedPageBreak/>
        <w:t xml:space="preserve">RELEVANT </w:t>
      </w:r>
      <w:r w:rsidRPr="00A57B2A">
        <w:t>LITERATURE</w:t>
      </w:r>
    </w:p>
    <w:p w14:paraId="5CBD049B" w14:textId="74335BB8" w:rsidR="00E102E7" w:rsidRDefault="002B1F22" w:rsidP="007D5556">
      <w:pPr>
        <w:spacing w:before="0" w:line="360" w:lineRule="auto"/>
        <w:ind w:firstLine="720"/>
      </w:pPr>
      <w:r>
        <w:t>While the existing body of literature that investigates p</w:t>
      </w:r>
      <w:r w:rsidRPr="00314BA6">
        <w:t>edestrian crash</w:t>
      </w:r>
      <w:r>
        <w:t xml:space="preserve">es is voluminous (refer to </w:t>
      </w:r>
      <w:bookmarkStart w:id="11" w:name="_Hlk110158702"/>
      <w:r>
        <w:fldChar w:fldCharType="begin"/>
      </w:r>
      <w:r w:rsidR="008D5D3E">
        <w:instrText xml:space="preserve"> ADDIN ZOTERO_ITEM CSL_CITATION {"citationID":"pASJ39UT","properties":{"formattedCitation":"(Mirhashemi et al., 2022; Ziakopoulos &amp; Yannis, 2020)","plainCitation":"(Mirhashemi et al., 2022; Ziakopoulos &amp; Yannis, 2020)","dontUpdate":true,"noteIndex":0},"citationItems":[{"id":640,"uris":["http://zotero.org/users/9292995/items/48GAXTFF"],"itemData":{"id":640,"type":"article-journal","container-title":"Accident Analysis &amp; Prevention","ISSN":"0001-4575","journalAbbreviation":"Accident Analysis &amp; Prevention","note":"publisher: Elsevier","page":"106720","title":"Macro-level literature analysis on pedestrian safety: Bibliometric overview, conceptual frames, and trends","volume":"174","author":[{"family":"Mirhashemi","given":"Ali"},{"family":"Amirifar","given":"Saeideh"},{"family":"Kashani","given":"Ali Tavakoli"},{"family":"Zou","given":"Xin"}],"issued":{"date-parts":[["2022"]]}}},{"id":642,"uris":["http://zotero.org/users/9292995/items/63CSKQBH"],"itemData":{"id":642,"type":"article-journal","container-title":"Accident Analysis &amp; Prevention","ISSN":"0001-4575","journalAbbreviation":"Accident Analysis &amp; Prevention","note":"publisher: Elsevier","page":"105323","title":"A review of spatial approaches in road safety","volume":"135","author":[{"family":"Ziakopoulos","given":"Apostolos"},{"family":"Yannis","given":"George"}],"issued":{"date-parts":[["2020"]]}}}],"schema":"https://github.com/citation-style-language/schema/raw/master/csl-citation.json"} </w:instrText>
      </w:r>
      <w:r>
        <w:fldChar w:fldCharType="separate"/>
      </w:r>
      <w:r w:rsidRPr="00651FF7">
        <w:t xml:space="preserve">Mirhashemi et al. </w:t>
      </w:r>
      <w:r>
        <w:t>(</w:t>
      </w:r>
      <w:r w:rsidRPr="00651FF7">
        <w:t>2022</w:t>
      </w:r>
      <w:r>
        <w:t>) and</w:t>
      </w:r>
      <w:r w:rsidRPr="00651FF7">
        <w:t xml:space="preserve"> Ziakopoulos </w:t>
      </w:r>
      <w:r>
        <w:t>and</w:t>
      </w:r>
      <w:r w:rsidRPr="00651FF7">
        <w:t xml:space="preserve"> Yannis </w:t>
      </w:r>
      <w:r>
        <w:t>(</w:t>
      </w:r>
      <w:r w:rsidRPr="00651FF7">
        <w:t>2020)</w:t>
      </w:r>
      <w:r>
        <w:fldChar w:fldCharType="end"/>
      </w:r>
      <w:r>
        <w:t xml:space="preserve"> for an extensive</w:t>
      </w:r>
      <w:r w:rsidRPr="00314BA6">
        <w:t xml:space="preserve"> review </w:t>
      </w:r>
      <w:r>
        <w:t xml:space="preserve">of pedestrian </w:t>
      </w:r>
      <w:bookmarkEnd w:id="11"/>
      <w:r>
        <w:t xml:space="preserve">safety studies, including </w:t>
      </w:r>
      <w:r w:rsidRPr="00314BA6">
        <w:t xml:space="preserve">crash frequency </w:t>
      </w:r>
      <w:r>
        <w:t xml:space="preserve">and </w:t>
      </w:r>
      <w:r w:rsidRPr="00314BA6">
        <w:t>injury severity models</w:t>
      </w:r>
      <w:r>
        <w:t>),</w:t>
      </w:r>
      <w:r w:rsidRPr="00F46C3F">
        <w:t xml:space="preserve"> the majority of studies d</w:t>
      </w:r>
      <w:r>
        <w:t>o</w:t>
      </w:r>
      <w:r w:rsidRPr="00F46C3F">
        <w:t xml:space="preserve"> not </w:t>
      </w:r>
      <w:r>
        <w:t xml:space="preserve">consider </w:t>
      </w:r>
      <w:r w:rsidRPr="00F46C3F">
        <w:t xml:space="preserve">racial and ethnic </w:t>
      </w:r>
      <w:r>
        <w:t xml:space="preserve">disparities while evaluating crash risk. </w:t>
      </w:r>
      <w:r w:rsidRPr="00F46C3F">
        <w:t xml:space="preserve">The relevant literature </w:t>
      </w:r>
      <w:r w:rsidR="00827A36">
        <w:t xml:space="preserve">for this paper </w:t>
      </w:r>
      <w:r w:rsidR="002912AA">
        <w:t>may be broadly categori</w:t>
      </w:r>
      <w:r w:rsidR="00487E7A">
        <w:t>zed</w:t>
      </w:r>
      <w:r w:rsidR="002912AA">
        <w:t xml:space="preserve"> into t</w:t>
      </w:r>
      <w:r w:rsidR="003848D4">
        <w:t>wo</w:t>
      </w:r>
      <w:r w:rsidR="002912AA">
        <w:t xml:space="preserve"> areas</w:t>
      </w:r>
      <w:r w:rsidRPr="00F46C3F">
        <w:t xml:space="preserve">: </w:t>
      </w:r>
      <w:r w:rsidR="003775A3">
        <w:t xml:space="preserve">(1) controlled field </w:t>
      </w:r>
      <w:r w:rsidR="003775A3" w:rsidRPr="00F46C3F">
        <w:t>experiments that investigate drivers’ yielding bias</w:t>
      </w:r>
      <w:r w:rsidR="00487E7A">
        <w:t>,</w:t>
      </w:r>
      <w:r w:rsidR="003775A3">
        <w:t xml:space="preserve"> and </w:t>
      </w:r>
      <w:r w:rsidRPr="00F46C3F">
        <w:t>(</w:t>
      </w:r>
      <w:r w:rsidR="003848D4">
        <w:t>2</w:t>
      </w:r>
      <w:r w:rsidRPr="00F46C3F">
        <w:t>)</w:t>
      </w:r>
      <w:r w:rsidR="002912AA">
        <w:t xml:space="preserve"> </w:t>
      </w:r>
      <w:r w:rsidR="002912AA" w:rsidRPr="00F46C3F">
        <w:t xml:space="preserve">general pedestrian crash modeling studies that explore </w:t>
      </w:r>
      <w:r w:rsidR="002912AA">
        <w:t>the factors affecting pedestrian crashes</w:t>
      </w:r>
      <w:r w:rsidR="003775A3">
        <w:t>.</w:t>
      </w:r>
    </w:p>
    <w:p w14:paraId="7073AF7A" w14:textId="6DBEFD22" w:rsidR="003775A3" w:rsidRDefault="003775A3" w:rsidP="00966F5E">
      <w:pPr>
        <w:pStyle w:val="Heading2"/>
        <w:spacing w:before="0" w:line="360" w:lineRule="auto"/>
      </w:pPr>
      <w:r>
        <w:t xml:space="preserve"> Controlled Field Experiments</w:t>
      </w:r>
    </w:p>
    <w:p w14:paraId="3396DD9B" w14:textId="2DAFD3FA" w:rsidR="002912AA" w:rsidRPr="00F46C3F" w:rsidRDefault="002912AA" w:rsidP="007D5556">
      <w:pPr>
        <w:spacing w:before="0" w:after="0" w:line="360" w:lineRule="auto"/>
        <w:ind w:firstLine="720"/>
      </w:pPr>
      <w:r>
        <w:t xml:space="preserve">The first category of studies investigates bias in drivers’ yielding behavior </w:t>
      </w:r>
      <w:r w:rsidR="00EB1977">
        <w:t>wh</w:t>
      </w:r>
      <w:r w:rsidR="005228A1">
        <w:t>en</w:t>
      </w:r>
      <w:r w:rsidR="00EB1977">
        <w:t xml:space="preserve"> crossing a street</w:t>
      </w:r>
      <w:r w:rsidR="003775A3">
        <w:t>.</w:t>
      </w:r>
      <w:r>
        <w:t xml:space="preserve"> </w:t>
      </w:r>
      <w:r w:rsidR="003775A3">
        <w:t xml:space="preserve">The earliest such published study was undertaken by </w:t>
      </w:r>
      <w:r>
        <w:t>Goddard et al. (2015)</w:t>
      </w:r>
      <w:r w:rsidR="003775A3">
        <w:t xml:space="preserve">, who undertook an </w:t>
      </w:r>
      <w:r w:rsidRPr="00F46C3F">
        <w:t xml:space="preserve">observational experiment to test discrimination </w:t>
      </w:r>
      <w:r>
        <w:t>in</w:t>
      </w:r>
      <w:r w:rsidRPr="00F46C3F">
        <w:t xml:space="preserve"> drivers’ yielding behavior</w:t>
      </w:r>
      <w:r w:rsidR="00EB1977">
        <w:t xml:space="preserve">, </w:t>
      </w:r>
      <w:r w:rsidRPr="00F46C3F">
        <w:t>based on the race of pedestrians</w:t>
      </w:r>
      <w:r>
        <w:t>.</w:t>
      </w:r>
      <w:r w:rsidR="00EB1977">
        <w:t xml:space="preserve"> Using a </w:t>
      </w:r>
      <w:r w:rsidR="00EB1977" w:rsidRPr="00F46C3F">
        <w:t>controlled experiment</w:t>
      </w:r>
      <w:r w:rsidR="00EB1977">
        <w:t>al design</w:t>
      </w:r>
      <w:r w:rsidR="00EB1977" w:rsidRPr="00F46C3F">
        <w:t xml:space="preserve"> at </w:t>
      </w:r>
      <w:r w:rsidR="00EB1977">
        <w:t xml:space="preserve">an </w:t>
      </w:r>
      <w:r w:rsidR="00EB1977" w:rsidRPr="00F46C3F">
        <w:t xml:space="preserve">unsignalized </w:t>
      </w:r>
      <w:r w:rsidR="005228A1">
        <w:t xml:space="preserve">but marked </w:t>
      </w:r>
      <w:r w:rsidR="00EB1977">
        <w:t xml:space="preserve">midblock crosswalk </w:t>
      </w:r>
      <w:r w:rsidR="00EB1977" w:rsidRPr="00F46C3F">
        <w:t>in Portland</w:t>
      </w:r>
      <w:r w:rsidR="00EB1977">
        <w:t>,</w:t>
      </w:r>
      <w:r w:rsidR="00EB1977" w:rsidRPr="00F46C3F">
        <w:t xml:space="preserve"> </w:t>
      </w:r>
      <w:r w:rsidR="00EB1977">
        <w:t xml:space="preserve">the authors </w:t>
      </w:r>
      <w:r w:rsidR="00EB1977" w:rsidRPr="00F46C3F">
        <w:t>concluded that Black pedestrians were passed by more than twice as many cars and waited 32% longer</w:t>
      </w:r>
      <w:r w:rsidR="00EB1977">
        <w:t xml:space="preserve"> </w:t>
      </w:r>
      <w:r w:rsidR="00EB1977" w:rsidRPr="00F46C3F">
        <w:t>to cross safely</w:t>
      </w:r>
      <w:r w:rsidR="00EB1977">
        <w:t xml:space="preserve"> compared to</w:t>
      </w:r>
      <w:r w:rsidR="00EB1977" w:rsidRPr="00F46C3F">
        <w:t xml:space="preserve"> their </w:t>
      </w:r>
      <w:r w:rsidR="002B4BA6">
        <w:t>white</w:t>
      </w:r>
      <w:r w:rsidR="00EB1977" w:rsidRPr="00F46C3F">
        <w:t xml:space="preserve"> counterparts. </w:t>
      </w:r>
      <w:r>
        <w:t xml:space="preserve">They </w:t>
      </w:r>
      <w:r w:rsidRPr="00F46C3F">
        <w:t xml:space="preserve">linked </w:t>
      </w:r>
      <w:r w:rsidR="00F31F5A">
        <w:t xml:space="preserve">their finding </w:t>
      </w:r>
      <w:r w:rsidR="00930CA2">
        <w:t xml:space="preserve">to </w:t>
      </w:r>
      <w:r w:rsidRPr="00F46C3F">
        <w:t>implicit biases</w:t>
      </w:r>
      <w:r w:rsidR="00930CA2">
        <w:t xml:space="preserve">, which </w:t>
      </w:r>
      <w:r w:rsidR="00F01EE9">
        <w:t xml:space="preserve">can </w:t>
      </w:r>
      <w:r w:rsidR="00930CA2">
        <w:t xml:space="preserve">manifest themselves in </w:t>
      </w:r>
      <w:r w:rsidRPr="00F46C3F">
        <w:t>fast-paced decision</w:t>
      </w:r>
      <w:r w:rsidR="000430C9">
        <w:t>-</w:t>
      </w:r>
      <w:r w:rsidR="00F01EE9">
        <w:t xml:space="preserve">making situations </w:t>
      </w:r>
      <w:r w:rsidR="00930CA2">
        <w:t xml:space="preserve">or when there is </w:t>
      </w:r>
      <w:r w:rsidRPr="00F46C3F">
        <w:t>ambiguity</w:t>
      </w:r>
      <w:r w:rsidR="00930CA2">
        <w:t>/</w:t>
      </w:r>
      <w:r w:rsidRPr="00F46C3F">
        <w:t>discretion in behavior. A similar experiment</w:t>
      </w:r>
      <w:r w:rsidR="00803D0F">
        <w:t xml:space="preserve">, also </w:t>
      </w:r>
      <w:r w:rsidR="00E102E7">
        <w:t>conducted</w:t>
      </w:r>
      <w:r w:rsidR="00803D0F">
        <w:t xml:space="preserve"> in Portland, </w:t>
      </w:r>
      <w:r w:rsidRPr="00F46C3F">
        <w:t xml:space="preserve">was </w:t>
      </w:r>
      <w:r w:rsidR="00F31F5A">
        <w:t>undertaken</w:t>
      </w:r>
      <w:r w:rsidRPr="00F46C3F">
        <w:t xml:space="preserve"> by</w:t>
      </w:r>
      <w:r>
        <w:t xml:space="preserve"> Kahn et al. (2017)</w:t>
      </w:r>
      <w:r w:rsidRPr="00F46C3F">
        <w:t xml:space="preserve"> </w:t>
      </w:r>
      <w:r w:rsidR="00803D0F">
        <w:t xml:space="preserve">who found that </w:t>
      </w:r>
      <w:r w:rsidR="00E102E7">
        <w:t>vehicles</w:t>
      </w:r>
      <w:r w:rsidRPr="00F46C3F">
        <w:t xml:space="preserve"> were most likely to stop for </w:t>
      </w:r>
      <w:r w:rsidR="002B4BA6">
        <w:t>white</w:t>
      </w:r>
      <w:r w:rsidRPr="00F46C3F">
        <w:t xml:space="preserve"> </w:t>
      </w:r>
      <w:r w:rsidR="009D48D6">
        <w:t>women</w:t>
      </w:r>
      <w:r w:rsidRPr="00F46C3F">
        <w:t xml:space="preserve"> and least likely to stop for </w:t>
      </w:r>
      <w:r w:rsidR="000430C9">
        <w:t>B</w:t>
      </w:r>
      <w:r w:rsidRPr="00F46C3F">
        <w:t>lack m</w:t>
      </w:r>
      <w:r w:rsidR="009D48D6">
        <w:t>en</w:t>
      </w:r>
      <w:r w:rsidR="00803D0F">
        <w:t>.</w:t>
      </w:r>
      <w:r w:rsidR="00E92B7F">
        <w:t xml:space="preserve"> </w:t>
      </w:r>
      <w:r w:rsidRPr="004D5026">
        <w:t xml:space="preserve">Coughenour </w:t>
      </w:r>
      <w:r>
        <w:t xml:space="preserve">et al. (2017) </w:t>
      </w:r>
      <w:r w:rsidR="009D48D6">
        <w:t xml:space="preserve">also </w:t>
      </w:r>
      <w:r w:rsidR="00803D0F">
        <w:t xml:space="preserve">investigated </w:t>
      </w:r>
      <w:r w:rsidRPr="00F46C3F">
        <w:t xml:space="preserve">yielding behavior at </w:t>
      </w:r>
      <w:r w:rsidR="00E92B7F">
        <w:t xml:space="preserve">two </w:t>
      </w:r>
      <w:r w:rsidRPr="00F46C3F">
        <w:t>unsignalized midblock crosswalk</w:t>
      </w:r>
      <w:r w:rsidR="005228A1">
        <w:t xml:space="preserve">s </w:t>
      </w:r>
      <w:r w:rsidR="00E92B7F">
        <w:t>in Las Vegas, Nevada. One crosswalk was selected to be in</w:t>
      </w:r>
      <w:r w:rsidR="009D48D6">
        <w:t xml:space="preserve"> a low</w:t>
      </w:r>
      <w:r w:rsidR="003B4361">
        <w:t>-</w:t>
      </w:r>
      <w:r w:rsidR="009D48D6">
        <w:t xml:space="preserve">income neighborhood and </w:t>
      </w:r>
      <w:r w:rsidR="00E92B7F">
        <w:t xml:space="preserve">another crosswalk in </w:t>
      </w:r>
      <w:r w:rsidR="009D48D6">
        <w:t>a high</w:t>
      </w:r>
      <w:r w:rsidR="003B4361">
        <w:t>-</w:t>
      </w:r>
      <w:r w:rsidR="009D48D6">
        <w:t xml:space="preserve">income neighborhood. </w:t>
      </w:r>
      <w:r w:rsidR="005228A1">
        <w:t>In the high-income neighborhood, d</w:t>
      </w:r>
      <w:r w:rsidRPr="00F46C3F">
        <w:t xml:space="preserve">rivers yielded less often </w:t>
      </w:r>
      <w:r>
        <w:t>and</w:t>
      </w:r>
      <w:r w:rsidRPr="00F46C3F">
        <w:t xml:space="preserve"> more cars passed through the crosswalk wh</w:t>
      </w:r>
      <w:r w:rsidR="005228A1">
        <w:t>en</w:t>
      </w:r>
      <w:r w:rsidRPr="00F46C3F">
        <w:t xml:space="preserve"> </w:t>
      </w:r>
      <w:r>
        <w:t>a</w:t>
      </w:r>
      <w:r w:rsidRPr="00F46C3F">
        <w:t xml:space="preserve"> </w:t>
      </w:r>
      <w:r>
        <w:t>B</w:t>
      </w:r>
      <w:r w:rsidRPr="00F46C3F">
        <w:t xml:space="preserve">lack pedestrian was </w:t>
      </w:r>
      <w:r w:rsidR="005228A1">
        <w:t xml:space="preserve">in </w:t>
      </w:r>
      <w:r w:rsidRPr="00F46C3F">
        <w:t xml:space="preserve">the crosswalk. However, there was no statistically significant difference </w:t>
      </w:r>
      <w:r w:rsidR="00F64845">
        <w:t xml:space="preserve">in yielding behavior based on pedestrian race </w:t>
      </w:r>
      <w:r w:rsidRPr="00F46C3F">
        <w:t>at the low-income crosswalk.</w:t>
      </w:r>
      <w:r>
        <w:t xml:space="preserve"> </w:t>
      </w:r>
      <w:r w:rsidRPr="004D5026">
        <w:t>Schneider et al.</w:t>
      </w:r>
      <w:r>
        <w:t xml:space="preserve"> (2018)</w:t>
      </w:r>
      <w:r w:rsidRPr="00F46C3F">
        <w:t xml:space="preserve"> obtained similar conclusions </w:t>
      </w:r>
      <w:r>
        <w:t>by</w:t>
      </w:r>
      <w:r w:rsidRPr="00F46C3F">
        <w:t xml:space="preserve"> studying driver</w:t>
      </w:r>
      <w:r w:rsidR="00E102E7">
        <w:t>s’</w:t>
      </w:r>
      <w:r w:rsidRPr="00F46C3F">
        <w:t xml:space="preserve"> yielding behavior at 20 uncontrolled intersections in Milwaukee, Wisconsin. </w:t>
      </w:r>
    </w:p>
    <w:p w14:paraId="6AD23824" w14:textId="3F0ACA18" w:rsidR="006810D7" w:rsidRDefault="00735D62" w:rsidP="00966F5E">
      <w:pPr>
        <w:spacing w:before="0" w:after="0" w:line="360" w:lineRule="auto"/>
        <w:ind w:firstLine="720"/>
      </w:pPr>
      <w:r>
        <w:t>The carefully designed nature of the field experim</w:t>
      </w:r>
      <w:r w:rsidR="003775A3">
        <w:t>e</w:t>
      </w:r>
      <w:r>
        <w:t>nts in the above studies provide</w:t>
      </w:r>
      <w:r w:rsidR="00F31F5A">
        <w:t>s</w:t>
      </w:r>
      <w:r>
        <w:t xml:space="preserve"> impo</w:t>
      </w:r>
      <w:r w:rsidR="00F64845">
        <w:t>r</w:t>
      </w:r>
      <w:r>
        <w:t xml:space="preserve">tant insights </w:t>
      </w:r>
      <w:r w:rsidR="00BA3946">
        <w:t xml:space="preserve">into </w:t>
      </w:r>
      <w:r>
        <w:t xml:space="preserve">yielding behaviors in crosswalks at midblock </w:t>
      </w:r>
      <w:r w:rsidR="00F31F5A">
        <w:t>and</w:t>
      </w:r>
      <w:r>
        <w:t xml:space="preserve"> unsignalized intersection locations. But the conclusions are still based on </w:t>
      </w:r>
      <w:r w:rsidR="00BA3946">
        <w:t xml:space="preserve">a </w:t>
      </w:r>
      <w:r>
        <w:t>relatively small sample size</w:t>
      </w:r>
      <w:r w:rsidR="00F64845">
        <w:t>. Further, as Coughenour et al</w:t>
      </w:r>
      <w:r w:rsidR="00B51AC4">
        <w:t>.</w:t>
      </w:r>
      <w:r w:rsidR="00F64845">
        <w:t xml:space="preserve"> and Schneider et al</w:t>
      </w:r>
      <w:r w:rsidR="00B51AC4">
        <w:t>.</w:t>
      </w:r>
      <w:r w:rsidR="00F64845">
        <w:t xml:space="preserve"> indicate, there may be variations in yielding behaviors based on </w:t>
      </w:r>
      <w:r w:rsidR="002912AA" w:rsidRPr="00F46C3F">
        <w:t xml:space="preserve">neighborhood sociodemographic characteristics, driver behavioral norms, and other related </w:t>
      </w:r>
      <w:r w:rsidR="002912AA" w:rsidRPr="00F46C3F">
        <w:lastRenderedPageBreak/>
        <w:t>built environment factors.</w:t>
      </w:r>
      <w:r w:rsidR="002912AA">
        <w:t xml:space="preserve"> </w:t>
      </w:r>
      <w:r w:rsidR="006810D7">
        <w:t xml:space="preserve">Besides, while it is reasonable to assume that yielding </w:t>
      </w:r>
      <w:r w:rsidR="00D633AF">
        <w:t>behavior</w:t>
      </w:r>
      <w:r w:rsidR="006810D7">
        <w:t xml:space="preserve"> has a bearing on pedestrian-related crashes, these studies do not examine actual crashes. </w:t>
      </w:r>
      <w:r w:rsidR="003775A3">
        <w:t xml:space="preserve"> </w:t>
      </w:r>
    </w:p>
    <w:p w14:paraId="6F7B2753" w14:textId="77777777" w:rsidR="000430C9" w:rsidRDefault="000430C9" w:rsidP="00966F5E">
      <w:pPr>
        <w:spacing w:before="0" w:after="0" w:line="360" w:lineRule="auto"/>
      </w:pPr>
    </w:p>
    <w:p w14:paraId="79745AEC" w14:textId="7EDA65A4" w:rsidR="002B1F22" w:rsidRDefault="003B4361" w:rsidP="00966F5E">
      <w:pPr>
        <w:pStyle w:val="Heading2"/>
        <w:spacing w:before="0" w:line="360" w:lineRule="auto"/>
      </w:pPr>
      <w:r>
        <w:t xml:space="preserve"> </w:t>
      </w:r>
      <w:r w:rsidR="002B1F22">
        <w:t>General Pedestrian Crash Frequency Modeling Studies</w:t>
      </w:r>
    </w:p>
    <w:p w14:paraId="40F5DF96" w14:textId="6A444243" w:rsidR="006E70E5" w:rsidRDefault="00802935" w:rsidP="007D5556">
      <w:pPr>
        <w:spacing w:before="0" w:after="0" w:line="360" w:lineRule="auto"/>
        <w:ind w:firstLine="720"/>
      </w:pPr>
      <w:r>
        <w:t>T</w:t>
      </w:r>
      <w:r w:rsidR="002B1F22" w:rsidRPr="00F46C3F">
        <w:t xml:space="preserve">he </w:t>
      </w:r>
      <w:r w:rsidR="002B1F22">
        <w:t>studies</w:t>
      </w:r>
      <w:r w:rsidR="00885A1B">
        <w:t xml:space="preserve"> in the first category above</w:t>
      </w:r>
      <w:r w:rsidR="00633CD2">
        <w:t xml:space="preserve">, while </w:t>
      </w:r>
      <w:r w:rsidR="002B1F22">
        <w:t>highlight</w:t>
      </w:r>
      <w:r w:rsidR="00633CD2">
        <w:t>ing</w:t>
      </w:r>
      <w:r w:rsidR="002B1F22">
        <w:t xml:space="preserve"> </w:t>
      </w:r>
      <w:r w:rsidR="00DC1FF8">
        <w:t xml:space="preserve">racial/ethnic </w:t>
      </w:r>
      <w:r w:rsidR="002B1F22" w:rsidRPr="00F46C3F">
        <w:t>disparities</w:t>
      </w:r>
      <w:r w:rsidR="00DC1FF8">
        <w:t xml:space="preserve"> in pedestrian-related yielding behaviors</w:t>
      </w:r>
      <w:r w:rsidR="00633CD2">
        <w:t xml:space="preserve">, </w:t>
      </w:r>
      <w:r w:rsidR="002B1F22">
        <w:t xml:space="preserve">do not </w:t>
      </w:r>
      <w:r w:rsidR="00F31F5A">
        <w:t xml:space="preserve">identify the underlying </w:t>
      </w:r>
      <w:r w:rsidR="005228A1">
        <w:t xml:space="preserve">reasons for </w:t>
      </w:r>
      <w:r w:rsidR="00F31F5A">
        <w:t xml:space="preserve">why </w:t>
      </w:r>
      <w:r w:rsidR="002B1F22" w:rsidRPr="00F46C3F">
        <w:t xml:space="preserve">ethnic and racial groups </w:t>
      </w:r>
      <w:r w:rsidR="00F31F5A">
        <w:t xml:space="preserve">are more prone to </w:t>
      </w:r>
      <w:r w:rsidR="002B1F22" w:rsidRPr="00F46C3F">
        <w:t xml:space="preserve">pedestrian </w:t>
      </w:r>
      <w:r w:rsidR="00F31F5A">
        <w:t>crashes</w:t>
      </w:r>
      <w:r w:rsidR="002B1F22" w:rsidRPr="00F46C3F">
        <w:t>.</w:t>
      </w:r>
      <w:r w:rsidR="002B1F22">
        <w:t xml:space="preserve"> </w:t>
      </w:r>
      <w:r w:rsidR="000E2EA1">
        <w:t>This is also the case with the descriptive studies</w:t>
      </w:r>
      <w:r w:rsidR="00211AE1">
        <w:t xml:space="preserve"> discussed in the introduction section of this paper </w:t>
      </w:r>
      <w:r w:rsidR="000E2EA1">
        <w:t>that compare pedestrian safety purely segmented by race/ethnicity (without controlling for a whole host of other factors that may impact pedestrian safety</w:t>
      </w:r>
      <w:r w:rsidR="00211AE1">
        <w:t>)</w:t>
      </w:r>
      <w:r w:rsidR="000E2EA1">
        <w:t xml:space="preserve">. </w:t>
      </w:r>
      <w:bookmarkStart w:id="12" w:name="_Hlk122870765"/>
      <w:r w:rsidR="00633CD2">
        <w:t xml:space="preserve">At the same time, while </w:t>
      </w:r>
      <w:r w:rsidR="006E70E5">
        <w:t>many data-driven studies</w:t>
      </w:r>
      <w:r w:rsidR="002B1F22">
        <w:t xml:space="preserve"> relate</w:t>
      </w:r>
      <w:r w:rsidR="002B1F22" w:rsidRPr="00F46C3F">
        <w:t xml:space="preserve"> pedestrian </w:t>
      </w:r>
      <w:r w:rsidR="002B1F22">
        <w:t>safety</w:t>
      </w:r>
      <w:r w:rsidR="002B1F22" w:rsidRPr="00F46C3F">
        <w:t xml:space="preserve"> </w:t>
      </w:r>
      <w:r w:rsidR="002B1F22">
        <w:t>to</w:t>
      </w:r>
      <w:r w:rsidR="002B1F22" w:rsidRPr="00F46C3F">
        <w:t xml:space="preserve"> </w:t>
      </w:r>
      <w:r w:rsidR="000E2EA1">
        <w:t xml:space="preserve">multiple </w:t>
      </w:r>
      <w:r w:rsidR="00633CD2">
        <w:t xml:space="preserve">underlying </w:t>
      </w:r>
      <w:r w:rsidR="00F31F5A">
        <w:t>factors</w:t>
      </w:r>
      <w:r w:rsidR="00503ED9">
        <w:t xml:space="preserve">, </w:t>
      </w:r>
      <w:bookmarkStart w:id="13" w:name="_Hlk116975671"/>
      <w:r w:rsidR="00633CD2">
        <w:t>such</w:t>
      </w:r>
      <w:r w:rsidR="00503ED9">
        <w:t xml:space="preserve"> earlier studies</w:t>
      </w:r>
      <w:r w:rsidR="002E4FEB">
        <w:t xml:space="preserve">, to our knowledge, have not </w:t>
      </w:r>
      <w:r w:rsidR="002B1F22">
        <w:t>explicitly explore</w:t>
      </w:r>
      <w:r w:rsidR="002E4FEB">
        <w:t>d</w:t>
      </w:r>
      <w:r w:rsidR="002B1F22">
        <w:t xml:space="preserve"> racial</w:t>
      </w:r>
      <w:r w:rsidR="002B1F22" w:rsidRPr="00EC10B1">
        <w:t xml:space="preserve"> disparities</w:t>
      </w:r>
      <w:r w:rsidR="00503ED9">
        <w:t>.</w:t>
      </w:r>
      <w:r w:rsidR="002B1F22">
        <w:t xml:space="preserve"> </w:t>
      </w:r>
      <w:bookmarkEnd w:id="12"/>
      <w:r w:rsidR="00503ED9">
        <w:t xml:space="preserve">However, factors identified as being important in these general pedestrian studies can still shed some light, when considered in combination with what is known about infrastructure conditions in </w:t>
      </w:r>
      <w:r w:rsidR="00503ED9" w:rsidRPr="002B4BA6">
        <w:rPr>
          <w:i/>
        </w:rPr>
        <w:t>MB</w:t>
      </w:r>
      <w:r w:rsidR="00503ED9">
        <w:t xml:space="preserve"> neighborhoods. </w:t>
      </w:r>
      <w:r w:rsidR="006E70E5">
        <w:t>The factors explored in the literature</w:t>
      </w:r>
      <w:r w:rsidR="00503ED9">
        <w:t xml:space="preserve"> can also inform our </w:t>
      </w:r>
      <w:r w:rsidR="006E70E5">
        <w:t xml:space="preserve">model </w:t>
      </w:r>
      <w:r w:rsidR="00503ED9">
        <w:t>specification</w:t>
      </w:r>
      <w:r w:rsidR="002B1F22">
        <w:t xml:space="preserve">. </w:t>
      </w:r>
      <w:r w:rsidR="00885A1B">
        <w:t>Accordingly, i</w:t>
      </w:r>
      <w:r w:rsidR="002B1F22">
        <w:t>n this section, we discuss the effect</w:t>
      </w:r>
      <w:r w:rsidR="00885A1B">
        <w:t>s</w:t>
      </w:r>
      <w:r w:rsidR="002B1F22">
        <w:t xml:space="preserve"> of exposure, </w:t>
      </w:r>
      <w:r w:rsidR="002B1F22" w:rsidRPr="00F46C3F">
        <w:t>cultural</w:t>
      </w:r>
      <w:r w:rsidR="002B1F22">
        <w:t xml:space="preserve">, </w:t>
      </w:r>
      <w:r>
        <w:t xml:space="preserve">built environment, </w:t>
      </w:r>
      <w:r w:rsidR="002B1F22">
        <w:t xml:space="preserve">and sociodemographic variables that </w:t>
      </w:r>
      <w:r>
        <w:t xml:space="preserve">have been reported to be pedestrian </w:t>
      </w:r>
      <w:r w:rsidR="002B1F22">
        <w:t>crash frequency</w:t>
      </w:r>
      <w:r w:rsidR="00885A1B">
        <w:t xml:space="preserve"> determinants</w:t>
      </w:r>
      <w:r w:rsidR="002B1F22">
        <w:t xml:space="preserve">. </w:t>
      </w:r>
      <w:bookmarkEnd w:id="13"/>
    </w:p>
    <w:p w14:paraId="3D3C17EC" w14:textId="77777777" w:rsidR="00432BEC" w:rsidRDefault="00432BEC" w:rsidP="00966F5E">
      <w:pPr>
        <w:spacing w:before="0" w:after="0" w:line="360" w:lineRule="auto"/>
      </w:pPr>
    </w:p>
    <w:p w14:paraId="4100C865" w14:textId="01093E54" w:rsidR="007B5D41" w:rsidRDefault="00BC05A9" w:rsidP="00966F5E">
      <w:pPr>
        <w:pStyle w:val="Heading3"/>
        <w:numPr>
          <w:ilvl w:val="2"/>
          <w:numId w:val="1"/>
        </w:numPr>
        <w:spacing w:before="0" w:line="360" w:lineRule="auto"/>
        <w:ind w:left="720"/>
      </w:pPr>
      <w:r>
        <w:t xml:space="preserve">Crash </w:t>
      </w:r>
      <w:r w:rsidR="00A56856">
        <w:t xml:space="preserve">Risk </w:t>
      </w:r>
      <w:r w:rsidR="002B1F22" w:rsidRPr="009A424A">
        <w:t xml:space="preserve">Exposure </w:t>
      </w:r>
      <w:r>
        <w:t xml:space="preserve">(CE) </w:t>
      </w:r>
      <w:r w:rsidR="007B5D41">
        <w:t>Attri</w:t>
      </w:r>
      <w:r>
        <w:t>b</w:t>
      </w:r>
      <w:r w:rsidR="007B5D41">
        <w:t>utes</w:t>
      </w:r>
    </w:p>
    <w:p w14:paraId="377AA27C" w14:textId="5446521E" w:rsidR="00633CD2" w:rsidRDefault="00503ED9" w:rsidP="007D5556">
      <w:pPr>
        <w:spacing w:before="0" w:after="0" w:line="360" w:lineRule="auto"/>
        <w:ind w:firstLine="720"/>
        <w:rPr>
          <w:color w:val="000000" w:themeColor="text1"/>
        </w:rPr>
      </w:pPr>
      <w:r>
        <w:t>Cras</w:t>
      </w:r>
      <w:r w:rsidR="002A64E2">
        <w:t>h</w:t>
      </w:r>
      <w:r>
        <w:t xml:space="preserve"> risk </w:t>
      </w:r>
      <w:r w:rsidR="00BC05A9">
        <w:t>e</w:t>
      </w:r>
      <w:r w:rsidR="002B1F22" w:rsidRPr="00F46C3F">
        <w:t xml:space="preserve">xposure variables reflect the distance or time a pedestrian spends in travel </w:t>
      </w:r>
      <w:r w:rsidR="002B1F22" w:rsidRPr="00F46C3F">
        <w:fldChar w:fldCharType="begin" w:fldLock="1"/>
      </w:r>
      <w:r w:rsidR="0032030F">
        <w:instrText xml:space="preserve"> ADDIN ZOTERO_ITEM CSL_CITATION {"citationID":"HwQgAGjC","properties":{"formattedCitation":"(Merlin et al., 2020)","plainCitation":"(Merlin et al., 2020)","noteIndex":0},"citationItems":[{"id":"wB6ig8YL/916vuWvm","uris":["http://www.mendeley.com/documents/?uuid=a9d94c25-7394-492e-a1d7-32b3cb1b84fb"],"itemData":{"DOI":"https://doi.org/10.1016/j.aap.2019.07.020","ISSN":"0001-4575","abstract":"Abstracts This paper reviews the literature on the relationship between the built environment and roadway safety, with a focus on studies that analyse small geographical units, such as census tracts or travel analysis zones. We review different types of built environment measures to analyse if there are consistent relationships between such measures and crash frequency, finding that for many built environment variables there are mixed or contradictory correlations. We turn to the treatment of exposure, because built environment measures are often used, either explicitly or implicitly, as measures of exposure. We find that because exposure is often not adequately controlled for, correlations between built environment features and crash rates could be due to either higher levels of exposure or higher rates of crash risk per unit of exposure. Then, we identify various built environment variables as either more related to exposure, more related to risk, or ambiguous, and recommend further targeted research on those variables whose relationship is currently ambiguous.","author":[{"dropping-particle":"","family":"Merlin","given":"Louis A","non-dropping-particle":"","parse-names":false,"suffix":""},{"dropping-particle":"","family":"Guerra","given":"Erick","non-dropping-particle":"","parse-names":false,"suffix":""},{"dropping-particle":"","family":"Dumbaugh","given":"Eric","non-dropping-particle":"","parse-names":false,"suffix":""}],"container-title":"Accident Analysis &amp; Prevention","id":"ITEM-1","issued":{"date-parts":[["2020"]]},"page":"105244","title":"Crash risk, crash exposure, and the built environment: A conceptual review","type":"article-journal","volume":"134"}}],"schema":"https://github.com/citation-style-language/schema/raw/master/csl-citation.json"} </w:instrText>
      </w:r>
      <w:r w:rsidR="002B1F22" w:rsidRPr="00F46C3F">
        <w:fldChar w:fldCharType="separate"/>
      </w:r>
      <w:r w:rsidR="002B1F22" w:rsidRPr="00093DCB">
        <w:t>(Merlin et al., 2020)</w:t>
      </w:r>
      <w:r w:rsidR="002B1F22" w:rsidRPr="00F46C3F">
        <w:fldChar w:fldCharType="end"/>
      </w:r>
      <w:r w:rsidR="002B1F22" w:rsidRPr="00F46C3F">
        <w:t xml:space="preserve">. </w:t>
      </w:r>
      <w:r w:rsidR="002B1F22">
        <w:t>Examples of exposure variables</w:t>
      </w:r>
      <w:r w:rsidR="002B1F22" w:rsidRPr="00F46C3F">
        <w:rPr>
          <w:color w:val="000000" w:themeColor="text1"/>
        </w:rPr>
        <w:t xml:space="preserve"> include population </w:t>
      </w:r>
      <w:r w:rsidR="002B1F22">
        <w:rPr>
          <w:color w:val="000000" w:themeColor="text1"/>
        </w:rPr>
        <w:t>density,</w:t>
      </w:r>
      <w:r w:rsidR="002B1F22" w:rsidRPr="00F46C3F">
        <w:rPr>
          <w:color w:val="000000" w:themeColor="text1"/>
        </w:rPr>
        <w:t xml:space="preserve"> employment density, vehicle miles traveled (VMT), </w:t>
      </w:r>
      <w:r w:rsidR="00BD23F0">
        <w:rPr>
          <w:color w:val="000000" w:themeColor="text1"/>
        </w:rPr>
        <w:t xml:space="preserve">car ownership levels, </w:t>
      </w:r>
      <w:r w:rsidR="002B1F22">
        <w:rPr>
          <w:color w:val="000000" w:themeColor="text1"/>
        </w:rPr>
        <w:t xml:space="preserve">and </w:t>
      </w:r>
      <w:r w:rsidR="002B1F22" w:rsidRPr="00F46C3F">
        <w:rPr>
          <w:color w:val="000000" w:themeColor="text1"/>
        </w:rPr>
        <w:t>commute mode share</w:t>
      </w:r>
      <w:r w:rsidR="008524F9">
        <w:rPr>
          <w:color w:val="000000" w:themeColor="text1"/>
        </w:rPr>
        <w:t>s</w:t>
      </w:r>
      <w:r w:rsidR="002B1F22" w:rsidRPr="00F46C3F">
        <w:rPr>
          <w:color w:val="000000" w:themeColor="text1"/>
        </w:rPr>
        <w:t xml:space="preserve"> </w:t>
      </w:r>
      <w:bookmarkStart w:id="14" w:name="_Hlk110159448"/>
      <w:bookmarkStart w:id="15" w:name="_Hlk109504612"/>
      <w:r w:rsidR="002B1F22" w:rsidRPr="00F46C3F">
        <w:rPr>
          <w:color w:val="000000" w:themeColor="text1"/>
        </w:rPr>
        <w:fldChar w:fldCharType="begin" w:fldLock="1"/>
      </w:r>
      <w:r w:rsidR="0032030F">
        <w:rPr>
          <w:color w:val="000000" w:themeColor="text1"/>
        </w:rPr>
        <w:instrText xml:space="preserve"> ADDIN ZOTERO_ITEM CSL_CITATION {"citationID":"MOa5pjkx","properties":{"formattedCitation":"(Merlin et al., 2020; Stoker et al., 2015b)","plainCitation":"(Merlin et al., 2020; Stoker et al., 2015b)","dontUpdate":true,"noteIndex":0},"citationItems":[{"id":"wB6ig8YL/916vuWvm","uris":["http://www.mendeley.com/documents/?uuid=a9d94c25-7394-492e-a1d7-32b3cb1b84fb"],"itemData":{"DOI":"https://doi.org/10.1016/j.aap.2019.07.020","ISSN":"0001-4575","abstract":"Abstracts This paper reviews the literature on the relationship between the built environment and roadway safety, with a focus on studies that analyse small geographical units, such as census tracts or travel analysis zones. We review different types of built environment measures to analyse if there are consistent relationships between such measures and crash frequency, finding that for many built environment variables there are mixed or contradictory correlations. We turn to the treatment of exposure, because built environment measures are often used, either explicitly or implicitly, as measures of exposure. We find that because exposure is often not adequately controlled for, correlations between built environment features and crash rates could be due to either higher levels of exposure or higher rates of crash risk per unit of exposure. Then, we identify various built environment variables as either more related to exposure, more related to risk, or ambiguous, and recommend further targeted research on those variables whose relationship is currently ambiguous.","author":[{"dropping-particle":"","family":"Merlin","given":"Louis A","non-dropping-particle":"","parse-names":false,"suffix":""},{"dropping-particle":"","family":"Guerra","given":"Erick","non-dropping-particle":"","parse-names":false,"suffix":""},{"dropping-particle":"","family":"Dumbaugh","given":"Eric","non-dropping-particle":"","parse-names":false,"suffix":""}],"container-title":"Accident Analysis &amp; Prevention","id":"ITEM-1","issued":{"date-parts":[["2020"]]},"page":"105244","title":"Crash risk, crash exposure, and the built environment: A conceptual review","type":"article-journal","volume":"134"}},{"id":"wB6ig8YL/mqSVycJF","uris":["http://www.mendeley.com/documents/?uuid=1a23188c-a20a-4575-ba6a-6104dd0dc157"],"itemData":{"DOI":"10.1177/0885412215595438","ISSN":"0885-4122","abstract":"Urban and regional planning has a contribution to make toward improving pedestrian safety, particularly in view of the fact that about 273,000 pedestrians were killed in road traffic crashes in 2010. The road is a built environments that should enhance safety and security for pedestrians, but this ideal is not always the case. This article presents an overview of the evidence on the risks that pedestrians face in the built environment. This article shows that design of the roadway and development of different land uses can either increase or reduce pedestrian road traffic injury. Planners need to design or modify the built environment to minimize risk for pedestrians.","author":[{"dropping-particle":"","family":"Stoker","given":"Philip","non-dropping-particle":"","parse-names":false,"suffix":""},{"dropping-particle":"","family":"Garfinkel-Castro","given":"Andrea","non-dropping-particle":"","parse-names":false,"suffix":""},{"dropping-particle":"","family":"Khayesi","given":"Meleckidzedeck","non-dropping-particle":"","parse-names":false,"suffix":""},{"dropping-particle":"","family":"Odero","given":"Wilson","non-dropping-particle":"","parse-names":false,"suffix":""},{"dropping-particle":"","family":"Mwangi","given":"Martin N","non-dropping-particle":"","parse-names":false,"suffix":""},{"dropping-particle":"","family":"Peden","given":"Margie","non-dropping-particle":"","parse-names":false,"suffix":""},{"dropping-particle":"","family":"Ewing","given":"Reid","non-dropping-particle":"","parse-names":false,"suffix":""}],"container-title":"Journal of Planning Literature","id":"ITEM-2","issue":"4","issued":{"date-parts":[["2015","8","12"]]},"note":"doi: 10.1177/0885412215595438","page":"377-392","publisher":"SAGE Publications Inc","title":"Pedestrian Safety and the Built Environment: A Review of the Risk Factors","type":"article-journal","volume":"30"}}],"schema":"https://github.com/citation-style-language/schema/raw/master/csl-citation.json"} </w:instrText>
      </w:r>
      <w:r w:rsidR="002B1F22" w:rsidRPr="00F46C3F">
        <w:rPr>
          <w:color w:val="000000" w:themeColor="text1"/>
        </w:rPr>
        <w:fldChar w:fldCharType="separate"/>
      </w:r>
      <w:r w:rsidR="002B1F22" w:rsidRPr="003600A9">
        <w:t>(Merlin et al., 2020</w:t>
      </w:r>
      <w:r w:rsidR="005E588A">
        <w:t>;</w:t>
      </w:r>
      <w:r w:rsidR="002B1F22" w:rsidRPr="003600A9">
        <w:t xml:space="preserve"> </w:t>
      </w:r>
      <w:r w:rsidR="00A96C12" w:rsidRPr="009E3844">
        <w:t>Roll and McNeil, 2022</w:t>
      </w:r>
      <w:r w:rsidR="002B1F22" w:rsidRPr="003600A9">
        <w:t>)</w:t>
      </w:r>
      <w:r w:rsidR="002B1F22" w:rsidRPr="00F46C3F">
        <w:rPr>
          <w:color w:val="000000" w:themeColor="text1"/>
        </w:rPr>
        <w:fldChar w:fldCharType="end"/>
      </w:r>
      <w:r w:rsidR="002B1F22" w:rsidRPr="00F46C3F">
        <w:rPr>
          <w:color w:val="000000" w:themeColor="text1"/>
        </w:rPr>
        <w:t xml:space="preserve">. </w:t>
      </w:r>
      <w:bookmarkEnd w:id="14"/>
      <w:r w:rsidR="002B1F22" w:rsidRPr="00F46C3F">
        <w:t xml:space="preserve">Researchers </w:t>
      </w:r>
      <w:bookmarkEnd w:id="15"/>
      <w:r w:rsidR="002B1F22" w:rsidRPr="00F46C3F">
        <w:t>h</w:t>
      </w:r>
      <w:r w:rsidR="002B1F22" w:rsidRPr="00F46C3F">
        <w:rPr>
          <w:color w:val="000000" w:themeColor="text1"/>
        </w:rPr>
        <w:t xml:space="preserve">ave reported that communities </w:t>
      </w:r>
      <w:r w:rsidR="00802935">
        <w:rPr>
          <w:color w:val="000000" w:themeColor="text1"/>
        </w:rPr>
        <w:t xml:space="preserve">with </w:t>
      </w:r>
      <w:r w:rsidR="002B1F22" w:rsidRPr="00F46C3F">
        <w:rPr>
          <w:color w:val="000000" w:themeColor="text1"/>
        </w:rPr>
        <w:t xml:space="preserve">a higher percentage of </w:t>
      </w:r>
      <w:r w:rsidR="002B1F22">
        <w:rPr>
          <w:color w:val="000000" w:themeColor="text1"/>
        </w:rPr>
        <w:t>n</w:t>
      </w:r>
      <w:r w:rsidR="002B1F22" w:rsidRPr="00F46C3F">
        <w:rPr>
          <w:color w:val="000000" w:themeColor="text1"/>
        </w:rPr>
        <w:t>on</w:t>
      </w:r>
      <w:r w:rsidR="002B1F22">
        <w:rPr>
          <w:color w:val="000000" w:themeColor="text1"/>
        </w:rPr>
        <w:t>-</w:t>
      </w:r>
      <w:r w:rsidR="002B4BA6">
        <w:rPr>
          <w:color w:val="000000" w:themeColor="text1"/>
        </w:rPr>
        <w:t>white</w:t>
      </w:r>
      <w:r w:rsidR="002B1F22" w:rsidRPr="00F46C3F">
        <w:rPr>
          <w:color w:val="000000" w:themeColor="text1"/>
        </w:rPr>
        <w:t xml:space="preserve"> </w:t>
      </w:r>
      <w:r w:rsidR="00802935">
        <w:rPr>
          <w:color w:val="000000" w:themeColor="text1"/>
        </w:rPr>
        <w:t xml:space="preserve">residents </w:t>
      </w:r>
      <w:r w:rsidR="002B1F22" w:rsidRPr="00F46C3F">
        <w:rPr>
          <w:color w:val="000000" w:themeColor="text1"/>
        </w:rPr>
        <w:t>experienced significantly higher walking volumes due to lower car ownership levels and higher use of transit</w:t>
      </w:r>
      <w:r w:rsidR="00802935">
        <w:rPr>
          <w:color w:val="000000" w:themeColor="text1"/>
        </w:rPr>
        <w:t>,</w:t>
      </w:r>
      <w:r w:rsidR="002B1F22" w:rsidRPr="00F46C3F">
        <w:rPr>
          <w:color w:val="000000" w:themeColor="text1"/>
        </w:rPr>
        <w:t xml:space="preserve"> which result in increased pedestrian crashes </w:t>
      </w:r>
      <w:bookmarkStart w:id="16" w:name="_Hlk109504617"/>
      <w:r w:rsidR="002B1F22" w:rsidRPr="00F46C3F">
        <w:rPr>
          <w:color w:val="000000" w:themeColor="text1"/>
        </w:rPr>
        <w:fldChar w:fldCharType="begin" w:fldLock="1"/>
      </w:r>
      <w:r w:rsidR="0032030F">
        <w:rPr>
          <w:color w:val="000000" w:themeColor="text1"/>
        </w:rPr>
        <w:instrText xml:space="preserve"> ADDIN ZOTERO_ITEM CSL_CITATION {"citationID":"jPNMYNLQ","properties":{"formattedCitation":"(Abdel-Aty et al., 2013a; Dai &amp; Jaworski, 2016; Lee et al., 2019; Noland et al., 2013; Yu et al., 2018)","plainCitation":"(Abdel-Aty et al., 2013a; Dai &amp; Jaworski, 2016; Lee et al., 2019; Noland et al., 2013; Yu et al., 2018)","dontUpdate":true,"noteIndex":0},"citationItems":[{"id":393,"uris":["http://zotero.org/users/9292995/items/L4T8B22S"],"itemData":{"id":393,"type":"article-journal","container-title":"Transportation Research Part A: Policy and Practice","ISSN":"0965-8564","journalAbbreviation":"Transportation Research Part A: Policy and Practice","note":"publisher: Elsevier","page":"62-75","title":"Geographical unit based analysis in the context of transportation safety planning","volume":"49","author":[{"family":"Abdel-Aty","given":"Mohamed"},{"family":"Lee","given":"Jaeyoung"},{"family":"Siddiqui","given":"Chowdhury"},{"family":"Choi","given":"Keechoo"}],"issued":{"date-parts":[["2013"]]}}},{"id":394,"uris":["http://zotero.org/users/9292995/items/BVHWQ26N"],"itemData":{"id":394,"type":"article-journal","container-title":"Applied geography","ISSN":"0143-6228","journalAbbreviation":"Applied geography","note":"publisher: Elsevier","page":"53-61","title":"Influence of built environment on pedestrian crashes: A network-based GIS analysis","volume":"73","author":[{"family":"Dai","given":"Dajun"},{"family":"Jaworski","given":"Derek"}],"issued":{"date-parts":[["2016"]]}}},{"id":"wB6ig8YL/RqrhIDHJ","uris":["http://www.mendeley.com/documents/?uuid=a952a09d-4404-4290-ab9c-180835957a99"],"itemData":{"DOI":"10.1177/0361198119837962","ISSN":"0361-1981","abstract":"Multiple approaches have been proposed to take traffic safety into consideration in long-term transportation plans, referred to as transportation safety planning. Some early studies used trip generation data as the explanatory variables for their macro-level crash safety performance functions, or crash prediction models. However, no study to date has attempted to integrate walking exposure and pedestrian safety at the modeling stage. Thus, a novel methodological framework for integrating the analyses of walking exposure and pedestrian crashes is proposed toward better transportation safety planning for pedestrians. In comparison with walking trips and walking miles, walking hours was identified as the best walking exposure variable by a preliminary analysis. Thus, an integrated modeling structure with walking hours as its exposure variable was developed. The modeling results indicate that climate conditions, population, and car usage patterns affect walking hours, and predicted walking hours, climate conditions, percentage of mid-elderly (64?75?years), proportions of minority race/ethnicity, and percent of tertiary industry occupations have significant effects on pedestrian fatalities. In addition, the integrated modeling framework was compared with non-integrated ones, and the results indicate that the integrated framework outperforms its counterparts in relation to deviance information criterion. The proposed approach and the findings from this study are expected to provide useful insights not only to researchers but also to policy makers and practitioners in the fields of transportation planning and traffic safety.","author":[{"dropping-particle":"","family":"Lee","given":"Jaeyoung","non-dropping-particle":"","parse-names":false,"suffix":""},{"dropping-particle":"","family":"Abdel-Aty","given":"Mohamed","non-dropping-particle":"","parse-names":false,"suffix":""},{"dropping-particle":"","family":"Huang","given":"Helai","non-dropping-particle":"","parse-names":false,"suffix":""},{"dropping-particle":"","family":"Cai","given":"Qing","non-dropping-particle":"","parse-names":false,"suffix":""}],"container-title":"Transportation Research Record","id":"ITEM-2","issue":"4","issued":{"date-parts":[["2019","3","25"]]},"note":"doi: 10.1177/0361198119837962","page":"898-906","publisher":"SAGE Publications Inc","title":"Transportation Safety Planning Approach for Pedestrians: An Integrated Framework of Modeling Walking Duration and Pedestrian Fatalities","type":"article-journal","volume":"2673"}},{"id":391,"uris":["http://zotero.org/users/9292995/items/ES26WJUE"],"itemData":{"id":391,"type":"article-journal","container-title":"Accident Analysis &amp; Prevention","ISSN":"0001-4575","journalAbbreviation":"Accident Analysis &amp; Prevention","note":"publisher: Elsevier","page":"337-345","title":"Do lower income areas have more pedestrian casualties?","volume":"59","author":[{"family":"Noland","given":"Robert B"},{"family":"Klein","given":"Nicholas J"},{"family":"Tulach","given":"Nicholas K"}],"issued":{"date-parts":[["2013"]]}}},{"id":"wB6ig8YL/zbeVwiNy","uris":["http://www.mendeley.com/documents/?uuid=9f3a4191-88f7-43dd-baa2-23c27b8eeb45"],"itemData":{"DOI":"10.1177/0739456X18807759","ISSN":"0739-456X","abstract":"This study examined the impacts of built environments on pedestrian-vehicle crashes with different levels of severity and the income and racial disparities related to different crash injuries in Austin, Texas. Arterial roads and commercial areas were associated with more injurious crashes. The presence of schools had a positive association with both injurious and no-injury crashes but only in areas with high percentages of nonwhites and poverty. This implies the importance of planning that separates pedestrians from vehicles in mixed-traffic commercial environments. Schools in areas with high percentages of minorities and poverty should be given priority for improvements of pedestrian safety.","author":[{"dropping-particle":"","family":"Yu","given":"Chia-Yuan","non-dropping-particle":"","parse-names":false,"suffix":""},{"dropping-particle":"","family":"Zhu","given":"Xuemei","non-dropping-particle":"","parse-names":false,"suffix":""},{"dropping-particle":"","family":"Lee","given":"Chanam","non-dropping-particle":"","parse-names":false,"suffix":""}],"container-title":"Journal of Planning Education and Research","id":"ITEM-1","issued":{"date-parts":[["2018","10","31"]]},"note":"doi: 10.1177/0739456X18807759","page":"0739456X18807759","publisher":"SAGE Publications Inc","title":"Income and Racial Disparity and the Role of the Built Environment in Pedestrian Injuries","type":"article-journal"}}],"schema":"https://github.com/citation-style-language/schema/raw/master/csl-citation.json"} </w:instrText>
      </w:r>
      <w:r w:rsidR="002B1F22" w:rsidRPr="00F46C3F">
        <w:rPr>
          <w:color w:val="000000" w:themeColor="text1"/>
        </w:rPr>
        <w:fldChar w:fldCharType="separate"/>
      </w:r>
      <w:r w:rsidR="002B1F22" w:rsidRPr="00093DCB">
        <w:t xml:space="preserve">(Dai </w:t>
      </w:r>
      <w:r w:rsidR="002B1F22">
        <w:t>and</w:t>
      </w:r>
      <w:r w:rsidR="002B1F22" w:rsidRPr="00093DCB">
        <w:t xml:space="preserve"> Jaworski, 2016</w:t>
      </w:r>
      <w:r w:rsidR="005E588A">
        <w:t>;</w:t>
      </w:r>
      <w:r w:rsidR="002B1F22" w:rsidRPr="00093DCB">
        <w:t xml:space="preserve"> Lee et al., 2019</w:t>
      </w:r>
      <w:r w:rsidR="005E588A">
        <w:t>;</w:t>
      </w:r>
      <w:r w:rsidR="002B1F22" w:rsidRPr="00093DCB">
        <w:t xml:space="preserve"> Yu et al., 20</w:t>
      </w:r>
      <w:r w:rsidR="0080109C">
        <w:t>22</w:t>
      </w:r>
      <w:r w:rsidR="002B1F22" w:rsidRPr="00093DCB">
        <w:t>)</w:t>
      </w:r>
      <w:r w:rsidR="002B1F22" w:rsidRPr="00F46C3F">
        <w:rPr>
          <w:color w:val="000000" w:themeColor="text1"/>
        </w:rPr>
        <w:fldChar w:fldCharType="end"/>
      </w:r>
      <w:r w:rsidR="002B1F22" w:rsidRPr="00F46C3F">
        <w:rPr>
          <w:color w:val="000000" w:themeColor="text1"/>
        </w:rPr>
        <w:t xml:space="preserve">. </w:t>
      </w:r>
      <w:bookmarkEnd w:id="16"/>
      <w:r w:rsidR="002B1F22" w:rsidRPr="00F46C3F">
        <w:rPr>
          <w:color w:val="000000" w:themeColor="text1"/>
        </w:rPr>
        <w:t xml:space="preserve">Particularly among urban residents in the U.S., 34% of Blacks and 27% of Hispanics report taking public transit, compared with only 14% of </w:t>
      </w:r>
      <w:r w:rsidR="002B4BA6">
        <w:rPr>
          <w:color w:val="000000" w:themeColor="text1"/>
        </w:rPr>
        <w:t>white</w:t>
      </w:r>
      <w:r w:rsidR="002B1F22" w:rsidRPr="00F46C3F">
        <w:rPr>
          <w:color w:val="000000" w:themeColor="text1"/>
        </w:rPr>
        <w:t>s</w:t>
      </w:r>
      <w:bookmarkStart w:id="17" w:name="_Hlk109504626"/>
      <w:r w:rsidR="002B1F22" w:rsidRPr="00F46C3F">
        <w:rPr>
          <w:color w:val="000000" w:themeColor="text1"/>
        </w:rPr>
        <w:t xml:space="preserve"> </w:t>
      </w:r>
      <w:bookmarkStart w:id="18" w:name="_Hlk110159490"/>
      <w:r w:rsidR="002B1F22" w:rsidRPr="00F46C3F">
        <w:rPr>
          <w:color w:val="000000" w:themeColor="text1"/>
        </w:rPr>
        <w:fldChar w:fldCharType="begin"/>
      </w:r>
      <w:r w:rsidR="002B1F22">
        <w:rPr>
          <w:color w:val="000000" w:themeColor="text1"/>
        </w:rPr>
        <w:instrText xml:space="preserve"> ADDIN ZOTERO_ITEM CSL_CITATION {"citationID":"21ZgtiH8","properties":{"formattedCitation":"(Anderson, 2016)","plainCitation":"(Anderson, 2016)","noteIndex":0},"citationItems":[{"id":363,"uris":["http://zotero.org/users/9292995/items/WJCQNH5J"],"itemData":{"id":363,"type":"report","language":"en-US","publisher":"Pew Research Center","title":"Who relies on public transit in the U.S.","URL":"https://www.pewresearch.org/fact-tank/2016/04/07/who-relies-on-public-transit-in-the-u-s/","author":[{"family":"Anderson","given":"Monica"}],"accessed":{"date-parts":[["2022",2,3]]},"issued":{"date-parts":[["2016"]]}}}],"schema":"https://github.com/citation-style-language/schema/raw/master/csl-citation.json"} </w:instrText>
      </w:r>
      <w:r w:rsidR="002B1F22" w:rsidRPr="00F46C3F">
        <w:rPr>
          <w:color w:val="000000" w:themeColor="text1"/>
        </w:rPr>
        <w:fldChar w:fldCharType="separate"/>
      </w:r>
      <w:r w:rsidR="002B1F22" w:rsidRPr="00093DCB">
        <w:t>(Anderson, 2016)</w:t>
      </w:r>
      <w:r w:rsidR="002B1F22" w:rsidRPr="00F46C3F">
        <w:rPr>
          <w:color w:val="000000" w:themeColor="text1"/>
        </w:rPr>
        <w:fldChar w:fldCharType="end"/>
      </w:r>
      <w:r w:rsidR="002B1F22" w:rsidRPr="00F46C3F">
        <w:rPr>
          <w:color w:val="000000" w:themeColor="text1"/>
        </w:rPr>
        <w:t xml:space="preserve">. </w:t>
      </w:r>
      <w:bookmarkEnd w:id="18"/>
      <w:r w:rsidR="002B1F22" w:rsidRPr="00F46C3F">
        <w:rPr>
          <w:color w:val="000000" w:themeColor="text1"/>
        </w:rPr>
        <w:t>Regarding car ownership, 18% of non-</w:t>
      </w:r>
      <w:r w:rsidR="002B4BA6">
        <w:rPr>
          <w:color w:val="000000" w:themeColor="text1"/>
        </w:rPr>
        <w:t>white</w:t>
      </w:r>
      <w:r w:rsidR="002B1F22" w:rsidRPr="00F46C3F">
        <w:rPr>
          <w:color w:val="000000" w:themeColor="text1"/>
        </w:rPr>
        <w:t xml:space="preserve"> households did not have access to a vehicle compared to only 6% of </w:t>
      </w:r>
      <w:r w:rsidR="002B4BA6">
        <w:rPr>
          <w:color w:val="000000" w:themeColor="text1"/>
        </w:rPr>
        <w:t>white</w:t>
      </w:r>
      <w:r w:rsidR="002B1F22" w:rsidRPr="00F46C3F">
        <w:rPr>
          <w:color w:val="000000" w:themeColor="text1"/>
        </w:rPr>
        <w:t xml:space="preserve"> households (</w:t>
      </w:r>
      <w:r w:rsidR="005F068E">
        <w:rPr>
          <w:color w:val="000000" w:themeColor="text1"/>
        </w:rPr>
        <w:t xml:space="preserve">The </w:t>
      </w:r>
      <w:r w:rsidR="002B1F22" w:rsidRPr="00F46C3F">
        <w:rPr>
          <w:color w:val="000000" w:themeColor="text1"/>
        </w:rPr>
        <w:t xml:space="preserve">National Equity Atlas, 2019). </w:t>
      </w:r>
      <w:r w:rsidR="002B1F22">
        <w:rPr>
          <w:color w:val="000000" w:themeColor="text1"/>
        </w:rPr>
        <w:t>These fa</w:t>
      </w:r>
      <w:r w:rsidR="00802935">
        <w:rPr>
          <w:color w:val="000000" w:themeColor="text1"/>
        </w:rPr>
        <w:t>c</w:t>
      </w:r>
      <w:r w:rsidR="002B1F22">
        <w:rPr>
          <w:color w:val="000000" w:themeColor="text1"/>
        </w:rPr>
        <w:t xml:space="preserve">tors highlight the socioeconomic disparities </w:t>
      </w:r>
      <w:r w:rsidR="00802935">
        <w:rPr>
          <w:color w:val="000000" w:themeColor="text1"/>
        </w:rPr>
        <w:t>that</w:t>
      </w:r>
      <w:r w:rsidR="002B1F22">
        <w:rPr>
          <w:color w:val="000000" w:themeColor="text1"/>
        </w:rPr>
        <w:t xml:space="preserve"> </w:t>
      </w:r>
      <w:r>
        <w:rPr>
          <w:color w:val="000000" w:themeColor="text1"/>
        </w:rPr>
        <w:t xml:space="preserve">may </w:t>
      </w:r>
      <w:r w:rsidR="002B1F22">
        <w:rPr>
          <w:color w:val="000000" w:themeColor="text1"/>
        </w:rPr>
        <w:t xml:space="preserve">contribute to the higher levels of </w:t>
      </w:r>
      <w:r w:rsidR="000430C9">
        <w:rPr>
          <w:color w:val="000000" w:themeColor="text1"/>
        </w:rPr>
        <w:lastRenderedPageBreak/>
        <w:t>crash risk exposure</w:t>
      </w:r>
      <w:r w:rsidR="00802935">
        <w:rPr>
          <w:color w:val="000000" w:themeColor="text1"/>
        </w:rPr>
        <w:t xml:space="preserve"> </w:t>
      </w:r>
      <w:r w:rsidR="002B1F22">
        <w:rPr>
          <w:color w:val="000000" w:themeColor="text1"/>
        </w:rPr>
        <w:t>for non-</w:t>
      </w:r>
      <w:r w:rsidR="002B4BA6">
        <w:rPr>
          <w:color w:val="000000" w:themeColor="text1"/>
        </w:rPr>
        <w:t>white</w:t>
      </w:r>
      <w:r w:rsidR="002B1F22">
        <w:rPr>
          <w:color w:val="000000" w:themeColor="text1"/>
        </w:rPr>
        <w:t xml:space="preserve">s, which in turn may explain some of the over-representation of Black individuals in pedestrian crashes. </w:t>
      </w:r>
      <w:bookmarkEnd w:id="17"/>
    </w:p>
    <w:p w14:paraId="293B33EB" w14:textId="77777777" w:rsidR="00432BEC" w:rsidRDefault="00432BEC" w:rsidP="00966F5E">
      <w:pPr>
        <w:spacing w:before="0" w:after="0" w:line="360" w:lineRule="auto"/>
        <w:rPr>
          <w:color w:val="000000" w:themeColor="text1"/>
        </w:rPr>
      </w:pPr>
    </w:p>
    <w:p w14:paraId="20CA3A20" w14:textId="4EFCDF31" w:rsidR="00E93E4D" w:rsidRDefault="00E93E4D" w:rsidP="00966F5E">
      <w:pPr>
        <w:pStyle w:val="Heading3"/>
        <w:numPr>
          <w:ilvl w:val="2"/>
          <w:numId w:val="1"/>
        </w:numPr>
        <w:spacing w:before="0" w:line="360" w:lineRule="auto"/>
        <w:ind w:left="720"/>
      </w:pPr>
      <w:r>
        <w:t>Cultural Variables</w:t>
      </w:r>
    </w:p>
    <w:p w14:paraId="296BD6D1" w14:textId="3D4696A6" w:rsidR="00B443F6" w:rsidRDefault="00E93E4D" w:rsidP="007D5556">
      <w:pPr>
        <w:spacing w:before="0" w:after="0" w:line="360" w:lineRule="auto"/>
        <w:ind w:firstLine="720"/>
      </w:pPr>
      <w:r>
        <w:t>S</w:t>
      </w:r>
      <w:r w:rsidRPr="0028786E">
        <w:t>ociological</w:t>
      </w:r>
      <w:r w:rsidRPr="00F46C3F">
        <w:t xml:space="preserve">, cultural, and behavioral differences can contribute to </w:t>
      </w:r>
      <w:r>
        <w:t xml:space="preserve">racial </w:t>
      </w:r>
      <w:r w:rsidRPr="00F46C3F">
        <w:t>disparities</w:t>
      </w:r>
      <w:r>
        <w:t xml:space="preserve"> in pedestrian crashes</w:t>
      </w:r>
      <w:r w:rsidRPr="00F46C3F">
        <w:t xml:space="preserve">. </w:t>
      </w:r>
      <w:bookmarkStart w:id="19" w:name="_Hlk109505150"/>
      <w:proofErr w:type="spellStart"/>
      <w:r>
        <w:t>Voas</w:t>
      </w:r>
      <w:proofErr w:type="spellEnd"/>
      <w:r>
        <w:t xml:space="preserve"> </w:t>
      </w:r>
      <w:r w:rsidR="006A04BC" w:rsidRPr="005C217C">
        <w:t>et al.</w:t>
      </w:r>
      <w:r w:rsidR="006A04BC">
        <w:t xml:space="preserve"> </w:t>
      </w:r>
      <w:r>
        <w:t xml:space="preserve">(2000) and </w:t>
      </w:r>
      <w:bookmarkStart w:id="20" w:name="_Hlk109211595"/>
      <w:proofErr w:type="spellStart"/>
      <w:r w:rsidRPr="005C217C">
        <w:t>Demetriades</w:t>
      </w:r>
      <w:proofErr w:type="spellEnd"/>
      <w:r w:rsidRPr="005C217C">
        <w:t xml:space="preserve"> et al.</w:t>
      </w:r>
      <w:r>
        <w:t xml:space="preserve"> </w:t>
      </w:r>
      <w:bookmarkEnd w:id="20"/>
      <w:r>
        <w:t>(</w:t>
      </w:r>
      <w:r w:rsidRPr="005C217C">
        <w:t>2004</w:t>
      </w:r>
      <w:bookmarkEnd w:id="19"/>
      <w:r>
        <w:t xml:space="preserve">) </w:t>
      </w:r>
      <w:r w:rsidRPr="00F46C3F">
        <w:t xml:space="preserve">reported that Latino populations had the highest alcohol-related pedestrian fatality rates, followed by Black pedestrians. Conversely, </w:t>
      </w:r>
      <w:r>
        <w:t xml:space="preserve">other studies </w:t>
      </w:r>
      <w:r w:rsidRPr="00F46C3F">
        <w:t>concluded that there is no sufficient evidence to support attributing the overrepresentation of minority groups in traffic fatalities to higher intoxication rates</w:t>
      </w:r>
      <w:r>
        <w:t xml:space="preserve"> </w:t>
      </w:r>
      <w:bookmarkStart w:id="21" w:name="_Hlk109505477"/>
      <w:r w:rsidRPr="00F46C3F">
        <w:fldChar w:fldCharType="begin" w:fldLock="1"/>
      </w:r>
      <w:r w:rsidR="0032030F">
        <w:instrText xml:space="preserve"> ADDIN ZOTERO_ITEM CSL_CITATION {"citationID":"Tt99QyAi","properties":{"formattedCitation":"(Hamdan, 2013; Thomas et al., 2019, pp. 2014\\uc0\\u8211{}2016)","plainCitation":"(Hamdan, 2013; Thomas et al., 2019, pp. 2014–2016)","dontUpdate":true,"noteIndex":0},"citationItems":[{"id":"wB6ig8YL/E5S2wYlm","uris":["http://www.mendeley.com/documents/?uuid=88915e2f-7f11-4a30-9d3c-8d119abcc3a2"],"itemData":{"author":[{"dropping-particle":"","family":"Hamdan","given":"Huda","non-dropping-particle":"","parse-names":false,"suffix":""}],"id":"ITEM-1","issued":{"date-parts":[["2013"]]},"title":"Racial/Ethnic Differences in Fatality Rates from Motor Vehicle Crashes: An Analysis from a Behavioral and Cultural Perspective","type":"article-journal"}},{"id":406,"uris":["http://zotero.org/users/9292995/items/LEVEITDC"],"itemData":{"id":406,"type":"article-journal","container-title":"Traffic injury prevention","ISSN":"1538-9588","issue":"6","journalAbbreviation":"Traffic injury prevention","note":"publisher: Taylor &amp; Francis","page":"557-562","title":"Epidemiology of alcohol and drug screening among pedestrian fatalities in the United States, 2014–2016","volume":"20","author":[{"family":"Thomas","given":"McKinley"},{"family":"Riemann","given":"Bryan"},{"family":"Jones","given":"Jeffery"}],"issued":{"date-parts":[["2019"]]}},"locator":"2014–2016"}],"schema":"https://github.com/citation-style-language/schema/raw/master/csl-citation.json"} </w:instrText>
      </w:r>
      <w:r w:rsidRPr="00F46C3F">
        <w:fldChar w:fldCharType="separate"/>
      </w:r>
      <w:r w:rsidRPr="00093DCB">
        <w:t>(Hamdan, 2013</w:t>
      </w:r>
      <w:r w:rsidR="005E588A">
        <w:t>;</w:t>
      </w:r>
      <w:r w:rsidRPr="00093DCB">
        <w:t xml:space="preserve"> Thomas et al., 2019)</w:t>
      </w:r>
      <w:r w:rsidRPr="00F46C3F">
        <w:fldChar w:fldCharType="end"/>
      </w:r>
      <w:r w:rsidRPr="00F46C3F">
        <w:t xml:space="preserve">. </w:t>
      </w:r>
      <w:bookmarkEnd w:id="21"/>
      <w:r w:rsidRPr="00F46C3F">
        <w:t>However, the literature lacks studies that investigate pedestrians under influence</w:t>
      </w:r>
      <w:r>
        <w:t xml:space="preserve"> (PUI),</w:t>
      </w:r>
      <w:r w:rsidRPr="00F46C3F">
        <w:t xml:space="preserve"> making it challenging to </w:t>
      </w:r>
      <w:r>
        <w:t>investigate</w:t>
      </w:r>
      <w:r w:rsidRPr="00F46C3F">
        <w:t xml:space="preserve"> the </w:t>
      </w:r>
      <w:r>
        <w:t>effects of pedestrian intoxication on crash risk</w:t>
      </w:r>
      <w:r w:rsidR="005C0331">
        <w:t>.</w:t>
      </w:r>
      <w:r>
        <w:t xml:space="preserve"> </w:t>
      </w:r>
      <w:bookmarkStart w:id="22" w:name="_Hlk109505483"/>
      <w:r w:rsidRPr="00F46C3F">
        <w:t xml:space="preserve"> </w:t>
      </w:r>
      <w:bookmarkEnd w:id="22"/>
    </w:p>
    <w:p w14:paraId="57BEC9AD" w14:textId="37E30951" w:rsidR="001562E1" w:rsidRDefault="00B443F6" w:rsidP="00966F5E">
      <w:pPr>
        <w:spacing w:before="0" w:after="0" w:line="360" w:lineRule="auto"/>
        <w:ind w:firstLine="720"/>
      </w:pPr>
      <w:r>
        <w:t xml:space="preserve">In the transportation profession, and the traffic crash analysis community in particular, there has been inadequate attention to cultural </w:t>
      </w:r>
      <w:r w:rsidR="00503ED9">
        <w:t>variables</w:t>
      </w:r>
      <w:r>
        <w:t xml:space="preserve">. Implicitly, there </w:t>
      </w:r>
      <w:r w:rsidR="001F3CDF">
        <w:t xml:space="preserve">appears to be </w:t>
      </w:r>
      <w:r>
        <w:t>an assumption that</w:t>
      </w:r>
      <w:r w:rsidR="00C801D7">
        <w:t xml:space="preserve"> </w:t>
      </w:r>
      <w:r>
        <w:t xml:space="preserve">individuals behave in specific ways (such as being alcohol-inebriated or not wearing seatbelts) because they “choose” to do so </w:t>
      </w:r>
      <w:r w:rsidR="00FE0C37">
        <w:t xml:space="preserve">(and make “bad” choices). For example, while being intoxicated as a pedestrian is likely to increase crash risk, by ignoring broader societal considerations of power relations in society, the onus </w:t>
      </w:r>
      <w:r w:rsidR="001F3CDF">
        <w:t xml:space="preserve">tends to be placed </w:t>
      </w:r>
      <w:r w:rsidR="00FE0C37">
        <w:t>squarely on individual responsibility.</w:t>
      </w:r>
      <w:r w:rsidR="008D4B40" w:rsidRPr="00BE6CA0">
        <w:rPr>
          <w:rStyle w:val="FootnoteReference"/>
        </w:rPr>
        <w:footnoteReference w:id="2"/>
      </w:r>
      <w:r w:rsidR="00FE0C37">
        <w:t xml:space="preserve"> But researchers </w:t>
      </w:r>
      <w:r w:rsidR="009933DD">
        <w:t xml:space="preserve">across many different disciplines </w:t>
      </w:r>
      <w:r w:rsidR="00FE0C37">
        <w:t xml:space="preserve">have consistently found that, in general, non-dominant minority groups </w:t>
      </w:r>
      <w:r w:rsidR="00503ED9" w:rsidRPr="00ED72CA">
        <w:rPr>
          <w:i/>
        </w:rPr>
        <w:t xml:space="preserve">uniformly </w:t>
      </w:r>
      <w:r w:rsidR="00FE0C37">
        <w:t>exhibit behaviors</w:t>
      </w:r>
      <w:r w:rsidR="00503ED9">
        <w:t xml:space="preserve"> across literally all walks of life</w:t>
      </w:r>
      <w:r w:rsidR="00FE0C37">
        <w:t xml:space="preserve"> that go counter to usual societal norms. F</w:t>
      </w:r>
      <w:r w:rsidR="003B4361">
        <w:t>actor</w:t>
      </w:r>
      <w:r w:rsidR="00FE0C37">
        <w:t xml:space="preserve"> </w:t>
      </w:r>
      <w:r w:rsidR="005F068E">
        <w:t xml:space="preserve">et al. </w:t>
      </w:r>
      <w:r w:rsidR="00FE0C37">
        <w:t xml:space="preserve">(2011) proposed </w:t>
      </w:r>
      <w:r w:rsidR="00250F9C">
        <w:t>the</w:t>
      </w:r>
      <w:r w:rsidR="00FE0C37">
        <w:t xml:space="preserve"> theoretical framework of social resistance theory (which, to our knowledge, has not been explicitly invoked in earlier traffic crash analysis literature) to explain this rather universal observation. According to this theory, societal power relations, and especially the position of non-dominant minority groups in th</w:t>
      </w:r>
      <w:r w:rsidR="00B13FB5">
        <w:t>e</w:t>
      </w:r>
      <w:r w:rsidR="00FE0C37">
        <w:t xml:space="preserve"> power landscape, </w:t>
      </w:r>
      <w:r w:rsidR="009933DD">
        <w:t xml:space="preserve">leads to </w:t>
      </w:r>
      <w:r w:rsidR="00FE0C37">
        <w:t xml:space="preserve">a conscious or unconscious tendency to actively engage in “everyday resistance behaviors”. </w:t>
      </w:r>
      <w:r w:rsidR="009933DD">
        <w:t xml:space="preserve">The pathway </w:t>
      </w:r>
      <w:r w:rsidR="00250F9C">
        <w:t xml:space="preserve">to social resistance </w:t>
      </w:r>
      <w:r w:rsidR="009933DD">
        <w:t xml:space="preserve">may be through (a) alienation from society that is perceived as being controlled by </w:t>
      </w:r>
      <w:r w:rsidR="00B13FB5">
        <w:t>the majority</w:t>
      </w:r>
      <w:r w:rsidR="001562E1">
        <w:t xml:space="preserve"> (including a lack of trust in the police and </w:t>
      </w:r>
      <w:r w:rsidR="001562E1">
        <w:lastRenderedPageBreak/>
        <w:t>court systems)</w:t>
      </w:r>
      <w:r w:rsidR="009933DD">
        <w:t>, thus warranting resist</w:t>
      </w:r>
      <w:r w:rsidR="001562E1">
        <w:t>a</w:t>
      </w:r>
      <w:r w:rsidR="009933DD">
        <w:t xml:space="preserve">nce as a mark of a sense of freedom to defy “majority-dictated” norms </w:t>
      </w:r>
      <w:r w:rsidR="00250F9C">
        <w:t>and</w:t>
      </w:r>
      <w:r w:rsidR="009933DD">
        <w:t xml:space="preserve"> a signal to the majority group that their power is not without limits, and/or (b) a form of collective identity formation, a kind of pact or accord that is not to be broken, that encourages individuals of minority groups to not act similar to those of the majority group (for example, not to be seen as “acting </w:t>
      </w:r>
      <w:r w:rsidR="002B4BA6">
        <w:t>white</w:t>
      </w:r>
      <w:r w:rsidR="001562E1">
        <w:t>”</w:t>
      </w:r>
      <w:r w:rsidR="009933DD">
        <w:t xml:space="preserve">; Fordham and </w:t>
      </w:r>
      <w:proofErr w:type="spellStart"/>
      <w:r w:rsidR="009933DD">
        <w:t>Ogbu</w:t>
      </w:r>
      <w:proofErr w:type="spellEnd"/>
      <w:r w:rsidR="009933DD">
        <w:t>, 198</w:t>
      </w:r>
      <w:r w:rsidR="005F068E">
        <w:t>6</w:t>
      </w:r>
      <w:r w:rsidR="009933DD">
        <w:t xml:space="preserve">). </w:t>
      </w:r>
      <w:r w:rsidR="001562E1">
        <w:t>Additional e</w:t>
      </w:r>
      <w:r w:rsidR="001562E1" w:rsidRPr="00F46C3F">
        <w:t>vidence of social resistance was reported by</w:t>
      </w:r>
      <w:r w:rsidR="001562E1">
        <w:t xml:space="preserve"> Factor et al. (2013)</w:t>
      </w:r>
      <w:r w:rsidR="00503ED9">
        <w:t>,</w:t>
      </w:r>
      <w:r w:rsidR="001562E1" w:rsidRPr="00F46C3F">
        <w:t xml:space="preserve"> who surveyed minority and majority groups and found that members of non</w:t>
      </w:r>
      <w:r w:rsidR="00B51AC4">
        <w:t>-</w:t>
      </w:r>
      <w:r w:rsidR="001562E1" w:rsidRPr="00F46C3F">
        <w:t xml:space="preserve">dominant minority groups who experienced discrimination had higher levels of social resistance and engaged more in high-risk and unhealthy behaviors. </w:t>
      </w:r>
      <w:r w:rsidR="001562E1">
        <w:t xml:space="preserve">This study, while focusing primarily on public health rather than traffic crashes, also noted that </w:t>
      </w:r>
      <w:r w:rsidR="001562E1" w:rsidRPr="00F46C3F">
        <w:t>Black respondents who scored highest in social resistance frequently drove without buckling their seatbelts</w:t>
      </w:r>
      <w:r w:rsidR="001562E1">
        <w:t xml:space="preserve">. </w:t>
      </w:r>
      <w:r w:rsidR="001562E1" w:rsidRPr="00F46C3F">
        <w:t>While this does not provide evidence regarding pedestrian behaviors, it highlights how the effects of social resistance are translated in</w:t>
      </w:r>
      <w:r w:rsidR="003B4361">
        <w:t>to</w:t>
      </w:r>
      <w:r w:rsidR="001562E1" w:rsidRPr="00F46C3F">
        <w:t xml:space="preserve"> minorities’ daily activities</w:t>
      </w:r>
      <w:r w:rsidR="001562E1">
        <w:t xml:space="preserve"> affecting their overall safety and well-being</w:t>
      </w:r>
      <w:r w:rsidR="001562E1" w:rsidRPr="00F46C3F">
        <w:t xml:space="preserve">. </w:t>
      </w:r>
      <w:r w:rsidR="001562E1">
        <w:t>In our analysis, we attempt to incorporate, for the first time to our knowledge in pedestrian crash analysis, two measures of social resistance, related to CBG education</w:t>
      </w:r>
      <w:r w:rsidR="00250F9C">
        <w:t>al attainment</w:t>
      </w:r>
      <w:r w:rsidR="001562E1">
        <w:t xml:space="preserve"> levels and crime rates. </w:t>
      </w:r>
      <w:r w:rsidR="007B5D41">
        <w:t>The former has been used in some earlier pedestrian crash studies (see the section on “sociodemographic variables” below), but more from the standpoint of understand</w:t>
      </w:r>
      <w:r w:rsidR="00503ED9">
        <w:t xml:space="preserve">ing road </w:t>
      </w:r>
      <w:r w:rsidR="007B5D41">
        <w:t xml:space="preserve">signage rather than </w:t>
      </w:r>
      <w:r w:rsidR="00503ED9">
        <w:t xml:space="preserve">from </w:t>
      </w:r>
      <w:r w:rsidR="007B5D41">
        <w:t xml:space="preserve">a social resistance perspective. </w:t>
      </w:r>
    </w:p>
    <w:p w14:paraId="7E8E1C5F" w14:textId="77777777" w:rsidR="00432BEC" w:rsidRDefault="00432BEC" w:rsidP="00966F5E">
      <w:pPr>
        <w:spacing w:before="0" w:after="0" w:line="360" w:lineRule="auto"/>
        <w:ind w:firstLine="720"/>
      </w:pPr>
    </w:p>
    <w:p w14:paraId="44F51AA7" w14:textId="4EC99D29" w:rsidR="002B1F22" w:rsidRDefault="002B1F22" w:rsidP="00966F5E">
      <w:pPr>
        <w:pStyle w:val="Heading3"/>
        <w:numPr>
          <w:ilvl w:val="2"/>
          <w:numId w:val="1"/>
        </w:numPr>
        <w:spacing w:before="0" w:line="360" w:lineRule="auto"/>
        <w:ind w:left="720"/>
      </w:pPr>
      <w:r>
        <w:t xml:space="preserve">Built-Environment </w:t>
      </w:r>
      <w:r w:rsidR="00BC05A9">
        <w:t xml:space="preserve">(BE) </w:t>
      </w:r>
      <w:r w:rsidR="007B5D41">
        <w:t>Features</w:t>
      </w:r>
    </w:p>
    <w:p w14:paraId="0A0C5176" w14:textId="4F25B098" w:rsidR="002B1F22" w:rsidRPr="00F46C3F" w:rsidRDefault="002B1F22" w:rsidP="007D5556">
      <w:pPr>
        <w:spacing w:before="0" w:after="0" w:line="360" w:lineRule="auto"/>
        <w:ind w:firstLine="720"/>
      </w:pPr>
      <w:r w:rsidRPr="00F46C3F">
        <w:t>Some of the well-established risk factors that threaten pedestrian safety are related to BE</w:t>
      </w:r>
      <w:r w:rsidR="00BC05A9">
        <w:t xml:space="preserve"> </w:t>
      </w:r>
      <w:r w:rsidRPr="00F46C3F">
        <w:t xml:space="preserve">features. </w:t>
      </w:r>
      <w:r>
        <w:t>For example, h</w:t>
      </w:r>
      <w:r w:rsidRPr="00F46C3F">
        <w:t>igher vehicle-pedestrian collision rates are typically associated with commercial and industrial land</w:t>
      </w:r>
      <w:r w:rsidR="007B0B55">
        <w:t>-</w:t>
      </w:r>
      <w:r w:rsidRPr="00F46C3F">
        <w:t xml:space="preserve">use types </w:t>
      </w:r>
      <w:bookmarkStart w:id="23" w:name="_Hlk109504942"/>
      <w:r w:rsidRPr="00F46C3F">
        <w:fldChar w:fldCharType="begin" w:fldLock="1"/>
      </w:r>
      <w:r w:rsidR="0032030F">
        <w:instrText xml:space="preserve"> ADDIN ZOTERO_ITEM CSL_CITATION {"citationID":"2vyp0a8C","properties":{"formattedCitation":"(Loukaitou-Sideris et al., 2007; Merlin et al., 2020; Ukkusuri et al., 2012; Wier et al., 2009; Yu et al., 2018)","plainCitation":"(Loukaitou-Sideris et al., 2007; Merlin et al., 2020; Ukkusuri et al., 2012; Wier et al., 2009; Yu et al., 2018)","dontUpdate":true,"noteIndex":0},"citationItems":[{"id":"wB6ig8YL/79Yx9975","uris":["http://www.mendeley.com/documents/?uuid=de0ae503-2832-4ca3-9f4d-e6077fdcc197"],"itemData":{"DOI":"https://doi.org/10.1016/j.ssci.2011.09.012","ISSN":"0925-7535","abstract":"This study investigates (i) the link of land use and road design on pedestrian safety and (ii) the effect of the level of spatial aggregation on the frequency of pedestrian accidents. For this purpose, pedestrian accident frequency models were developed for New York City based on an extensive dataset collected from different sources over a period of 5 years. The assembled dataset provides a rich source of variables (land-use, demographics, transit supply, road network and travel characteristics) and two different crash frequency outcomes: total and fatal-only collision counts. Among other things, it was observed that the census tract analysis (disaggregate data) provides more insightful and consistent results than the analysis at the zip code level. The results indicate that tracts with greater fraction of industrial, commercial, and open land use types have greater likelihood for crashes while tracts with a greater fraction of residential land use have significantly lower likelihood of pedestrian crashes. Moreover, census tracts that have a greater number of schools and transit stops – which are determinants of pedestrian activity – are more likely to have greater crashes. Results also show that the likelihood of pedestrian–vehicle collision increases with the number of lanes and road width. This suggests that retrofitting or narrowing the roads could possibly reduce the risk of pedestrian crashes.","author":[{"dropping-particle":"","family":"Ukkusuri","given":"Satish","non-dropping-particle":"","parse-names":false,"suffix":""},{"dropping-particle":"","family":"Miranda-Moreno","given":"Luis F","non-dropping-particle":"","parse-names":false,"suffix":""},{"dropping-particle":"","family":"Ramadurai","given":"Gitakrishnan","non-dropping-particle":"","parse-names":false,"suffix":""},{"dropping-particle":"","family":"Isa-Tavarez","given":"Jhael","non-dropping-particle":"","parse-names":false,"suffix":""}],"container-title":"Safety Science","id":"ITEM-1","issue":"4","issued":{"date-parts":[["2012"]]},"page":"1141-1151","title":"The role of built environment on pedestrian crash frequency","type":"article-journal","volume":"50"}},{"id":"wB6ig8YL/R7ah7BtR","uris":["http://www.mendeley.com/documents/?uuid=b589a82d-05eb-4c98-bd14-fd3dd3f22d25"],"itemData":{"DOI":"10.1177/0739456X06297008","ISSN":"0739-456X","abstract":"This research explores the spatial distribution of pedestrian-automobile collisions in Los Angeles and analyzes the social and physical factors that affect the risk of getting involved in such collisions. More specifically, this study investigates the influence of socio-demographic, land use, density, urban form, and traffic characteristics on pedestrian collision rates. We first provide an exploratory spatial and statistical analysis of pedestrian collision data in the city of Los Angeles to identify preliminary relationships between the frequency of collisions and socio-demographic and land use characteristics at the census tract level. This aggregate level analysis points to major concentrations of pedestrian collision data which are used at a second stage of the research for more qualitative and detailed analysis of specific case studies of intersections with high frequency of pedestrian collisions.","author":[{"dropping-particle":"","family":"Loukaitou-Sideris","given":"Anastasia","non-dropping-particle":"","parse-names":false,"suffix":""},{"dropping-particle":"","family":"Liggett","given":"Robin","non-dropping-particle":"","parse-names":false,"suffix":""},{"dropping-particle":"","family":"Sung","given":"Hyun-Gun","non-dropping-particle":"","parse-names":false,"suffix":""}],"container-title":"Journal of Planning Education and Research","id":"ITEM-2","issue":"3","issued":{"date-parts":[["2007","3","1"]]},"note":"doi: 10.1177/0739456X06297008","page":"338-351","publisher":"SAGE Publications Inc","title":"Death on the Crosswalk: A Study of Pedestrian-Automobile Collisions in Los Angeles","type":"article-journal","volume":"26"}},{"id":"wB6ig8YL/zbeVwiNy","uris":["http://www.mendeley.com/documents/?uuid=9f3a4191-88f7-43dd-baa2-23c27b8eeb45"],"itemData":{"DOI":"10.1177/0739456X18807759","ISSN":"0739-456X","abstract":"This study examined the impacts of built environments on pedestrian-vehicle crashes with different levels of severity and the income and racial disparities related to different crash injuries in Austin, Texas. Arterial roads and commercial areas were associated with more injurious crashes. The presence of schools had a positive association with both injurious and no-injury crashes but only in areas with high percentages of nonwhites and poverty. This implies the importance of planning that separates pedestrians from vehicles in mixed-traffic commercial environments. Schools in areas with high percentages of minorities and poverty should be given priority for improvements of pedestrian safety.","author":[{"dropping-particle":"","family":"Yu","given":"Chia-Yuan","non-dropping-particle":"","parse-names":false,"suffix":""},{"dropping-particle":"","family":"Zhu","given":"Xuemei","non-dropping-particle":"","parse-names":false,"suffix":""},{"dropping-particle":"","family":"Lee","given":"Chanam","non-dropping-particle":"","parse-names":false,"suffix":""}],"container-title":"Journal of Planning Education and Research","id":"ITEM-3","issued":{"date-parts":[["2018","10","31"]]},"note":"doi: 10.1177/0739456X18807759","page":"0739456X18807759","publisher":"SAGE Publications Inc","title":"Income and Racial Disparity and the Role of the Built Environment in Pedestrian Injuries","type":"article-journal"}},{"id":"wB6ig8YL/916vuWvm","uris":["http://www.mendeley.com/documents/?uuid=a9d94c25-7394-492e-a1d7-32b3cb1b84fb"],"itemData":{"DOI":"https://doi.org/10.1016/j.aap.2019.07.020","ISSN":"0001-4575","abstract":"Abstracts This paper reviews the literature on the relationship between the built environment and roadway safety, with a focus on studies that analyse small geographical units, such as census tracts or travel analysis zones. We review different types of built environment measures to analyse if there are consistent relationships between such measures and crash frequency, finding that for many built environment variables there are mixed or contradictory correlations. We turn to the treatment of exposure, because built environment measures are often used, either explicitly or implicitly, as measures of exposure. We find that because exposure is often not adequately controlled for, correlations between built environment features and crash rates could be due to either higher levels of exposure or higher rates of crash risk per unit of exposure. Then, we identify various built environment variables as either more related to exposure, more related to risk, or ambiguous, and recommend further targeted research on those variables whose relationship is currently ambiguous.","author":[{"dropping-particle":"","family":"Merlin","given":"Louis A","non-dropping-particle":"","parse-names":false,"suffix":""},{"dropping-particle":"","family":"Guerra","given":"Erick","non-dropping-particle":"","parse-names":false,"suffix":""},{"dropping-particle":"","family":"Dumbaugh","given":"Eric","non-dropping-particle":"","parse-names":false,"suffix":""}],"container-title":"Accident Analysis &amp; Prevention","id":"ITEM-4","issued":{"date-parts":[["2020"]]},"page":"105244","title":"Crash risk, crash exposure, and the built environment: A conceptual review","type":"article-journal","volume":"134"}},{"id":"wB6ig8YL/VGI4VfDW","uris":["http://www.mendeley.com/documents/?uuid=02fee4a3-3403-455f-9c1e-c0928f59dc2c"],"itemData":{"ISSN":"0001-4575","author":[{"dropping-particle":"","family":"Wier","given":"Megan","non-dropping-particle":"","parse-names":false,"suffix":""},{"dropping-particle":"","family":"Weintraub","given":"June","non-dropping-particle":"","parse-names":false,"suffix":""},{"dropping-particle":"","family":"Humphreys","given":"Elizabeth H","non-dropping-particle":"","parse-names":false,"suffix":""},{"dropping-particle":"","family":"Seto","given":"Edmund","non-dropping-particle":"","parse-names":false,"suffix":""},{"dropping-particle":"","family":"Bhatia","given":"Rajiv","non-dropping-particle":"","parse-names":false,"suffix":""}],"container-title":"Accident Analysis &amp; Prevention","id":"ITEM-5","issue":"1","issued":{"date-parts":[["2009"]]},"page":"137-145","publisher":"Elsevier","title":"An area-level model of vehicle-pedestrian injury collisions with implications for land use and transportation planning","type":"article-journal","volume":"41"}}],"schema":"https://github.com/citation-style-language/schema/raw/master/csl-citation.json"} </w:instrText>
      </w:r>
      <w:r w:rsidRPr="00F46C3F">
        <w:fldChar w:fldCharType="separate"/>
      </w:r>
      <w:r w:rsidRPr="00093DCB">
        <w:t>(Merlin et al., 2020</w:t>
      </w:r>
      <w:r w:rsidR="005E588A">
        <w:t>;</w:t>
      </w:r>
      <w:r w:rsidRPr="00093DCB">
        <w:t xml:space="preserve"> Ukkusuri et al., 2012</w:t>
      </w:r>
      <w:r w:rsidR="005E588A">
        <w:t>;</w:t>
      </w:r>
      <w:r w:rsidRPr="00093DCB">
        <w:t xml:space="preserve"> Wier et al., 2009</w:t>
      </w:r>
      <w:r w:rsidR="005E588A">
        <w:t>;</w:t>
      </w:r>
      <w:r w:rsidRPr="00093DCB">
        <w:t xml:space="preserve"> Yu et al., 20</w:t>
      </w:r>
      <w:r w:rsidR="0080109C">
        <w:t>22</w:t>
      </w:r>
      <w:r w:rsidRPr="00093DCB">
        <w:t>)</w:t>
      </w:r>
      <w:r w:rsidRPr="00F46C3F">
        <w:fldChar w:fldCharType="end"/>
      </w:r>
      <w:r w:rsidRPr="00F46C3F">
        <w:t xml:space="preserve">. </w:t>
      </w:r>
      <w:bookmarkEnd w:id="23"/>
      <w:r w:rsidRPr="00F46C3F">
        <w:t>On the other hand, fewer crashes are estimated in residential as opposed to nonresidential land-use types</w:t>
      </w:r>
      <w:r w:rsidR="00503ED9">
        <w:t>,</w:t>
      </w:r>
      <w:r w:rsidRPr="00F46C3F">
        <w:t xml:space="preserve"> suggesting that crashes are more likely at major trip attractors rather than generators </w:t>
      </w:r>
      <w:bookmarkStart w:id="24" w:name="_Hlk109504955"/>
      <w:r w:rsidRPr="00F46C3F">
        <w:fldChar w:fldCharType="begin" w:fldLock="1"/>
      </w:r>
      <w:r w:rsidR="0032030F">
        <w:instrText xml:space="preserve"> ADDIN ZOTERO_ITEM CSL_CITATION {"citationID":"CsN0au8j","properties":{"formattedCitation":"(Jermprapai &amp; Srinivasan, 2014)","plainCitation":"(Jermprapai &amp; Srinivasan, 2014)","dontUpdate":true,"noteIndex":0},"citationItems":[{"id":"wB6ig8YL/Lv1MWCH9","uris":["http://www.mendeley.com/documents/?uuid=7006502b-9ccf-4c28-a538-fa0ce77af1a3"],"itemData":{"DOI":"10.3141/2464-14","ISSN":"0361-1981","abstract":"Crash prediction models are useful tools for identifying locations that have a higher risk of crashes and for prioritizing projects. The focus of this study was on developing macroscopic or planning-level models for pedestrian safety. Although such efforts have been undertaken, they have generally focused on specific cities or counties with census tracts as the unit of the analysis. This study analyzed a larger study area (the state of Florida) at a finer spatial resolution (census block groups instead of tracts). Four models were developed to determine the crash frequency for each census block group. The models were for total crashes, severe and fatal crashes, fatal crashes, and nighttime crashes. The estimated models captured the effects of several socioeconomic, transportation, land use, and contextual variables. The results generally reaffirmed past findings about the relationship between crashes and socioeconomic, transportation, and land use characteristics. However, the models in this study captured relationships at the level of census block groups, whereas most past studies reported relationships at the level of census tracts. In addition, the models developed in this study included the effect of certain variables at multiple spatial scales and yielded interesting results. In particular, the variables at multiple scales clearly indicated locations with larger volumes of conflicting vehicular and pedestrian movements to be of higher risk for pedestrian crashes.","author":[{"dropping-particle":"","family":"Jermprapai","given":"Khajonsak","non-dropping-particle":"","parse-names":false,"suffix":""},{"dropping-particle":"","family":"Srinivasan","given":"Sivaramakrishnan","non-dropping-particle":"","parse-names":false,"suffix":""}],"container-title":"Transportation Research Record","id":"ITEM-1","issue":"1","issued":{"date-parts":[["2014","1","1"]]},"note":"doi: 10.3141/2464-14","page":"109-117","publisher":"SAGE Publications Inc","title":"Planning-Level Model for Assessing Pedestrian Safety","type":"article-journal","volume":"2464"}}],"schema":"https://github.com/citation-style-language/schema/raw/master/csl-citation.json"} </w:instrText>
      </w:r>
      <w:r w:rsidRPr="00F46C3F">
        <w:fldChar w:fldCharType="separate"/>
      </w:r>
      <w:r w:rsidRPr="00093DCB">
        <w:t xml:space="preserve">(Jermprapai </w:t>
      </w:r>
      <w:r>
        <w:t>and</w:t>
      </w:r>
      <w:r w:rsidRPr="00093DCB">
        <w:t xml:space="preserve"> Srinivasan, 2014)</w:t>
      </w:r>
      <w:r w:rsidRPr="00F46C3F">
        <w:fldChar w:fldCharType="end"/>
      </w:r>
      <w:r w:rsidRPr="00F46C3F">
        <w:t xml:space="preserve">. </w:t>
      </w:r>
      <w:bookmarkEnd w:id="24"/>
      <w:r>
        <w:t>Yu et al. (20</w:t>
      </w:r>
      <w:r w:rsidR="0080109C">
        <w:t>22</w:t>
      </w:r>
      <w:r>
        <w:t>)</w:t>
      </w:r>
      <w:r w:rsidRPr="00F46C3F">
        <w:t xml:space="preserve"> </w:t>
      </w:r>
      <w:r>
        <w:t xml:space="preserve">related the latter finding with social disparity by showing a </w:t>
      </w:r>
      <w:r w:rsidRPr="00F46C3F">
        <w:t xml:space="preserve">higher percentage of commercial </w:t>
      </w:r>
      <w:r>
        <w:t xml:space="preserve">land </w:t>
      </w:r>
      <w:r w:rsidRPr="00F46C3F">
        <w:t>use around schools in deprived areas.</w:t>
      </w:r>
      <w:r w:rsidR="00BD23F0">
        <w:t xml:space="preserve"> Also, </w:t>
      </w:r>
      <w:r w:rsidR="006373CF">
        <w:t xml:space="preserve">Dai and Jaworski (2016) and </w:t>
      </w:r>
      <w:r w:rsidR="00BD23F0">
        <w:t xml:space="preserve">Roll and McNeil (2022) </w:t>
      </w:r>
      <w:r w:rsidR="006373CF">
        <w:t xml:space="preserve">have </w:t>
      </w:r>
      <w:r w:rsidR="00BD23F0">
        <w:t xml:space="preserve">noted the important positive effect of the intensity of transit stops on pedestrian crashes. </w:t>
      </w:r>
    </w:p>
    <w:p w14:paraId="1DE70D6C" w14:textId="050995F0" w:rsidR="00D61322" w:rsidRDefault="00503ED9" w:rsidP="00966F5E">
      <w:pPr>
        <w:spacing w:before="0" w:after="0" w:line="360" w:lineRule="auto"/>
        <w:ind w:firstLine="720"/>
      </w:pPr>
      <w:r>
        <w:t>R</w:t>
      </w:r>
      <w:r w:rsidR="002B1F22" w:rsidRPr="00F46C3F">
        <w:t>oad</w:t>
      </w:r>
      <w:r w:rsidR="002B1F22">
        <w:t xml:space="preserve">way </w:t>
      </w:r>
      <w:r w:rsidR="002B1F22" w:rsidRPr="00F46C3F">
        <w:t>functional class also ha</w:t>
      </w:r>
      <w:r w:rsidR="002B1F22">
        <w:t>s</w:t>
      </w:r>
      <w:r w:rsidR="002B1F22" w:rsidRPr="00F46C3F">
        <w:t xml:space="preserve"> </w:t>
      </w:r>
      <w:r>
        <w:t xml:space="preserve">been reported to be </w:t>
      </w:r>
      <w:r w:rsidR="002B1F22" w:rsidRPr="00F46C3F">
        <w:t>a significant</w:t>
      </w:r>
      <w:r>
        <w:t xml:space="preserve"> determinant of pedestrian crashes</w:t>
      </w:r>
      <w:r w:rsidR="002B1F22" w:rsidRPr="00F46C3F">
        <w:t>.</w:t>
      </w:r>
      <w:r w:rsidR="002B1F22">
        <w:t xml:space="preserve"> </w:t>
      </w:r>
      <w:r w:rsidR="002B1F22" w:rsidRPr="00F46C3F">
        <w:rPr>
          <w:color w:val="000000" w:themeColor="text1"/>
        </w:rPr>
        <w:t>The literature reveals that minority pedestrians are exposed to higher percentages of arterial roads</w:t>
      </w:r>
      <w:r w:rsidR="002B1F22">
        <w:rPr>
          <w:color w:val="000000" w:themeColor="text1"/>
        </w:rPr>
        <w:t xml:space="preserve"> </w:t>
      </w:r>
      <w:bookmarkStart w:id="25" w:name="_Hlk109504976"/>
      <w:bookmarkStart w:id="26" w:name="_Hlk110163070"/>
      <w:r w:rsidR="002B1F22" w:rsidRPr="00F46C3F">
        <w:rPr>
          <w:color w:val="000000" w:themeColor="text1"/>
        </w:rPr>
        <w:fldChar w:fldCharType="begin" w:fldLock="1"/>
      </w:r>
      <w:r w:rsidR="0032030F">
        <w:rPr>
          <w:color w:val="000000" w:themeColor="text1"/>
        </w:rPr>
        <w:instrText xml:space="preserve"> ADDIN ZOTERO_ITEM CSL_CITATION {"citationID":"G2tdLuy9","properties":{"formattedCitation":"(Morency et al., 2012; Yu et al., 2018)","plainCitation":"(Morency et al., 2012; Yu et al., 2018)","dontUpdate":true,"noteIndex":0},"citationItems":[{"id":"wB6ig8YL/zbeVwiNy","uris":["http://www.mendeley.com/documents/?uuid=9f3a4191-88f7-43dd-baa2-23c27b8eeb45"],"itemData":{"DOI":"10.1177/0739456X18807759","ISSN":"0739-456X","abstract":"This study examined the impacts of built environments on pedestrian-vehicle crashes with different levels of severity and the income and racial disparities related to different crash injuries in Austin, Texas. Arterial roads and commercial areas were associated with more injurious crashes. The presence of schools had a positive association with both injurious and no-injury crashes but only in areas with high percentages of nonwhites and poverty. This implies the importance of planning that separates pedestrians from vehicles in mixed-traffic commercial environments. Schools in areas with high percentages of minorities and poverty should be given priority for improvements of pedestrian safety.","author":[{"dropping-particle":"","family":"Yu","given":"Chia-Yuan","non-dropping-particle":"","parse-names":false,"suffix":""},{"dropping-particle":"","family":"Zhu","given":"Xuemei","non-dropping-particle":"","parse-names":false,"suffix":""},{"dropping-particle":"","family":"Lee","given":"Chanam","non-dropping-particle":"","parse-names":false,"suffix":""}],"container-title":"Journal of Planning Education and Research","id":"ITEM-1","issued":{"date-parts":[["2018","10","31"]]},"note":"doi: 10.1177/0739456X18807759","page":"0739456X18807759","publisher":"SAGE Publications Inc","title":"Income and Racial Disparity and the Role of the Built Environment in Pedestrian Injuries","type":"article-journal"}},{"id":"wB6ig8YL/jqSV1u2W","uris":["http://www.mendeley.com/documents/?uuid=4d6f6540-5365-49ad-ac5d-5fde34926a5e"],"itemData":{"DOI":"10.2105/AJPH.2011.300528","ISSN":"1541-0048","abstract":"OBJECTIVES: We examined the extent to which differential traffic volume and road geometry can explain social inequalities in pedestrian, cyclist, and motor vehicle occupant injuries across wealthy and poor urban areas. METHODS: We performed a multilevel observational study of all road users injured over 5 years (n=19,568) at intersections (n=17,498) in a large urban area (Island of Montreal, Canada). We considered intersection-level (traffic estimates, major roads, number of legs) and area-level (population density, commuting travel modes, household income) characteristics in multilevel Poisson regressions that nested intersections in 506 census tracts. RESULTS: There were significantly more injured pedestrians, cyclists, and motor vehicle occupants at intersections in the poorest than in the richest areas. Controlling for traffic volume, intersection geometry, and pedestrian and cyclist volumes greatly attenuated the event rate ratios between intersections in the poorest and richest areas for injured pedestrians (-70%), cyclists (-44%), and motor vehicle occupants (-44%). CONCLUSIONS: Roadway environment can explain a substantial portion of the excess rate of road traffic injuries in the poorest urban areas.","author":[{"dropping-particle":"","family":"Morency","given":"Patrick","non-dropping-particle":"","parse-names":false,"suffix":""},{"dropping-particle":"","family":"Gauvin","given":"Lise","non-dropping-particle":"","parse-names":false,"suffix":""},{"dropping-particle":"","family":"Plante","given":"Céline","non-dropping-particle":"","parse-names":false,"suffix":""},{"dropping-particle":"","family":"Fournier","given":"Michel","non-dropping-particle":"","parse-names":false,"suffix":""},{"dropping-particle":"","family":"Morency","given":"Catherine","non-dropping-particle":"","parse-names":false,"suffix":""}],"container-title":"American journal of public health","edition":"2012/04/19","id":"ITEM-2","issue":"6","issued":{"date-parts":[["2012","6"]]},"language":"eng","page":"1112-1119","publisher":"American Public Health Association","title":"Neighborhood social inequalities in road traffic injuries: the influence of traffic volume and road design","type":"article-journal","volume":"102"}}],"schema":"https://github.com/citation-style-language/schema/raw/master/csl-citation.json"} </w:instrText>
      </w:r>
      <w:r w:rsidR="002B1F22" w:rsidRPr="00F46C3F">
        <w:rPr>
          <w:color w:val="000000" w:themeColor="text1"/>
        </w:rPr>
        <w:fldChar w:fldCharType="separate"/>
      </w:r>
      <w:r w:rsidR="002B1F22" w:rsidRPr="00093DCB">
        <w:t>(Morency et al., 2012</w:t>
      </w:r>
      <w:r w:rsidR="005E588A">
        <w:t>;</w:t>
      </w:r>
      <w:r w:rsidR="002B1F22" w:rsidRPr="00093DCB">
        <w:t xml:space="preserve"> Yu et al., 20</w:t>
      </w:r>
      <w:r w:rsidR="0080109C">
        <w:t>22</w:t>
      </w:r>
      <w:r w:rsidR="002B1F22" w:rsidRPr="00093DCB">
        <w:t>)</w:t>
      </w:r>
      <w:r w:rsidR="002B1F22" w:rsidRPr="00F46C3F">
        <w:rPr>
          <w:color w:val="000000" w:themeColor="text1"/>
        </w:rPr>
        <w:fldChar w:fldCharType="end"/>
      </w:r>
      <w:r w:rsidR="002B1F22">
        <w:rPr>
          <w:color w:val="000000" w:themeColor="text1"/>
        </w:rPr>
        <w:t>,</w:t>
      </w:r>
      <w:r w:rsidR="002B1F22" w:rsidRPr="00F46C3F">
        <w:rPr>
          <w:color w:val="000000" w:themeColor="text1"/>
        </w:rPr>
        <w:t xml:space="preserve"> </w:t>
      </w:r>
      <w:bookmarkEnd w:id="25"/>
      <w:r w:rsidR="002B1F22">
        <w:rPr>
          <w:color w:val="000000" w:themeColor="text1"/>
        </w:rPr>
        <w:t xml:space="preserve">which </w:t>
      </w:r>
      <w:bookmarkEnd w:id="26"/>
      <w:r w:rsidR="002B1F22">
        <w:rPr>
          <w:color w:val="000000" w:themeColor="text1"/>
        </w:rPr>
        <w:t xml:space="preserve">are consistently found </w:t>
      </w:r>
      <w:r w:rsidR="002B1F22">
        <w:rPr>
          <w:color w:val="000000" w:themeColor="text1"/>
        </w:rPr>
        <w:lastRenderedPageBreak/>
        <w:t xml:space="preserve">to </w:t>
      </w:r>
      <w:r w:rsidR="002B1F22" w:rsidRPr="00F46C3F">
        <w:rPr>
          <w:color w:val="000000" w:themeColor="text1"/>
        </w:rPr>
        <w:t>negatively impact pedestrian safety</w:t>
      </w:r>
      <w:r w:rsidR="002B1F22">
        <w:rPr>
          <w:color w:val="000000" w:themeColor="text1"/>
        </w:rPr>
        <w:t xml:space="preserve"> </w:t>
      </w:r>
      <w:bookmarkStart w:id="27" w:name="_Hlk109505511"/>
      <w:r w:rsidR="002B1F22" w:rsidRPr="00C1190A">
        <w:rPr>
          <w:color w:val="000000" w:themeColor="text1"/>
        </w:rPr>
        <w:t>(</w:t>
      </w:r>
      <w:bookmarkStart w:id="28" w:name="_Hlk109505021"/>
      <w:proofErr w:type="spellStart"/>
      <w:r w:rsidR="002B1F22" w:rsidRPr="00C1190A">
        <w:rPr>
          <w:color w:val="000000" w:themeColor="text1"/>
        </w:rPr>
        <w:t>Dumbaugh</w:t>
      </w:r>
      <w:proofErr w:type="spellEnd"/>
      <w:r w:rsidR="002B1F22" w:rsidRPr="00F46C3F">
        <w:rPr>
          <w:color w:val="000000" w:themeColor="text1"/>
        </w:rPr>
        <w:t xml:space="preserve"> </w:t>
      </w:r>
      <w:r w:rsidR="00171A12">
        <w:rPr>
          <w:color w:val="000000" w:themeColor="text1"/>
        </w:rPr>
        <w:t>and Li</w:t>
      </w:r>
      <w:r w:rsidR="002B1F22">
        <w:rPr>
          <w:color w:val="000000" w:themeColor="text1"/>
        </w:rPr>
        <w:t xml:space="preserve">, </w:t>
      </w:r>
      <w:r w:rsidR="002B1F22" w:rsidRPr="00F46C3F">
        <w:rPr>
          <w:color w:val="000000" w:themeColor="text1"/>
        </w:rPr>
        <w:t>2010</w:t>
      </w:r>
      <w:r w:rsidR="005E588A">
        <w:rPr>
          <w:color w:val="000000" w:themeColor="text1"/>
        </w:rPr>
        <w:t>;</w:t>
      </w:r>
      <w:r w:rsidR="002B1F22">
        <w:rPr>
          <w:color w:val="000000" w:themeColor="text1"/>
        </w:rPr>
        <w:t xml:space="preserve"> </w:t>
      </w:r>
      <w:proofErr w:type="spellStart"/>
      <w:r w:rsidR="002B1F22" w:rsidRPr="00C1190A">
        <w:rPr>
          <w:color w:val="000000" w:themeColor="text1"/>
        </w:rPr>
        <w:t>Sandt</w:t>
      </w:r>
      <w:proofErr w:type="spellEnd"/>
      <w:r w:rsidR="002B1F22" w:rsidRPr="00C1190A">
        <w:rPr>
          <w:color w:val="000000" w:themeColor="text1"/>
        </w:rPr>
        <w:t xml:space="preserve"> et al., 20</w:t>
      </w:r>
      <w:r w:rsidR="00B51AC4">
        <w:rPr>
          <w:color w:val="000000" w:themeColor="text1"/>
        </w:rPr>
        <w:t>16</w:t>
      </w:r>
      <w:r w:rsidR="005E588A">
        <w:rPr>
          <w:color w:val="000000" w:themeColor="text1"/>
        </w:rPr>
        <w:t>;</w:t>
      </w:r>
      <w:r w:rsidR="002B1F22" w:rsidRPr="00C1190A">
        <w:t xml:space="preserve"> </w:t>
      </w:r>
      <w:r w:rsidR="002B1F22" w:rsidRPr="00C1190A">
        <w:rPr>
          <w:color w:val="000000" w:themeColor="text1"/>
        </w:rPr>
        <w:t>Miranda-Moreno</w:t>
      </w:r>
      <w:bookmarkEnd w:id="28"/>
      <w:r w:rsidR="002B1F22" w:rsidRPr="00C1190A">
        <w:rPr>
          <w:color w:val="000000" w:themeColor="text1"/>
        </w:rPr>
        <w:t xml:space="preserve"> et al., 2011</w:t>
      </w:r>
      <w:r w:rsidR="005E588A">
        <w:rPr>
          <w:color w:val="000000" w:themeColor="text1"/>
        </w:rPr>
        <w:t>;</w:t>
      </w:r>
      <w:r w:rsidR="002B1F22">
        <w:rPr>
          <w:color w:val="000000" w:themeColor="text1"/>
        </w:rPr>
        <w:t xml:space="preserve"> Yu et al., 20</w:t>
      </w:r>
      <w:r w:rsidR="0080109C">
        <w:rPr>
          <w:color w:val="000000" w:themeColor="text1"/>
        </w:rPr>
        <w:t>22</w:t>
      </w:r>
      <w:r w:rsidR="002B1F22">
        <w:rPr>
          <w:color w:val="000000" w:themeColor="text1"/>
        </w:rPr>
        <w:t>)</w:t>
      </w:r>
      <w:r w:rsidR="002B1F22" w:rsidRPr="00F46C3F">
        <w:rPr>
          <w:color w:val="000000" w:themeColor="text1"/>
        </w:rPr>
        <w:t>.</w:t>
      </w:r>
      <w:r w:rsidR="002B1F22">
        <w:rPr>
          <w:color w:val="000000" w:themeColor="text1"/>
        </w:rPr>
        <w:t xml:space="preserve"> </w:t>
      </w:r>
      <w:r w:rsidR="002B1F22" w:rsidRPr="00F46C3F">
        <w:rPr>
          <w:color w:val="000000" w:themeColor="text1"/>
        </w:rPr>
        <w:t xml:space="preserve">Additionally, Rowangould (2013) found </w:t>
      </w:r>
      <w:bookmarkEnd w:id="27"/>
      <w:r w:rsidR="002B1F22" w:rsidRPr="00F46C3F">
        <w:rPr>
          <w:color w:val="000000" w:themeColor="text1"/>
        </w:rPr>
        <w:t xml:space="preserve">that 24% of the </w:t>
      </w:r>
      <w:r w:rsidR="007B0B55">
        <w:rPr>
          <w:color w:val="000000" w:themeColor="text1"/>
        </w:rPr>
        <w:t>B</w:t>
      </w:r>
      <w:r w:rsidR="002B1F22" w:rsidRPr="00F46C3F">
        <w:rPr>
          <w:color w:val="000000" w:themeColor="text1"/>
        </w:rPr>
        <w:t xml:space="preserve">lack population and 30% of the </w:t>
      </w:r>
      <w:r w:rsidR="002B1F22" w:rsidRPr="00F46C3F">
        <w:t xml:space="preserve">Latino population live within 500m of </w:t>
      </w:r>
      <w:r w:rsidR="002B1F22">
        <w:t xml:space="preserve">high-capacity </w:t>
      </w:r>
      <w:r w:rsidR="002B1F22" w:rsidRPr="00F46C3F">
        <w:t>road</w:t>
      </w:r>
      <w:r w:rsidR="002B1F22">
        <w:t>s</w:t>
      </w:r>
      <w:r w:rsidR="002B1F22" w:rsidRPr="00F46C3F">
        <w:t xml:space="preserve"> carrying </w:t>
      </w:r>
      <w:r w:rsidR="002B1F22">
        <w:t xml:space="preserve">over </w:t>
      </w:r>
      <w:r w:rsidR="002B1F22" w:rsidRPr="00F46C3F">
        <w:t>25,000 average annual daily vehicle trips</w:t>
      </w:r>
      <w:r w:rsidR="007B0B55">
        <w:t xml:space="preserve"> </w:t>
      </w:r>
      <w:r w:rsidR="002B1F22" w:rsidRPr="00F46C3F">
        <w:t>compared to a national average of 20%.</w:t>
      </w:r>
      <w:r w:rsidR="002B1F22">
        <w:t xml:space="preserve"> In addition to road design, d</w:t>
      </w:r>
      <w:r w:rsidR="002B1F22" w:rsidRPr="00F46C3F">
        <w:t xml:space="preserve">ifferent intersection types also have </w:t>
      </w:r>
      <w:r w:rsidR="002B1F22">
        <w:t>varying</w:t>
      </w:r>
      <w:r w:rsidR="002B1F22" w:rsidRPr="00F46C3F">
        <w:t xml:space="preserve"> </w:t>
      </w:r>
      <w:r w:rsidR="002B1F22">
        <w:t>impacts</w:t>
      </w:r>
      <w:r w:rsidR="002B1F22" w:rsidRPr="00F46C3F">
        <w:t xml:space="preserve"> on crash frequency.</w:t>
      </w:r>
      <w:r w:rsidR="002B1F22" w:rsidRPr="008340A5">
        <w:t xml:space="preserve"> </w:t>
      </w:r>
      <w:r w:rsidR="00D7445C">
        <w:t>Roll and McNeil (2022) observe</w:t>
      </w:r>
      <w:r w:rsidR="007B0B55">
        <w:t>d</w:t>
      </w:r>
      <w:r w:rsidR="00D7445C">
        <w:t xml:space="preserve"> that intersection density at a location reduces pedestrian crashes, while </w:t>
      </w:r>
      <w:proofErr w:type="spellStart"/>
      <w:r w:rsidR="002B1F22" w:rsidRPr="008340A5">
        <w:t>Dumbaugh</w:t>
      </w:r>
      <w:proofErr w:type="spellEnd"/>
      <w:r w:rsidR="002B1F22" w:rsidRPr="008340A5">
        <w:t xml:space="preserve"> and Li </w:t>
      </w:r>
      <w:r w:rsidR="002B1F22">
        <w:t>(</w:t>
      </w:r>
      <w:r w:rsidR="002B1F22" w:rsidRPr="008340A5">
        <w:t>2010</w:t>
      </w:r>
      <w:r w:rsidR="002B1F22">
        <w:t>) and</w:t>
      </w:r>
      <w:r w:rsidR="002B1F22" w:rsidRPr="008340A5">
        <w:t xml:space="preserve"> </w:t>
      </w:r>
      <w:proofErr w:type="spellStart"/>
      <w:r w:rsidR="002B1F22" w:rsidRPr="008340A5">
        <w:t>Ukkusuri</w:t>
      </w:r>
      <w:proofErr w:type="spellEnd"/>
      <w:r w:rsidR="002B1F22" w:rsidRPr="008340A5">
        <w:t xml:space="preserve"> et al. </w:t>
      </w:r>
      <w:r w:rsidR="002B1F22">
        <w:t>(</w:t>
      </w:r>
      <w:r w:rsidR="002B1F22" w:rsidRPr="008340A5">
        <w:t>201</w:t>
      </w:r>
      <w:r w:rsidR="00B51AC4">
        <w:t>1</w:t>
      </w:r>
      <w:r w:rsidR="002B1F22" w:rsidRPr="008340A5">
        <w:t>)</w:t>
      </w:r>
      <w:r w:rsidR="002B1F22" w:rsidRPr="00F46C3F">
        <w:t xml:space="preserve"> demonstrated that four- and five-way intersections were positively related to collisions</w:t>
      </w:r>
      <w:r w:rsidR="00D7445C">
        <w:t xml:space="preserve"> (and </w:t>
      </w:r>
      <w:r w:rsidR="002B1F22" w:rsidRPr="00F46C3F">
        <w:t>three-way intersections showed a negative association due to a smaller amount of conflicting traffic movements</w:t>
      </w:r>
      <w:r w:rsidR="00D7445C">
        <w:t>)</w:t>
      </w:r>
      <w:r w:rsidR="002B1F22" w:rsidRPr="00F46C3F">
        <w:t xml:space="preserve">. </w:t>
      </w:r>
      <w:r w:rsidR="002B1F22">
        <w:t>R</w:t>
      </w:r>
      <w:r w:rsidR="002B1F22" w:rsidRPr="00F46C3F">
        <w:t>esearchers have</w:t>
      </w:r>
      <w:r w:rsidR="007B0B55">
        <w:t xml:space="preserve"> also</w:t>
      </w:r>
      <w:r w:rsidR="002B1F22" w:rsidRPr="00F46C3F">
        <w:t xml:space="preserve"> noted </w:t>
      </w:r>
      <w:r w:rsidR="001562E1">
        <w:t xml:space="preserve">that </w:t>
      </w:r>
      <w:r w:rsidR="000E3967">
        <w:t xml:space="preserve">such </w:t>
      </w:r>
      <w:r w:rsidR="001562E1">
        <w:t>four-way or more</w:t>
      </w:r>
      <w:r w:rsidR="003B4361">
        <w:t>-</w:t>
      </w:r>
      <w:r w:rsidR="001562E1">
        <w:t xml:space="preserve">legged intersections are more likely to be present </w:t>
      </w:r>
      <w:r w:rsidR="002B1F22" w:rsidRPr="00F46C3F">
        <w:t>in disadvantaged neighborhoods</w:t>
      </w:r>
      <w:r w:rsidR="000E3967">
        <w:t xml:space="preserve"> (see, for example, Morency et al., 2012), though many such studies have viewed “disadvantaged” from the per</w:t>
      </w:r>
      <w:r w:rsidR="002A64E2">
        <w:t>s</w:t>
      </w:r>
      <w:r w:rsidR="000E3967">
        <w:t>pective of social disadvantage (i.e., low</w:t>
      </w:r>
      <w:r w:rsidR="003B4361">
        <w:t>-</w:t>
      </w:r>
      <w:r w:rsidR="000E3967">
        <w:t>income levels) and not racial disparities</w:t>
      </w:r>
      <w:r w:rsidR="00D61322">
        <w:t xml:space="preserve"> (see, for example, </w:t>
      </w:r>
      <w:bookmarkStart w:id="29" w:name="_Hlk109505709"/>
      <w:bookmarkStart w:id="30" w:name="_Hlk110163207"/>
      <w:r w:rsidR="00D61322" w:rsidRPr="00F46C3F">
        <w:fldChar w:fldCharType="begin" w:fldLock="1"/>
      </w:r>
      <w:r w:rsidR="0032030F">
        <w:instrText xml:space="preserve"> ADDIN ZOTERO_ITEM CSL_CITATION {"citationID":"rkZcoKFx","properties":{"formattedCitation":"(Gibbs et al., 2012; Sandt et al., 2016; Schultz et al., 2015; Thornton et al., 2016; Yu et al., 2018)","plainCitation":"(Gibbs et al., 2012; Sandt et al., 2016; Schultz et al., 2015; Thornton et al., 2016; Yu et al., 2018)","dontUpdate":true,"noteIndex":0},"citationItems":[{"id":"wB6ig8YL/2QORULGx","uris":["http://www.mendeley.com/documents/?uuid=c0712f89-4482-41c2-abf9-9072d540ce84"],"itemData":{"author":[{"dropping-particle":"","family":"Gibbs","given":"Kevin","non-dropping-particle":"","parse-names":false,"suffix":""},{"dropping-particle":"","family":"Slater","given":"Sandy J","non-dropping-particle":"","parse-names":false,"suffix":""},{"dropping-particle":"","family":"Nicholson","given":"L","non-dropping-particle":"","parse-names":false,"suffix":""},{"dropping-particle":"","family":"Barker","given":"D","non-dropping-particle":"","parse-names":false,"suffix":""},{"dropping-particle":"","family":"Chaloupka","given":"Frank J","non-dropping-particle":"","parse-names":false,"suffix":""}],"container-title":"Bridging the Gap Program","id":"ITEM-1","issued":{"date-parts":[["2012"]]},"title":"Income disparities in street features that encourage walking","type":"article-journal"}},{"id":395,"uris":["http://zotero.org/users/9292995/items/CHA9U8E4"],"itemData":{"id":395,"type":"article-journal","note":"publisher: Federal Highway Administration (US)","title":"Pursuing equity in pedestrian and bicycle planning","author":[{"family":"Sandt","given":"Laura"},{"family":"Combs","given":"Tabitha"},{"family":"Cohn","given":"Jesse"}],"issued":{"date-parts":[["2016"]]}}},{"id":"wB6ig8YL/JrJr0GSs","uris":["http://www.mendeley.com/documents/?uuid=6cc5c8ca-9829-4f3e-87d2-720fad620248"],"itemData":{"DOI":"10.1007/s11524-015-9979-7","ISSN":"1468-2869","abstract":"Infrastructure improvements such as pedestrian crosswalks that calm traffic and increase access to physical activity opportunities could alleviate important barriers to active living in underserved communities with outdated built environments. The purpose of this study was to explore how the built environment influences street-crossing behaviors and traffic speeds in a low-income neighborhood with barriers to active living in Columbia, Missouri. In 2013, a signalized pedestrian crosswalk and 400-ft-long median was constructed along a busy 5-lane, high-speed arterial highway linking low-income housing with a park and downtown areas. Data collection occurred prior to June 2012, and after June 2013, completion of the project at the intervention site and control site. Direct observation of street-crossing behaviors was performed at designated intersections/crosswalks or non-designated crossing points. Traffic volume and speed were captured using embedded magnetic traffic detectors. At the intervention site, designated crossings increased at the new crosswalk (p &lt; 0.001), but not at non-designated crossings (p = 0.52) or designated crossings at intersections (p = 0.41). At the control site, there was no change in designated crossings (p = 0.94) or non-designated crossings (p = 0.79). Motor vehicles traveling above the speed limit of 35 mph decreased from 62,056 (46 %) to 46,256 (35 %) (p &lt; 0.001) at the intervention site and increased from 57,891 (49 %) to 65,725 (59 %) (p &lt; 0.001) at the control site. The installation of a signalized crosswalk facilitated an increase in safe street crossings and calmed traffic volume and speed in an underserved neighborhood. We believe these findings have significant public health implications that could be critical to advocacy efforts to improve infrastructure projects in similar communities.","author":[{"dropping-particle":"","family":"Schultz","given":"Courtney L","non-dropping-particle":"","parse-names":false,"suffix":""},{"dropping-particle":"","family":"Sayers","given":"Stephen P","non-dropping-particle":"","parse-names":false,"suffix":""},{"dropping-particle":"","family":"Wilhelm Stanis","given":"Sonja A","non-dropping-particle":"","parse-names":false,"suffix":""},{"dropping-particle":"","family":"Thombs","given":"Lori A","non-dropping-particle":"","parse-names":false,"suffix":""},{"dropping-particle":"","family":"Thomas","given":"Ian M","non-dropping-particle":"","parse-names":false,"suffix":""},{"dropping-particle":"","family":"Canfield","given":"Shannon M","non-dropping-particle":"","parse-names":false,"suffix":""}],"container-title":"Journal of Urban Health","id":"ITEM-4","issue":"5","issued":{"date-parts":[["2015"]]},"page":"910-922","title":"The Impact of a Signalized Crosswalk on Traffic Speed and Street-Crossing Behaviors of Residents in an Underserved Neighborhood","type":"article-journal","volume":"92"}},{"id":"wB6ig8YL/uSdq3fLt","uris":["http://www.mendeley.com/documents/?uuid=731948ee-4fca-475c-af41-644eaa23deaa"],"itemData":{"DOI":"https://doi.org/10.1016/j.ssmph.2016.03.004","ISSN":"2352-8273","abstract":"Growing evidence suggests that microscale pedestrian environment features, such as sidewalk quality, crosswalks, and neighborhood esthetics, may affect residents’ physical activity. This study examined whether disparities in microscale pedestrian features existed between neighborhoods of differing socioeconomic and racial/ethnic composition. Using the validated Microscale Audit of Pedestrian Streetscapes (MAPS), pedestrian environment features were assessed by trained observers along 1/4-mile routes (N=2117) in neighborhoods in three US metropolitan regions (San Diego, Seattle, and Baltimore) during 2009–2010. Neighborhoods, defined as Census block groups, were selected to maximize variability in median income and macroscale walkability factors (e.g., density). Mixed-model linear regression analyses explored main and interaction effects of income and race/ethnicity separately by region. Across all three regions, low-income neighborhoods and neighborhoods with a high proportion of racial/ethnic minorities had poorer esthetics and social elements (e.g., graffiti, broken windows, litter) than neighborhoods with higher median income or fewer racial/ethnic minorities (p&lt;.05). However, there were also instances where neighborhoods with higher incomes and fewer racial/ethnic minorities had worse or absent pedestrian amenities such as sidewalks, crosswalks, and intersections (p&lt;.05). Overall, disparities in microscale pedestrian features occurred more frequently in residential as compared to mixed-use routes with one or more commercial destination. However, considerable variation existed between regions as to which microscale pedestrian features were unfavorable and whether the unfavorable features were associated with neighborhood income or racial/ethnic composition. The variation in pedestrian streetscapes across cities suggests that findings from single-city studies are not generalizable. Local streetscape audits are recommended to identify disparities and efficiently allocate pedestrian infrastructure resources to ensure access and physical activity opportunities for all residents, regardless of race, ethnicity, or income level.","author":[{"dropping-particle":"","family":"Thornton","given":"Christina M","non-dropping-particle":"","parse-names":false,"suffix":""},{"dropping-particle":"","family":"Conway","given":"Terry L","non-dropping-particle":"","parse-names":false,"suffix":""},{"dropping-particle":"","family":"Cain","given":"Kelli L","non-dropping-particle":"","parse-names":false,"suffix":""},{"dropping-particle":"","family":"Gavand","given":"Kavita A","non-dropping-particle":"","parse-names":false,"suffix":""},{"dropping-particle":"","family":"Saelens","given":"Brian E","non-dropping-particle":"","parse-names":false,"suffix":""},{"dropping-particle":"","family":"Frank","given":"Lawrence D","non-dropping-particle":"","parse-names":false,"suffix":""},{"dropping-particle":"","family":"Geremia","given":"Carrie M","non-dropping-particle":"","parse-names":false,"suffix":""},{"dropping-particle":"","family":"Glanz","given":"Karen","non-dropping-particle":"","parse-names":false,"suffix":""},{"dropping-particle":"","family":"King","given":"Abby C","non-dropping-particle":"","parse-names":false,"suffix":""},{"dropping-particle":"","family":"Sallis","given":"James F","non-dropping-particle":"","parse-names":false,"suffix":""}],"container-title":"SSM - Population Health","id":"ITEM-2","issued":{"date-parts":[["2016"]]},"page":"206-216","title":"Disparities in pedestrian streetscape environments by income and race/ethnicity","type":"article-journal","volume":"2"}},{"id":"wB6ig8YL/zbeVwiNy","uris":["http://www.mendeley.com/documents/?uuid=9f3a4191-88f7-43dd-baa2-23c27b8eeb45"],"itemData":{"DOI":"10.1177/0739456X18807759","ISSN":"0739-456X","abstract":"This study examined the impacts of built environments on pedestrian-vehicle crashes with different levels of severity and the income and racial disparities related to different crash injuries in Austin, Texas. Arterial roads and commercial areas were associated with more injurious crashes. The presence of schools had a positive association with both injurious and no-injury crashes but only in areas with high percentages of nonwhites and poverty. This implies the importance of planning that separates pedestrians from vehicles in mixed-traffic commercial environments. Schools in areas with high percentages of minorities and poverty should be given priority for improvements of pedestrian safety.","author":[{"dropping-particle":"","family":"Yu","given":"Chia-Yuan","non-dropping-particle":"","parse-names":false,"suffix":""},{"dropping-particle":"","family":"Zhu","given":"Xuemei","non-dropping-particle":"","parse-names":false,"suffix":""},{"dropping-particle":"","family":"Lee","given":"Chanam","non-dropping-particle":"","parse-names":false,"suffix":""}],"container-title":"Journal of Planning Education and Research","id":"ITEM-3","issued":{"date-parts":[["2018","10","31"]]},"note":"doi: 10.1177/0739456X18807759","page":"0739456X18807759","publisher":"SAGE Publications Inc","title":"Income and Racial Disparity and the Role of the Built Environment in Pedestrian Injuries","type":"article-journal"}}],"schema":"https://github.com/citation-style-language/schema/raw/master/csl-citation.json"} </w:instrText>
      </w:r>
      <w:r w:rsidR="00D61322" w:rsidRPr="00F46C3F">
        <w:fldChar w:fldCharType="separate"/>
      </w:r>
      <w:r w:rsidR="00D61322" w:rsidRPr="00093DCB">
        <w:t>Gibbs et al., 2012</w:t>
      </w:r>
      <w:r w:rsidR="00531C63">
        <w:t xml:space="preserve">, </w:t>
      </w:r>
      <w:r w:rsidR="00D61322" w:rsidRPr="00093DCB">
        <w:t>Sandt et al., 2016</w:t>
      </w:r>
      <w:r w:rsidR="00D61322">
        <w:t>,</w:t>
      </w:r>
      <w:r w:rsidR="00D61322" w:rsidRPr="00093DCB">
        <w:t xml:space="preserve"> Schultz et al., 2015</w:t>
      </w:r>
      <w:r w:rsidR="00D61322">
        <w:t>,</w:t>
      </w:r>
      <w:r w:rsidR="00D61322" w:rsidRPr="00093DCB">
        <w:t xml:space="preserve"> Yu et al., 20</w:t>
      </w:r>
      <w:r w:rsidR="0080109C">
        <w:t>22</w:t>
      </w:r>
      <w:r w:rsidR="00D61322" w:rsidRPr="00093DCB">
        <w:t>)</w:t>
      </w:r>
      <w:r w:rsidR="00D61322" w:rsidRPr="00F46C3F">
        <w:fldChar w:fldCharType="end"/>
      </w:r>
      <w:bookmarkEnd w:id="29"/>
      <w:r w:rsidR="002B1F22" w:rsidRPr="00F46C3F">
        <w:t>.</w:t>
      </w:r>
      <w:r w:rsidR="002B4BA6">
        <w:t xml:space="preserve"> </w:t>
      </w:r>
      <w:bookmarkEnd w:id="30"/>
      <w:r w:rsidR="00D61322">
        <w:t xml:space="preserve">In the current study, we specifically separate racial disparities from social disparities by examining BE characteristics based on race rather than income. This is an important difference from many earlier studies that examine the presence (or not) of adequate infrastructure based on low-income versus high-income neighborhoods. Thus, our first model is based on </w:t>
      </w:r>
      <w:r w:rsidR="007B0B55">
        <w:t xml:space="preserve">the </w:t>
      </w:r>
      <w:r w:rsidR="00D61322">
        <w:t>majority Black proportion</w:t>
      </w:r>
      <w:r w:rsidR="005228A1">
        <w:t xml:space="preserve"> in a CBG</w:t>
      </w:r>
      <w:r w:rsidR="00D61322">
        <w:t>, not majority low</w:t>
      </w:r>
      <w:r w:rsidR="003B4361">
        <w:t>-</w:t>
      </w:r>
      <w:r w:rsidR="00D61322">
        <w:t>income proportion. At the same time, in our analysis, we control for the “% low income” proportion</w:t>
      </w:r>
      <w:r w:rsidR="007B5D41">
        <w:t xml:space="preserve"> in a CBG</w:t>
      </w:r>
      <w:r w:rsidR="00D61322">
        <w:t xml:space="preserve">, </w:t>
      </w:r>
      <w:r w:rsidR="00B13FB5">
        <w:t xml:space="preserve">to reduce (if not eliminate) the </w:t>
      </w:r>
      <w:r w:rsidR="00D61322">
        <w:t xml:space="preserve">confounding of social disparity effects with racial disparity effects. </w:t>
      </w:r>
    </w:p>
    <w:p w14:paraId="64A002C6" w14:textId="77777777" w:rsidR="00740AF6" w:rsidRPr="002B4BA6" w:rsidRDefault="00740AF6" w:rsidP="00966F5E">
      <w:pPr>
        <w:spacing w:before="0" w:after="0" w:line="360" w:lineRule="auto"/>
        <w:ind w:firstLine="720"/>
        <w:rPr>
          <w:color w:val="000000" w:themeColor="text1"/>
          <w:highlight w:val="yellow"/>
        </w:rPr>
      </w:pPr>
    </w:p>
    <w:p w14:paraId="582026AA" w14:textId="7BDEA157" w:rsidR="002B1F22" w:rsidRPr="00F46C3F" w:rsidRDefault="002B1F22" w:rsidP="00966F5E">
      <w:pPr>
        <w:pStyle w:val="Heading3"/>
        <w:numPr>
          <w:ilvl w:val="2"/>
          <w:numId w:val="1"/>
        </w:numPr>
        <w:spacing w:before="0" w:line="360" w:lineRule="auto"/>
        <w:ind w:left="720"/>
      </w:pPr>
      <w:r>
        <w:t xml:space="preserve">Socio-Demographic </w:t>
      </w:r>
      <w:r w:rsidR="00BC05A9">
        <w:t xml:space="preserve">(SD) </w:t>
      </w:r>
      <w:r w:rsidR="007B5D41">
        <w:t>Factors</w:t>
      </w:r>
    </w:p>
    <w:p w14:paraId="3E7F9F72" w14:textId="17BC42CC" w:rsidR="00F648B3" w:rsidRDefault="002B1F22" w:rsidP="007D5556">
      <w:pPr>
        <w:spacing w:before="0" w:after="0" w:line="360" w:lineRule="auto"/>
        <w:ind w:firstLine="720"/>
        <w:rPr>
          <w:color w:val="000000" w:themeColor="text1"/>
        </w:rPr>
      </w:pPr>
      <w:r>
        <w:t>Earlier</w:t>
      </w:r>
      <w:r w:rsidRPr="00F46C3F">
        <w:t xml:space="preserve"> studies have </w:t>
      </w:r>
      <w:r>
        <w:t xml:space="preserve">also </w:t>
      </w:r>
      <w:r w:rsidRPr="00F46C3F">
        <w:t xml:space="preserve">discussed </w:t>
      </w:r>
      <w:r>
        <w:t xml:space="preserve">several other </w:t>
      </w:r>
      <w:r w:rsidRPr="00F46C3F">
        <w:t>demographic and economic f</w:t>
      </w:r>
      <w:r w:rsidR="007B5D41">
        <w:t>actors</w:t>
      </w:r>
      <w:r>
        <w:t xml:space="preserve"> in the context of pedestrian crashes,</w:t>
      </w:r>
      <w:r w:rsidRPr="00F46C3F">
        <w:t xml:space="preserve"> such as income, age composition, the lack of English language fluency, and education level </w:t>
      </w:r>
      <w:bookmarkStart w:id="31" w:name="_Hlk109505782"/>
      <w:r w:rsidRPr="00F46C3F">
        <w:fldChar w:fldCharType="begin" w:fldLock="1"/>
      </w:r>
      <w:r w:rsidR="0032030F">
        <w:instrText xml:space="preserve"> ADDIN ZOTERO_ITEM CSL_CITATION {"citationID":"yhqdGhJw","properties":{"formattedCitation":"(Chimba et al., 2018; Dai &amp; Jaworski, 2016; Guerra et al., 2019; Ukkusuri et al., 2012; Wier et al., 2009; Xie et al., 2017)","plainCitation":"(Chimba et al., 2018; Dai &amp; Jaworski, 2016; Guerra et al., 2019; Ukkusuri et al., 2012; Wier et al., 2009; Xie et al., 2017)","dontUpdate":true,"noteIndex":0},"citationItems":[{"id":401,"uris":["http://zotero.org/users/9292995/items/3W7J4ILU"],"itemData":{"id":401,"type":"article-journal","container-title":"Case studies on transport policy","ISSN":"2213-624X","issue":"1","journalAbbreviation":"Case studies on transport policy","note":"publisher: Elsevier","page":"11-16","title":"Associating pedestrian crashes with demographic and socioeconomic factors","volume":"6","author":[{"family":"Chimba","given":"Deo"},{"family":"Musinguzi","given":"Abram"},{"family":"Kidando","given":"Emmanuel"}],"issued":{"date-parts":[["2018"]]}}},{"id":394,"uris":["http://zotero.org/users/9292995/items/BVHWQ26N"],"itemData":{"id":394,"type":"article-journal","container-title":"Applied geography","ISSN":"0143-6228","journalAbbreviation":"Applied geography","note":"publisher: Elsevier","page":"53-61","title":"Influence of built environment on pedestrian crashes: A network-based GIS analysis","volume":"73","author":[{"family":"Dai","given":"Dajun"},{"family":"Jaworski","given":"Derek"}],"issued":{"date-parts":[["2016"]]}}},{"id":400,"uris":["http://zotero.org/users/9292995/items/NDTPD5KB"],"itemData":{"id":400,"type":"article-journal","container-title":"Journal of Planning Education and Research","ISSN":"0739-456X","journalAbbreviation":"Journal of Planning Education and Research","note":"publisher: SAGE Publications Sage CA: Los Angeles, CA","page":"0739456X19845043","title":"Do denser neighborhoods have safer streets? population density and traffic safety in the Philadelphia Region","author":[{"family":"Guerra","given":"Erick"},{"family":"Dong","given":"Xiaoxia"},{"family":"Kondo","given":"Michelle"}],"issued":{"date-parts":[["2019"]]}}},{"id":"wB6ig8YL/79Yx9975","uris":["http://www.mendeley.com/documents/?uuid=de0ae503-2832-4ca3-9f4d-e6077fdcc197"],"itemData":{"DOI":"https://doi.org/10.1016/j.ssci.2011.09.012","ISSN":"0925-7535","abstract":"This study investigates (i) the link of land use and road design on pedestrian safety and (ii) the effect of the level of spatial aggregation on the frequency of pedestrian accidents. For this purpose, pedestrian accident frequency models were developed for New York City based on an extensive dataset collected from different sources over a period of 5 years. The assembled dataset provides a rich source of variables (land-use, demographics, transit supply, road network and travel characteristics) and two different crash frequency outcomes: total and fatal-only collision counts. Among other things, it was observed that the census tract analysis (disaggregate data) provides more insightful and consistent results than the analysis at the zip code level. The results indicate that tracts with greater fraction of industrial, commercial, and open land use types have greater likelihood for crashes while tracts with a greater fraction of residential land use have significantly lower likelihood of pedestrian crashes. Moreover, census tracts that have a greater number of schools and transit stops – which are determinants of pedestrian activity – are more likely to have greater crashes. Results also show that the likelihood of pedestrian–vehicle collision increases with the number of lanes and road width. This suggests that retrofitting or narrowing the roads could possibly reduce the risk of pedestrian crashes.","author":[{"dropping-particle":"","family":"Ukkusuri","given":"Satish","non-dropping-particle":"","parse-names":false,"suffix":""},{"dropping-particle":"","family":"Miranda-Moreno","given":"Luis F","non-dropping-particle":"","parse-names":false,"suffix":""},{"dropping-particle":"","family":"Ramadurai","given":"Gitakrishnan","non-dropping-particle":"","parse-names":false,"suffix":""},{"dropping-particle":"","family":"Isa-Tavarez","given":"Jhael","non-dropping-particle":"","parse-names":false,"suffix":""}],"container-title":"Safety Science","id":"ITEM-1","issue":"4","issued":{"date-parts":[["2012"]]},"page":"1141-1151","title":"The role of built environment on pedestrian crash frequency","type":"article-journal","volume":"50"}},{"id":"wB6ig8YL/VGI4VfDW","uris":["http://www.mendeley.com/documents/?uuid=02fee4a3-3403-455f-9c1e-c0928f59dc2c"],"itemData":{"ISSN":"0001-4575","author":[{"dropping-particle":"","family":"Wier","given":"Megan","non-dropping-particle":"","parse-names":false,"suffix":""},{"dropping-particle":"","family":"Weintraub","given":"June","non-dropping-particle":"","parse-names":false,"suffix":""},{"dropping-particle":"","family":"Humphreys","given":"Elizabeth H","non-dropping-particle":"","parse-names":false,"suffix":""},{"dropping-particle":"","family":"Seto","given":"Edmund","non-dropping-particle":"","parse-names":false,"suffix":""},{"dropping-particle":"","family":"Bhatia","given":"Rajiv","non-dropping-particle":"","parse-names":false,"suffix":""}],"container-title":"Accident Analysis &amp; Prevention","id":"SU1Fz0xT/yXXL87lK","issue":"1","issued":{"date-parts":[["2009"]]},"page":"137-145","publisher":"Elsevier","title":"An area-level model of vehicle-pedestrian injury collisions with implications for land use and transportation planning","type":"article-journal","volume":"41"}},{"id":"wB6ig8YL/OPBF8GSH","uris":["http://www.mendeley.com/documents/?uuid=2c3d28e5-7913-4f2e-b351-56a35767356e"],"itemData":{"DOI":"https://doi.org/10.1111/risa.12785","ISSN":"0272-4332","abstract":"This study aims to explore the potential of using big data in advancing the pedestrian risk analysis including the investigation of contributing factors and the hotspot identification. Massive amounts of data of Manhattan from a variety of sources were collected, integrated, and processed, including taxi trips, subway turnstile counts, traffic volumes, road network, land use, sociodemographic, and social media data. The whole study area was uniformly split into grid cells as the basic geographical units of analysis. The cell-structured framework makes it easy to incorporate rich and diversified data into risk analysis. The cost of each crash, weighted by injury severity, was assigned to the cells based on the relative distance to the crash site using a kernel density function. A tobit model was developed to relate grid-cell-specific contributing factors to crash costs that are left-censored at zero. The potential for safety improvement (PSI) that could be obtained by using the actual crash cost minus the cost of ?similar? sites estimated by the tobit model was used as a measure to identify and rank pedestrian crash hotspots. The proposed hotspot identification method takes into account two important factors that are generally ignored, i.e., injury severity and effects of exposure indicators. Big data, on the one hand, enable more precise estimation of the effects of risk factors by providing richer data for modeling, and on the other hand, enable large-scale hotspot identification with higher resolution than conventional methods based on census tracts or traffic analysis zones.","author":[{"dropping-particle":"","family":"Xie","given":"Kun","non-dropping-particle":"","parse-names":false,"suffix":""},{"dropping-particle":"","family":"Ozbay","given":"Kaan","non-dropping-particle":"","parse-names":false,"suffix":""},{"dropping-particle":"","family":"Kurkcu","given":"Abdullah","non-dropping-particle":"","parse-names":false,"suffix":""},{"dropping-particle":"","family":"Yang","given":"Hong","non-dropping-particle":"","parse-names":false,"suffix":""}],"container-title":"Risk Analysis","id":"ITEM-2","issue":"8","issued":{"date-parts":[["2017","8","1"]]},"note":"https://doi.org/10.1111/risa.12785","page":"1459-1476","publisher":"John Wiley &amp; Sons, Ltd","title":"Analysis of Traffic Crashes Involving Pedestrians Using Big Data: Investigation of Contributing Factors and Identification of Hotspots","type":"article-journal","volume":"37"}}],"schema":"https://github.com/citation-style-language/schema/raw/master/csl-citation.json"} </w:instrText>
      </w:r>
      <w:r w:rsidRPr="00F46C3F">
        <w:fldChar w:fldCharType="separate"/>
      </w:r>
      <w:r w:rsidRPr="005C4A65">
        <w:t xml:space="preserve">(Dai </w:t>
      </w:r>
      <w:r>
        <w:t>and</w:t>
      </w:r>
      <w:r w:rsidRPr="005C4A65">
        <w:t xml:space="preserve"> Jaworski, 2016</w:t>
      </w:r>
      <w:r w:rsidR="005E588A">
        <w:t>;</w:t>
      </w:r>
      <w:r w:rsidRPr="005C4A65">
        <w:t xml:space="preserve"> Guerra et al., 2019</w:t>
      </w:r>
      <w:r w:rsidR="005E588A">
        <w:t>;</w:t>
      </w:r>
      <w:r w:rsidRPr="005C4A65">
        <w:t xml:space="preserve"> Ukkusuri et al., 2012</w:t>
      </w:r>
      <w:r w:rsidR="005E588A">
        <w:t>;</w:t>
      </w:r>
      <w:r w:rsidRPr="005C4A65">
        <w:t xml:space="preserve"> Wier et al., 2009</w:t>
      </w:r>
      <w:r w:rsidR="005E588A">
        <w:t>;</w:t>
      </w:r>
      <w:r w:rsidRPr="005C4A65">
        <w:t xml:space="preserve"> </w:t>
      </w:r>
      <w:r w:rsidR="00D7445C">
        <w:t>Roll and McNeil, 2022</w:t>
      </w:r>
      <w:r w:rsidRPr="005C4A65">
        <w:t>)</w:t>
      </w:r>
      <w:r w:rsidRPr="00F46C3F">
        <w:fldChar w:fldCharType="end"/>
      </w:r>
      <w:r w:rsidRPr="00F46C3F">
        <w:t xml:space="preserve">. </w:t>
      </w:r>
      <w:bookmarkEnd w:id="31"/>
      <w:r w:rsidRPr="00F46C3F">
        <w:t xml:space="preserve">Higher crash risks are experienced </w:t>
      </w:r>
      <w:r>
        <w:t>in</w:t>
      </w:r>
      <w:r w:rsidRPr="00F46C3F">
        <w:t xml:space="preserve"> zones with higher percentages of young populations</w:t>
      </w:r>
      <w:r w:rsidR="007B5D41">
        <w:t>,</w:t>
      </w:r>
      <w:r w:rsidRPr="00F46C3F">
        <w:t xml:space="preserve"> which may be </w:t>
      </w:r>
      <w:r w:rsidRPr="00F46C3F">
        <w:rPr>
          <w:color w:val="000000" w:themeColor="text1"/>
        </w:rPr>
        <w:t xml:space="preserve">alarming because young people make up a greater proportion of the population in minority communities </w:t>
      </w:r>
      <w:r w:rsidRPr="00F46C3F">
        <w:rPr>
          <w:color w:val="000000" w:themeColor="text1"/>
        </w:rPr>
        <w:fldChar w:fldCharType="begin" w:fldLock="1"/>
      </w:r>
      <w:r w:rsidR="00D34B3C">
        <w:rPr>
          <w:color w:val="000000" w:themeColor="text1"/>
        </w:rPr>
        <w:instrText xml:space="preserve"> ADDIN ZOTERO_ITEM CSL_CITATION {"citationID":"8zdjfNC9","properties":{"formattedCitation":"(Hamann et al., 2020b; Ukkusuri et al., 2011)","plainCitation":"(Hamann et al., 2020b; Ukkusuri et al., 2011)","noteIndex":0},"citationItems":[{"id":"wB6ig8YL/hvEsLNyr","uris":["http://www.mendeley.com/documents/?uuid=45559c14-b713-44fc-b30e-d670d15d40aa"],"itemData":{"DOI":"10.1186/s12889-020-09513-8","ISSN":"1471-2458","abstract":"Racial/ethnic disparity has been documented in a wide variety of health outcomes, and environmental components are contributors. For example, food deserts have been tied to obesity rates. Pedestrian injuries are strongly tied to environmental factors, yet no studies have examined racial disparity in pedestrian injury rates. We examine a nationally-representative sample of pedestrian-related hospitalizations in the United States to identify differences in incidence, severity, and cost by race/ethnicity.","author":[{"dropping-particle":"","family":"Hamann","given":"Cara","non-dropping-particle":"","parse-names":false,"suffix":""},{"dropping-particle":"","family":"Peek-Asa","given":"Corinne","non-dropping-particle":"","parse-names":false,"suffix":""},{"dropping-particle":"","family":"Butcher","given":"Brandon","non-dropping-particle":"","parse-names":false,"suffix":""}],"container-title":"BMC Public Health","id":"ITEM-1","issue":"1","issued":{"date-parts":[["2020"]]},"page":"1459","title":"Racial disparities in pedestrian-related injury hospitalizations in the United States","type":"article-journal","volume":"20"}},{"id":"wB6ig8YL/gyfLbTBr","uris":["http://www.mendeley.com/documents/?uuid=ecd48388-742b-402d-bbcd-44c3b6584bfb"],"itemData":{"DOI":"10.3141/2237-11","ISSN":"0361-1981","abstract":"Pedestrian safety has been a major concern for megacities such as New York City. Although pedestrian fatalities show a downward trend, these fatalities constitute a high percentage of overall traffic fatalities in the city. Data from New York City were used to study the factors that influence the frequency of pedestrian crashes. Specifically, a random parameter, negative binomial model was developed for predicting pedestrian crash frequencies at the census tract level. This approach allows the incorporation of unobserved heterogeneity across the spatial zones in the modeling process. The influences of a comprehensive set of variables describing the sociodemographic and built-environment characteristics on pedestrian crashes are reported. Several parameters in the model were found to be random, which indicates their heterogeneous influence on the numbers of pedestrian crashes. Overall, these findings can help frame better policies to improve pedestrian safety.","author":[{"dropping-particle":"","family":"Ukkusuri","given":"Satish","non-dropping-particle":"","parse-names":false,"suffix":""},{"dropping-particle":"","family":"Hasan","given":"Samiul","non-dropping-particle":"","parse-names":false,"suffix":""},{"dropping-particle":"","family":"Aziz","given":"H M Abdul","non-dropping-particle":"","parse-names":false,"suffix":""}],"container-title":"Transportation Research Record","id":"ITEM-2","issue":"1","issued":{"date-parts":[["2011","1","1"]]},"note":"doi: 10.3141/2237-11","page":"98-106","publisher":"SAGE Publications Inc","title":"Random Parameter Model Used to Explain Effects of Built-Environment Characteristics on Pedestrian Crash Frequency","type":"article-journal","volume":"2237"}}],"schema":"https://github.com/citation-style-language/schema/raw/master/csl-citation.json"} </w:instrText>
      </w:r>
      <w:r w:rsidRPr="00F46C3F">
        <w:rPr>
          <w:color w:val="000000" w:themeColor="text1"/>
        </w:rPr>
        <w:fldChar w:fldCharType="separate"/>
      </w:r>
      <w:r w:rsidR="00D34B3C" w:rsidRPr="00D34B3C">
        <w:t>(Hamann et al., 2020; Ukkusuri et al., 2011)</w:t>
      </w:r>
      <w:r w:rsidRPr="00F46C3F">
        <w:rPr>
          <w:color w:val="000000" w:themeColor="text1"/>
        </w:rPr>
        <w:fldChar w:fldCharType="end"/>
      </w:r>
      <w:r>
        <w:rPr>
          <w:color w:val="000000" w:themeColor="text1"/>
        </w:rPr>
        <w:t xml:space="preserve">. </w:t>
      </w:r>
      <w:proofErr w:type="spellStart"/>
      <w:r w:rsidRPr="00CD1657">
        <w:rPr>
          <w:color w:val="000000" w:themeColor="text1"/>
        </w:rPr>
        <w:t>Cottrill</w:t>
      </w:r>
      <w:proofErr w:type="spellEnd"/>
      <w:r w:rsidRPr="00CD1657">
        <w:rPr>
          <w:color w:val="000000" w:themeColor="text1"/>
        </w:rPr>
        <w:t xml:space="preserve"> </w:t>
      </w:r>
      <w:r>
        <w:rPr>
          <w:color w:val="000000" w:themeColor="text1"/>
        </w:rPr>
        <w:t>and</w:t>
      </w:r>
      <w:r w:rsidRPr="00CD1657">
        <w:rPr>
          <w:color w:val="000000" w:themeColor="text1"/>
        </w:rPr>
        <w:t xml:space="preserve"> </w:t>
      </w:r>
      <w:proofErr w:type="spellStart"/>
      <w:r w:rsidRPr="00CD1657">
        <w:rPr>
          <w:color w:val="000000" w:themeColor="text1"/>
        </w:rPr>
        <w:t>Thakuriah</w:t>
      </w:r>
      <w:proofErr w:type="spellEnd"/>
      <w:r>
        <w:rPr>
          <w:color w:val="000000" w:themeColor="text1"/>
        </w:rPr>
        <w:t xml:space="preserve"> (</w:t>
      </w:r>
      <w:r w:rsidRPr="00CD1657">
        <w:rPr>
          <w:color w:val="000000" w:themeColor="text1"/>
        </w:rPr>
        <w:t xml:space="preserve">2010) </w:t>
      </w:r>
      <w:r>
        <w:rPr>
          <w:color w:val="000000" w:themeColor="text1"/>
        </w:rPr>
        <w:t>investigated the factors contributing to pedestrian crashes and compared crash frequencies between environmental justice (EJ) and non-EJ areas</w:t>
      </w:r>
      <w:r w:rsidR="00885A1B" w:rsidRPr="00D909B5">
        <w:rPr>
          <w:rStyle w:val="FootnoteReference"/>
        </w:rPr>
        <w:footnoteReference w:id="3"/>
      </w:r>
      <w:r>
        <w:rPr>
          <w:color w:val="000000" w:themeColor="text1"/>
        </w:rPr>
        <w:t xml:space="preserve">; they found that </w:t>
      </w:r>
      <w:r>
        <w:rPr>
          <w:color w:val="000000" w:themeColor="text1"/>
        </w:rPr>
        <w:lastRenderedPageBreak/>
        <w:t>pedestrian crashes are more frequent in EJ areas and are associated with higher crime rates and low income. Moreover, d</w:t>
      </w:r>
      <w:r w:rsidRPr="00F46C3F">
        <w:rPr>
          <w:color w:val="000000" w:themeColor="text1"/>
        </w:rPr>
        <w:t>isadvantaged</w:t>
      </w:r>
      <w:r w:rsidR="00A25E9B">
        <w:rPr>
          <w:color w:val="000000" w:themeColor="text1"/>
        </w:rPr>
        <w:t xml:space="preserve"> </w:t>
      </w:r>
      <w:r w:rsidRPr="00F46C3F">
        <w:rPr>
          <w:color w:val="000000" w:themeColor="text1"/>
        </w:rPr>
        <w:t>groups</w:t>
      </w:r>
      <w:r w:rsidR="00A25E9B">
        <w:rPr>
          <w:color w:val="000000" w:themeColor="text1"/>
        </w:rPr>
        <w:t>, which include</w:t>
      </w:r>
      <w:r w:rsidR="00A25E9B" w:rsidRPr="00A25E9B">
        <w:t xml:space="preserve"> </w:t>
      </w:r>
      <w:r w:rsidR="00A25E9B" w:rsidRPr="00A25E9B">
        <w:rPr>
          <w:color w:val="000000" w:themeColor="text1"/>
        </w:rPr>
        <w:t>low</w:t>
      </w:r>
      <w:r w:rsidR="00A25E9B">
        <w:rPr>
          <w:color w:val="000000" w:themeColor="text1"/>
        </w:rPr>
        <w:t>-</w:t>
      </w:r>
      <w:r w:rsidR="00A25E9B" w:rsidRPr="00A25E9B">
        <w:rPr>
          <w:color w:val="000000" w:themeColor="text1"/>
        </w:rPr>
        <w:t>income</w:t>
      </w:r>
      <w:r w:rsidR="00A25E9B">
        <w:rPr>
          <w:color w:val="000000" w:themeColor="text1"/>
        </w:rPr>
        <w:t xml:space="preserve"> and</w:t>
      </w:r>
      <w:r w:rsidR="00A25E9B" w:rsidRPr="00A25E9B">
        <w:rPr>
          <w:color w:val="000000" w:themeColor="text1"/>
        </w:rPr>
        <w:t xml:space="preserve"> racial/ethnic minorities,</w:t>
      </w:r>
      <w:r w:rsidRPr="00F46C3F">
        <w:rPr>
          <w:color w:val="000000" w:themeColor="text1"/>
        </w:rPr>
        <w:t xml:space="preserve"> are also more likely to have lower levels of education</w:t>
      </w:r>
      <w:r w:rsidR="00836224">
        <w:rPr>
          <w:color w:val="000000" w:themeColor="text1"/>
        </w:rPr>
        <w:t>,</w:t>
      </w:r>
      <w:r w:rsidRPr="00F46C3F">
        <w:rPr>
          <w:color w:val="000000" w:themeColor="text1"/>
        </w:rPr>
        <w:t xml:space="preserve"> resulting in labor and physically demanding jobs that may require traveling during adverse conditions that increase the likelihood of being involved in crashes </w:t>
      </w:r>
      <w:bookmarkStart w:id="32" w:name="_Hlk110163366"/>
      <w:r w:rsidRPr="00F46C3F">
        <w:rPr>
          <w:color w:val="000000" w:themeColor="text1"/>
        </w:rPr>
        <w:fldChar w:fldCharType="begin" w:fldLock="1"/>
      </w:r>
      <w:r w:rsidR="0032030F">
        <w:rPr>
          <w:color w:val="000000" w:themeColor="text1"/>
        </w:rPr>
        <w:instrText xml:space="preserve"> ADDIN ZOTERO_ITEM CSL_CITATION {"citationID":"8oFliCDX","properties":{"formattedCitation":"(Adkins et al., 2017; Hamdan, 2013)","plainCitation":"(Adkins et al., 2017; Hamdan, 2013)","dontUpdate":true,"noteIndex":0},"citationItems":[{"id":"wB6ig8YL/s07HIyx4","uris":["http://www.mendeley.com/documents/?uuid=fc6c2cdc-9e2f-4652-b5d4-53a42941cc76"],"itemData":{"DOI":"10.1080/01944363.2017.1322527","ISSN":"0194-4363","author":[{"dropping-particle":"","family":"Adkins","given":"Arlie","non-dropping-particle":"","parse-names":false,"suffix":""},{"dropping-particle":"","family":"Makarewicz","given":"Carrie","non-dropping-particle":"","parse-names":false,"suffix":""},{"dropping-particle":"","family":"Scanze","given":"Michele","non-dropping-particle":"","parse-names":false,"suffix":""},{"dropping-particle":"","family":"Ingram","given":"Maia","non-dropping-particle":"","parse-names":false,"suffix":""},{"dropping-particle":"","family":"Luhr","given":"Gretchen","non-dropping-particle":"","parse-names":false,"suffix":""}],"container-title":"Journal of the American Planning Association","id":"ITEM-1","issue":"3","issued":{"date-parts":[["2017","7","3"]]},"note":"doi: 10.1080/01944363.2017.1322527","page":"296-314","publisher":"Routledge","title":"Contextualizing Walkability: Do Relationships Between Built Environments and Walking Vary by Socioeconomic Context?","type":"article-journal","volume":"83"}},{"id":"wB6ig8YL/E5S2wYlm","uris":["http://www.mendeley.com/documents/?uuid=88915e2f-7f11-4a30-9d3c-8d119abcc3a2"],"itemData":{"author":[{"dropping-particle":"","family":"Hamdan","given":"Huda","non-dropping-particle":"","parse-names":false,"suffix":""}],"id":"ITEM-2","issued":{"date-parts":[["2013"]]},"title":"Racial/Ethnic Differences in Fatality Rates from Motor Vehicle Crashes: An Analysis from a Behavioral and Cultural Perspective","type":"article-journal"}}],"schema":"https://github.com/citation-style-language/schema/raw/master/csl-citation.json"} </w:instrText>
      </w:r>
      <w:r w:rsidRPr="00F46C3F">
        <w:rPr>
          <w:color w:val="000000" w:themeColor="text1"/>
        </w:rPr>
        <w:fldChar w:fldCharType="separate"/>
      </w:r>
      <w:r w:rsidRPr="00093DCB">
        <w:t>(Adkins et al., 2017</w:t>
      </w:r>
      <w:r w:rsidR="005E588A">
        <w:t>;</w:t>
      </w:r>
      <w:r w:rsidRPr="00093DCB">
        <w:t xml:space="preserve"> Hamdan, 2013)</w:t>
      </w:r>
      <w:r w:rsidRPr="00F46C3F">
        <w:rPr>
          <w:color w:val="000000" w:themeColor="text1"/>
        </w:rPr>
        <w:fldChar w:fldCharType="end"/>
      </w:r>
      <w:bookmarkEnd w:id="32"/>
      <w:r w:rsidRPr="00F46C3F">
        <w:rPr>
          <w:color w:val="000000" w:themeColor="text1"/>
        </w:rPr>
        <w:t xml:space="preserve">. </w:t>
      </w:r>
      <w:r w:rsidRPr="007B0B55">
        <w:rPr>
          <w:color w:val="000000" w:themeColor="text1"/>
        </w:rPr>
        <w:t>Thus, evidence from earlier studies clearly allude</w:t>
      </w:r>
      <w:r w:rsidR="00781480" w:rsidRPr="007B0B55">
        <w:rPr>
          <w:color w:val="000000" w:themeColor="text1"/>
        </w:rPr>
        <w:t>s</w:t>
      </w:r>
      <w:r w:rsidRPr="007B0B55">
        <w:rPr>
          <w:color w:val="000000" w:themeColor="text1"/>
        </w:rPr>
        <w:t xml:space="preserve"> to the close association of </w:t>
      </w:r>
      <w:r w:rsidR="003B4361" w:rsidRPr="007B0B55">
        <w:rPr>
          <w:color w:val="000000" w:themeColor="text1"/>
        </w:rPr>
        <w:t xml:space="preserve">the </w:t>
      </w:r>
      <w:r w:rsidRPr="007B0B55">
        <w:rPr>
          <w:color w:val="000000" w:themeColor="text1"/>
        </w:rPr>
        <w:t>sociodemographic composition</w:t>
      </w:r>
      <w:r>
        <w:rPr>
          <w:color w:val="000000" w:themeColor="text1"/>
        </w:rPr>
        <w:t xml:space="preserve"> of a region or zone with pedestrian crash risk, suggesting the importance of including such variables while analyzing race-based pedestrian accident frequencies. </w:t>
      </w:r>
    </w:p>
    <w:p w14:paraId="0348EC02" w14:textId="77777777" w:rsidR="00922E43" w:rsidRDefault="00922E43" w:rsidP="00966F5E">
      <w:pPr>
        <w:spacing w:before="0" w:after="0" w:line="360" w:lineRule="auto"/>
        <w:rPr>
          <w:color w:val="000000" w:themeColor="text1"/>
        </w:rPr>
      </w:pPr>
    </w:p>
    <w:p w14:paraId="1CE2ABC9" w14:textId="77777777" w:rsidR="00922E43" w:rsidRDefault="00A25E9B" w:rsidP="00966F5E">
      <w:pPr>
        <w:pStyle w:val="Heading2"/>
        <w:spacing w:before="0" w:line="360" w:lineRule="auto"/>
      </w:pPr>
      <w:r>
        <w:t xml:space="preserve"> </w:t>
      </w:r>
      <w:r w:rsidR="001D7941">
        <w:t>The Current Study</w:t>
      </w:r>
    </w:p>
    <w:p w14:paraId="39E4F189" w14:textId="76D8DF04" w:rsidR="006C3943" w:rsidRDefault="00002EF7" w:rsidP="005C0331">
      <w:pPr>
        <w:pBdr>
          <w:top w:val="nil"/>
          <w:left w:val="nil"/>
          <w:bottom w:val="nil"/>
          <w:right w:val="nil"/>
          <w:between w:val="nil"/>
        </w:pBdr>
        <w:spacing w:before="0" w:after="0" w:line="360" w:lineRule="auto"/>
        <w:ind w:firstLine="720"/>
      </w:pPr>
      <w:r>
        <w:t>In this study</w:t>
      </w:r>
      <w:r w:rsidR="003B4361">
        <w:t>,</w:t>
      </w:r>
      <w:r>
        <w:t xml:space="preserve"> we analyze the framework presented in Figure 1. </w:t>
      </w:r>
      <w:r w:rsidRPr="00002EF7">
        <w:t>As discussed in the</w:t>
      </w:r>
      <w:r>
        <w:t xml:space="preserve"> previous </w:t>
      </w:r>
      <w:r w:rsidRPr="00002EF7">
        <w:t xml:space="preserve">section, pedestrian safety literature </w:t>
      </w:r>
      <w:r w:rsidRPr="007B0B55">
        <w:t xml:space="preserve">categorizes the factors that affect the count of pedestrian crashes into </w:t>
      </w:r>
      <w:r w:rsidR="00F63924">
        <w:t xml:space="preserve">crash </w:t>
      </w:r>
      <w:r w:rsidRPr="007B0B55">
        <w:t>risk exposure</w:t>
      </w:r>
      <w:r w:rsidR="00F63924">
        <w:t xml:space="preserve"> (CE)</w:t>
      </w:r>
      <w:r w:rsidRPr="007B0B55">
        <w:t xml:space="preserve">, cultural, </w:t>
      </w:r>
      <w:r w:rsidR="004D4EFA" w:rsidRPr="007B0B55">
        <w:t xml:space="preserve">built </w:t>
      </w:r>
      <w:r w:rsidR="00F63924">
        <w:t>environment (BE)</w:t>
      </w:r>
      <w:r w:rsidRPr="007B0B55">
        <w:t>, and sociodemographic</w:t>
      </w:r>
      <w:r w:rsidR="00F63924">
        <w:t xml:space="preserve"> (SD)</w:t>
      </w:r>
      <w:r w:rsidRPr="007B0B55">
        <w:t xml:space="preserve"> factors</w:t>
      </w:r>
      <w:r w:rsidRPr="00002EF7">
        <w:t xml:space="preserve">. The combination of variables within these categories </w:t>
      </w:r>
      <w:r w:rsidR="003B4361">
        <w:t>is</w:t>
      </w:r>
      <w:r w:rsidRPr="00002EF7">
        <w:t xml:space="preserve"> used </w:t>
      </w:r>
      <w:r>
        <w:t xml:space="preserve">to </w:t>
      </w:r>
      <w:r w:rsidR="00781480">
        <w:t xml:space="preserve">estimate </w:t>
      </w:r>
      <w:r>
        <w:t xml:space="preserve">three distinct </w:t>
      </w:r>
      <w:r w:rsidR="00781480">
        <w:t xml:space="preserve">models. </w:t>
      </w:r>
      <w:r w:rsidR="00781480" w:rsidRPr="00922E43">
        <w:rPr>
          <w:u w:val="single"/>
        </w:rPr>
        <w:t>First</w:t>
      </w:r>
      <w:r w:rsidR="00781480">
        <w:t xml:space="preserve">, </w:t>
      </w:r>
      <w:r w:rsidR="00A503F8">
        <w:t>we</w:t>
      </w:r>
      <w:r w:rsidR="00B13FB5">
        <w:t xml:space="preserve"> i</w:t>
      </w:r>
      <w:r w:rsidR="00770A92">
        <w:t>nvestigate</w:t>
      </w:r>
      <w:r w:rsidR="00FB0D08">
        <w:t xml:space="preserve"> disparities in </w:t>
      </w:r>
      <w:r w:rsidR="00FB0D08" w:rsidRPr="00002EF7">
        <w:t>CE, cultural, BE, and SD characteristics</w:t>
      </w:r>
      <w:r w:rsidR="00FB0D08">
        <w:t xml:space="preserve"> between </w:t>
      </w:r>
      <w:r w:rsidR="00FB0D08" w:rsidRPr="00922E43">
        <w:rPr>
          <w:i/>
        </w:rPr>
        <w:t>MB</w:t>
      </w:r>
      <w:r w:rsidR="00FB0D08">
        <w:t xml:space="preserve"> and </w:t>
      </w:r>
      <w:r w:rsidR="00FB0D08" w:rsidRPr="00922E43">
        <w:rPr>
          <w:i/>
        </w:rPr>
        <w:t>NMB</w:t>
      </w:r>
      <w:r w:rsidR="00FB0D08">
        <w:t xml:space="preserve">CBGs. </w:t>
      </w:r>
      <w:r w:rsidR="005228A1">
        <w:t xml:space="preserve">For this analysis, we use the </w:t>
      </w:r>
      <w:r w:rsidR="005228A1" w:rsidRPr="00966F5E">
        <w:rPr>
          <w:i/>
        </w:rPr>
        <w:t>MB</w:t>
      </w:r>
      <w:r w:rsidR="005228A1">
        <w:t xml:space="preserve"> CBG dummy variable as the dependent binary variable</w:t>
      </w:r>
      <w:r w:rsidR="006C3943">
        <w:t xml:space="preserve"> </w:t>
      </w:r>
      <w:r w:rsidR="00F63924">
        <w:t xml:space="preserve">and investigate </w:t>
      </w:r>
      <w:r w:rsidR="005228A1">
        <w:t xml:space="preserve">the factors that distinguish </w:t>
      </w:r>
      <w:r w:rsidR="00E9366E" w:rsidRPr="00966F5E">
        <w:rPr>
          <w:i/>
        </w:rPr>
        <w:t>MB</w:t>
      </w:r>
      <w:r w:rsidR="00E9366E">
        <w:t xml:space="preserve"> CBGs from </w:t>
      </w:r>
      <w:r w:rsidR="00E9366E" w:rsidRPr="00966F5E">
        <w:rPr>
          <w:i/>
        </w:rPr>
        <w:t>NMB</w:t>
      </w:r>
      <w:r w:rsidR="00E9366E">
        <w:t xml:space="preserve"> CBGs. </w:t>
      </w:r>
      <w:r w:rsidR="00FB0D08">
        <w:t xml:space="preserve">Unlike many other studies that focus on social disparity, our emphasis is on racial disparity. </w:t>
      </w:r>
      <w:bookmarkStart w:id="33" w:name="_Hlk116976046"/>
      <w:r w:rsidR="00FB0D08">
        <w:t xml:space="preserve">In fact, to our knowledge, this is the first multivariate modeling study of racial disparity highlighting the difference between </w:t>
      </w:r>
      <w:r w:rsidR="00FB0D08" w:rsidRPr="00922E43">
        <w:rPr>
          <w:i/>
        </w:rPr>
        <w:t>MB</w:t>
      </w:r>
      <w:r w:rsidR="00FB0D08">
        <w:t xml:space="preserve"> and </w:t>
      </w:r>
      <w:r w:rsidR="00FB0D08" w:rsidRPr="00922E43">
        <w:rPr>
          <w:i/>
        </w:rPr>
        <w:t>NMB</w:t>
      </w:r>
      <w:r w:rsidR="00FB0D08">
        <w:t xml:space="preserve"> CBGs.</w:t>
      </w:r>
      <w:bookmarkEnd w:id="33"/>
      <w:r w:rsidR="00FB0D08">
        <w:t xml:space="preserve"> </w:t>
      </w:r>
      <w:r w:rsidR="00770A92" w:rsidRPr="00922E43">
        <w:rPr>
          <w:u w:val="single"/>
        </w:rPr>
        <w:t>Second</w:t>
      </w:r>
      <w:r w:rsidR="00770A92">
        <w:t xml:space="preserve">, </w:t>
      </w:r>
      <w:r w:rsidR="00A503F8">
        <w:t xml:space="preserve">we </w:t>
      </w:r>
      <w:r w:rsidR="00FB0D08">
        <w:t xml:space="preserve">use the </w:t>
      </w:r>
      <w:r w:rsidR="00FB0D08" w:rsidRPr="00922E43">
        <w:rPr>
          <w:i/>
        </w:rPr>
        <w:t xml:space="preserve">MB </w:t>
      </w:r>
      <w:r w:rsidR="00075535" w:rsidRPr="00A60314">
        <w:t>CBG</w:t>
      </w:r>
      <w:r w:rsidR="00075535">
        <w:rPr>
          <w:i/>
        </w:rPr>
        <w:t xml:space="preserve"> </w:t>
      </w:r>
      <w:r w:rsidR="00FB0D08">
        <w:t>binary variable alongside a comprehensive set of</w:t>
      </w:r>
      <w:r w:rsidR="00075535">
        <w:t xml:space="preserve"> </w:t>
      </w:r>
      <w:r w:rsidR="00FB0D08">
        <w:t>exogenous variables determinants to estimate the total number of pedestrian crashes.</w:t>
      </w:r>
      <w:r w:rsidR="00FB0D08" w:rsidRPr="00FE0FD8">
        <w:t xml:space="preserve"> </w:t>
      </w:r>
      <w:r w:rsidR="00FB0D08">
        <w:t xml:space="preserve">Using such a comprehensive list of determinants allows </w:t>
      </w:r>
      <w:r w:rsidR="003B4361">
        <w:t xml:space="preserve">us </w:t>
      </w:r>
      <w:r w:rsidR="00FB0D08">
        <w:t xml:space="preserve">to accurately estimate the </w:t>
      </w:r>
      <w:r w:rsidR="00A503F8">
        <w:t>“</w:t>
      </w:r>
      <w:r w:rsidR="00FB0D08">
        <w:t>true</w:t>
      </w:r>
      <w:r w:rsidR="00A503F8">
        <w:t>”</w:t>
      </w:r>
      <w:r w:rsidR="00FB0D08">
        <w:t xml:space="preserve"> effect of racial composition </w:t>
      </w:r>
      <w:r w:rsidR="00E9366E">
        <w:t xml:space="preserve">(as represented by the </w:t>
      </w:r>
      <w:r w:rsidR="00E9366E" w:rsidRPr="00966F5E">
        <w:rPr>
          <w:i/>
        </w:rPr>
        <w:t>MB</w:t>
      </w:r>
      <w:r w:rsidR="00E9366E">
        <w:t xml:space="preserve"> CBG effect) </w:t>
      </w:r>
      <w:r w:rsidR="00FB0D08">
        <w:t>on the total number of crashes in a CBG</w:t>
      </w:r>
      <w:r w:rsidR="00A503F8">
        <w:t xml:space="preserve"> as well as the “true” effects of the other crash determinants</w:t>
      </w:r>
      <w:r w:rsidR="00FB0D08">
        <w:t>.</w:t>
      </w:r>
      <w:r w:rsidR="00A503F8">
        <w:t xml:space="preserve"> In particular</w:t>
      </w:r>
      <w:r w:rsidR="00FB0D08">
        <w:t xml:space="preserve">, by isolating </w:t>
      </w:r>
      <w:r w:rsidR="00A503F8">
        <w:t xml:space="preserve">the </w:t>
      </w:r>
      <w:r w:rsidR="00A503F8" w:rsidRPr="00B51AC4">
        <w:rPr>
          <w:i/>
        </w:rPr>
        <w:t>MB</w:t>
      </w:r>
      <w:r w:rsidR="00A503F8">
        <w:t xml:space="preserve"> CBG </w:t>
      </w:r>
      <w:r w:rsidR="00FB0D08">
        <w:t xml:space="preserve">effect from possible confounding variables, we avoid over or under-estimating the impact of </w:t>
      </w:r>
      <w:r w:rsidR="00075535">
        <w:t xml:space="preserve">CBG </w:t>
      </w:r>
      <w:r w:rsidR="00FB0D08">
        <w:t>rac</w:t>
      </w:r>
      <w:r w:rsidR="00075535">
        <w:t>ial composition</w:t>
      </w:r>
      <w:r w:rsidR="00FB0D08">
        <w:t xml:space="preserve"> on the total number of pedestrian </w:t>
      </w:r>
      <w:r w:rsidR="003B4361">
        <w:t>crashes</w:t>
      </w:r>
      <w:r w:rsidR="00B25BC5">
        <w:t xml:space="preserve">. We will refer to this </w:t>
      </w:r>
      <w:r w:rsidR="00B25BC5" w:rsidRPr="00144D25">
        <w:rPr>
          <w:i/>
        </w:rPr>
        <w:t>MB</w:t>
      </w:r>
      <w:r w:rsidR="00B25BC5">
        <w:t xml:space="preserve"> CBG dummy variable effect on pedestrian crash count within a CBG, which is over and beyond the effect of other crash determinants, as the </w:t>
      </w:r>
      <w:r w:rsidR="00B25BC5" w:rsidRPr="00B51AC4">
        <w:rPr>
          <w:i/>
        </w:rPr>
        <w:t>MB</w:t>
      </w:r>
      <w:r w:rsidR="00B25BC5">
        <w:t xml:space="preserve"> total crash (</w:t>
      </w:r>
      <w:r w:rsidR="00B25BC5" w:rsidRPr="006E5977">
        <w:rPr>
          <w:i/>
        </w:rPr>
        <w:t>MB</w:t>
      </w:r>
      <w:r w:rsidR="00B25BC5">
        <w:rPr>
          <w:i/>
        </w:rPr>
        <w:t>-TC</w:t>
      </w:r>
      <w:r w:rsidR="00B25BC5" w:rsidRPr="00FC00AE">
        <w:t>)</w:t>
      </w:r>
      <w:r w:rsidR="00B25BC5">
        <w:rPr>
          <w:i/>
        </w:rPr>
        <w:t xml:space="preserve"> </w:t>
      </w:r>
      <w:r w:rsidR="00B25BC5">
        <w:t xml:space="preserve">effect. </w:t>
      </w:r>
      <w:r w:rsidR="00770A92" w:rsidRPr="00922E43">
        <w:rPr>
          <w:u w:val="single"/>
        </w:rPr>
        <w:t>Third</w:t>
      </w:r>
      <w:r w:rsidR="00770A92">
        <w:t xml:space="preserve">, </w:t>
      </w:r>
      <w:r w:rsidR="00A503F8">
        <w:t xml:space="preserve">we </w:t>
      </w:r>
      <w:r w:rsidR="00770A92">
        <w:t>estimate</w:t>
      </w:r>
      <w:r w:rsidR="00703A21">
        <w:t xml:space="preserve"> the f</w:t>
      </w:r>
      <w:r w:rsidR="00703A21" w:rsidRPr="00703A21">
        <w:t xml:space="preserve">raction of Black </w:t>
      </w:r>
      <w:r w:rsidR="00703A21">
        <w:t>p</w:t>
      </w:r>
      <w:r w:rsidR="00703A21" w:rsidRPr="00703A21">
        <w:t xml:space="preserve">edestrian </w:t>
      </w:r>
      <w:r w:rsidR="00703A21">
        <w:t>c</w:t>
      </w:r>
      <w:r w:rsidR="00703A21" w:rsidRPr="00703A21">
        <w:t>rashes</w:t>
      </w:r>
      <w:r w:rsidR="00703A21">
        <w:t xml:space="preserve"> </w:t>
      </w:r>
      <w:r w:rsidR="00842C4E">
        <w:t>at a CBG as a function of exogenous variables</w:t>
      </w:r>
      <w:r w:rsidR="00DA373C">
        <w:t>.</w:t>
      </w:r>
      <w:r w:rsidR="00842C4E">
        <w:t xml:space="preserve"> </w:t>
      </w:r>
      <w:r w:rsidR="000E006D">
        <w:t xml:space="preserve">In this investigation, we include the </w:t>
      </w:r>
      <w:r w:rsidR="000E006D" w:rsidRPr="003976E0">
        <w:rPr>
          <w:i/>
        </w:rPr>
        <w:t>MB</w:t>
      </w:r>
      <w:r w:rsidR="000E006D">
        <w:t xml:space="preserve"> CBG, as well as other exposure and Black population share variables at both </w:t>
      </w:r>
      <w:r w:rsidR="000E006D" w:rsidRPr="00ED72CA">
        <w:rPr>
          <w:i/>
        </w:rPr>
        <w:t>MB</w:t>
      </w:r>
      <w:r w:rsidR="000E006D">
        <w:t xml:space="preserve"> CBGs and </w:t>
      </w:r>
      <w:r w:rsidR="000E006D" w:rsidRPr="00ED72CA">
        <w:rPr>
          <w:i/>
        </w:rPr>
        <w:t xml:space="preserve">NMB </w:t>
      </w:r>
      <w:r w:rsidR="000E006D">
        <w:t xml:space="preserve">CBGs (the latter variables to control </w:t>
      </w:r>
      <w:r w:rsidR="000E006D">
        <w:lastRenderedPageBreak/>
        <w:t xml:space="preserve">for the fact that one would expect a higher share of Black pedestrian crashes as the share of Black population in a CBG increases). </w:t>
      </w:r>
      <w:r w:rsidR="00A503F8">
        <w:t>T</w:t>
      </w:r>
      <w:r w:rsidR="004518FC">
        <w:t>his third model provide</w:t>
      </w:r>
      <w:r w:rsidR="00DA373C">
        <w:t>s</w:t>
      </w:r>
      <w:r w:rsidR="004518FC">
        <w:t xml:space="preserve"> information on how exogenous variables </w:t>
      </w:r>
      <w:r w:rsidR="00844EEC">
        <w:t xml:space="preserve">may affect </w:t>
      </w:r>
      <w:r w:rsidR="004D4EFA">
        <w:t xml:space="preserve">Black </w:t>
      </w:r>
      <w:r w:rsidR="004518FC">
        <w:t>crashes over and beyond the effect</w:t>
      </w:r>
      <w:r w:rsidR="00DA373C">
        <w:t>s</w:t>
      </w:r>
      <w:r w:rsidR="004518FC">
        <w:t xml:space="preserve"> of these exogenous variables on total crashes.</w:t>
      </w:r>
      <w:r w:rsidR="00E25D6B">
        <w:t xml:space="preserve"> In combination, we are able to take away more insights into countermeasure development to reduce total pedestrian crashes in Black CBGs (based on Models 1 and 2) and Black pedestrian crashes in any CBG (based on Models 2 and 3). </w:t>
      </w:r>
      <w:r w:rsidR="00BA31DA" w:rsidRPr="00922E43">
        <w:rPr>
          <w:u w:val="single"/>
        </w:rPr>
        <w:t>Fourth</w:t>
      </w:r>
      <w:r w:rsidR="00BA31DA">
        <w:t>, we consider a comprehensive set of exogenous variables in our analysis, compiled from a variety of data sources. The data compilation effort, was carefully and rigorously vetted, both to get each database in</w:t>
      </w:r>
      <w:r w:rsidR="00696DD0">
        <w:t xml:space="preserve"> a uniform format for fusion, as well as in fusing the many different data sets using multiple Geographic Information Systems overlay procedures. </w:t>
      </w:r>
      <w:r w:rsidR="00BA31DA">
        <w:t>Also, for the first time to our knowledge</w:t>
      </w:r>
      <w:r w:rsidR="00DA373C">
        <w:t xml:space="preserve"> in the pedestrian crash literature</w:t>
      </w:r>
      <w:r w:rsidR="00BA31DA">
        <w:t>, we introduce cultural variables to acknowledge the possible presence of social resistance</w:t>
      </w:r>
      <w:r w:rsidR="007B0B55">
        <w:t>-</w:t>
      </w:r>
      <w:r w:rsidR="00BA31DA">
        <w:t xml:space="preserve">related factors. </w:t>
      </w:r>
      <w:bookmarkStart w:id="34" w:name="_Hlk123405530"/>
      <w:r w:rsidR="002D032A" w:rsidRPr="007703FD">
        <w:rPr>
          <w:u w:val="single"/>
        </w:rPr>
        <w:t>Finally</w:t>
      </w:r>
      <w:r w:rsidR="002D032A" w:rsidRPr="007703FD">
        <w:t xml:space="preserve">, most earlier studies </w:t>
      </w:r>
      <w:r w:rsidR="00DA373C" w:rsidRPr="007703FD">
        <w:t>of pedestrian crashes</w:t>
      </w:r>
      <w:r w:rsidR="002D032A" w:rsidRPr="007703FD">
        <w:t xml:space="preserve"> presen</w:t>
      </w:r>
      <w:r w:rsidR="00DA373C" w:rsidRPr="007703FD">
        <w:t>t</w:t>
      </w:r>
      <w:r w:rsidR="002D032A" w:rsidRPr="007703FD">
        <w:t xml:space="preserve"> model estimates</w:t>
      </w:r>
      <w:r w:rsidR="00D7445C" w:rsidRPr="007703FD">
        <w:t>, but do not estimate the magnitude effect</w:t>
      </w:r>
      <w:r w:rsidR="00A31D96" w:rsidRPr="007703FD">
        <w:t>s of variables on pedestrian crash frequency</w:t>
      </w:r>
      <w:r w:rsidR="00B27A72" w:rsidRPr="007703FD">
        <w:t xml:space="preserve">. </w:t>
      </w:r>
      <w:r w:rsidR="00A31D96" w:rsidRPr="007703FD">
        <w:t xml:space="preserve">Some of the studies that do estimate such magnitude effects include those </w:t>
      </w:r>
      <w:r w:rsidR="006373CF" w:rsidRPr="007703FD">
        <w:t xml:space="preserve">by Dai and Jaworski, 2016, </w:t>
      </w:r>
      <w:r w:rsidR="00BF16EA" w:rsidRPr="007703FD">
        <w:t>Bhat et al., 2017, Saeed et al., 2019</w:t>
      </w:r>
      <w:r w:rsidR="00644505" w:rsidRPr="007703FD">
        <w:t>, and Roll and McNeil, 2022</w:t>
      </w:r>
      <w:r w:rsidR="006373CF" w:rsidRPr="007703FD">
        <w:t xml:space="preserve">. </w:t>
      </w:r>
      <w:r w:rsidR="00A31D96" w:rsidRPr="007703FD">
        <w:t xml:space="preserve">As in these earlier studies, we too estimate the magnitude effects of each variable, </w:t>
      </w:r>
      <w:r w:rsidR="006373CF" w:rsidRPr="007703FD">
        <w:t xml:space="preserve">but </w:t>
      </w:r>
      <w:r w:rsidR="002D032A" w:rsidRPr="007703FD">
        <w:t xml:space="preserve">proceed further to assess the </w:t>
      </w:r>
      <w:r w:rsidR="006373CF" w:rsidRPr="007703FD">
        <w:rPr>
          <w:u w:val="single"/>
        </w:rPr>
        <w:t>relative magnitudes</w:t>
      </w:r>
      <w:r w:rsidR="006373CF" w:rsidRPr="007703FD">
        <w:t xml:space="preserve"> of (a) each variable within each of the four categories of exposure, cultural, </w:t>
      </w:r>
      <w:r w:rsidR="00A31D96" w:rsidRPr="007703FD">
        <w:t>BE</w:t>
      </w:r>
      <w:r w:rsidR="006373CF" w:rsidRPr="007703FD">
        <w:t xml:space="preserve">, and </w:t>
      </w:r>
      <w:r w:rsidR="00A31D96" w:rsidRPr="007703FD">
        <w:t>SD factors</w:t>
      </w:r>
      <w:r w:rsidR="006373CF" w:rsidRPr="007703FD">
        <w:t xml:space="preserve">, (b) each </w:t>
      </w:r>
      <w:r w:rsidR="00A31D96" w:rsidRPr="007703FD">
        <w:t xml:space="preserve">variable </w:t>
      </w:r>
      <w:r w:rsidR="006373CF" w:rsidRPr="007703FD">
        <w:t xml:space="preserve">across all determinants of crash frequency, and (c) each </w:t>
      </w:r>
      <w:r w:rsidR="00A31D96" w:rsidRPr="007703FD">
        <w:t xml:space="preserve">of the </w:t>
      </w:r>
      <w:r w:rsidR="006373CF" w:rsidRPr="007703FD">
        <w:t xml:space="preserve">four </w:t>
      </w:r>
      <w:r w:rsidR="00A31D96" w:rsidRPr="007703FD">
        <w:t xml:space="preserve">sets of variable </w:t>
      </w:r>
      <w:r w:rsidR="006373CF" w:rsidRPr="007703FD">
        <w:t xml:space="preserve">categories and the </w:t>
      </w:r>
      <w:r w:rsidR="006373CF" w:rsidRPr="00A60314">
        <w:rPr>
          <w:i/>
        </w:rPr>
        <w:t>MB</w:t>
      </w:r>
      <w:r w:rsidR="006373CF" w:rsidRPr="007703FD">
        <w:t xml:space="preserve"> total crash effect</w:t>
      </w:r>
      <w:r w:rsidR="00A31D96" w:rsidRPr="007703FD">
        <w:t>.</w:t>
      </w:r>
      <w:bookmarkEnd w:id="34"/>
    </w:p>
    <w:p w14:paraId="074937C9" w14:textId="77777777" w:rsidR="005C0331" w:rsidRDefault="005C0331" w:rsidP="005C0331">
      <w:pPr>
        <w:pBdr>
          <w:top w:val="nil"/>
          <w:left w:val="nil"/>
          <w:bottom w:val="nil"/>
          <w:right w:val="nil"/>
          <w:between w:val="nil"/>
        </w:pBdr>
        <w:spacing w:before="0" w:after="0" w:line="360" w:lineRule="auto"/>
        <w:jc w:val="center"/>
        <w:rPr>
          <w:b/>
        </w:rPr>
      </w:pPr>
    </w:p>
    <w:p w14:paraId="1EEDC45B" w14:textId="77777777" w:rsidR="005C0331" w:rsidRPr="00EF0CDC" w:rsidRDefault="005C0331" w:rsidP="005C0331">
      <w:pPr>
        <w:pStyle w:val="Heading1"/>
        <w:spacing w:line="360" w:lineRule="auto"/>
      </w:pPr>
      <w:r>
        <w:t xml:space="preserve"> </w:t>
      </w:r>
      <w:r w:rsidRPr="00EF0CDC">
        <w:t>METHODOLOGY</w:t>
      </w:r>
    </w:p>
    <w:p w14:paraId="2292A297" w14:textId="77777777" w:rsidR="005C0331" w:rsidRPr="00EF0CDC" w:rsidRDefault="005C0331" w:rsidP="005C0331">
      <w:pPr>
        <w:pStyle w:val="Heading2"/>
        <w:spacing w:before="0" w:line="360" w:lineRule="auto"/>
      </w:pPr>
      <w:r w:rsidRPr="00EF0CDC">
        <w:t xml:space="preserve"> Data Description</w:t>
      </w:r>
    </w:p>
    <w:p w14:paraId="6083072E" w14:textId="78F08E6A" w:rsidR="006C3943" w:rsidRDefault="005C0331" w:rsidP="007D5556">
      <w:pPr>
        <w:spacing w:before="0" w:after="0" w:line="360" w:lineRule="auto"/>
        <w:ind w:firstLine="720"/>
      </w:pPr>
      <w:r>
        <w:t xml:space="preserve">The </w:t>
      </w:r>
      <w:r w:rsidRPr="00ED72CA">
        <w:t>study area for this paper is the City of Houston (COH), Texas. COH has a population of 2,304,580 (</w:t>
      </w:r>
      <w:r w:rsidRPr="00816D34">
        <w:t>U.S. Census Bureau, 2020)</w:t>
      </w:r>
      <w:r w:rsidRPr="00ED72CA">
        <w:t xml:space="preserve"> and a total of 2,970 Census Block Groups (CBG). According to the 2020 census data, the ethnic composition of the population in COH is 55% non-Hispanic/non-Latino and 45% Hispanic/Latino. The racial composition is 57% </w:t>
      </w:r>
      <w:r>
        <w:t>w</w:t>
      </w:r>
      <w:r w:rsidRPr="00ED72CA">
        <w:t>hite (compared to 76% nationally), 24% Black (compared to 13% nationally), and 20% other races (compared to 11% nationally). A vast majority (43%) of the non-Hispanic/non-Latino population is white. This</w:t>
      </w:r>
      <w:r>
        <w:t xml:space="preserve"> inherent racial diversity makes the COH an appropriate study area for the current analysis. </w:t>
      </w:r>
    </w:p>
    <w:p w14:paraId="5656F9BF" w14:textId="2A722B24" w:rsidR="006C3943" w:rsidRPr="00966F5E" w:rsidRDefault="006C3943" w:rsidP="00A57B2A">
      <w:pPr>
        <w:pBdr>
          <w:top w:val="nil"/>
          <w:left w:val="nil"/>
          <w:bottom w:val="nil"/>
          <w:right w:val="nil"/>
          <w:between w:val="nil"/>
        </w:pBdr>
        <w:spacing w:before="0" w:after="0" w:line="360" w:lineRule="auto"/>
        <w:jc w:val="center"/>
      </w:pPr>
      <w:r>
        <w:rPr>
          <w:noProof/>
        </w:rPr>
        <w:lastRenderedPageBreak/>
        <w:drawing>
          <wp:inline distT="0" distB="0" distL="0" distR="0" wp14:anchorId="695A6BCF" wp14:editId="4CE6C77B">
            <wp:extent cx="4221104" cy="313801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232179" cy="3146248"/>
                    </a:xfrm>
                    <a:prstGeom prst="rect">
                      <a:avLst/>
                    </a:prstGeom>
                    <a:noFill/>
                    <a:ln>
                      <a:noFill/>
                    </a:ln>
                  </pic:spPr>
                </pic:pic>
              </a:graphicData>
            </a:graphic>
          </wp:inline>
        </w:drawing>
      </w:r>
    </w:p>
    <w:p w14:paraId="62D9FBDB" w14:textId="3F94835A" w:rsidR="002B24E4" w:rsidRDefault="006C3943" w:rsidP="00966F5E">
      <w:pPr>
        <w:pBdr>
          <w:top w:val="nil"/>
          <w:left w:val="nil"/>
          <w:bottom w:val="nil"/>
          <w:right w:val="nil"/>
          <w:between w:val="nil"/>
        </w:pBdr>
        <w:spacing w:before="0" w:after="0" w:line="360" w:lineRule="auto"/>
        <w:jc w:val="center"/>
        <w:rPr>
          <w:b/>
        </w:rPr>
      </w:pPr>
      <w:r w:rsidRPr="00B51AC4">
        <w:rPr>
          <w:b/>
        </w:rPr>
        <w:t xml:space="preserve">Figure 1. Conceptual </w:t>
      </w:r>
      <w:r>
        <w:rPr>
          <w:b/>
        </w:rPr>
        <w:t>f</w:t>
      </w:r>
      <w:r w:rsidRPr="00B51AC4">
        <w:rPr>
          <w:b/>
        </w:rPr>
        <w:t>ramework</w:t>
      </w:r>
    </w:p>
    <w:p w14:paraId="3ED26455" w14:textId="77777777" w:rsidR="005C0331" w:rsidRDefault="005C0331" w:rsidP="00966F5E">
      <w:pPr>
        <w:pBdr>
          <w:top w:val="nil"/>
          <w:left w:val="nil"/>
          <w:bottom w:val="nil"/>
          <w:right w:val="nil"/>
          <w:between w:val="nil"/>
        </w:pBdr>
        <w:spacing w:before="0" w:after="0" w:line="360" w:lineRule="auto"/>
        <w:jc w:val="center"/>
        <w:rPr>
          <w:b/>
        </w:rPr>
      </w:pPr>
    </w:p>
    <w:p w14:paraId="3DFE1C7E" w14:textId="2E0C652E" w:rsidR="00696DD0" w:rsidRDefault="001B78B7" w:rsidP="00966F5E">
      <w:pPr>
        <w:spacing w:before="0" w:after="0" w:line="360" w:lineRule="auto"/>
        <w:ind w:firstLine="720"/>
      </w:pPr>
      <w:r>
        <w:t xml:space="preserve">The </w:t>
      </w:r>
      <w:r w:rsidR="002D032A">
        <w:t xml:space="preserve">exogenous variables </w:t>
      </w:r>
      <w:r>
        <w:t>used in this study w</w:t>
      </w:r>
      <w:r w:rsidR="002D032A">
        <w:t>ere</w:t>
      </w:r>
      <w:r>
        <w:t xml:space="preserve"> compiled </w:t>
      </w:r>
      <w:r w:rsidR="002D032A">
        <w:t xml:space="preserve">through </w:t>
      </w:r>
      <w:r w:rsidR="00C37C8C">
        <w:t xml:space="preserve">an </w:t>
      </w:r>
      <w:r w:rsidR="002D032A">
        <w:t xml:space="preserve">extensive </w:t>
      </w:r>
      <w:r w:rsidR="00BA31DA">
        <w:t xml:space="preserve">and intensive </w:t>
      </w:r>
      <w:r w:rsidR="002D032A">
        <w:t xml:space="preserve">compilation </w:t>
      </w:r>
      <w:r w:rsidR="00BA31DA">
        <w:t xml:space="preserve">effort, drawing </w:t>
      </w:r>
      <w:r>
        <w:t xml:space="preserve">from </w:t>
      </w:r>
      <w:r w:rsidR="002D032A">
        <w:t xml:space="preserve">a whole range of </w:t>
      </w:r>
      <w:r>
        <w:t>data sources</w:t>
      </w:r>
      <w:r w:rsidR="00BA31DA">
        <w:t>,</w:t>
      </w:r>
      <w:r>
        <w:t xml:space="preserve"> including </w:t>
      </w:r>
      <w:r w:rsidR="00BA31DA">
        <w:t xml:space="preserve">(a) </w:t>
      </w:r>
      <w:r w:rsidR="00696DD0">
        <w:t xml:space="preserve">Network/BE features and exposure attributes from </w:t>
      </w:r>
      <w:r>
        <w:t xml:space="preserve">the </w:t>
      </w:r>
      <w:r w:rsidR="002D032A">
        <w:t xml:space="preserve">roadway network inventory database </w:t>
      </w:r>
      <w:r w:rsidR="00BA31DA">
        <w:t xml:space="preserve">of </w:t>
      </w:r>
      <w:r w:rsidR="002D032A">
        <w:t xml:space="preserve">the </w:t>
      </w:r>
      <w:r>
        <w:t xml:space="preserve">Texas Department of Transportation (TxDOT), </w:t>
      </w:r>
      <w:r w:rsidR="00BA31DA">
        <w:t>(b) crime rate database</w:t>
      </w:r>
      <w:r w:rsidR="00ED1202">
        <w:t xml:space="preserve">, as reported </w:t>
      </w:r>
      <w:r w:rsidR="007B0B55">
        <w:t>by</w:t>
      </w:r>
      <w:r w:rsidR="00BA31DA">
        <w:t xml:space="preserve"> </w:t>
      </w:r>
      <w:r w:rsidR="00ED1202">
        <w:t xml:space="preserve">the </w:t>
      </w:r>
      <w:r w:rsidR="00BA31DA">
        <w:t xml:space="preserve">COH police </w:t>
      </w:r>
      <w:r w:rsidR="007B0B55">
        <w:t>department</w:t>
      </w:r>
      <w:r w:rsidR="00BA31DA">
        <w:t xml:space="preserve">, (c) BE related to bicycle and walking infrastructure from the </w:t>
      </w:r>
      <w:r>
        <w:t xml:space="preserve">COH open data portal, </w:t>
      </w:r>
      <w:r w:rsidR="00BA31DA">
        <w:t xml:space="preserve">(d) </w:t>
      </w:r>
      <w:r w:rsidR="007B0B55">
        <w:t>b</w:t>
      </w:r>
      <w:r w:rsidR="00BA31DA">
        <w:t>us stop database from the Metropolitan Transit Authority of Harris County, (e) traffic signal data from Open Street Maps, (</w:t>
      </w:r>
      <w:r w:rsidR="00696DD0">
        <w:t>f</w:t>
      </w:r>
      <w:r w:rsidR="00BA31DA">
        <w:t xml:space="preserve">) schools location database from the </w:t>
      </w:r>
      <w:r>
        <w:t xml:space="preserve">Texas Education Agency public open data site, </w:t>
      </w:r>
      <w:r w:rsidR="00696DD0">
        <w:t xml:space="preserve">(g) motorized vehicle ownership data and land-use variables from the </w:t>
      </w:r>
      <w:r>
        <w:t xml:space="preserve">U.S. Environmental protection agency’s Smart Location Database (SLD), and </w:t>
      </w:r>
      <w:r w:rsidR="00696DD0">
        <w:t xml:space="preserve">commute mode splits and sociodemographic data from </w:t>
      </w:r>
      <w:r>
        <w:t xml:space="preserve">the U.S. Census Bureau. </w:t>
      </w:r>
    </w:p>
    <w:p w14:paraId="00000027" w14:textId="0DCC9851" w:rsidR="00536120" w:rsidRDefault="00696DD0" w:rsidP="00966F5E">
      <w:pPr>
        <w:spacing w:before="0" w:after="0" w:line="360" w:lineRule="auto"/>
        <w:ind w:firstLine="720"/>
      </w:pPr>
      <w:r>
        <w:t xml:space="preserve">The construction of the dependent variables for analysis was based on </w:t>
      </w:r>
      <w:r w:rsidR="001B78B7">
        <w:t xml:space="preserve">ten years (2012–2021) of crash data </w:t>
      </w:r>
      <w:r w:rsidR="005C2F6F">
        <w:t>from TxDOT’s Crash Record Information System (CRIS)</w:t>
      </w:r>
      <w:r w:rsidR="001B78B7">
        <w:t>.</w:t>
      </w:r>
      <w:r w:rsidR="005C2F6F">
        <w:t xml:space="preserve"> </w:t>
      </w:r>
      <w:r w:rsidR="001B78B7">
        <w:t xml:space="preserve">To focus on pedestrian crashes, we </w:t>
      </w:r>
      <w:r>
        <w:t xml:space="preserve">screened </w:t>
      </w:r>
      <w:r w:rsidR="001B78B7">
        <w:t xml:space="preserve">the crashes to consider only those involving pedestrians. Of the 75,674 pedestrian crash instances in Texas, </w:t>
      </w:r>
      <w:r w:rsidR="007B0B55">
        <w:t xml:space="preserve">a total of </w:t>
      </w:r>
      <w:r w:rsidR="001B78B7">
        <w:t>5,105 crashes occurred in the COH</w:t>
      </w:r>
      <w:r>
        <w:t xml:space="preserve"> area</w:t>
      </w:r>
      <w:r w:rsidR="001B78B7">
        <w:t>. Around 20% of the pedestrian crashes in COH were fatal or severe injury crashes</w:t>
      </w:r>
      <w:r>
        <w:t>, and these were the ones considered in our analysis</w:t>
      </w:r>
      <w:r w:rsidR="001B78B7">
        <w:t xml:space="preserve">. Each </w:t>
      </w:r>
      <w:r>
        <w:t xml:space="preserve">of these </w:t>
      </w:r>
      <w:r w:rsidR="001B78B7">
        <w:t>pedestrian-vehicle crash</w:t>
      </w:r>
      <w:r>
        <w:t>es</w:t>
      </w:r>
      <w:r w:rsidR="001B78B7">
        <w:t xml:space="preserve"> in COH was geo-</w:t>
      </w:r>
      <w:r w:rsidR="001B78B7">
        <w:lastRenderedPageBreak/>
        <w:t>coded for spatial analysis in ArcGIS 10.8.1</w:t>
      </w:r>
      <w:r w:rsidR="00704E3C">
        <w:t>, and aggregated to the CBG spatial unit of analysis</w:t>
      </w:r>
      <w:r w:rsidR="001B78B7">
        <w:t xml:space="preserve">. ArcGIS tools were also used to integrate </w:t>
      </w:r>
      <w:r>
        <w:t xml:space="preserve">the exogenous variables </w:t>
      </w:r>
      <w:r w:rsidR="001B78B7">
        <w:t>from multiple databases.</w:t>
      </w:r>
    </w:p>
    <w:p w14:paraId="49BCEB08" w14:textId="7CFC15F1" w:rsidR="00922E43" w:rsidRDefault="00704E3C" w:rsidP="007D5556">
      <w:pPr>
        <w:spacing w:before="0" w:after="0" w:line="360" w:lineRule="auto"/>
        <w:ind w:firstLine="720"/>
      </w:pPr>
      <w:r>
        <w:t xml:space="preserve">Pedestrian crashes are relatively rare events </w:t>
      </w:r>
      <w:r w:rsidR="002950E5">
        <w:t>from an analysis point of view, with</w:t>
      </w:r>
      <w:r>
        <w:t xml:space="preserve"> 78.7% of CBGs hav</w:t>
      </w:r>
      <w:r w:rsidR="00ED72CA">
        <w:t>ing</w:t>
      </w:r>
      <w:r>
        <w:t xml:space="preserve"> zero total crashes during our timeframe of analysis, and 93.0% hav</w:t>
      </w:r>
      <w:r w:rsidR="00ED72CA">
        <w:t>ing</w:t>
      </w:r>
      <w:r>
        <w:t xml:space="preserve"> zero crashes involving Black pedestrians. </w:t>
      </w:r>
      <w:r w:rsidR="002E1F85">
        <w:t>2</w:t>
      </w:r>
      <w:r w:rsidR="00ED72CA">
        <w:t>,</w:t>
      </w:r>
      <w:r w:rsidR="002E1F85">
        <w:t>968 of the 2</w:t>
      </w:r>
      <w:r w:rsidR="00ED72CA">
        <w:t>,</w:t>
      </w:r>
      <w:r w:rsidR="002E1F85">
        <w:t xml:space="preserve">970 CBGs </w:t>
      </w:r>
      <w:r w:rsidR="00EB4CA9">
        <w:t>had non-zero populations</w:t>
      </w:r>
      <w:r w:rsidR="002E1F85">
        <w:t>, and these 2</w:t>
      </w:r>
      <w:r w:rsidR="007B0B55">
        <w:t>,</w:t>
      </w:r>
      <w:r w:rsidR="002E1F85">
        <w:t>968 CBGs are considered in our analysis</w:t>
      </w:r>
      <w:r w:rsidR="00EB4CA9">
        <w:t xml:space="preserve"> (the two CBGs with zero populations could not be considered because </w:t>
      </w:r>
      <w:r w:rsidR="00AA5A86">
        <w:t xml:space="preserve">the </w:t>
      </w:r>
      <w:r w:rsidR="00AA5A86" w:rsidRPr="00966F5E">
        <w:rPr>
          <w:i/>
        </w:rPr>
        <w:t>MB</w:t>
      </w:r>
      <w:r w:rsidR="00AA5A86">
        <w:t xml:space="preserve"> CBG dummy variable and many other independent variables used in the models are not defined for these CBGs)</w:t>
      </w:r>
      <w:r w:rsidR="002E1F85">
        <w:t xml:space="preserve">. The range of total pedestrian crashes </w:t>
      </w:r>
      <w:r w:rsidR="002950E5">
        <w:t xml:space="preserve">at a CBG </w:t>
      </w:r>
      <w:r w:rsidR="002E1F85">
        <w:t>is from a low of zero to a high of six. Of the 63</w:t>
      </w:r>
      <w:r w:rsidR="002950E5">
        <w:t>1</w:t>
      </w:r>
      <w:r w:rsidR="002E1F85">
        <w:t xml:space="preserve"> CBGs with a non-zero crash occurrence, 454 (71.9% of CBGs with non-zero crashes) have one crash</w:t>
      </w:r>
      <w:r w:rsidR="00ED72CA">
        <w:t>,</w:t>
      </w:r>
      <w:r w:rsidR="002E1F85">
        <w:t xml:space="preserve"> </w:t>
      </w:r>
      <w:r w:rsidR="002950E5">
        <w:t>9</w:t>
      </w:r>
      <w:r w:rsidR="00ED72CA">
        <w:t xml:space="preserve">9 </w:t>
      </w:r>
      <w:r w:rsidR="002950E5">
        <w:t>(15.</w:t>
      </w:r>
      <w:r w:rsidR="00ED72CA">
        <w:t>7</w:t>
      </w:r>
      <w:r w:rsidR="002950E5">
        <w:t>% of CBGs with non-zero crashes) have two crashes, and</w:t>
      </w:r>
      <w:r w:rsidR="00ED72CA">
        <w:t xml:space="preserve"> 78</w:t>
      </w:r>
      <w:r w:rsidR="002950E5">
        <w:t xml:space="preserve"> (12.</w:t>
      </w:r>
      <w:r w:rsidR="00ED72CA">
        <w:t>4</w:t>
      </w:r>
      <w:r w:rsidR="002950E5">
        <w:t>% of CBGs with non-zero crashes) ha</w:t>
      </w:r>
      <w:r w:rsidR="00E25D6B">
        <w:t>ve</w:t>
      </w:r>
      <w:r w:rsidR="002950E5">
        <w:t xml:space="preserve"> 3-6 crashes over the ten-year frame of our analysis. </w:t>
      </w:r>
    </w:p>
    <w:p w14:paraId="1EAA655E" w14:textId="43258A1A" w:rsidR="007B0B55" w:rsidRDefault="005C0331" w:rsidP="00966F5E">
      <w:pPr>
        <w:spacing w:before="0" w:after="0" w:line="360" w:lineRule="auto"/>
        <w:ind w:firstLine="720"/>
      </w:pPr>
      <w:r>
        <w:tab/>
      </w:r>
    </w:p>
    <w:p w14:paraId="00000028" w14:textId="77777777" w:rsidR="00536120" w:rsidRDefault="001B78B7" w:rsidP="00966F5E">
      <w:pPr>
        <w:pStyle w:val="Heading3"/>
        <w:keepNext w:val="0"/>
        <w:keepLines w:val="0"/>
        <w:spacing w:before="0" w:line="360" w:lineRule="auto"/>
        <w:ind w:left="720" w:hanging="720"/>
        <w:jc w:val="left"/>
      </w:pPr>
      <w:r>
        <w:t>Dependent Variables</w:t>
      </w:r>
    </w:p>
    <w:p w14:paraId="6F9096A2" w14:textId="6DE2B96E" w:rsidR="00832E90" w:rsidRDefault="00832E90" w:rsidP="007D5556">
      <w:pPr>
        <w:spacing w:before="0" w:after="0" w:line="360" w:lineRule="auto"/>
        <w:ind w:firstLine="720"/>
      </w:pPr>
      <w:bookmarkStart w:id="35" w:name="_Hlk116812563"/>
      <w:r>
        <w:t xml:space="preserve">Before discussing the dependent variables, we should indicate that, in the context of white/Black races and Hispanic ethnicity, the TxDOT CRIS database’s characterization of an individual involved in a traffic crash is in one of </w:t>
      </w:r>
      <w:r w:rsidR="00ED72CA">
        <w:t>seven</w:t>
      </w:r>
      <w:r>
        <w:t xml:space="preserve"> categories: (1) </w:t>
      </w:r>
      <w:r w:rsidR="00ED72CA" w:rsidRPr="00ED72CA">
        <w:t>Amer</w:t>
      </w:r>
      <w:r w:rsidR="00ED72CA">
        <w:t>ican</w:t>
      </w:r>
      <w:r w:rsidR="00ED72CA" w:rsidRPr="00ED72CA">
        <w:t xml:space="preserve"> Indian/Alaskan Native</w:t>
      </w:r>
      <w:r>
        <w:t xml:space="preserve">, </w:t>
      </w:r>
      <w:r w:rsidR="00ED72CA">
        <w:t xml:space="preserve">(2) Asian, (3) Black, (4) Hispanic, (5) other, (6) unknown, </w:t>
      </w:r>
      <w:r w:rsidR="00D841CF">
        <w:t xml:space="preserve">and </w:t>
      </w:r>
      <w:r w:rsidR="00ED72CA">
        <w:t>(7) white. Based on this characterization</w:t>
      </w:r>
      <w:r w:rsidR="00D841CF">
        <w:t>,</w:t>
      </w:r>
      <w:r w:rsidR="00ED72CA">
        <w:t xml:space="preserve"> it is not possible to distinguish Black, </w:t>
      </w:r>
      <w:r w:rsidR="005E588A">
        <w:t>n</w:t>
      </w:r>
      <w:r w:rsidR="00ED72CA">
        <w:t xml:space="preserve">on-Hispanic and Black, Hispanic, as well as white, </w:t>
      </w:r>
      <w:r w:rsidR="005E588A">
        <w:t>n</w:t>
      </w:r>
      <w:r w:rsidR="00ED72CA">
        <w:t>on-Hispanic and white, Hispanic pedestrians. Upon further inquiry with the CRIS database’s administrators, it was found that the classification is subjective and depends on what the police officer reports at the accident site. As a result, a</w:t>
      </w:r>
      <w:r w:rsidR="00ED72CA" w:rsidRPr="00ED72CA">
        <w:t xml:space="preserve"> </w:t>
      </w:r>
      <w:r w:rsidR="00ED72CA">
        <w:t xml:space="preserve">Black, Hispanic individual may be arbitrarily included in the Black category or the Hispanic category. However, since our descriptive statistics </w:t>
      </w:r>
      <w:r w:rsidR="00ED72CA" w:rsidRPr="00ED72CA">
        <w:t xml:space="preserve">indicate that only 2.1% of the Black population in COH is also Hispanic, we will assume that the Black category in the CRIS database corresponds to Black, </w:t>
      </w:r>
      <w:r w:rsidR="005E588A">
        <w:t>n</w:t>
      </w:r>
      <w:r w:rsidR="00ED72CA" w:rsidRPr="00ED72CA">
        <w:t>on-Hispanic individuals.</w:t>
      </w:r>
      <w:r w:rsidR="00443681">
        <w:t xml:space="preserve"> </w:t>
      </w:r>
      <w:r w:rsidRPr="00ED72CA">
        <w:t xml:space="preserve">Thus, any reference to a Black crash or a Black-related exogenous variable refers to the population segment of </w:t>
      </w:r>
      <w:r w:rsidR="005E588A">
        <w:t>n</w:t>
      </w:r>
      <w:r w:rsidRPr="00ED72CA">
        <w:t>on-Hispanic Blacks.</w:t>
      </w:r>
      <w:r>
        <w:t xml:space="preserve"> </w:t>
      </w:r>
    </w:p>
    <w:bookmarkEnd w:id="35"/>
    <w:p w14:paraId="288071A2" w14:textId="0F782FEF" w:rsidR="00832E90" w:rsidRDefault="001D01F0" w:rsidP="00966F5E">
      <w:pPr>
        <w:spacing w:before="0" w:after="0" w:line="360" w:lineRule="auto"/>
        <w:ind w:firstLine="720"/>
      </w:pPr>
      <w:r>
        <w:t xml:space="preserve">For our current study, </w:t>
      </w:r>
      <w:r w:rsidR="00FC05F0">
        <w:t xml:space="preserve">as already discussed, </w:t>
      </w:r>
      <w:r>
        <w:t>we focus on t</w:t>
      </w:r>
      <w:r w:rsidRPr="00EB0DDE">
        <w:t xml:space="preserve">hree </w:t>
      </w:r>
      <w:r>
        <w:t xml:space="preserve">distinct </w:t>
      </w:r>
      <w:r w:rsidRPr="00EB0DDE">
        <w:t>dependent variables</w:t>
      </w:r>
      <w:r w:rsidR="001B78B7">
        <w:t xml:space="preserve">. </w:t>
      </w:r>
      <w:r w:rsidR="0075162A">
        <w:t xml:space="preserve">(i) </w:t>
      </w:r>
      <w:r w:rsidR="001B78B7">
        <w:t xml:space="preserve">The first is </w:t>
      </w:r>
      <w:r w:rsidR="00C51828">
        <w:t xml:space="preserve">a binary outcome </w:t>
      </w:r>
      <w:r w:rsidR="0075162A">
        <w:t xml:space="preserve">variable that indicates </w:t>
      </w:r>
      <w:r w:rsidR="001B78B7">
        <w:t>whether the population of the</w:t>
      </w:r>
      <w:r w:rsidR="00ED72CA">
        <w:t xml:space="preserve"> census</w:t>
      </w:r>
      <w:r w:rsidR="001B78B7">
        <w:t xml:space="preserve"> block group is majority Black</w:t>
      </w:r>
      <w:r w:rsidR="0075162A">
        <w:t>, (ii)</w:t>
      </w:r>
      <w:r w:rsidR="001B78B7">
        <w:t xml:space="preserve"> the second</w:t>
      </w:r>
      <w:r w:rsidR="0075162A">
        <w:t xml:space="preserve"> is an ordered</w:t>
      </w:r>
      <w:r w:rsidR="00FC05F0">
        <w:t>-response</w:t>
      </w:r>
      <w:r w:rsidR="0075162A">
        <w:t xml:space="preserve"> outcome variable </w:t>
      </w:r>
      <w:r w:rsidR="00FC05F0">
        <w:t>for total pedestrian crash</w:t>
      </w:r>
      <w:r w:rsidR="00ED72CA">
        <w:t>es</w:t>
      </w:r>
      <w:r w:rsidR="00FC05F0">
        <w:t xml:space="preserve"> (</w:t>
      </w:r>
      <w:r w:rsidR="001B78B7">
        <w:t xml:space="preserve">the number of </w:t>
      </w:r>
      <w:r w:rsidR="0075162A">
        <w:t>t</w:t>
      </w:r>
      <w:r w:rsidR="001B78B7">
        <w:t>otal fatal and severe pedestrian-vehicle crashes</w:t>
      </w:r>
      <w:r w:rsidR="00FC05F0">
        <w:t xml:space="preserve">, </w:t>
      </w:r>
      <w:r w:rsidR="0075162A">
        <w:t>i</w:t>
      </w:r>
      <w:r w:rsidR="00485C93">
        <w:t>r</w:t>
      </w:r>
      <w:r w:rsidR="0075162A">
        <w:t xml:space="preserve">respective of </w:t>
      </w:r>
      <w:r w:rsidR="0075162A">
        <w:lastRenderedPageBreak/>
        <w:t>race</w:t>
      </w:r>
      <w:r w:rsidR="001B78B7">
        <w:t xml:space="preserve">, </w:t>
      </w:r>
      <w:r w:rsidR="00FC05F0">
        <w:t xml:space="preserve">at each CBG), </w:t>
      </w:r>
      <w:r w:rsidR="001B78B7">
        <w:t>and</w:t>
      </w:r>
      <w:r w:rsidR="0075162A">
        <w:t xml:space="preserve"> (ii</w:t>
      </w:r>
      <w:r w:rsidR="00ED72CA">
        <w:t>i</w:t>
      </w:r>
      <w:r w:rsidR="0075162A">
        <w:t>)</w:t>
      </w:r>
      <w:r w:rsidR="001B78B7">
        <w:t xml:space="preserve"> the third</w:t>
      </w:r>
      <w:r w:rsidR="0075162A">
        <w:t xml:space="preserve"> is a</w:t>
      </w:r>
      <w:r w:rsidR="00485C93">
        <w:t xml:space="preserve"> fractional </w:t>
      </w:r>
      <w:r w:rsidR="00FC05F0">
        <w:t xml:space="preserve">outcome </w:t>
      </w:r>
      <w:r w:rsidR="00485C93">
        <w:t>variable that represents the fraction of Black pedestrian crashes</w:t>
      </w:r>
      <w:r w:rsidR="0075162A">
        <w:t xml:space="preserve"> </w:t>
      </w:r>
      <w:r w:rsidR="00485C93">
        <w:t>as a proportion of total crashes</w:t>
      </w:r>
      <w:r w:rsidR="00FC05F0">
        <w:t xml:space="preserve"> in the CBG</w:t>
      </w:r>
      <w:r w:rsidR="001B78B7">
        <w:t xml:space="preserve">. </w:t>
      </w:r>
      <w:r w:rsidR="002950E5">
        <w:t>The analysis of the first two dependent variables</w:t>
      </w:r>
      <w:r w:rsidR="00885A1B">
        <w:t>,</w:t>
      </w:r>
      <w:r w:rsidR="00983C24">
        <w:t xml:space="preserve"> the </w:t>
      </w:r>
      <w:r w:rsidR="00983C24" w:rsidRPr="00ED72CA">
        <w:rPr>
          <w:i/>
        </w:rPr>
        <w:t>MB</w:t>
      </w:r>
      <w:r w:rsidR="00983C24">
        <w:t xml:space="preserve"> versus </w:t>
      </w:r>
      <w:r w:rsidR="00983C24" w:rsidRPr="00ED72CA">
        <w:rPr>
          <w:i/>
        </w:rPr>
        <w:t xml:space="preserve">NMB </w:t>
      </w:r>
      <w:r w:rsidR="00983C24">
        <w:t>CBG disparities and total crash count</w:t>
      </w:r>
      <w:r w:rsidR="00885A1B">
        <w:t>,</w:t>
      </w:r>
      <w:r w:rsidR="002950E5">
        <w:t xml:space="preserve"> </w:t>
      </w:r>
      <w:r w:rsidR="00D74455">
        <w:t>i</w:t>
      </w:r>
      <w:r w:rsidR="002950E5">
        <w:t xml:space="preserve">s undertaken using the full </w:t>
      </w:r>
      <w:r w:rsidR="00D74455">
        <w:t xml:space="preserve">set </w:t>
      </w:r>
      <w:r w:rsidR="002950E5">
        <w:t>of 2</w:t>
      </w:r>
      <w:r w:rsidR="00A11E7B">
        <w:t>,</w:t>
      </w:r>
      <w:r w:rsidR="002950E5">
        <w:t>968 CBGs</w:t>
      </w:r>
      <w:r w:rsidR="00983C24">
        <w:t>. T</w:t>
      </w:r>
      <w:r w:rsidR="002950E5">
        <w:t xml:space="preserve">he </w:t>
      </w:r>
      <w:r w:rsidR="00885A1B">
        <w:t xml:space="preserve">analysis of the </w:t>
      </w:r>
      <w:r w:rsidR="002950E5">
        <w:t>third dependent variable</w:t>
      </w:r>
      <w:r w:rsidR="00885A1B">
        <w:t>,</w:t>
      </w:r>
      <w:r w:rsidR="00983C24">
        <w:t xml:space="preserve"> fractional</w:t>
      </w:r>
      <w:r w:rsidR="0035479D">
        <w:t xml:space="preserve"> Black pedestrian</w:t>
      </w:r>
      <w:r w:rsidR="00983C24">
        <w:t xml:space="preserve"> </w:t>
      </w:r>
      <w:r w:rsidR="0035479D">
        <w:t>(</w:t>
      </w:r>
      <w:r w:rsidR="00983C24">
        <w:t>BP</w:t>
      </w:r>
      <w:r w:rsidR="0035479D">
        <w:t>)</w:t>
      </w:r>
      <w:r w:rsidR="00983C24">
        <w:t xml:space="preserve"> crashes</w:t>
      </w:r>
      <w:r w:rsidR="00885A1B">
        <w:t>,</w:t>
      </w:r>
      <w:r w:rsidR="002950E5">
        <w:t xml:space="preserve"> </w:t>
      </w:r>
      <w:r w:rsidR="00D74455">
        <w:t>i</w:t>
      </w:r>
      <w:r w:rsidR="002950E5">
        <w:t xml:space="preserve">s confined to the 631 CBGs with a non-zero pedestrian crash. </w:t>
      </w:r>
      <w:r w:rsidR="00F80D09">
        <w:t xml:space="preserve">In these 631 CBGs, the split </w:t>
      </w:r>
      <w:r w:rsidR="00832E90">
        <w:t xml:space="preserve">in </w:t>
      </w:r>
      <w:r w:rsidR="00F80D09">
        <w:t xml:space="preserve">Black pedestrian </w:t>
      </w:r>
      <w:r w:rsidR="00832E90">
        <w:t xml:space="preserve">crashes </w:t>
      </w:r>
      <w:r w:rsidR="00D74455">
        <w:t>i</w:t>
      </w:r>
      <w:r w:rsidR="00832E90">
        <w:t>s as follows: 0 (4</w:t>
      </w:r>
      <w:r w:rsidR="008060A8">
        <w:t>22</w:t>
      </w:r>
      <w:r w:rsidR="00832E90">
        <w:t xml:space="preserve"> CBGs), 1</w:t>
      </w:r>
      <w:r w:rsidR="00ED72CA">
        <w:t xml:space="preserve"> </w:t>
      </w:r>
      <w:r w:rsidR="00832E90">
        <w:t>(16</w:t>
      </w:r>
      <w:r w:rsidR="008060A8">
        <w:t>5</w:t>
      </w:r>
      <w:r w:rsidR="00832E90">
        <w:t xml:space="preserve"> CBGs)</w:t>
      </w:r>
      <w:r w:rsidR="008060A8">
        <w:t>, and 44 CBGs with two or more crashes</w:t>
      </w:r>
      <w:r w:rsidR="007D0266">
        <w:t xml:space="preserve">. Clearly, there are sparseness issues in this third model. </w:t>
      </w:r>
    </w:p>
    <w:p w14:paraId="6A83B18B" w14:textId="6D0BF71C" w:rsidR="005C0331" w:rsidRDefault="001B78B7" w:rsidP="005C0331">
      <w:pPr>
        <w:spacing w:before="0" w:after="0" w:line="360" w:lineRule="auto"/>
        <w:ind w:firstLine="720"/>
      </w:pPr>
      <w:r>
        <w:t xml:space="preserve">Table 1 presents descriptive statistics of the </w:t>
      </w:r>
      <w:r w:rsidR="00ED1202">
        <w:t xml:space="preserve">dependent variables. The second broad column indicates that about 15% of the CBGs are </w:t>
      </w:r>
      <w:r w:rsidR="00ED1202" w:rsidRPr="00ED72CA">
        <w:rPr>
          <w:i/>
        </w:rPr>
        <w:t>MB</w:t>
      </w:r>
      <w:r w:rsidR="00ED1202">
        <w:t xml:space="preserve"> CBGs. The third broad column provides the average number of crashes (and the standard deviation)</w:t>
      </w:r>
      <w:r w:rsidR="005C2F6F">
        <w:t xml:space="preserve">, by </w:t>
      </w:r>
      <w:r w:rsidR="00ED1202">
        <w:t>CBG</w:t>
      </w:r>
      <w:r w:rsidR="005C2F6F">
        <w:t xml:space="preserve"> type</w:t>
      </w:r>
      <w:r w:rsidR="00ED1202">
        <w:t>, showing the elevation of total crashes in Black CBGs. The fourth broad column pr</w:t>
      </w:r>
      <w:r w:rsidR="005C2F6F">
        <w:t>esents</w:t>
      </w:r>
      <w:r w:rsidR="00ED1202">
        <w:t xml:space="preserve"> the mean and standard deviation</w:t>
      </w:r>
      <w:r w:rsidR="00ED72CA">
        <w:t xml:space="preserve"> (S.D.)</w:t>
      </w:r>
      <w:r w:rsidR="00ED1202">
        <w:t xml:space="preserve"> of the fraction of Black crashes </w:t>
      </w:r>
      <w:r w:rsidR="005C2F6F">
        <w:t>in those CBGs that had at least one pedestrian crash during the ten</w:t>
      </w:r>
      <w:r w:rsidR="00ED72CA">
        <w:t>-</w:t>
      </w:r>
      <w:r w:rsidR="005C2F6F">
        <w:t xml:space="preserve">year timeframe of our analysis, by CBG type. Not surprisingly, the mean fraction is higher in </w:t>
      </w:r>
      <w:r w:rsidR="005C2F6F" w:rsidRPr="00ED72CA">
        <w:rPr>
          <w:i/>
        </w:rPr>
        <w:t xml:space="preserve">MB </w:t>
      </w:r>
      <w:r w:rsidR="005C2F6F">
        <w:t>CBGs, because these are, by definition, locations of a high number of Black individuals. In our multivariate analyses of the three dependent variables, we control for multiple factors that may explain some of the differences in the descriptive statistics in Table 1.</w:t>
      </w:r>
    </w:p>
    <w:p w14:paraId="7F13DEFC" w14:textId="77777777" w:rsidR="005C0331" w:rsidRDefault="005C0331" w:rsidP="007D5556">
      <w:pPr>
        <w:spacing w:before="0" w:after="0" w:line="360" w:lineRule="auto"/>
        <w:ind w:firstLine="720"/>
      </w:pPr>
    </w:p>
    <w:p w14:paraId="73863CD5" w14:textId="0857903E" w:rsidR="00AD3AAB" w:rsidRPr="00D909B5" w:rsidRDefault="00AD3AAB" w:rsidP="00674B0F">
      <w:pPr>
        <w:pStyle w:val="Caption"/>
        <w:keepNext/>
        <w:spacing w:after="120"/>
        <w:jc w:val="left"/>
        <w:rPr>
          <w:sz w:val="24"/>
          <w:szCs w:val="24"/>
        </w:rPr>
      </w:pPr>
      <w:r w:rsidRPr="00D909B5">
        <w:rPr>
          <w:sz w:val="24"/>
          <w:szCs w:val="24"/>
        </w:rPr>
        <w:t xml:space="preserve">Table </w:t>
      </w:r>
      <w:r w:rsidR="00AF46AE" w:rsidRPr="00D909B5">
        <w:rPr>
          <w:sz w:val="24"/>
          <w:szCs w:val="24"/>
        </w:rPr>
        <w:fldChar w:fldCharType="begin"/>
      </w:r>
      <w:r w:rsidR="00AF46AE" w:rsidRPr="00D909B5">
        <w:rPr>
          <w:sz w:val="24"/>
          <w:szCs w:val="24"/>
        </w:rPr>
        <w:instrText xml:space="preserve"> SEQ Table \* ARABIC </w:instrText>
      </w:r>
      <w:r w:rsidR="00AF46AE" w:rsidRPr="00D909B5">
        <w:rPr>
          <w:sz w:val="24"/>
          <w:szCs w:val="24"/>
        </w:rPr>
        <w:fldChar w:fldCharType="separate"/>
      </w:r>
      <w:r w:rsidR="008C306F">
        <w:rPr>
          <w:noProof/>
          <w:sz w:val="24"/>
          <w:szCs w:val="24"/>
        </w:rPr>
        <w:t>1</w:t>
      </w:r>
      <w:r w:rsidR="00AF46AE" w:rsidRPr="00D909B5">
        <w:rPr>
          <w:noProof/>
          <w:sz w:val="24"/>
          <w:szCs w:val="24"/>
        </w:rPr>
        <w:fldChar w:fldCharType="end"/>
      </w:r>
      <w:r w:rsidRPr="00D909B5">
        <w:rPr>
          <w:sz w:val="24"/>
          <w:szCs w:val="24"/>
        </w:rPr>
        <w:t xml:space="preserve">. Sample </w:t>
      </w:r>
      <w:r w:rsidR="00F5200B">
        <w:rPr>
          <w:sz w:val="24"/>
          <w:szCs w:val="24"/>
        </w:rPr>
        <w:t>D</w:t>
      </w:r>
      <w:r w:rsidRPr="00D909B5">
        <w:rPr>
          <w:sz w:val="24"/>
          <w:szCs w:val="24"/>
        </w:rPr>
        <w:t xml:space="preserve">escriptive </w:t>
      </w:r>
      <w:r w:rsidR="00F5200B">
        <w:rPr>
          <w:sz w:val="24"/>
          <w:szCs w:val="24"/>
        </w:rPr>
        <w:t>S</w:t>
      </w:r>
      <w:r w:rsidRPr="00D909B5">
        <w:rPr>
          <w:sz w:val="24"/>
          <w:szCs w:val="24"/>
        </w:rPr>
        <w:t xml:space="preserve">tatistics for </w:t>
      </w:r>
      <w:r w:rsidR="00F5200B">
        <w:rPr>
          <w:sz w:val="24"/>
          <w:szCs w:val="24"/>
        </w:rPr>
        <w:t>D</w:t>
      </w:r>
      <w:r w:rsidRPr="00D909B5">
        <w:rPr>
          <w:sz w:val="24"/>
          <w:szCs w:val="24"/>
        </w:rPr>
        <w:t xml:space="preserve">ependent </w:t>
      </w:r>
      <w:r w:rsidR="00F5200B">
        <w:rPr>
          <w:sz w:val="24"/>
          <w:szCs w:val="24"/>
        </w:rPr>
        <w:t>V</w:t>
      </w:r>
      <w:r w:rsidRPr="00D909B5">
        <w:rPr>
          <w:sz w:val="24"/>
          <w:szCs w:val="24"/>
        </w:rPr>
        <w:t>ariables</w:t>
      </w:r>
    </w:p>
    <w:tbl>
      <w:tblPr>
        <w:tblStyle w:val="6"/>
        <w:tblW w:w="935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00" w:firstRow="0" w:lastRow="0" w:firstColumn="0" w:lastColumn="0" w:noHBand="0" w:noVBand="1"/>
      </w:tblPr>
      <w:tblGrid>
        <w:gridCol w:w="1695"/>
        <w:gridCol w:w="1350"/>
        <w:gridCol w:w="1710"/>
        <w:gridCol w:w="1150"/>
        <w:gridCol w:w="1150"/>
        <w:gridCol w:w="1150"/>
        <w:gridCol w:w="1150"/>
      </w:tblGrid>
      <w:tr w:rsidR="00AD3AAB" w:rsidRPr="00816D34" w14:paraId="790AC803" w14:textId="77777777" w:rsidTr="00816D34">
        <w:tc>
          <w:tcPr>
            <w:tcW w:w="1695" w:type="dxa"/>
            <w:vMerge w:val="restart"/>
            <w:tcBorders>
              <w:top w:val="double" w:sz="4" w:space="0" w:color="auto"/>
              <w:left w:val="double" w:sz="4" w:space="0" w:color="auto"/>
              <w:bottom w:val="single" w:sz="4" w:space="0" w:color="000000"/>
              <w:right w:val="double" w:sz="4" w:space="0" w:color="auto"/>
            </w:tcBorders>
            <w:shd w:val="clear" w:color="auto" w:fill="auto"/>
            <w:vAlign w:val="center"/>
          </w:tcPr>
          <w:p w14:paraId="0CF0B399" w14:textId="5D2C53E6" w:rsidR="00AD3AAB" w:rsidRPr="00816D34" w:rsidRDefault="00AD3AAB" w:rsidP="00432BEC">
            <w:pPr>
              <w:spacing w:before="0"/>
              <w:jc w:val="center"/>
              <w:rPr>
                <w:b/>
                <w:sz w:val="23"/>
                <w:szCs w:val="23"/>
              </w:rPr>
            </w:pPr>
            <w:r w:rsidRPr="00816D34">
              <w:rPr>
                <w:b/>
                <w:sz w:val="23"/>
                <w:szCs w:val="23"/>
              </w:rPr>
              <w:t>Block Group Type</w:t>
            </w:r>
          </w:p>
        </w:tc>
        <w:tc>
          <w:tcPr>
            <w:tcW w:w="3060" w:type="dxa"/>
            <w:gridSpan w:val="2"/>
            <w:tcBorders>
              <w:top w:val="double" w:sz="4" w:space="0" w:color="auto"/>
              <w:left w:val="double" w:sz="4" w:space="0" w:color="auto"/>
              <w:bottom w:val="single" w:sz="4" w:space="0" w:color="000000"/>
              <w:right w:val="double" w:sz="4" w:space="0" w:color="auto"/>
            </w:tcBorders>
            <w:shd w:val="clear" w:color="auto" w:fill="auto"/>
            <w:vAlign w:val="center"/>
          </w:tcPr>
          <w:p w14:paraId="2DD2F90D" w14:textId="6D9A74FF" w:rsidR="00AD3AAB" w:rsidRPr="00816D34" w:rsidRDefault="00AD3AAB" w:rsidP="00432BEC">
            <w:pPr>
              <w:spacing w:before="0"/>
              <w:jc w:val="center"/>
              <w:rPr>
                <w:b/>
                <w:sz w:val="23"/>
                <w:szCs w:val="23"/>
              </w:rPr>
            </w:pPr>
            <w:r w:rsidRPr="00816D34">
              <w:rPr>
                <w:b/>
                <w:sz w:val="23"/>
                <w:szCs w:val="23"/>
              </w:rPr>
              <w:t>CBG Type</w:t>
            </w:r>
          </w:p>
        </w:tc>
        <w:tc>
          <w:tcPr>
            <w:tcW w:w="2300" w:type="dxa"/>
            <w:gridSpan w:val="2"/>
            <w:tcBorders>
              <w:top w:val="double" w:sz="4" w:space="0" w:color="auto"/>
              <w:left w:val="double" w:sz="4" w:space="0" w:color="auto"/>
              <w:bottom w:val="single" w:sz="4" w:space="0" w:color="000000"/>
              <w:right w:val="double" w:sz="4" w:space="0" w:color="auto"/>
            </w:tcBorders>
            <w:shd w:val="clear" w:color="auto" w:fill="auto"/>
            <w:vAlign w:val="center"/>
          </w:tcPr>
          <w:p w14:paraId="2184EE2E" w14:textId="1056D72A" w:rsidR="00AD3AAB" w:rsidRPr="00816D34" w:rsidRDefault="00AD3AAB" w:rsidP="00432BEC">
            <w:pPr>
              <w:spacing w:before="0"/>
              <w:jc w:val="center"/>
              <w:rPr>
                <w:b/>
                <w:sz w:val="23"/>
                <w:szCs w:val="23"/>
              </w:rPr>
            </w:pPr>
            <w:r w:rsidRPr="00816D34">
              <w:rPr>
                <w:b/>
                <w:sz w:val="23"/>
                <w:szCs w:val="23"/>
              </w:rPr>
              <w:t>Number of Crashes per CBG</w:t>
            </w:r>
          </w:p>
        </w:tc>
        <w:tc>
          <w:tcPr>
            <w:tcW w:w="2300" w:type="dxa"/>
            <w:gridSpan w:val="2"/>
            <w:tcBorders>
              <w:top w:val="double" w:sz="4" w:space="0" w:color="auto"/>
              <w:left w:val="double" w:sz="4" w:space="0" w:color="auto"/>
              <w:bottom w:val="single" w:sz="4" w:space="0" w:color="000000"/>
              <w:right w:val="double" w:sz="4" w:space="0" w:color="auto"/>
            </w:tcBorders>
            <w:shd w:val="clear" w:color="auto" w:fill="auto"/>
            <w:vAlign w:val="center"/>
          </w:tcPr>
          <w:p w14:paraId="65D35FB0" w14:textId="5A53D416" w:rsidR="00AD3AAB" w:rsidRPr="00816D34" w:rsidRDefault="00AD3AAB" w:rsidP="00432BEC">
            <w:pPr>
              <w:spacing w:before="0"/>
              <w:jc w:val="center"/>
              <w:rPr>
                <w:b/>
                <w:sz w:val="23"/>
                <w:szCs w:val="23"/>
              </w:rPr>
            </w:pPr>
            <w:r w:rsidRPr="00816D34">
              <w:rPr>
                <w:b/>
                <w:sz w:val="23"/>
                <w:szCs w:val="23"/>
              </w:rPr>
              <w:t>Fraction of Black crashes per CBG</w:t>
            </w:r>
          </w:p>
        </w:tc>
      </w:tr>
      <w:tr w:rsidR="00AD3AAB" w:rsidRPr="00816D34" w14:paraId="03A473DC" w14:textId="5599464A" w:rsidTr="00816D34">
        <w:trPr>
          <w:trHeight w:val="107"/>
        </w:trPr>
        <w:tc>
          <w:tcPr>
            <w:tcW w:w="1695" w:type="dxa"/>
            <w:vMerge/>
            <w:tcBorders>
              <w:top w:val="single" w:sz="4" w:space="0" w:color="000000"/>
              <w:left w:val="double" w:sz="4" w:space="0" w:color="auto"/>
              <w:bottom w:val="double" w:sz="4" w:space="0" w:color="auto"/>
              <w:right w:val="double" w:sz="4" w:space="0" w:color="auto"/>
            </w:tcBorders>
            <w:shd w:val="clear" w:color="auto" w:fill="auto"/>
            <w:vAlign w:val="center"/>
          </w:tcPr>
          <w:p w14:paraId="777907E8" w14:textId="415B0DC7" w:rsidR="00AD3AAB" w:rsidRPr="00816D34" w:rsidRDefault="00AD3AAB" w:rsidP="00432BEC">
            <w:pPr>
              <w:spacing w:before="0"/>
              <w:jc w:val="center"/>
              <w:rPr>
                <w:sz w:val="23"/>
                <w:szCs w:val="23"/>
              </w:rPr>
            </w:pPr>
          </w:p>
        </w:tc>
        <w:tc>
          <w:tcPr>
            <w:tcW w:w="1350" w:type="dxa"/>
            <w:tcBorders>
              <w:top w:val="single" w:sz="4" w:space="0" w:color="000000"/>
              <w:left w:val="double" w:sz="4" w:space="0" w:color="auto"/>
              <w:bottom w:val="double" w:sz="4" w:space="0" w:color="auto"/>
            </w:tcBorders>
            <w:shd w:val="clear" w:color="auto" w:fill="auto"/>
            <w:vAlign w:val="center"/>
          </w:tcPr>
          <w:p w14:paraId="79313D33" w14:textId="77777777" w:rsidR="00AD3AAB" w:rsidRPr="00816D34" w:rsidRDefault="00AD3AAB" w:rsidP="00432BEC">
            <w:pPr>
              <w:spacing w:before="0"/>
              <w:jc w:val="center"/>
              <w:rPr>
                <w:sz w:val="23"/>
                <w:szCs w:val="23"/>
              </w:rPr>
            </w:pPr>
            <w:r w:rsidRPr="00816D34">
              <w:rPr>
                <w:b/>
                <w:sz w:val="23"/>
                <w:szCs w:val="23"/>
              </w:rPr>
              <w:t>Frequency</w:t>
            </w:r>
          </w:p>
        </w:tc>
        <w:tc>
          <w:tcPr>
            <w:tcW w:w="1710" w:type="dxa"/>
            <w:tcBorders>
              <w:top w:val="single" w:sz="4" w:space="0" w:color="000000"/>
              <w:bottom w:val="double" w:sz="4" w:space="0" w:color="auto"/>
              <w:right w:val="double" w:sz="4" w:space="0" w:color="auto"/>
            </w:tcBorders>
            <w:shd w:val="clear" w:color="auto" w:fill="auto"/>
            <w:vAlign w:val="center"/>
          </w:tcPr>
          <w:p w14:paraId="7105B959" w14:textId="7D4C9E04" w:rsidR="00AD3AAB" w:rsidRPr="00816D34" w:rsidRDefault="00AD3AAB" w:rsidP="00432BEC">
            <w:pPr>
              <w:spacing w:before="0"/>
              <w:jc w:val="center"/>
              <w:rPr>
                <w:sz w:val="23"/>
                <w:szCs w:val="23"/>
              </w:rPr>
            </w:pPr>
            <w:r w:rsidRPr="00816D34">
              <w:rPr>
                <w:b/>
                <w:sz w:val="23"/>
                <w:szCs w:val="23"/>
              </w:rPr>
              <w:t>Relative Frequency</w:t>
            </w:r>
            <w:r w:rsidR="002E3091" w:rsidRPr="00816D34">
              <w:rPr>
                <w:b/>
                <w:sz w:val="23"/>
                <w:szCs w:val="23"/>
              </w:rPr>
              <w:t xml:space="preserve"> (%)</w:t>
            </w:r>
          </w:p>
        </w:tc>
        <w:tc>
          <w:tcPr>
            <w:tcW w:w="1150" w:type="dxa"/>
            <w:tcBorders>
              <w:top w:val="single" w:sz="4" w:space="0" w:color="000000"/>
              <w:left w:val="double" w:sz="4" w:space="0" w:color="auto"/>
              <w:bottom w:val="double" w:sz="4" w:space="0" w:color="auto"/>
            </w:tcBorders>
            <w:shd w:val="clear" w:color="auto" w:fill="auto"/>
            <w:vAlign w:val="center"/>
          </w:tcPr>
          <w:p w14:paraId="2DAFF03D" w14:textId="6D017FEF" w:rsidR="00AD3AAB" w:rsidRPr="00816D34" w:rsidRDefault="00AD3AAB" w:rsidP="00432BEC">
            <w:pPr>
              <w:spacing w:before="0"/>
              <w:jc w:val="center"/>
              <w:rPr>
                <w:b/>
                <w:sz w:val="23"/>
                <w:szCs w:val="23"/>
              </w:rPr>
            </w:pPr>
            <w:r w:rsidRPr="00816D34">
              <w:rPr>
                <w:b/>
                <w:sz w:val="23"/>
                <w:szCs w:val="23"/>
              </w:rPr>
              <w:t>Mean</w:t>
            </w:r>
          </w:p>
        </w:tc>
        <w:tc>
          <w:tcPr>
            <w:tcW w:w="1150" w:type="dxa"/>
            <w:tcBorders>
              <w:top w:val="single" w:sz="4" w:space="0" w:color="000000"/>
              <w:bottom w:val="double" w:sz="4" w:space="0" w:color="auto"/>
              <w:right w:val="double" w:sz="4" w:space="0" w:color="auto"/>
            </w:tcBorders>
            <w:shd w:val="clear" w:color="auto" w:fill="auto"/>
            <w:vAlign w:val="center"/>
          </w:tcPr>
          <w:p w14:paraId="7875F69F" w14:textId="35E68098" w:rsidR="00AD3AAB" w:rsidRPr="00816D34" w:rsidRDefault="00AD3AAB" w:rsidP="00432BEC">
            <w:pPr>
              <w:spacing w:before="0"/>
              <w:jc w:val="center"/>
              <w:rPr>
                <w:b/>
                <w:sz w:val="23"/>
                <w:szCs w:val="23"/>
              </w:rPr>
            </w:pPr>
            <w:r w:rsidRPr="00816D34">
              <w:rPr>
                <w:b/>
                <w:sz w:val="23"/>
                <w:szCs w:val="23"/>
              </w:rPr>
              <w:t>S.D.</w:t>
            </w:r>
          </w:p>
        </w:tc>
        <w:tc>
          <w:tcPr>
            <w:tcW w:w="1150" w:type="dxa"/>
            <w:tcBorders>
              <w:top w:val="single" w:sz="4" w:space="0" w:color="000000"/>
              <w:left w:val="double" w:sz="4" w:space="0" w:color="auto"/>
              <w:bottom w:val="double" w:sz="4" w:space="0" w:color="auto"/>
            </w:tcBorders>
            <w:shd w:val="clear" w:color="auto" w:fill="auto"/>
            <w:vAlign w:val="center"/>
          </w:tcPr>
          <w:p w14:paraId="41025E65" w14:textId="41A9D9EB" w:rsidR="00AD3AAB" w:rsidRPr="00816D34" w:rsidRDefault="00AD3AAB" w:rsidP="00432BEC">
            <w:pPr>
              <w:spacing w:before="0"/>
              <w:jc w:val="center"/>
              <w:rPr>
                <w:b/>
                <w:sz w:val="23"/>
                <w:szCs w:val="23"/>
              </w:rPr>
            </w:pPr>
            <w:r w:rsidRPr="00816D34">
              <w:rPr>
                <w:b/>
                <w:sz w:val="23"/>
                <w:szCs w:val="23"/>
              </w:rPr>
              <w:t>Mean</w:t>
            </w:r>
          </w:p>
        </w:tc>
        <w:tc>
          <w:tcPr>
            <w:tcW w:w="1150" w:type="dxa"/>
            <w:tcBorders>
              <w:top w:val="single" w:sz="4" w:space="0" w:color="000000"/>
              <w:bottom w:val="double" w:sz="4" w:space="0" w:color="auto"/>
              <w:right w:val="double" w:sz="4" w:space="0" w:color="auto"/>
            </w:tcBorders>
            <w:shd w:val="clear" w:color="auto" w:fill="auto"/>
            <w:vAlign w:val="center"/>
          </w:tcPr>
          <w:p w14:paraId="742A6E27" w14:textId="2C19DBB9" w:rsidR="00AD3AAB" w:rsidRPr="00816D34" w:rsidRDefault="00AD3AAB" w:rsidP="00432BEC">
            <w:pPr>
              <w:spacing w:before="0"/>
              <w:jc w:val="center"/>
              <w:rPr>
                <w:b/>
                <w:sz w:val="23"/>
                <w:szCs w:val="23"/>
              </w:rPr>
            </w:pPr>
            <w:r w:rsidRPr="00816D34">
              <w:rPr>
                <w:b/>
                <w:sz w:val="23"/>
                <w:szCs w:val="23"/>
              </w:rPr>
              <w:t>S.D.</w:t>
            </w:r>
          </w:p>
        </w:tc>
      </w:tr>
      <w:tr w:rsidR="00ED72CA" w:rsidRPr="00816D34" w14:paraId="3030D026" w14:textId="1AD0D63E" w:rsidTr="00816D34">
        <w:trPr>
          <w:trHeight w:val="576"/>
        </w:trPr>
        <w:tc>
          <w:tcPr>
            <w:tcW w:w="1695" w:type="dxa"/>
            <w:tcBorders>
              <w:top w:val="double" w:sz="4" w:space="0" w:color="auto"/>
              <w:left w:val="double" w:sz="4" w:space="0" w:color="auto"/>
              <w:right w:val="double" w:sz="4" w:space="0" w:color="auto"/>
            </w:tcBorders>
            <w:shd w:val="clear" w:color="auto" w:fill="auto"/>
            <w:vAlign w:val="center"/>
          </w:tcPr>
          <w:p w14:paraId="56FD8162" w14:textId="77777777" w:rsidR="00ED72CA" w:rsidRPr="00816D34" w:rsidRDefault="00ED72CA" w:rsidP="00816D34">
            <w:pPr>
              <w:spacing w:before="0"/>
              <w:jc w:val="left"/>
              <w:rPr>
                <w:sz w:val="23"/>
                <w:szCs w:val="23"/>
              </w:rPr>
            </w:pPr>
            <w:r w:rsidRPr="00816D34">
              <w:rPr>
                <w:sz w:val="23"/>
                <w:szCs w:val="23"/>
              </w:rPr>
              <w:t>Majority Black</w:t>
            </w:r>
          </w:p>
        </w:tc>
        <w:tc>
          <w:tcPr>
            <w:tcW w:w="1350" w:type="dxa"/>
            <w:tcBorders>
              <w:top w:val="double" w:sz="4" w:space="0" w:color="auto"/>
              <w:left w:val="double" w:sz="4" w:space="0" w:color="auto"/>
            </w:tcBorders>
            <w:shd w:val="clear" w:color="auto" w:fill="auto"/>
            <w:vAlign w:val="center"/>
          </w:tcPr>
          <w:p w14:paraId="56596ADC" w14:textId="77777777" w:rsidR="00ED72CA" w:rsidRPr="00816D34" w:rsidRDefault="00ED72CA" w:rsidP="00D909B5">
            <w:pPr>
              <w:spacing w:before="0"/>
              <w:jc w:val="right"/>
              <w:rPr>
                <w:sz w:val="23"/>
                <w:szCs w:val="23"/>
              </w:rPr>
            </w:pPr>
            <w:r w:rsidRPr="00816D34">
              <w:rPr>
                <w:color w:val="FFFFFF"/>
                <w:sz w:val="23"/>
                <w:szCs w:val="23"/>
              </w:rPr>
              <w:t>0</w:t>
            </w:r>
            <w:r w:rsidRPr="00816D34">
              <w:rPr>
                <w:sz w:val="23"/>
                <w:szCs w:val="23"/>
              </w:rPr>
              <w:t>440</w:t>
            </w:r>
          </w:p>
        </w:tc>
        <w:tc>
          <w:tcPr>
            <w:tcW w:w="1710" w:type="dxa"/>
            <w:tcBorders>
              <w:top w:val="double" w:sz="4" w:space="0" w:color="auto"/>
              <w:right w:val="double" w:sz="4" w:space="0" w:color="auto"/>
            </w:tcBorders>
            <w:shd w:val="clear" w:color="auto" w:fill="auto"/>
            <w:vAlign w:val="center"/>
          </w:tcPr>
          <w:p w14:paraId="3F656718" w14:textId="7578B8AE" w:rsidR="00ED72CA" w:rsidRPr="00816D34" w:rsidRDefault="00ED72CA" w:rsidP="00D909B5">
            <w:pPr>
              <w:spacing w:before="0"/>
              <w:jc w:val="right"/>
              <w:rPr>
                <w:sz w:val="23"/>
                <w:szCs w:val="23"/>
              </w:rPr>
            </w:pPr>
            <w:r w:rsidRPr="00816D34">
              <w:rPr>
                <w:color w:val="FFFFFF"/>
                <w:sz w:val="23"/>
                <w:szCs w:val="23"/>
              </w:rPr>
              <w:t>0</w:t>
            </w:r>
            <w:r w:rsidRPr="00816D34">
              <w:rPr>
                <w:sz w:val="23"/>
                <w:szCs w:val="23"/>
              </w:rPr>
              <w:t>14.8</w:t>
            </w:r>
          </w:p>
        </w:tc>
        <w:tc>
          <w:tcPr>
            <w:tcW w:w="1150" w:type="dxa"/>
            <w:tcBorders>
              <w:top w:val="double" w:sz="4" w:space="0" w:color="auto"/>
              <w:left w:val="double" w:sz="4" w:space="0" w:color="auto"/>
            </w:tcBorders>
            <w:vAlign w:val="center"/>
          </w:tcPr>
          <w:p w14:paraId="04433F07" w14:textId="1A72CB78" w:rsidR="00ED72CA" w:rsidRPr="00816D34" w:rsidRDefault="00ED72CA" w:rsidP="00D909B5">
            <w:pPr>
              <w:spacing w:before="0"/>
              <w:jc w:val="right"/>
              <w:rPr>
                <w:color w:val="000000" w:themeColor="text1"/>
                <w:sz w:val="23"/>
                <w:szCs w:val="23"/>
              </w:rPr>
            </w:pPr>
            <w:r w:rsidRPr="00816D34">
              <w:rPr>
                <w:color w:val="000000" w:themeColor="text1"/>
                <w:sz w:val="23"/>
                <w:szCs w:val="23"/>
              </w:rPr>
              <w:t>0.423</w:t>
            </w:r>
          </w:p>
        </w:tc>
        <w:tc>
          <w:tcPr>
            <w:tcW w:w="1150" w:type="dxa"/>
            <w:tcBorders>
              <w:top w:val="double" w:sz="4" w:space="0" w:color="auto"/>
              <w:right w:val="double" w:sz="4" w:space="0" w:color="auto"/>
            </w:tcBorders>
            <w:vAlign w:val="center"/>
          </w:tcPr>
          <w:p w14:paraId="231DEE1E" w14:textId="0D9D7C2E" w:rsidR="00ED72CA" w:rsidRPr="00816D34" w:rsidRDefault="00ED72CA" w:rsidP="00D909B5">
            <w:pPr>
              <w:spacing w:before="0"/>
              <w:jc w:val="right"/>
              <w:rPr>
                <w:color w:val="000000" w:themeColor="text1"/>
                <w:sz w:val="23"/>
                <w:szCs w:val="23"/>
              </w:rPr>
            </w:pPr>
            <w:r w:rsidRPr="00816D34">
              <w:rPr>
                <w:color w:val="000000" w:themeColor="text1"/>
                <w:sz w:val="23"/>
                <w:szCs w:val="23"/>
              </w:rPr>
              <w:t>0.920</w:t>
            </w:r>
          </w:p>
        </w:tc>
        <w:tc>
          <w:tcPr>
            <w:tcW w:w="1150" w:type="dxa"/>
            <w:tcBorders>
              <w:top w:val="double" w:sz="4" w:space="0" w:color="auto"/>
              <w:left w:val="double" w:sz="4" w:space="0" w:color="auto"/>
            </w:tcBorders>
            <w:vAlign w:val="center"/>
          </w:tcPr>
          <w:p w14:paraId="07A7F093" w14:textId="094F7760" w:rsidR="00ED72CA" w:rsidRPr="00816D34" w:rsidRDefault="00ED72CA" w:rsidP="00D909B5">
            <w:pPr>
              <w:spacing w:before="0"/>
              <w:jc w:val="right"/>
              <w:rPr>
                <w:color w:val="000000" w:themeColor="text1"/>
                <w:sz w:val="23"/>
                <w:szCs w:val="23"/>
              </w:rPr>
            </w:pPr>
            <w:r w:rsidRPr="00816D34">
              <w:rPr>
                <w:color w:val="000000" w:themeColor="text1"/>
                <w:sz w:val="23"/>
                <w:szCs w:val="23"/>
              </w:rPr>
              <w:t>0.577</w:t>
            </w:r>
          </w:p>
        </w:tc>
        <w:tc>
          <w:tcPr>
            <w:tcW w:w="1150" w:type="dxa"/>
            <w:tcBorders>
              <w:top w:val="double" w:sz="4" w:space="0" w:color="auto"/>
              <w:right w:val="double" w:sz="4" w:space="0" w:color="auto"/>
            </w:tcBorders>
            <w:vAlign w:val="center"/>
          </w:tcPr>
          <w:p w14:paraId="58B7B69A" w14:textId="408E7A0D" w:rsidR="00ED72CA" w:rsidRPr="00816D34" w:rsidRDefault="00ED72CA" w:rsidP="00D909B5">
            <w:pPr>
              <w:spacing w:before="0"/>
              <w:jc w:val="right"/>
              <w:rPr>
                <w:color w:val="000000" w:themeColor="text1"/>
                <w:sz w:val="23"/>
                <w:szCs w:val="23"/>
              </w:rPr>
            </w:pPr>
            <w:r w:rsidRPr="00816D34">
              <w:rPr>
                <w:color w:val="000000" w:themeColor="text1"/>
                <w:sz w:val="23"/>
                <w:szCs w:val="23"/>
              </w:rPr>
              <w:t>0.465</w:t>
            </w:r>
          </w:p>
        </w:tc>
      </w:tr>
      <w:tr w:rsidR="00ED72CA" w:rsidRPr="00816D34" w14:paraId="60472264" w14:textId="1AE526FC" w:rsidTr="00816D34">
        <w:trPr>
          <w:trHeight w:val="576"/>
        </w:trPr>
        <w:tc>
          <w:tcPr>
            <w:tcW w:w="1695" w:type="dxa"/>
            <w:tcBorders>
              <w:left w:val="double" w:sz="4" w:space="0" w:color="auto"/>
              <w:right w:val="double" w:sz="4" w:space="0" w:color="auto"/>
            </w:tcBorders>
            <w:shd w:val="clear" w:color="auto" w:fill="auto"/>
            <w:vAlign w:val="center"/>
          </w:tcPr>
          <w:p w14:paraId="5BADFFC5" w14:textId="77777777" w:rsidR="00ED72CA" w:rsidRPr="00816D34" w:rsidRDefault="00ED72CA" w:rsidP="00816D34">
            <w:pPr>
              <w:spacing w:before="0"/>
              <w:jc w:val="left"/>
              <w:rPr>
                <w:sz w:val="23"/>
                <w:szCs w:val="23"/>
              </w:rPr>
            </w:pPr>
            <w:r w:rsidRPr="00816D34">
              <w:rPr>
                <w:sz w:val="23"/>
                <w:szCs w:val="23"/>
              </w:rPr>
              <w:t>Majority Non-Black</w:t>
            </w:r>
          </w:p>
        </w:tc>
        <w:tc>
          <w:tcPr>
            <w:tcW w:w="1350" w:type="dxa"/>
            <w:tcBorders>
              <w:left w:val="double" w:sz="4" w:space="0" w:color="auto"/>
            </w:tcBorders>
            <w:shd w:val="clear" w:color="auto" w:fill="auto"/>
            <w:vAlign w:val="center"/>
          </w:tcPr>
          <w:p w14:paraId="3D3A0AB9" w14:textId="77777777" w:rsidR="00ED72CA" w:rsidRPr="00816D34" w:rsidRDefault="00ED72CA" w:rsidP="00D909B5">
            <w:pPr>
              <w:spacing w:before="0"/>
              <w:jc w:val="right"/>
              <w:rPr>
                <w:sz w:val="23"/>
                <w:szCs w:val="23"/>
              </w:rPr>
            </w:pPr>
            <w:r w:rsidRPr="00816D34">
              <w:rPr>
                <w:sz w:val="23"/>
                <w:szCs w:val="23"/>
              </w:rPr>
              <w:t>2528</w:t>
            </w:r>
          </w:p>
        </w:tc>
        <w:tc>
          <w:tcPr>
            <w:tcW w:w="1710" w:type="dxa"/>
            <w:tcBorders>
              <w:right w:val="double" w:sz="4" w:space="0" w:color="auto"/>
            </w:tcBorders>
            <w:shd w:val="clear" w:color="auto" w:fill="auto"/>
            <w:vAlign w:val="center"/>
          </w:tcPr>
          <w:p w14:paraId="76BA3318" w14:textId="3351D815" w:rsidR="00ED72CA" w:rsidRPr="00816D34" w:rsidRDefault="00ED72CA" w:rsidP="00D909B5">
            <w:pPr>
              <w:spacing w:before="0"/>
              <w:jc w:val="right"/>
              <w:rPr>
                <w:sz w:val="23"/>
                <w:szCs w:val="23"/>
              </w:rPr>
            </w:pPr>
            <w:r w:rsidRPr="00816D34">
              <w:rPr>
                <w:color w:val="FFFFFF"/>
                <w:sz w:val="23"/>
                <w:szCs w:val="23"/>
              </w:rPr>
              <w:t>00</w:t>
            </w:r>
            <w:r w:rsidRPr="00816D34">
              <w:rPr>
                <w:sz w:val="23"/>
                <w:szCs w:val="23"/>
              </w:rPr>
              <w:t>85.2</w:t>
            </w:r>
          </w:p>
        </w:tc>
        <w:tc>
          <w:tcPr>
            <w:tcW w:w="1150" w:type="dxa"/>
            <w:tcBorders>
              <w:left w:val="double" w:sz="4" w:space="0" w:color="auto"/>
            </w:tcBorders>
            <w:vAlign w:val="center"/>
          </w:tcPr>
          <w:p w14:paraId="78A80AD0" w14:textId="19A1C474" w:rsidR="00ED72CA" w:rsidRPr="00816D34" w:rsidRDefault="00ED72CA" w:rsidP="00D909B5">
            <w:pPr>
              <w:spacing w:before="0"/>
              <w:jc w:val="right"/>
              <w:rPr>
                <w:color w:val="000000" w:themeColor="text1"/>
                <w:sz w:val="23"/>
                <w:szCs w:val="23"/>
              </w:rPr>
            </w:pPr>
            <w:r w:rsidRPr="00816D34">
              <w:rPr>
                <w:color w:val="000000" w:themeColor="text1"/>
                <w:sz w:val="23"/>
                <w:szCs w:val="23"/>
              </w:rPr>
              <w:t>0.306</w:t>
            </w:r>
          </w:p>
        </w:tc>
        <w:tc>
          <w:tcPr>
            <w:tcW w:w="1150" w:type="dxa"/>
            <w:tcBorders>
              <w:right w:val="double" w:sz="4" w:space="0" w:color="auto"/>
            </w:tcBorders>
            <w:vAlign w:val="center"/>
          </w:tcPr>
          <w:p w14:paraId="3FCD6511" w14:textId="26DD8689" w:rsidR="00ED72CA" w:rsidRPr="00816D34" w:rsidRDefault="00ED72CA" w:rsidP="00D909B5">
            <w:pPr>
              <w:spacing w:before="0"/>
              <w:jc w:val="right"/>
              <w:rPr>
                <w:color w:val="000000" w:themeColor="text1"/>
                <w:sz w:val="23"/>
                <w:szCs w:val="23"/>
              </w:rPr>
            </w:pPr>
            <w:r w:rsidRPr="00816D34">
              <w:rPr>
                <w:color w:val="000000" w:themeColor="text1"/>
                <w:sz w:val="23"/>
                <w:szCs w:val="23"/>
              </w:rPr>
              <w:t>0.764</w:t>
            </w:r>
          </w:p>
        </w:tc>
        <w:tc>
          <w:tcPr>
            <w:tcW w:w="1150" w:type="dxa"/>
            <w:tcBorders>
              <w:left w:val="double" w:sz="4" w:space="0" w:color="auto"/>
            </w:tcBorders>
            <w:vAlign w:val="center"/>
          </w:tcPr>
          <w:p w14:paraId="2CCFB2C8" w14:textId="286B1E95" w:rsidR="00ED72CA" w:rsidRPr="00816D34" w:rsidRDefault="00ED72CA" w:rsidP="00D909B5">
            <w:pPr>
              <w:spacing w:before="0"/>
              <w:jc w:val="right"/>
              <w:rPr>
                <w:color w:val="000000" w:themeColor="text1"/>
                <w:sz w:val="23"/>
                <w:szCs w:val="23"/>
              </w:rPr>
            </w:pPr>
            <w:r w:rsidRPr="00816D34">
              <w:rPr>
                <w:color w:val="000000" w:themeColor="text1"/>
                <w:sz w:val="23"/>
                <w:szCs w:val="23"/>
              </w:rPr>
              <w:t>0.210</w:t>
            </w:r>
          </w:p>
        </w:tc>
        <w:tc>
          <w:tcPr>
            <w:tcW w:w="1150" w:type="dxa"/>
            <w:tcBorders>
              <w:right w:val="double" w:sz="4" w:space="0" w:color="auto"/>
            </w:tcBorders>
            <w:vAlign w:val="center"/>
          </w:tcPr>
          <w:p w14:paraId="641560BF" w14:textId="6DD225CF" w:rsidR="00ED72CA" w:rsidRPr="00816D34" w:rsidRDefault="00ED72CA" w:rsidP="00D909B5">
            <w:pPr>
              <w:spacing w:before="0"/>
              <w:jc w:val="right"/>
              <w:rPr>
                <w:color w:val="000000" w:themeColor="text1"/>
                <w:sz w:val="23"/>
                <w:szCs w:val="23"/>
              </w:rPr>
            </w:pPr>
            <w:r w:rsidRPr="00816D34">
              <w:rPr>
                <w:color w:val="000000" w:themeColor="text1"/>
                <w:sz w:val="23"/>
                <w:szCs w:val="23"/>
              </w:rPr>
              <w:t>0.367</w:t>
            </w:r>
          </w:p>
        </w:tc>
      </w:tr>
      <w:tr w:rsidR="00ED72CA" w:rsidRPr="00816D34" w14:paraId="4679158C" w14:textId="232D5901" w:rsidTr="00816D34">
        <w:trPr>
          <w:trHeight w:val="576"/>
        </w:trPr>
        <w:tc>
          <w:tcPr>
            <w:tcW w:w="1695" w:type="dxa"/>
            <w:tcBorders>
              <w:left w:val="double" w:sz="4" w:space="0" w:color="auto"/>
              <w:bottom w:val="double" w:sz="4" w:space="0" w:color="auto"/>
              <w:right w:val="double" w:sz="4" w:space="0" w:color="auto"/>
            </w:tcBorders>
            <w:shd w:val="clear" w:color="auto" w:fill="auto"/>
            <w:vAlign w:val="center"/>
          </w:tcPr>
          <w:p w14:paraId="23FF4E24" w14:textId="77777777" w:rsidR="00ED72CA" w:rsidRPr="00816D34" w:rsidRDefault="00ED72CA" w:rsidP="00816D34">
            <w:pPr>
              <w:spacing w:before="0"/>
              <w:jc w:val="left"/>
              <w:rPr>
                <w:sz w:val="23"/>
                <w:szCs w:val="23"/>
              </w:rPr>
            </w:pPr>
            <w:r w:rsidRPr="00816D34">
              <w:rPr>
                <w:sz w:val="23"/>
                <w:szCs w:val="23"/>
              </w:rPr>
              <w:t>Total</w:t>
            </w:r>
          </w:p>
        </w:tc>
        <w:tc>
          <w:tcPr>
            <w:tcW w:w="1350" w:type="dxa"/>
            <w:tcBorders>
              <w:left w:val="double" w:sz="4" w:space="0" w:color="auto"/>
              <w:bottom w:val="double" w:sz="4" w:space="0" w:color="auto"/>
            </w:tcBorders>
            <w:shd w:val="clear" w:color="auto" w:fill="auto"/>
            <w:vAlign w:val="center"/>
          </w:tcPr>
          <w:p w14:paraId="14657F91" w14:textId="77777777" w:rsidR="00ED72CA" w:rsidRPr="00816D34" w:rsidRDefault="00ED72CA" w:rsidP="00D909B5">
            <w:pPr>
              <w:spacing w:before="0"/>
              <w:jc w:val="right"/>
              <w:rPr>
                <w:sz w:val="23"/>
                <w:szCs w:val="23"/>
              </w:rPr>
            </w:pPr>
            <w:r w:rsidRPr="00816D34">
              <w:rPr>
                <w:sz w:val="23"/>
                <w:szCs w:val="23"/>
              </w:rPr>
              <w:t>2968</w:t>
            </w:r>
          </w:p>
        </w:tc>
        <w:tc>
          <w:tcPr>
            <w:tcW w:w="1710" w:type="dxa"/>
            <w:tcBorders>
              <w:bottom w:val="double" w:sz="4" w:space="0" w:color="auto"/>
              <w:right w:val="double" w:sz="4" w:space="0" w:color="auto"/>
            </w:tcBorders>
            <w:shd w:val="clear" w:color="auto" w:fill="auto"/>
            <w:vAlign w:val="center"/>
          </w:tcPr>
          <w:p w14:paraId="14DB91E7" w14:textId="65DB749E" w:rsidR="00ED72CA" w:rsidRPr="00816D34" w:rsidRDefault="00ED72CA" w:rsidP="00D909B5">
            <w:pPr>
              <w:spacing w:before="0"/>
              <w:jc w:val="right"/>
              <w:rPr>
                <w:sz w:val="23"/>
                <w:szCs w:val="23"/>
              </w:rPr>
            </w:pPr>
            <w:r w:rsidRPr="00816D34">
              <w:rPr>
                <w:sz w:val="23"/>
                <w:szCs w:val="23"/>
              </w:rPr>
              <w:t>100.0</w:t>
            </w:r>
          </w:p>
        </w:tc>
        <w:tc>
          <w:tcPr>
            <w:tcW w:w="1150" w:type="dxa"/>
            <w:tcBorders>
              <w:left w:val="double" w:sz="4" w:space="0" w:color="auto"/>
              <w:bottom w:val="double" w:sz="4" w:space="0" w:color="auto"/>
            </w:tcBorders>
            <w:vAlign w:val="center"/>
          </w:tcPr>
          <w:p w14:paraId="4976AF1F" w14:textId="32115CEF" w:rsidR="00ED72CA" w:rsidRPr="00816D34" w:rsidRDefault="00ED72CA" w:rsidP="00D909B5">
            <w:pPr>
              <w:spacing w:before="0"/>
              <w:jc w:val="right"/>
              <w:rPr>
                <w:color w:val="000000" w:themeColor="text1"/>
                <w:sz w:val="23"/>
                <w:szCs w:val="23"/>
              </w:rPr>
            </w:pPr>
            <w:r w:rsidRPr="00816D34">
              <w:rPr>
                <w:color w:val="000000" w:themeColor="text1"/>
                <w:sz w:val="23"/>
                <w:szCs w:val="23"/>
              </w:rPr>
              <w:t>0.324</w:t>
            </w:r>
          </w:p>
        </w:tc>
        <w:tc>
          <w:tcPr>
            <w:tcW w:w="1150" w:type="dxa"/>
            <w:tcBorders>
              <w:bottom w:val="double" w:sz="4" w:space="0" w:color="auto"/>
              <w:right w:val="double" w:sz="4" w:space="0" w:color="auto"/>
            </w:tcBorders>
            <w:vAlign w:val="center"/>
          </w:tcPr>
          <w:p w14:paraId="4F11EC76" w14:textId="07742032" w:rsidR="00ED72CA" w:rsidRPr="00816D34" w:rsidRDefault="00ED72CA" w:rsidP="00D909B5">
            <w:pPr>
              <w:spacing w:before="0"/>
              <w:jc w:val="right"/>
              <w:rPr>
                <w:color w:val="000000" w:themeColor="text1"/>
                <w:sz w:val="23"/>
                <w:szCs w:val="23"/>
              </w:rPr>
            </w:pPr>
            <w:r w:rsidRPr="00816D34">
              <w:rPr>
                <w:color w:val="000000" w:themeColor="text1"/>
                <w:sz w:val="23"/>
                <w:szCs w:val="23"/>
              </w:rPr>
              <w:t>0.790</w:t>
            </w:r>
          </w:p>
        </w:tc>
        <w:tc>
          <w:tcPr>
            <w:tcW w:w="1150" w:type="dxa"/>
            <w:tcBorders>
              <w:left w:val="double" w:sz="4" w:space="0" w:color="auto"/>
              <w:bottom w:val="double" w:sz="4" w:space="0" w:color="auto"/>
            </w:tcBorders>
            <w:vAlign w:val="center"/>
          </w:tcPr>
          <w:p w14:paraId="28FABE70" w14:textId="7EFB3E79" w:rsidR="00ED72CA" w:rsidRPr="00816D34" w:rsidRDefault="00ED72CA" w:rsidP="00D909B5">
            <w:pPr>
              <w:spacing w:before="0"/>
              <w:jc w:val="right"/>
              <w:rPr>
                <w:color w:val="000000" w:themeColor="text1"/>
                <w:sz w:val="23"/>
                <w:szCs w:val="23"/>
              </w:rPr>
            </w:pPr>
            <w:r w:rsidRPr="00816D34">
              <w:rPr>
                <w:color w:val="000000" w:themeColor="text1"/>
                <w:sz w:val="23"/>
                <w:szCs w:val="23"/>
              </w:rPr>
              <w:t>0.269</w:t>
            </w:r>
          </w:p>
        </w:tc>
        <w:tc>
          <w:tcPr>
            <w:tcW w:w="1150" w:type="dxa"/>
            <w:tcBorders>
              <w:bottom w:val="double" w:sz="4" w:space="0" w:color="auto"/>
              <w:right w:val="double" w:sz="4" w:space="0" w:color="auto"/>
            </w:tcBorders>
            <w:vAlign w:val="center"/>
          </w:tcPr>
          <w:p w14:paraId="1DBC3822" w14:textId="7362A2D7" w:rsidR="00ED72CA" w:rsidRPr="00816D34" w:rsidRDefault="00ED72CA" w:rsidP="00D909B5">
            <w:pPr>
              <w:spacing w:before="0"/>
              <w:jc w:val="right"/>
              <w:rPr>
                <w:color w:val="000000" w:themeColor="text1"/>
                <w:sz w:val="23"/>
                <w:szCs w:val="23"/>
              </w:rPr>
            </w:pPr>
            <w:r w:rsidRPr="00816D34">
              <w:rPr>
                <w:color w:val="000000" w:themeColor="text1"/>
                <w:sz w:val="23"/>
                <w:szCs w:val="23"/>
              </w:rPr>
              <w:t>0.413</w:t>
            </w:r>
          </w:p>
        </w:tc>
      </w:tr>
    </w:tbl>
    <w:p w14:paraId="3917EC9F" w14:textId="33966AC1" w:rsidR="00443681" w:rsidRDefault="00443681" w:rsidP="007D5556">
      <w:pPr>
        <w:spacing w:before="0" w:after="0"/>
      </w:pPr>
    </w:p>
    <w:p w14:paraId="2C8A4F26" w14:textId="77777777" w:rsidR="005C2B03" w:rsidRDefault="005C2B03" w:rsidP="008F1581">
      <w:pPr>
        <w:spacing w:before="0" w:after="0"/>
      </w:pPr>
    </w:p>
    <w:p w14:paraId="0000007E" w14:textId="03CF0C4F" w:rsidR="00536120" w:rsidRDefault="001B78B7" w:rsidP="00966F5E">
      <w:pPr>
        <w:pStyle w:val="Heading3"/>
        <w:keepNext w:val="0"/>
        <w:keepLines w:val="0"/>
        <w:spacing w:before="0"/>
        <w:jc w:val="left"/>
      </w:pPr>
      <w:r>
        <w:t>Exogenous Variables</w:t>
      </w:r>
    </w:p>
    <w:p w14:paraId="543C7826" w14:textId="47CE9CB7" w:rsidR="00607753" w:rsidRDefault="001B78B7" w:rsidP="007D5556">
      <w:pPr>
        <w:spacing w:before="0" w:after="0" w:line="360" w:lineRule="auto"/>
        <w:ind w:firstLine="720"/>
      </w:pPr>
      <w:r>
        <w:rPr>
          <w:color w:val="2E2E2E"/>
        </w:rPr>
        <w:t xml:space="preserve">The explanatory variables considered for the analysis </w:t>
      </w:r>
      <w:r w:rsidR="0097381F">
        <w:rPr>
          <w:color w:val="2E2E2E"/>
        </w:rPr>
        <w:t xml:space="preserve">may be grouped into </w:t>
      </w:r>
      <w:r w:rsidR="00D41FC7">
        <w:rPr>
          <w:color w:val="2E2E2E"/>
        </w:rPr>
        <w:t xml:space="preserve">the </w:t>
      </w:r>
      <w:r>
        <w:rPr>
          <w:color w:val="2E2E2E"/>
        </w:rPr>
        <w:t>four categories</w:t>
      </w:r>
      <w:r w:rsidR="00D41FC7">
        <w:rPr>
          <w:color w:val="2E2E2E"/>
        </w:rPr>
        <w:t xml:space="preserve"> of</w:t>
      </w:r>
      <w:r>
        <w:rPr>
          <w:color w:val="2E2E2E"/>
        </w:rPr>
        <w:t xml:space="preserve"> </w:t>
      </w:r>
      <w:r w:rsidR="0097381F">
        <w:rPr>
          <w:color w:val="2E2E2E"/>
        </w:rPr>
        <w:t xml:space="preserve">crash </w:t>
      </w:r>
      <w:r>
        <w:t>risk exposure</w:t>
      </w:r>
      <w:r w:rsidR="00D41FC7">
        <w:t xml:space="preserve"> attributes</w:t>
      </w:r>
      <w:r>
        <w:t>, culture (i.e. social resistance)</w:t>
      </w:r>
      <w:r w:rsidR="00D41FC7">
        <w:t xml:space="preserve"> variables</w:t>
      </w:r>
      <w:r>
        <w:t>, built environment</w:t>
      </w:r>
      <w:r w:rsidR="00D41FC7">
        <w:t xml:space="preserve"> features, and sociodemographic factors</w:t>
      </w:r>
      <w:r>
        <w:t xml:space="preserve">. Table </w:t>
      </w:r>
      <w:r w:rsidR="00612BB3">
        <w:t>2</w:t>
      </w:r>
      <w:r>
        <w:t xml:space="preserve"> provides the descriptive statistics </w:t>
      </w:r>
      <w:r>
        <w:lastRenderedPageBreak/>
        <w:t xml:space="preserve">and data sources for the </w:t>
      </w:r>
      <w:r w:rsidR="00612BB3">
        <w:t xml:space="preserve">many </w:t>
      </w:r>
      <w:r>
        <w:t>variables</w:t>
      </w:r>
      <w:r w:rsidR="00612BB3">
        <w:t xml:space="preserve"> considered for all CBGs, and then also by </w:t>
      </w:r>
      <w:r w:rsidR="00612BB3" w:rsidRPr="00AD3AAB">
        <w:rPr>
          <w:i/>
        </w:rPr>
        <w:t>MB</w:t>
      </w:r>
      <w:r w:rsidR="00612BB3">
        <w:t xml:space="preserve"> CBGs and </w:t>
      </w:r>
      <w:r w:rsidR="00612BB3" w:rsidRPr="00AD3AAB">
        <w:rPr>
          <w:i/>
        </w:rPr>
        <w:t>NMB</w:t>
      </w:r>
      <w:r w:rsidR="00612BB3">
        <w:t xml:space="preserve"> CBGs. </w:t>
      </w:r>
    </w:p>
    <w:p w14:paraId="4A23E3D3" w14:textId="3AB2B7A1" w:rsidR="003B46B5" w:rsidRDefault="00DD124B" w:rsidP="00966F5E">
      <w:pPr>
        <w:spacing w:before="0" w:after="0" w:line="360" w:lineRule="auto"/>
        <w:ind w:firstLine="720"/>
      </w:pPr>
      <w:r>
        <w:t>Crash</w:t>
      </w:r>
      <w:r w:rsidR="001B78B7">
        <w:t xml:space="preserve"> </w:t>
      </w:r>
      <w:r w:rsidR="00D41FC7">
        <w:t xml:space="preserve">risk </w:t>
      </w:r>
      <w:r w:rsidR="001B78B7">
        <w:t>exposure</w:t>
      </w:r>
      <w:r>
        <w:t xml:space="preserve"> (CE)</w:t>
      </w:r>
      <w:r w:rsidR="001B78B7">
        <w:t xml:space="preserve"> </w:t>
      </w:r>
      <w:r w:rsidR="00D41FC7">
        <w:t xml:space="preserve">attributes are </w:t>
      </w:r>
      <w:r w:rsidR="001B78B7">
        <w:t xml:space="preserve">directly related to pedestrian and vehicular volumes. </w:t>
      </w:r>
      <w:r w:rsidR="007B34BE">
        <w:t xml:space="preserve">The CBG population is available from the </w:t>
      </w:r>
      <w:r w:rsidR="00816D34">
        <w:t xml:space="preserve">U.S. </w:t>
      </w:r>
      <w:r w:rsidR="007B34BE">
        <w:t>Census Bureau, w</w:t>
      </w:r>
      <w:r w:rsidR="001B78B7">
        <w:t xml:space="preserve">hile </w:t>
      </w:r>
      <w:r w:rsidR="00C51CB1">
        <w:t xml:space="preserve">average daily </w:t>
      </w:r>
      <w:r w:rsidR="001B78B7">
        <w:t>vehicle miles traveled (</w:t>
      </w:r>
      <w:r w:rsidR="00C51CB1">
        <w:t>AD</w:t>
      </w:r>
      <w:r w:rsidR="001B78B7">
        <w:t xml:space="preserve">VMT) and average daily traffic (ADT) </w:t>
      </w:r>
      <w:r w:rsidR="00612BB3">
        <w:t xml:space="preserve">volumes </w:t>
      </w:r>
      <w:r w:rsidR="001B78B7">
        <w:t xml:space="preserve">are </w:t>
      </w:r>
      <w:r w:rsidR="00D41FC7">
        <w:t>available from</w:t>
      </w:r>
      <w:r w:rsidR="001B78B7">
        <w:t xml:space="preserve"> TxDOT</w:t>
      </w:r>
      <w:r w:rsidR="007B34BE">
        <w:t>.</w:t>
      </w:r>
      <w:r w:rsidR="001B78B7">
        <w:t xml:space="preserve"> </w:t>
      </w:r>
      <w:r w:rsidR="00E54573">
        <w:t xml:space="preserve">However, </w:t>
      </w:r>
      <w:r w:rsidR="001B78B7">
        <w:t>pedestrian volume data with adequate spatial distribution is not available for the COH. Therefore, additional variables that reflect risk exposure</w:t>
      </w:r>
      <w:r w:rsidR="00D41FC7">
        <w:t>,</w:t>
      </w:r>
      <w:r w:rsidR="001B78B7">
        <w:t xml:space="preserve"> including </w:t>
      </w:r>
      <w:r w:rsidR="00D616EC">
        <w:t xml:space="preserve">the percentage of households owning, zero, one, or two or more vehicles, as well as the percentage of individuals commuting by car, public transit, or walking </w:t>
      </w:r>
      <w:r w:rsidR="001B78B7">
        <w:t xml:space="preserve">are used. </w:t>
      </w:r>
      <w:r>
        <w:t>Cultural v</w:t>
      </w:r>
      <w:r w:rsidR="001B78B7">
        <w:t xml:space="preserve">ariables include </w:t>
      </w:r>
      <w:r w:rsidR="00D41FC7">
        <w:t>educational attainment</w:t>
      </w:r>
      <w:r w:rsidR="00014592">
        <w:t xml:space="preserve"> and</w:t>
      </w:r>
      <w:r w:rsidR="00D41FC7">
        <w:t xml:space="preserve"> </w:t>
      </w:r>
      <w:r w:rsidR="001B78B7">
        <w:t xml:space="preserve">crime rate (total number of </w:t>
      </w:r>
      <w:r w:rsidR="00914825">
        <w:t xml:space="preserve">police-reported </w:t>
      </w:r>
      <w:r w:rsidR="001B78B7">
        <w:t>crimes/total population)</w:t>
      </w:r>
      <w:r w:rsidR="00014592">
        <w:t>.</w:t>
      </w:r>
      <w:r w:rsidR="001B78B7">
        <w:t xml:space="preserve"> The BE attributes for each CBG included several variables corresponding to its active transportation facilities, </w:t>
      </w:r>
      <w:r w:rsidR="00014592">
        <w:t xml:space="preserve">school availability, </w:t>
      </w:r>
      <w:r w:rsidR="001B78B7">
        <w:t>transit availability, road design, and land-use diversity. The state of active transportation facilities is measured using the ratio of sidewalks and bikeways out of the total centerline road miles</w:t>
      </w:r>
      <w:r w:rsidR="00D616EC">
        <w:t xml:space="preserve">. </w:t>
      </w:r>
      <w:r w:rsidR="00014592">
        <w:t xml:space="preserve">School availability is measured by the number of schools per 10 acres. </w:t>
      </w:r>
      <w:r w:rsidR="001B78B7">
        <w:t xml:space="preserve">Transit availability is measured as the number of bus stops per </w:t>
      </w:r>
      <w:r w:rsidR="00FF62E0">
        <w:t xml:space="preserve">10 </w:t>
      </w:r>
      <w:r w:rsidR="001B78B7">
        <w:t>acre</w:t>
      </w:r>
      <w:r w:rsidR="00FF62E0">
        <w:t>s</w:t>
      </w:r>
      <w:r w:rsidR="001B78B7">
        <w:t xml:space="preserve"> in the CBG. Road design variables include road density (centerline road miles per </w:t>
      </w:r>
      <w:r w:rsidR="00FF62E0">
        <w:t xml:space="preserve">10 </w:t>
      </w:r>
      <w:r w:rsidR="001B78B7">
        <w:t>acre</w:t>
      </w:r>
      <w:r w:rsidR="00FF62E0">
        <w:t>s</w:t>
      </w:r>
      <w:r w:rsidR="001B78B7">
        <w:t>), the number of intersections per total centerline road miles, the proportion of three-leg and four or more–leg intersections, the number of traffic signals relative to the total number of intersections, the percentages of freeways</w:t>
      </w:r>
      <w:r w:rsidR="00EC02ED">
        <w:t>, interstates,</w:t>
      </w:r>
      <w:r w:rsidR="001B78B7">
        <w:t xml:space="preserve"> and arterial roads,</w:t>
      </w:r>
      <w:r w:rsidR="007B6473">
        <w:t xml:space="preserve"> and</w:t>
      </w:r>
      <w:r w:rsidR="001B78B7">
        <w:t xml:space="preserve"> the percentage of one, two, three, and four or more lane roads. Finally, </w:t>
      </w:r>
      <w:r w:rsidR="007B34BE">
        <w:t>a</w:t>
      </w:r>
      <w:r w:rsidR="00EC02ED">
        <w:t xml:space="preserve"> land-use diversity </w:t>
      </w:r>
      <w:r w:rsidR="007B34BE">
        <w:t xml:space="preserve">index </w:t>
      </w:r>
      <w:r w:rsidR="00443681">
        <w:t xml:space="preserve">(LUDI) </w:t>
      </w:r>
      <w:r w:rsidR="00EC02ED">
        <w:t xml:space="preserve">was derived from </w:t>
      </w:r>
      <w:r w:rsidR="001B78B7">
        <w:t>the percentage of retail</w:t>
      </w:r>
      <w:r w:rsidR="00EA59D1">
        <w:t xml:space="preserve"> (Ret)</w:t>
      </w:r>
      <w:r w:rsidR="001B78B7">
        <w:t>, office</w:t>
      </w:r>
      <w:r w:rsidR="00EA59D1">
        <w:t xml:space="preserve"> (Off)</w:t>
      </w:r>
      <w:r w:rsidR="001B78B7">
        <w:t>, industrial</w:t>
      </w:r>
      <w:r w:rsidR="00EA59D1">
        <w:t xml:space="preserve"> (Ind</w:t>
      </w:r>
      <w:r w:rsidR="001D7707">
        <w:t>)</w:t>
      </w:r>
      <w:r w:rsidR="001B78B7">
        <w:t>, service</w:t>
      </w:r>
      <w:r w:rsidR="001D7707">
        <w:t xml:space="preserve"> (Srvc)</w:t>
      </w:r>
      <w:r w:rsidR="001B78B7">
        <w:t xml:space="preserve">, and entertainment </w:t>
      </w:r>
      <w:r w:rsidR="001D7707">
        <w:t xml:space="preserve">(Ent) </w:t>
      </w:r>
      <w:r w:rsidR="001B78B7">
        <w:t>employment</w:t>
      </w:r>
      <w:r w:rsidR="00EC02ED">
        <w:t xml:space="preserve">, using the metric </w:t>
      </w:r>
      <w:r w:rsidR="001B78B7">
        <w:t>proposed by Bhat and Gossen (2004). The index r</w:t>
      </w:r>
      <w:r w:rsidR="00014592">
        <w:t>a</w:t>
      </w:r>
      <w:r w:rsidR="001B78B7">
        <w:t>nges between zero and one</w:t>
      </w:r>
      <w:r w:rsidR="00D41FC7">
        <w:t>,</w:t>
      </w:r>
      <w:r w:rsidR="001B78B7">
        <w:t xml:space="preserve"> </w:t>
      </w:r>
      <w:r w:rsidR="00D41FC7">
        <w:t xml:space="preserve">with higher values </w:t>
      </w:r>
      <w:r w:rsidR="001B78B7">
        <w:t>correspond</w:t>
      </w:r>
      <w:r w:rsidR="00D41FC7">
        <w:t>ing</w:t>
      </w:r>
      <w:r w:rsidR="001B78B7">
        <w:t xml:space="preserve"> to zones with a richer land-use mix. The actual form of the land-use</w:t>
      </w:r>
      <w:r w:rsidR="007B34BE">
        <w:t xml:space="preserve"> </w:t>
      </w:r>
      <w:r w:rsidR="001B78B7">
        <w:t>index is:</w:t>
      </w:r>
    </w:p>
    <w:p w14:paraId="25B90800" w14:textId="77777777" w:rsidR="003B46B5" w:rsidRDefault="003B46B5" w:rsidP="00966F5E">
      <w:pPr>
        <w:spacing w:before="0" w:after="0" w:line="360" w:lineRule="auto"/>
        <w:ind w:firstLine="720"/>
      </w:pPr>
    </w:p>
    <w:p w14:paraId="6EC09F10" w14:textId="753B5E9F" w:rsidR="00DD124B" w:rsidRDefault="00443681" w:rsidP="00966F5E">
      <w:pPr>
        <w:spacing w:before="0" w:after="120" w:line="360" w:lineRule="auto"/>
      </w:pPr>
      <w:r w:rsidRPr="00EA59D1">
        <w:rPr>
          <w:noProof/>
          <w:position w:val="-62"/>
        </w:rPr>
        <w:object w:dxaOrig="7220" w:dyaOrig="1359" w14:anchorId="61DB3A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4pt;height:69.15pt" o:ole="" o:preferrelative="f">
            <v:imagedata r:id="rId20" o:title=""/>
            <o:lock v:ext="edit" aspectratio="f"/>
          </v:shape>
          <o:OLEObject Type="Embed" ProgID="Equation.DSMT4" ShapeID="_x0000_i1025" DrawAspect="Content" ObjectID="_1734427222" r:id="rId21"/>
        </w:object>
      </w:r>
      <w:r w:rsidR="001D7707">
        <w:tab/>
        <w:t xml:space="preserve">      </w:t>
      </w:r>
      <w:r>
        <w:t xml:space="preserve">          </w:t>
      </w:r>
      <w:r w:rsidR="001D7707">
        <w:t xml:space="preserve"> (</w:t>
      </w:r>
      <w:r>
        <w:t>1</w:t>
      </w:r>
      <w:r w:rsidR="001D7707">
        <w:t>)</w:t>
      </w:r>
    </w:p>
    <w:p w14:paraId="6EA32737" w14:textId="5C446264" w:rsidR="00DD124B" w:rsidRDefault="00DD124B" w:rsidP="00966F5E">
      <w:pPr>
        <w:spacing w:before="0" w:after="0" w:line="360" w:lineRule="auto"/>
      </w:pPr>
      <w:r>
        <w:t>Relevant socio</w:t>
      </w:r>
      <w:r w:rsidR="0020653B">
        <w:t xml:space="preserve">demographic (SD) </w:t>
      </w:r>
      <w:r>
        <w:t>factors include</w:t>
      </w:r>
      <w:r w:rsidR="00983C24">
        <w:t xml:space="preserve"> </w:t>
      </w:r>
      <w:r>
        <w:t>the percentage of children</w:t>
      </w:r>
      <w:r w:rsidR="00D41FC7">
        <w:t xml:space="preserve"> (&lt;15 years), young </w:t>
      </w:r>
      <w:r>
        <w:t>adults</w:t>
      </w:r>
      <w:r w:rsidR="00D41FC7">
        <w:t xml:space="preserve"> (18-30 years)</w:t>
      </w:r>
      <w:r>
        <w:t xml:space="preserve">, </w:t>
      </w:r>
      <w:r w:rsidR="00D41FC7">
        <w:t xml:space="preserve">middle-aged individuals (31-64 years), </w:t>
      </w:r>
      <w:r>
        <w:t xml:space="preserve">and seniors in the </w:t>
      </w:r>
      <w:r w:rsidR="00D41FC7">
        <w:t xml:space="preserve">CBG </w:t>
      </w:r>
      <w:r>
        <w:t xml:space="preserve">population, the percentage of low, medium, and high-income households in the CBG, as well as racial </w:t>
      </w:r>
      <w:r>
        <w:lastRenderedPageBreak/>
        <w:t>diversity. Racial diversity is measured by the racial diversity index, also referred to as t</w:t>
      </w:r>
      <w:r w:rsidRPr="00607753">
        <w:t>he Multigroup Entropy Index</w:t>
      </w:r>
      <w:r>
        <w:t>, used by the U.S</w:t>
      </w:r>
      <w:r w:rsidR="00674B0F">
        <w:t>.</w:t>
      </w:r>
      <w:r w:rsidRPr="00607753">
        <w:t xml:space="preserve"> Census Bureau</w:t>
      </w:r>
      <w:r>
        <w:t xml:space="preserve">. The calculation methodology suggested </w:t>
      </w:r>
      <w:r w:rsidRPr="00816D34">
        <w:t>by Iceland (2004) is used</w:t>
      </w:r>
      <w:r>
        <w:t xml:space="preserve"> in this study to calculate the racial diversity index. The index ranges between 0 and 1, where the latter indicates a highly diverse racial environment.</w:t>
      </w:r>
    </w:p>
    <w:p w14:paraId="31283AC0" w14:textId="5B56D3BB" w:rsidR="00B95D83" w:rsidRDefault="00C51CB1" w:rsidP="00966F5E">
      <w:pPr>
        <w:pBdr>
          <w:top w:val="nil"/>
          <w:left w:val="nil"/>
          <w:bottom w:val="nil"/>
          <w:right w:val="nil"/>
          <w:between w:val="nil"/>
        </w:pBdr>
        <w:spacing w:before="0" w:after="0" w:line="360" w:lineRule="auto"/>
        <w:ind w:firstLine="720"/>
      </w:pPr>
      <w:bookmarkStart w:id="36" w:name="_Hlk122869641"/>
      <w:r>
        <w:t xml:space="preserve">The </w:t>
      </w:r>
      <w:r w:rsidR="001B78B7">
        <w:t xml:space="preserve">statistics in Table </w:t>
      </w:r>
      <w:r w:rsidR="007B34BE">
        <w:t>2</w:t>
      </w:r>
      <w:r w:rsidR="001B78B7">
        <w:t xml:space="preserve"> show that</w:t>
      </w:r>
      <w:r w:rsidR="00DD124B">
        <w:t xml:space="preserve"> </w:t>
      </w:r>
      <w:r w:rsidR="0020653B">
        <w:t xml:space="preserve">the </w:t>
      </w:r>
      <w:r w:rsidR="00DD124B">
        <w:t>CE</w:t>
      </w:r>
      <w:r w:rsidR="001B78B7">
        <w:t xml:space="preserve"> </w:t>
      </w:r>
      <w:r w:rsidR="0020653B">
        <w:t>attributes, as</w:t>
      </w:r>
      <w:r w:rsidR="001B78B7">
        <w:t xml:space="preserve"> reflected by </w:t>
      </w:r>
      <w:r w:rsidR="00983C24">
        <w:t>ADVMT</w:t>
      </w:r>
      <w:r w:rsidR="001B78B7">
        <w:t>, ADT, vehicle unavailability, and use of public transit</w:t>
      </w:r>
      <w:r w:rsidR="0020653B">
        <w:t>,</w:t>
      </w:r>
      <w:r w:rsidR="001B78B7">
        <w:t xml:space="preserve"> are higher in </w:t>
      </w:r>
      <w:r w:rsidR="005750EF" w:rsidRPr="005750EF">
        <w:rPr>
          <w:i/>
        </w:rPr>
        <w:t>MB</w:t>
      </w:r>
      <w:r w:rsidR="005750EF">
        <w:t xml:space="preserve"> </w:t>
      </w:r>
      <w:r w:rsidR="001B78B7">
        <w:t>CBGs.</w:t>
      </w:r>
      <w:r w:rsidRPr="00BE6CA0">
        <w:rPr>
          <w:rStyle w:val="FootnoteReference"/>
        </w:rPr>
        <w:footnoteReference w:id="4"/>
      </w:r>
      <w:r w:rsidR="001B78B7">
        <w:t xml:space="preserve"> In the </w:t>
      </w:r>
      <w:r w:rsidR="00DD124B">
        <w:t xml:space="preserve">cultural variables </w:t>
      </w:r>
      <w:r w:rsidR="001B78B7">
        <w:t xml:space="preserve">category, the data shows that </w:t>
      </w:r>
      <w:r w:rsidR="005750EF" w:rsidRPr="005750EF">
        <w:rPr>
          <w:i/>
        </w:rPr>
        <w:t>MB</w:t>
      </w:r>
      <w:r w:rsidR="005750EF">
        <w:t xml:space="preserve"> </w:t>
      </w:r>
      <w:r w:rsidR="001B78B7">
        <w:t>CBGs experience higher crime rates</w:t>
      </w:r>
      <w:r w:rsidR="00511052">
        <w:t>, on average,</w:t>
      </w:r>
      <w:r w:rsidR="001B78B7">
        <w:t xml:space="preserve"> than </w:t>
      </w:r>
      <w:r w:rsidR="00DD124B" w:rsidRPr="00DD124B">
        <w:rPr>
          <w:i/>
        </w:rPr>
        <w:t>NMB</w:t>
      </w:r>
      <w:r w:rsidR="00DD124B">
        <w:t xml:space="preserve"> </w:t>
      </w:r>
      <w:r w:rsidR="001B78B7">
        <w:t>ones. The descriptive statistics also indicate disparit</w:t>
      </w:r>
      <w:r w:rsidR="00CD3814">
        <w:t>ies</w:t>
      </w:r>
      <w:r w:rsidR="001B78B7">
        <w:t xml:space="preserve"> in </w:t>
      </w:r>
      <w:r w:rsidR="00E6218B">
        <w:t xml:space="preserve">mean </w:t>
      </w:r>
      <w:r w:rsidR="001B78B7">
        <w:t xml:space="preserve">BE characteristics. </w:t>
      </w:r>
      <w:r w:rsidR="005750EF" w:rsidRPr="005750EF">
        <w:rPr>
          <w:i/>
        </w:rPr>
        <w:t>MB</w:t>
      </w:r>
      <w:r w:rsidR="005750EF">
        <w:t xml:space="preserve"> </w:t>
      </w:r>
      <w:r w:rsidR="001B78B7">
        <w:t xml:space="preserve">CBGs have lower sidewalk coverage, more bus stops, more freeways and roads with four or more lanes, and less diverse land use. </w:t>
      </w:r>
      <w:r w:rsidR="0020653B">
        <w:t>In terms of SD factors</w:t>
      </w:r>
      <w:r w:rsidR="00DD124B">
        <w:t xml:space="preserve">, on average, </w:t>
      </w:r>
      <w:r w:rsidR="005750EF" w:rsidRPr="005750EF">
        <w:rPr>
          <w:i/>
        </w:rPr>
        <w:t>MB</w:t>
      </w:r>
      <w:r w:rsidR="005750EF">
        <w:t xml:space="preserve"> </w:t>
      </w:r>
      <w:r w:rsidR="00DD124B">
        <w:t>CBGs have a higher percentage of low-income households and a lower percentage of college graduates.</w:t>
      </w:r>
      <w:r w:rsidR="0020653B">
        <w:t xml:space="preserve"> Of course, these are all univariate statistics characterizing </w:t>
      </w:r>
      <w:r w:rsidR="0020653B" w:rsidRPr="005750EF">
        <w:rPr>
          <w:i/>
        </w:rPr>
        <w:t>MB</w:t>
      </w:r>
      <w:r w:rsidR="0020653B">
        <w:t xml:space="preserve"> and </w:t>
      </w:r>
      <w:r w:rsidR="0020653B" w:rsidRPr="005750EF">
        <w:rPr>
          <w:i/>
        </w:rPr>
        <w:t>NMB</w:t>
      </w:r>
      <w:r w:rsidR="0020653B">
        <w:t xml:space="preserve"> CBGs, but the exogenous variables are not controlled </w:t>
      </w:r>
      <w:r w:rsidR="00E6218B">
        <w:t>for</w:t>
      </w:r>
      <w:r w:rsidR="0020653B">
        <w:t xml:space="preserve"> each other. </w:t>
      </w:r>
      <w:r w:rsidR="00511052">
        <w:t xml:space="preserve">Besides, many of these differences </w:t>
      </w:r>
      <w:r w:rsidR="00E6218B">
        <w:t xml:space="preserve">in the mean </w:t>
      </w:r>
      <w:r w:rsidR="00511052">
        <w:t xml:space="preserve">between MB and NMB CBGs are </w:t>
      </w:r>
      <w:r w:rsidR="00E6218B">
        <w:t xml:space="preserve">not statistically significant. </w:t>
      </w:r>
      <w:r w:rsidR="0020653B">
        <w:t xml:space="preserve">A full characterization of </w:t>
      </w:r>
      <w:r w:rsidR="00E6218B">
        <w:t xml:space="preserve">the differences between </w:t>
      </w:r>
      <w:r w:rsidR="0020653B" w:rsidRPr="005750EF">
        <w:rPr>
          <w:i/>
        </w:rPr>
        <w:t>MB</w:t>
      </w:r>
      <w:r w:rsidR="0020653B">
        <w:t xml:space="preserve"> and </w:t>
      </w:r>
      <w:r w:rsidR="0020653B" w:rsidRPr="005750EF">
        <w:rPr>
          <w:i/>
        </w:rPr>
        <w:t>NMB</w:t>
      </w:r>
      <w:r w:rsidR="001028F4">
        <w:rPr>
          <w:i/>
        </w:rPr>
        <w:t xml:space="preserve"> </w:t>
      </w:r>
      <w:r w:rsidR="001028F4" w:rsidRPr="00966F5E">
        <w:t>CBGs</w:t>
      </w:r>
      <w:r w:rsidR="0020653B">
        <w:t xml:space="preserve"> as a function of the exogenous variables</w:t>
      </w:r>
      <w:r w:rsidR="00E6218B">
        <w:t xml:space="preserve"> (and the significance of the effects of these exogenous variables) </w:t>
      </w:r>
      <w:r w:rsidR="0020653B">
        <w:t>can only be undertaken using a model that considers all variables at once, which is the first binary probit model in the current study.</w:t>
      </w:r>
    </w:p>
    <w:bookmarkEnd w:id="36"/>
    <w:p w14:paraId="17693E23" w14:textId="77777777" w:rsidR="00432BEC" w:rsidRDefault="00432BEC" w:rsidP="00432BEC">
      <w:pPr>
        <w:pBdr>
          <w:top w:val="nil"/>
          <w:left w:val="nil"/>
          <w:bottom w:val="nil"/>
          <w:right w:val="nil"/>
          <w:between w:val="nil"/>
        </w:pBdr>
        <w:spacing w:before="0" w:after="0"/>
        <w:ind w:firstLine="720"/>
        <w:sectPr w:rsidR="00432BEC" w:rsidSect="005C3A48">
          <w:footerReference w:type="default" r:id="rId22"/>
          <w:pgSz w:w="12240" w:h="15840"/>
          <w:pgMar w:top="1440" w:right="1440" w:bottom="1440" w:left="1440" w:header="720" w:footer="720" w:gutter="0"/>
          <w:pgNumType w:start="1"/>
          <w:cols w:space="720"/>
          <w:docGrid w:linePitch="326"/>
        </w:sectPr>
      </w:pPr>
    </w:p>
    <w:p w14:paraId="1A98B118" w14:textId="105059A6" w:rsidR="0031086A" w:rsidRDefault="001B78B7" w:rsidP="00674B0F">
      <w:pPr>
        <w:pBdr>
          <w:top w:val="nil"/>
          <w:left w:val="nil"/>
          <w:bottom w:val="nil"/>
          <w:right w:val="nil"/>
          <w:between w:val="nil"/>
        </w:pBdr>
        <w:spacing w:before="0" w:after="120" w:line="240" w:lineRule="auto"/>
        <w:jc w:val="left"/>
        <w:rPr>
          <w:b/>
        </w:rPr>
      </w:pPr>
      <w:r w:rsidRPr="00D909B5">
        <w:rPr>
          <w:b/>
        </w:rPr>
        <w:lastRenderedPageBreak/>
        <w:t xml:space="preserve">Table </w:t>
      </w:r>
      <w:r w:rsidR="007B34BE" w:rsidRPr="00D909B5">
        <w:rPr>
          <w:b/>
        </w:rPr>
        <w:t>2</w:t>
      </w:r>
      <w:r w:rsidRPr="00D909B5">
        <w:rPr>
          <w:b/>
        </w:rPr>
        <w:t xml:space="preserve">. Summary </w:t>
      </w:r>
      <w:r w:rsidR="00F5200B">
        <w:rPr>
          <w:b/>
        </w:rPr>
        <w:t>S</w:t>
      </w:r>
      <w:r w:rsidRPr="00D909B5">
        <w:rPr>
          <w:b/>
        </w:rPr>
        <w:t xml:space="preserve">tatistics of </w:t>
      </w:r>
      <w:r w:rsidR="00F5200B">
        <w:rPr>
          <w:b/>
        </w:rPr>
        <w:t>E</w:t>
      </w:r>
      <w:r w:rsidRPr="00D909B5">
        <w:rPr>
          <w:b/>
        </w:rPr>
        <w:t xml:space="preserve">xogenous </w:t>
      </w:r>
      <w:r w:rsidR="00F5200B">
        <w:rPr>
          <w:b/>
        </w:rPr>
        <w:t>V</w:t>
      </w:r>
      <w:r w:rsidRPr="00D909B5">
        <w:rPr>
          <w:b/>
        </w:rPr>
        <w:t>ariables</w:t>
      </w:r>
    </w:p>
    <w:tbl>
      <w:tblPr>
        <w:tblW w:w="13225" w:type="dxa"/>
        <w:tblInd w:w="-10"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CellMar>
          <w:left w:w="29" w:type="dxa"/>
          <w:right w:w="43" w:type="dxa"/>
        </w:tblCellMar>
        <w:tblLook w:val="04A0" w:firstRow="1" w:lastRow="0" w:firstColumn="1" w:lastColumn="0" w:noHBand="0" w:noVBand="1"/>
      </w:tblPr>
      <w:tblGrid>
        <w:gridCol w:w="3775"/>
        <w:gridCol w:w="1085"/>
        <w:gridCol w:w="1063"/>
        <w:gridCol w:w="1041"/>
        <w:gridCol w:w="1019"/>
        <w:gridCol w:w="1080"/>
        <w:gridCol w:w="990"/>
        <w:gridCol w:w="3172"/>
      </w:tblGrid>
      <w:tr w:rsidR="00432BEC" w:rsidRPr="00D22494" w14:paraId="79B4A04B" w14:textId="77777777" w:rsidTr="009D545F">
        <w:trPr>
          <w:trHeight w:val="20"/>
        </w:trPr>
        <w:tc>
          <w:tcPr>
            <w:tcW w:w="3775" w:type="dxa"/>
            <w:vMerge w:val="restart"/>
            <w:tcBorders>
              <w:top w:val="double" w:sz="4" w:space="0" w:color="auto"/>
              <w:bottom w:val="nil"/>
              <w:right w:val="double" w:sz="4" w:space="0" w:color="auto"/>
            </w:tcBorders>
            <w:shd w:val="clear" w:color="auto" w:fill="FFFFFF" w:themeFill="background1"/>
            <w:tcMar>
              <w:left w:w="43" w:type="dxa"/>
            </w:tcMar>
            <w:vAlign w:val="center"/>
            <w:hideMark/>
          </w:tcPr>
          <w:p w14:paraId="13E2BD8E" w14:textId="4CC1CDF0" w:rsidR="00432BEC" w:rsidRPr="00D22494" w:rsidRDefault="00432BEC" w:rsidP="00CE36A9">
            <w:pPr>
              <w:spacing w:before="0" w:after="0" w:line="240" w:lineRule="auto"/>
              <w:jc w:val="left"/>
              <w:rPr>
                <w:b/>
                <w:bCs/>
                <w:sz w:val="20"/>
                <w:szCs w:val="20"/>
              </w:rPr>
            </w:pPr>
            <w:r w:rsidRPr="00D22494">
              <w:rPr>
                <w:b/>
                <w:bCs/>
                <w:sz w:val="20"/>
                <w:szCs w:val="20"/>
              </w:rPr>
              <w:t>CBG type</w:t>
            </w:r>
          </w:p>
        </w:tc>
        <w:tc>
          <w:tcPr>
            <w:tcW w:w="2148" w:type="dxa"/>
            <w:gridSpan w:val="2"/>
            <w:tcBorders>
              <w:left w:val="double" w:sz="4" w:space="0" w:color="auto"/>
              <w:bottom w:val="single" w:sz="4" w:space="0" w:color="auto"/>
              <w:right w:val="double" w:sz="4" w:space="0" w:color="auto"/>
            </w:tcBorders>
            <w:shd w:val="clear" w:color="auto" w:fill="FFFFFF" w:themeFill="background1"/>
            <w:tcMar>
              <w:left w:w="43" w:type="dxa"/>
            </w:tcMar>
            <w:vAlign w:val="center"/>
            <w:hideMark/>
          </w:tcPr>
          <w:p w14:paraId="7C8EB332" w14:textId="77777777" w:rsidR="00432BEC" w:rsidRPr="00D22494" w:rsidRDefault="00432BEC" w:rsidP="00CE36A9">
            <w:pPr>
              <w:spacing w:before="0" w:after="0" w:line="240" w:lineRule="auto"/>
              <w:jc w:val="center"/>
              <w:rPr>
                <w:b/>
                <w:bCs/>
                <w:sz w:val="20"/>
                <w:szCs w:val="20"/>
              </w:rPr>
            </w:pPr>
            <w:r w:rsidRPr="00D22494">
              <w:rPr>
                <w:b/>
                <w:bCs/>
                <w:sz w:val="20"/>
                <w:szCs w:val="20"/>
              </w:rPr>
              <w:t>All CBG</w:t>
            </w:r>
          </w:p>
        </w:tc>
        <w:tc>
          <w:tcPr>
            <w:tcW w:w="2060" w:type="dxa"/>
            <w:gridSpan w:val="2"/>
            <w:tcBorders>
              <w:top w:val="double" w:sz="4" w:space="0" w:color="auto"/>
              <w:left w:val="double" w:sz="4" w:space="0" w:color="auto"/>
              <w:bottom w:val="single" w:sz="4" w:space="0" w:color="auto"/>
              <w:right w:val="double" w:sz="4" w:space="0" w:color="auto"/>
            </w:tcBorders>
            <w:shd w:val="clear" w:color="auto" w:fill="FFFFFF" w:themeFill="background1"/>
            <w:tcMar>
              <w:left w:w="43" w:type="dxa"/>
            </w:tcMar>
            <w:vAlign w:val="center"/>
            <w:hideMark/>
          </w:tcPr>
          <w:p w14:paraId="097D715D" w14:textId="77777777" w:rsidR="00432BEC" w:rsidRPr="00D22494" w:rsidRDefault="00432BEC" w:rsidP="00CE36A9">
            <w:pPr>
              <w:spacing w:before="0" w:after="0" w:line="240" w:lineRule="auto"/>
              <w:jc w:val="center"/>
              <w:rPr>
                <w:b/>
                <w:bCs/>
                <w:sz w:val="20"/>
                <w:szCs w:val="20"/>
              </w:rPr>
            </w:pPr>
            <w:r w:rsidRPr="00D22494">
              <w:rPr>
                <w:b/>
                <w:bCs/>
                <w:sz w:val="20"/>
                <w:szCs w:val="20"/>
              </w:rPr>
              <w:t>Majority Black</w:t>
            </w:r>
          </w:p>
        </w:tc>
        <w:tc>
          <w:tcPr>
            <w:tcW w:w="2070" w:type="dxa"/>
            <w:gridSpan w:val="2"/>
            <w:tcBorders>
              <w:top w:val="double" w:sz="4" w:space="0" w:color="auto"/>
              <w:left w:val="double" w:sz="4" w:space="0" w:color="auto"/>
              <w:bottom w:val="single" w:sz="4" w:space="0" w:color="auto"/>
              <w:right w:val="double" w:sz="4" w:space="0" w:color="auto"/>
            </w:tcBorders>
            <w:shd w:val="clear" w:color="auto" w:fill="FFFFFF" w:themeFill="background1"/>
            <w:tcMar>
              <w:left w:w="43" w:type="dxa"/>
            </w:tcMar>
            <w:vAlign w:val="center"/>
            <w:hideMark/>
          </w:tcPr>
          <w:p w14:paraId="2C72BB5A" w14:textId="77777777" w:rsidR="00432BEC" w:rsidRPr="00D22494" w:rsidRDefault="00432BEC" w:rsidP="00CE36A9">
            <w:pPr>
              <w:spacing w:before="0" w:after="0" w:line="240" w:lineRule="auto"/>
              <w:jc w:val="center"/>
              <w:rPr>
                <w:b/>
                <w:bCs/>
                <w:sz w:val="20"/>
                <w:szCs w:val="20"/>
              </w:rPr>
            </w:pPr>
            <w:r w:rsidRPr="00D22494">
              <w:rPr>
                <w:b/>
                <w:bCs/>
                <w:sz w:val="20"/>
                <w:szCs w:val="20"/>
              </w:rPr>
              <w:t>Majority Not Black</w:t>
            </w:r>
          </w:p>
        </w:tc>
        <w:tc>
          <w:tcPr>
            <w:tcW w:w="3172" w:type="dxa"/>
            <w:vMerge w:val="restart"/>
            <w:tcBorders>
              <w:top w:val="double" w:sz="4" w:space="0" w:color="auto"/>
              <w:left w:val="double" w:sz="4" w:space="0" w:color="auto"/>
              <w:bottom w:val="double" w:sz="4" w:space="0" w:color="auto"/>
            </w:tcBorders>
            <w:shd w:val="clear" w:color="auto" w:fill="FFFFFF" w:themeFill="background1"/>
            <w:tcMar>
              <w:left w:w="43" w:type="dxa"/>
            </w:tcMar>
            <w:vAlign w:val="center"/>
            <w:hideMark/>
          </w:tcPr>
          <w:p w14:paraId="488A38DF" w14:textId="77777777" w:rsidR="00432BEC" w:rsidRPr="00D22494" w:rsidRDefault="00432BEC" w:rsidP="00CE36A9">
            <w:pPr>
              <w:spacing w:before="0" w:after="0" w:line="240" w:lineRule="auto"/>
              <w:jc w:val="center"/>
              <w:rPr>
                <w:b/>
                <w:bCs/>
                <w:sz w:val="20"/>
                <w:szCs w:val="20"/>
              </w:rPr>
            </w:pPr>
            <w:r w:rsidRPr="00D22494">
              <w:rPr>
                <w:b/>
                <w:bCs/>
                <w:sz w:val="20"/>
                <w:szCs w:val="20"/>
              </w:rPr>
              <w:t>Data source</w:t>
            </w:r>
          </w:p>
        </w:tc>
      </w:tr>
      <w:tr w:rsidR="00432BEC" w:rsidRPr="00D22494" w14:paraId="34CD18FE" w14:textId="77777777" w:rsidTr="009D545F">
        <w:trPr>
          <w:trHeight w:val="20"/>
        </w:trPr>
        <w:tc>
          <w:tcPr>
            <w:tcW w:w="3775" w:type="dxa"/>
            <w:vMerge/>
            <w:tcBorders>
              <w:top w:val="nil"/>
              <w:bottom w:val="double" w:sz="4" w:space="0" w:color="auto"/>
              <w:right w:val="double" w:sz="4" w:space="0" w:color="auto"/>
            </w:tcBorders>
            <w:shd w:val="clear" w:color="auto" w:fill="FFFFFF" w:themeFill="background1"/>
            <w:tcMar>
              <w:left w:w="43" w:type="dxa"/>
            </w:tcMar>
            <w:vAlign w:val="center"/>
            <w:hideMark/>
          </w:tcPr>
          <w:p w14:paraId="217662EC" w14:textId="77777777" w:rsidR="00432BEC" w:rsidRPr="00D22494" w:rsidRDefault="00432BEC" w:rsidP="00CE36A9">
            <w:pPr>
              <w:spacing w:before="0" w:after="0" w:line="240" w:lineRule="auto"/>
              <w:jc w:val="left"/>
              <w:rPr>
                <w:b/>
                <w:bCs/>
                <w:sz w:val="20"/>
                <w:szCs w:val="20"/>
              </w:rPr>
            </w:pPr>
          </w:p>
        </w:tc>
        <w:tc>
          <w:tcPr>
            <w:tcW w:w="1085"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hideMark/>
          </w:tcPr>
          <w:p w14:paraId="55BDAD02" w14:textId="77777777" w:rsidR="00432BEC" w:rsidRPr="00D22494" w:rsidRDefault="00432BEC" w:rsidP="00CE36A9">
            <w:pPr>
              <w:spacing w:before="0" w:after="0" w:line="240" w:lineRule="auto"/>
              <w:jc w:val="center"/>
              <w:rPr>
                <w:b/>
                <w:bCs/>
                <w:sz w:val="20"/>
                <w:szCs w:val="20"/>
              </w:rPr>
            </w:pPr>
            <w:r w:rsidRPr="00D22494">
              <w:rPr>
                <w:b/>
                <w:bCs/>
                <w:sz w:val="20"/>
                <w:szCs w:val="20"/>
              </w:rPr>
              <w:t>Mean</w:t>
            </w:r>
          </w:p>
        </w:tc>
        <w:tc>
          <w:tcPr>
            <w:tcW w:w="1063"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hideMark/>
          </w:tcPr>
          <w:p w14:paraId="68A3052F" w14:textId="77777777" w:rsidR="00432BEC" w:rsidRPr="00D22494" w:rsidRDefault="00432BEC" w:rsidP="00CE36A9">
            <w:pPr>
              <w:spacing w:before="0" w:after="0" w:line="240" w:lineRule="auto"/>
              <w:jc w:val="center"/>
              <w:rPr>
                <w:b/>
                <w:bCs/>
                <w:sz w:val="20"/>
                <w:szCs w:val="20"/>
              </w:rPr>
            </w:pPr>
            <w:r w:rsidRPr="00D22494">
              <w:rPr>
                <w:b/>
                <w:bCs/>
                <w:sz w:val="20"/>
                <w:szCs w:val="20"/>
              </w:rPr>
              <w:t>S.D.</w:t>
            </w:r>
          </w:p>
        </w:tc>
        <w:tc>
          <w:tcPr>
            <w:tcW w:w="1041"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hideMark/>
          </w:tcPr>
          <w:p w14:paraId="510AC5A6" w14:textId="77777777" w:rsidR="00432BEC" w:rsidRPr="00D22494" w:rsidRDefault="00432BEC" w:rsidP="00CE36A9">
            <w:pPr>
              <w:spacing w:before="0" w:after="0" w:line="240" w:lineRule="auto"/>
              <w:jc w:val="center"/>
              <w:rPr>
                <w:b/>
                <w:bCs/>
                <w:sz w:val="20"/>
                <w:szCs w:val="20"/>
              </w:rPr>
            </w:pPr>
            <w:r w:rsidRPr="00D22494">
              <w:rPr>
                <w:b/>
                <w:bCs/>
                <w:sz w:val="20"/>
                <w:szCs w:val="20"/>
              </w:rPr>
              <w:t>Mean</w:t>
            </w:r>
          </w:p>
        </w:tc>
        <w:tc>
          <w:tcPr>
            <w:tcW w:w="1019"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hideMark/>
          </w:tcPr>
          <w:p w14:paraId="254D4886" w14:textId="77777777" w:rsidR="00432BEC" w:rsidRPr="00D22494" w:rsidRDefault="00432BEC" w:rsidP="00CE36A9">
            <w:pPr>
              <w:spacing w:before="0" w:after="0" w:line="240" w:lineRule="auto"/>
              <w:jc w:val="center"/>
              <w:rPr>
                <w:b/>
                <w:bCs/>
                <w:sz w:val="20"/>
                <w:szCs w:val="20"/>
              </w:rPr>
            </w:pPr>
            <w:r w:rsidRPr="00D22494">
              <w:rPr>
                <w:b/>
                <w:bCs/>
                <w:sz w:val="20"/>
                <w:szCs w:val="20"/>
              </w:rPr>
              <w:t>S.D.</w:t>
            </w:r>
          </w:p>
        </w:tc>
        <w:tc>
          <w:tcPr>
            <w:tcW w:w="1080"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hideMark/>
          </w:tcPr>
          <w:p w14:paraId="20E400A4" w14:textId="77777777" w:rsidR="00432BEC" w:rsidRPr="00D22494" w:rsidRDefault="00432BEC" w:rsidP="00CE36A9">
            <w:pPr>
              <w:spacing w:before="0" w:after="0" w:line="240" w:lineRule="auto"/>
              <w:jc w:val="center"/>
              <w:rPr>
                <w:b/>
                <w:bCs/>
                <w:sz w:val="20"/>
                <w:szCs w:val="20"/>
              </w:rPr>
            </w:pPr>
            <w:r w:rsidRPr="00D22494">
              <w:rPr>
                <w:b/>
                <w:bCs/>
                <w:sz w:val="20"/>
                <w:szCs w:val="20"/>
              </w:rPr>
              <w:t>Mean</w:t>
            </w:r>
          </w:p>
        </w:tc>
        <w:tc>
          <w:tcPr>
            <w:tcW w:w="990"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hideMark/>
          </w:tcPr>
          <w:p w14:paraId="65F963C0" w14:textId="77777777" w:rsidR="00432BEC" w:rsidRPr="00D22494" w:rsidRDefault="00432BEC" w:rsidP="00CE36A9">
            <w:pPr>
              <w:spacing w:before="0" w:after="0" w:line="240" w:lineRule="auto"/>
              <w:jc w:val="center"/>
              <w:rPr>
                <w:b/>
                <w:bCs/>
                <w:sz w:val="20"/>
                <w:szCs w:val="20"/>
              </w:rPr>
            </w:pPr>
            <w:r w:rsidRPr="00D22494">
              <w:rPr>
                <w:b/>
                <w:bCs/>
                <w:sz w:val="20"/>
                <w:szCs w:val="20"/>
              </w:rPr>
              <w:t>S.D.</w:t>
            </w:r>
          </w:p>
        </w:tc>
        <w:tc>
          <w:tcPr>
            <w:tcW w:w="3172" w:type="dxa"/>
            <w:vMerge/>
            <w:tcBorders>
              <w:top w:val="double" w:sz="4" w:space="0" w:color="auto"/>
              <w:left w:val="double" w:sz="4" w:space="0" w:color="auto"/>
              <w:bottom w:val="double" w:sz="4" w:space="0" w:color="auto"/>
            </w:tcBorders>
            <w:shd w:val="clear" w:color="auto" w:fill="FFFFFF" w:themeFill="background1"/>
            <w:tcMar>
              <w:left w:w="43" w:type="dxa"/>
            </w:tcMar>
            <w:vAlign w:val="center"/>
            <w:hideMark/>
          </w:tcPr>
          <w:p w14:paraId="2B74A43A" w14:textId="77777777" w:rsidR="00432BEC" w:rsidRPr="00D22494" w:rsidRDefault="00432BEC" w:rsidP="00CE36A9">
            <w:pPr>
              <w:spacing w:before="0" w:after="0" w:line="240" w:lineRule="auto"/>
              <w:jc w:val="left"/>
              <w:rPr>
                <w:b/>
                <w:bCs/>
                <w:sz w:val="20"/>
                <w:szCs w:val="20"/>
              </w:rPr>
            </w:pPr>
          </w:p>
        </w:tc>
      </w:tr>
      <w:tr w:rsidR="00432BEC" w:rsidRPr="00D22494" w14:paraId="138FAAE4" w14:textId="77777777" w:rsidTr="009D545F">
        <w:trPr>
          <w:trHeight w:val="20"/>
        </w:trPr>
        <w:tc>
          <w:tcPr>
            <w:tcW w:w="3775" w:type="dxa"/>
            <w:tcBorders>
              <w:top w:val="double" w:sz="4" w:space="0" w:color="auto"/>
              <w:bottom w:val="nil"/>
              <w:right w:val="double" w:sz="4" w:space="0" w:color="auto"/>
            </w:tcBorders>
            <w:shd w:val="clear" w:color="auto" w:fill="FFFFFF" w:themeFill="background1"/>
            <w:tcMar>
              <w:left w:w="43" w:type="dxa"/>
            </w:tcMar>
          </w:tcPr>
          <w:p w14:paraId="3B448C89" w14:textId="77777777" w:rsidR="00432BEC" w:rsidRPr="00D22494" w:rsidRDefault="00432BEC" w:rsidP="00CE36A9">
            <w:pPr>
              <w:spacing w:before="0" w:after="0" w:line="240" w:lineRule="auto"/>
              <w:jc w:val="left"/>
              <w:rPr>
                <w:sz w:val="20"/>
                <w:szCs w:val="20"/>
              </w:rPr>
            </w:pPr>
            <w:r w:rsidRPr="00D22494">
              <w:rPr>
                <w:b/>
                <w:bCs/>
                <w:sz w:val="20"/>
                <w:szCs w:val="20"/>
              </w:rPr>
              <w:t>Crash Risk Exposure</w:t>
            </w:r>
          </w:p>
        </w:tc>
        <w:tc>
          <w:tcPr>
            <w:tcW w:w="1085" w:type="dxa"/>
            <w:tcBorders>
              <w:top w:val="double" w:sz="4" w:space="0" w:color="auto"/>
              <w:left w:val="double" w:sz="4" w:space="0" w:color="auto"/>
              <w:bottom w:val="nil"/>
              <w:right w:val="single" w:sz="4" w:space="0" w:color="auto"/>
            </w:tcBorders>
            <w:shd w:val="clear" w:color="auto" w:fill="FFFFFF" w:themeFill="background1"/>
            <w:tcMar>
              <w:left w:w="43" w:type="dxa"/>
            </w:tcMar>
          </w:tcPr>
          <w:p w14:paraId="4FD02974" w14:textId="77777777" w:rsidR="00432BEC" w:rsidRPr="00D22494" w:rsidRDefault="00432BEC" w:rsidP="00CE36A9">
            <w:pPr>
              <w:spacing w:before="0" w:after="0" w:line="240" w:lineRule="auto"/>
              <w:jc w:val="right"/>
              <w:rPr>
                <w:sz w:val="20"/>
                <w:szCs w:val="20"/>
              </w:rPr>
            </w:pPr>
          </w:p>
        </w:tc>
        <w:tc>
          <w:tcPr>
            <w:tcW w:w="1063" w:type="dxa"/>
            <w:tcBorders>
              <w:top w:val="double" w:sz="4" w:space="0" w:color="auto"/>
              <w:left w:val="single" w:sz="4" w:space="0" w:color="auto"/>
              <w:bottom w:val="nil"/>
              <w:right w:val="double" w:sz="4" w:space="0" w:color="auto"/>
            </w:tcBorders>
            <w:shd w:val="clear" w:color="auto" w:fill="FFFFFF" w:themeFill="background1"/>
            <w:tcMar>
              <w:left w:w="43" w:type="dxa"/>
            </w:tcMar>
          </w:tcPr>
          <w:p w14:paraId="7FD31E21" w14:textId="77777777" w:rsidR="00432BEC" w:rsidRPr="00D22494" w:rsidRDefault="00432BEC" w:rsidP="00CE36A9">
            <w:pPr>
              <w:spacing w:before="0" w:after="0" w:line="240" w:lineRule="auto"/>
              <w:jc w:val="right"/>
              <w:rPr>
                <w:sz w:val="20"/>
                <w:szCs w:val="20"/>
              </w:rPr>
            </w:pPr>
          </w:p>
        </w:tc>
        <w:tc>
          <w:tcPr>
            <w:tcW w:w="1041" w:type="dxa"/>
            <w:tcBorders>
              <w:top w:val="double" w:sz="4" w:space="0" w:color="auto"/>
              <w:left w:val="double" w:sz="4" w:space="0" w:color="auto"/>
              <w:bottom w:val="nil"/>
              <w:right w:val="single" w:sz="4" w:space="0" w:color="auto"/>
            </w:tcBorders>
            <w:shd w:val="clear" w:color="auto" w:fill="FFFFFF" w:themeFill="background1"/>
            <w:tcMar>
              <w:left w:w="43" w:type="dxa"/>
            </w:tcMar>
          </w:tcPr>
          <w:p w14:paraId="6137D3C5" w14:textId="77777777" w:rsidR="00432BEC" w:rsidRPr="00D22494" w:rsidRDefault="00432BEC" w:rsidP="00CE36A9">
            <w:pPr>
              <w:spacing w:before="0" w:after="0" w:line="240" w:lineRule="auto"/>
              <w:jc w:val="right"/>
              <w:rPr>
                <w:sz w:val="20"/>
                <w:szCs w:val="20"/>
              </w:rPr>
            </w:pPr>
          </w:p>
        </w:tc>
        <w:tc>
          <w:tcPr>
            <w:tcW w:w="1019" w:type="dxa"/>
            <w:tcBorders>
              <w:top w:val="double" w:sz="4" w:space="0" w:color="auto"/>
              <w:left w:val="single" w:sz="4" w:space="0" w:color="auto"/>
              <w:bottom w:val="nil"/>
              <w:right w:val="double" w:sz="4" w:space="0" w:color="auto"/>
            </w:tcBorders>
            <w:shd w:val="clear" w:color="auto" w:fill="FFFFFF" w:themeFill="background1"/>
            <w:tcMar>
              <w:left w:w="43" w:type="dxa"/>
            </w:tcMar>
          </w:tcPr>
          <w:p w14:paraId="35C4091B" w14:textId="77777777" w:rsidR="00432BEC" w:rsidRPr="00D22494" w:rsidRDefault="00432BEC" w:rsidP="00CE36A9">
            <w:pPr>
              <w:spacing w:before="0" w:after="0" w:line="240" w:lineRule="auto"/>
              <w:jc w:val="right"/>
              <w:rPr>
                <w:sz w:val="20"/>
                <w:szCs w:val="20"/>
              </w:rPr>
            </w:pPr>
          </w:p>
        </w:tc>
        <w:tc>
          <w:tcPr>
            <w:tcW w:w="1080" w:type="dxa"/>
            <w:tcBorders>
              <w:top w:val="double" w:sz="4" w:space="0" w:color="auto"/>
              <w:left w:val="double" w:sz="4" w:space="0" w:color="auto"/>
              <w:bottom w:val="nil"/>
              <w:right w:val="single" w:sz="4" w:space="0" w:color="auto"/>
            </w:tcBorders>
            <w:shd w:val="clear" w:color="auto" w:fill="FFFFFF" w:themeFill="background1"/>
            <w:tcMar>
              <w:left w:w="43" w:type="dxa"/>
            </w:tcMar>
          </w:tcPr>
          <w:p w14:paraId="3C9E10CC" w14:textId="77777777" w:rsidR="00432BEC" w:rsidRPr="00D22494" w:rsidRDefault="00432BEC" w:rsidP="00CE36A9">
            <w:pPr>
              <w:spacing w:before="0" w:after="0" w:line="240" w:lineRule="auto"/>
              <w:jc w:val="right"/>
              <w:rPr>
                <w:sz w:val="20"/>
                <w:szCs w:val="20"/>
              </w:rPr>
            </w:pPr>
          </w:p>
        </w:tc>
        <w:tc>
          <w:tcPr>
            <w:tcW w:w="990" w:type="dxa"/>
            <w:tcBorders>
              <w:top w:val="double" w:sz="4" w:space="0" w:color="auto"/>
              <w:left w:val="single" w:sz="4" w:space="0" w:color="auto"/>
              <w:bottom w:val="nil"/>
              <w:right w:val="double" w:sz="4" w:space="0" w:color="auto"/>
            </w:tcBorders>
            <w:shd w:val="clear" w:color="auto" w:fill="FFFFFF" w:themeFill="background1"/>
            <w:tcMar>
              <w:left w:w="43" w:type="dxa"/>
            </w:tcMar>
          </w:tcPr>
          <w:p w14:paraId="16F74099" w14:textId="77777777" w:rsidR="00432BEC" w:rsidRPr="00D22494" w:rsidRDefault="00432BEC" w:rsidP="00CE36A9">
            <w:pPr>
              <w:spacing w:before="0" w:after="0" w:line="240" w:lineRule="auto"/>
              <w:jc w:val="right"/>
              <w:rPr>
                <w:sz w:val="20"/>
                <w:szCs w:val="20"/>
              </w:rPr>
            </w:pPr>
          </w:p>
        </w:tc>
        <w:tc>
          <w:tcPr>
            <w:tcW w:w="3172" w:type="dxa"/>
            <w:tcBorders>
              <w:top w:val="double" w:sz="4" w:space="0" w:color="auto"/>
              <w:left w:val="double" w:sz="4" w:space="0" w:color="auto"/>
              <w:bottom w:val="nil"/>
            </w:tcBorders>
            <w:shd w:val="clear" w:color="auto" w:fill="FFFFFF" w:themeFill="background1"/>
            <w:tcMar>
              <w:left w:w="43" w:type="dxa"/>
            </w:tcMar>
          </w:tcPr>
          <w:p w14:paraId="2675E2EF" w14:textId="77777777" w:rsidR="00432BEC" w:rsidRPr="00D22494" w:rsidRDefault="00432BEC" w:rsidP="00CE36A9">
            <w:pPr>
              <w:spacing w:before="0" w:after="0" w:line="240" w:lineRule="auto"/>
              <w:jc w:val="left"/>
              <w:rPr>
                <w:sz w:val="20"/>
                <w:szCs w:val="20"/>
              </w:rPr>
            </w:pPr>
          </w:p>
        </w:tc>
      </w:tr>
      <w:tr w:rsidR="00432BEC" w:rsidRPr="00D22494" w14:paraId="35898825"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tcPr>
          <w:p w14:paraId="099BABEC" w14:textId="77777777" w:rsidR="00432BEC" w:rsidRPr="00D22494" w:rsidRDefault="00432BEC" w:rsidP="0031086A">
            <w:pPr>
              <w:spacing w:before="0" w:after="0" w:line="240" w:lineRule="auto"/>
              <w:ind w:left="136"/>
              <w:jc w:val="left"/>
              <w:rPr>
                <w:sz w:val="20"/>
                <w:szCs w:val="20"/>
              </w:rPr>
            </w:pPr>
            <w:r w:rsidRPr="00D22494">
              <w:rPr>
                <w:sz w:val="20"/>
                <w:szCs w:val="20"/>
              </w:rPr>
              <w:t>Total population</w:t>
            </w:r>
          </w:p>
        </w:tc>
        <w:tc>
          <w:tcPr>
            <w:tcW w:w="1085" w:type="dxa"/>
            <w:tcBorders>
              <w:top w:val="nil"/>
              <w:left w:val="double" w:sz="4" w:space="0" w:color="auto"/>
              <w:right w:val="single" w:sz="4" w:space="0" w:color="auto"/>
            </w:tcBorders>
            <w:shd w:val="clear" w:color="auto" w:fill="FFFFFF" w:themeFill="background1"/>
            <w:tcMar>
              <w:left w:w="43" w:type="dxa"/>
            </w:tcMar>
          </w:tcPr>
          <w:p w14:paraId="341F2DF7" w14:textId="77777777" w:rsidR="00432BEC" w:rsidRPr="00D22494" w:rsidRDefault="00432BEC" w:rsidP="00CE36A9">
            <w:pPr>
              <w:spacing w:before="0" w:after="0" w:line="240" w:lineRule="auto"/>
              <w:jc w:val="right"/>
              <w:rPr>
                <w:sz w:val="20"/>
                <w:szCs w:val="20"/>
              </w:rPr>
            </w:pPr>
            <w:r w:rsidRPr="00D22494">
              <w:rPr>
                <w:sz w:val="20"/>
                <w:szCs w:val="20"/>
              </w:rPr>
              <w:t>2291.295</w:t>
            </w: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2B331D2C" w14:textId="77777777" w:rsidR="00432BEC" w:rsidRPr="00D22494" w:rsidRDefault="00432BEC" w:rsidP="00CE36A9">
            <w:pPr>
              <w:spacing w:before="0" w:after="0" w:line="240" w:lineRule="auto"/>
              <w:jc w:val="right"/>
              <w:rPr>
                <w:sz w:val="20"/>
                <w:szCs w:val="20"/>
              </w:rPr>
            </w:pPr>
            <w:r w:rsidRPr="00D22494">
              <w:rPr>
                <w:sz w:val="20"/>
                <w:szCs w:val="20"/>
              </w:rPr>
              <w:t>2562.213</w:t>
            </w:r>
          </w:p>
        </w:tc>
        <w:tc>
          <w:tcPr>
            <w:tcW w:w="1041" w:type="dxa"/>
            <w:tcBorders>
              <w:top w:val="nil"/>
              <w:left w:val="double" w:sz="4" w:space="0" w:color="auto"/>
              <w:right w:val="single" w:sz="4" w:space="0" w:color="auto"/>
            </w:tcBorders>
            <w:shd w:val="clear" w:color="auto" w:fill="FFFFFF" w:themeFill="background1"/>
            <w:tcMar>
              <w:left w:w="43" w:type="dxa"/>
            </w:tcMar>
          </w:tcPr>
          <w:p w14:paraId="62F2DC8D" w14:textId="77777777" w:rsidR="00432BEC" w:rsidRPr="00D22494" w:rsidRDefault="00432BEC" w:rsidP="00CE36A9">
            <w:pPr>
              <w:spacing w:before="0" w:after="0" w:line="240" w:lineRule="auto"/>
              <w:jc w:val="right"/>
              <w:rPr>
                <w:sz w:val="20"/>
                <w:szCs w:val="20"/>
              </w:rPr>
            </w:pPr>
            <w:r w:rsidRPr="00D22494">
              <w:rPr>
                <w:sz w:val="20"/>
                <w:szCs w:val="20"/>
              </w:rPr>
              <w:t>2118.534</w:t>
            </w: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1A03F693" w14:textId="77777777" w:rsidR="00432BEC" w:rsidRPr="00D22494" w:rsidRDefault="00432BEC" w:rsidP="00CE36A9">
            <w:pPr>
              <w:spacing w:before="0" w:after="0" w:line="240" w:lineRule="auto"/>
              <w:jc w:val="right"/>
              <w:rPr>
                <w:sz w:val="20"/>
                <w:szCs w:val="20"/>
              </w:rPr>
            </w:pPr>
            <w:r w:rsidRPr="00D22494">
              <w:rPr>
                <w:sz w:val="20"/>
                <w:szCs w:val="20"/>
              </w:rPr>
              <w:t>1860.609</w:t>
            </w:r>
          </w:p>
        </w:tc>
        <w:tc>
          <w:tcPr>
            <w:tcW w:w="1080" w:type="dxa"/>
            <w:tcBorders>
              <w:top w:val="nil"/>
              <w:left w:val="double" w:sz="4" w:space="0" w:color="auto"/>
              <w:right w:val="single" w:sz="4" w:space="0" w:color="auto"/>
            </w:tcBorders>
            <w:shd w:val="clear" w:color="auto" w:fill="FFFFFF" w:themeFill="background1"/>
            <w:tcMar>
              <w:left w:w="43" w:type="dxa"/>
            </w:tcMar>
          </w:tcPr>
          <w:p w14:paraId="251727B7" w14:textId="77777777" w:rsidR="00432BEC" w:rsidRPr="00D22494" w:rsidRDefault="00432BEC" w:rsidP="00CE36A9">
            <w:pPr>
              <w:spacing w:before="0" w:after="0" w:line="240" w:lineRule="auto"/>
              <w:jc w:val="right"/>
              <w:rPr>
                <w:sz w:val="20"/>
                <w:szCs w:val="20"/>
              </w:rPr>
            </w:pPr>
            <w:r w:rsidRPr="00D22494">
              <w:rPr>
                <w:sz w:val="20"/>
                <w:szCs w:val="20"/>
              </w:rPr>
              <w:t>2321.365</w:t>
            </w: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045B67CF" w14:textId="77777777" w:rsidR="00432BEC" w:rsidRPr="00D22494" w:rsidRDefault="00432BEC" w:rsidP="00CE36A9">
            <w:pPr>
              <w:spacing w:before="0" w:after="0" w:line="240" w:lineRule="auto"/>
              <w:jc w:val="right"/>
              <w:rPr>
                <w:sz w:val="20"/>
                <w:szCs w:val="20"/>
              </w:rPr>
            </w:pPr>
            <w:r w:rsidRPr="00D22494">
              <w:rPr>
                <w:sz w:val="20"/>
                <w:szCs w:val="20"/>
              </w:rPr>
              <w:t>2664.678</w:t>
            </w:r>
          </w:p>
        </w:tc>
        <w:tc>
          <w:tcPr>
            <w:tcW w:w="3172" w:type="dxa"/>
            <w:tcBorders>
              <w:top w:val="nil"/>
              <w:left w:val="double" w:sz="4" w:space="0" w:color="auto"/>
            </w:tcBorders>
            <w:shd w:val="clear" w:color="auto" w:fill="FFFFFF" w:themeFill="background1"/>
            <w:tcMar>
              <w:left w:w="43" w:type="dxa"/>
            </w:tcMar>
          </w:tcPr>
          <w:p w14:paraId="41AA18E3" w14:textId="77777777" w:rsidR="00432BEC" w:rsidRPr="00D22494" w:rsidRDefault="00432BEC" w:rsidP="00CE36A9">
            <w:pPr>
              <w:spacing w:before="0" w:after="0" w:line="240" w:lineRule="auto"/>
              <w:jc w:val="left"/>
              <w:rPr>
                <w:sz w:val="20"/>
                <w:szCs w:val="20"/>
              </w:rPr>
            </w:pPr>
            <w:r w:rsidRPr="00D22494">
              <w:rPr>
                <w:sz w:val="20"/>
                <w:szCs w:val="20"/>
              </w:rPr>
              <w:t>U.S. Census Bureau – 2010</w:t>
            </w:r>
          </w:p>
        </w:tc>
      </w:tr>
      <w:tr w:rsidR="00432BEC" w:rsidRPr="00D22494" w14:paraId="01ED956F"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tcPr>
          <w:p w14:paraId="7838B872" w14:textId="77777777" w:rsidR="00432BEC" w:rsidRPr="00D22494" w:rsidRDefault="00432BEC" w:rsidP="0031086A">
            <w:pPr>
              <w:spacing w:before="0" w:after="0" w:line="240" w:lineRule="auto"/>
              <w:ind w:left="136"/>
              <w:jc w:val="left"/>
              <w:rPr>
                <w:sz w:val="20"/>
                <w:szCs w:val="20"/>
              </w:rPr>
            </w:pPr>
            <w:r w:rsidRPr="00D22494">
              <w:rPr>
                <w:sz w:val="20"/>
                <w:szCs w:val="20"/>
              </w:rPr>
              <w:t>Employment density (jobs/0.1 acres)</w:t>
            </w:r>
          </w:p>
        </w:tc>
        <w:tc>
          <w:tcPr>
            <w:tcW w:w="1085" w:type="dxa"/>
            <w:tcBorders>
              <w:left w:val="double" w:sz="4" w:space="0" w:color="auto"/>
              <w:right w:val="single" w:sz="4" w:space="0" w:color="auto"/>
            </w:tcBorders>
            <w:shd w:val="clear" w:color="auto" w:fill="FFFFFF" w:themeFill="background1"/>
            <w:tcMar>
              <w:left w:w="43" w:type="dxa"/>
            </w:tcMar>
          </w:tcPr>
          <w:p w14:paraId="3308F8C8" w14:textId="77777777" w:rsidR="00432BEC" w:rsidRPr="00D22494" w:rsidRDefault="00432BEC" w:rsidP="00CE36A9">
            <w:pPr>
              <w:spacing w:before="0" w:after="0" w:line="240" w:lineRule="auto"/>
              <w:jc w:val="right"/>
              <w:rPr>
                <w:sz w:val="20"/>
                <w:szCs w:val="20"/>
              </w:rPr>
            </w:pPr>
            <w:r w:rsidRPr="00D22494">
              <w:rPr>
                <w:sz w:val="20"/>
                <w:szCs w:val="20"/>
              </w:rPr>
              <w:t>0.306</w:t>
            </w: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7A3CE4CC" w14:textId="77777777" w:rsidR="00432BEC" w:rsidRPr="00D22494" w:rsidRDefault="00432BEC" w:rsidP="00CE36A9">
            <w:pPr>
              <w:spacing w:before="0" w:after="0" w:line="240" w:lineRule="auto"/>
              <w:jc w:val="right"/>
              <w:rPr>
                <w:sz w:val="20"/>
                <w:szCs w:val="20"/>
              </w:rPr>
            </w:pPr>
            <w:r w:rsidRPr="00D22494">
              <w:rPr>
                <w:sz w:val="20"/>
                <w:szCs w:val="20"/>
              </w:rPr>
              <w:t>1.130</w:t>
            </w:r>
          </w:p>
        </w:tc>
        <w:tc>
          <w:tcPr>
            <w:tcW w:w="1041" w:type="dxa"/>
            <w:tcBorders>
              <w:left w:val="double" w:sz="4" w:space="0" w:color="auto"/>
              <w:right w:val="single" w:sz="4" w:space="0" w:color="auto"/>
            </w:tcBorders>
            <w:shd w:val="clear" w:color="auto" w:fill="FFFFFF" w:themeFill="background1"/>
            <w:tcMar>
              <w:left w:w="43" w:type="dxa"/>
            </w:tcMar>
          </w:tcPr>
          <w:p w14:paraId="0D2265A4" w14:textId="77777777" w:rsidR="00432BEC" w:rsidRPr="00D22494" w:rsidRDefault="00432BEC" w:rsidP="00CE36A9">
            <w:pPr>
              <w:spacing w:before="0" w:after="0" w:line="240" w:lineRule="auto"/>
              <w:jc w:val="right"/>
              <w:rPr>
                <w:sz w:val="20"/>
                <w:szCs w:val="20"/>
              </w:rPr>
            </w:pPr>
            <w:r w:rsidRPr="00D22494">
              <w:rPr>
                <w:sz w:val="20"/>
                <w:szCs w:val="20"/>
              </w:rPr>
              <w:t>0.220</w:t>
            </w: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7BA1FE0B" w14:textId="77777777" w:rsidR="00432BEC" w:rsidRPr="00D22494" w:rsidRDefault="00432BEC" w:rsidP="00CE36A9">
            <w:pPr>
              <w:spacing w:before="0" w:after="0" w:line="240" w:lineRule="auto"/>
              <w:jc w:val="right"/>
              <w:rPr>
                <w:sz w:val="20"/>
                <w:szCs w:val="20"/>
              </w:rPr>
            </w:pPr>
            <w:r w:rsidRPr="00D22494">
              <w:rPr>
                <w:sz w:val="20"/>
                <w:szCs w:val="20"/>
              </w:rPr>
              <w:t>0.476</w:t>
            </w:r>
          </w:p>
        </w:tc>
        <w:tc>
          <w:tcPr>
            <w:tcW w:w="1080" w:type="dxa"/>
            <w:tcBorders>
              <w:left w:val="double" w:sz="4" w:space="0" w:color="auto"/>
              <w:right w:val="single" w:sz="4" w:space="0" w:color="auto"/>
            </w:tcBorders>
            <w:shd w:val="clear" w:color="auto" w:fill="FFFFFF" w:themeFill="background1"/>
            <w:tcMar>
              <w:left w:w="43" w:type="dxa"/>
            </w:tcMar>
          </w:tcPr>
          <w:p w14:paraId="109BF86A" w14:textId="77777777" w:rsidR="00432BEC" w:rsidRPr="00D22494" w:rsidRDefault="00432BEC" w:rsidP="00CE36A9">
            <w:pPr>
              <w:spacing w:before="0" w:after="0" w:line="240" w:lineRule="auto"/>
              <w:jc w:val="right"/>
              <w:rPr>
                <w:sz w:val="20"/>
                <w:szCs w:val="20"/>
              </w:rPr>
            </w:pPr>
            <w:r w:rsidRPr="00D22494">
              <w:rPr>
                <w:sz w:val="20"/>
                <w:szCs w:val="20"/>
              </w:rPr>
              <w:t>0.322</w:t>
            </w: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4A95BD45" w14:textId="77777777" w:rsidR="00432BEC" w:rsidRPr="00D22494" w:rsidRDefault="00432BEC" w:rsidP="00CE36A9">
            <w:pPr>
              <w:spacing w:before="0" w:after="0" w:line="240" w:lineRule="auto"/>
              <w:jc w:val="right"/>
              <w:rPr>
                <w:sz w:val="20"/>
                <w:szCs w:val="20"/>
              </w:rPr>
            </w:pPr>
            <w:r w:rsidRPr="00D22494">
              <w:rPr>
                <w:sz w:val="20"/>
                <w:szCs w:val="20"/>
              </w:rPr>
              <w:t>1.207</w:t>
            </w:r>
          </w:p>
        </w:tc>
        <w:tc>
          <w:tcPr>
            <w:tcW w:w="3172" w:type="dxa"/>
            <w:tcBorders>
              <w:left w:val="double" w:sz="4" w:space="0" w:color="auto"/>
            </w:tcBorders>
            <w:shd w:val="clear" w:color="auto" w:fill="FFFFFF" w:themeFill="background1"/>
            <w:tcMar>
              <w:left w:w="43" w:type="dxa"/>
            </w:tcMar>
          </w:tcPr>
          <w:p w14:paraId="6D8AD3D5" w14:textId="77777777" w:rsidR="00432BEC" w:rsidRPr="00D22494" w:rsidRDefault="00432BEC" w:rsidP="00CE36A9">
            <w:pPr>
              <w:spacing w:before="0" w:after="0" w:line="240" w:lineRule="auto"/>
              <w:jc w:val="left"/>
              <w:rPr>
                <w:sz w:val="20"/>
                <w:szCs w:val="20"/>
              </w:rPr>
            </w:pPr>
            <w:r w:rsidRPr="00D22494">
              <w:rPr>
                <w:sz w:val="20"/>
                <w:szCs w:val="20"/>
              </w:rPr>
              <w:t>SLD – 2019</w:t>
            </w:r>
          </w:p>
        </w:tc>
      </w:tr>
      <w:tr w:rsidR="00432BEC" w:rsidRPr="00D22494" w14:paraId="1C2E0EB7"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128A6AF7" w14:textId="77777777" w:rsidR="00432BEC" w:rsidRPr="00D22494" w:rsidRDefault="00432BEC" w:rsidP="0031086A">
            <w:pPr>
              <w:spacing w:before="0" w:after="0" w:line="240" w:lineRule="auto"/>
              <w:ind w:left="136"/>
              <w:jc w:val="left"/>
              <w:rPr>
                <w:sz w:val="20"/>
                <w:szCs w:val="20"/>
              </w:rPr>
            </w:pPr>
            <w:r w:rsidRPr="00D22494">
              <w:rPr>
                <w:sz w:val="20"/>
                <w:szCs w:val="20"/>
              </w:rPr>
              <w:t xml:space="preserve">Vehicle miles traveled </w:t>
            </w:r>
          </w:p>
        </w:tc>
        <w:tc>
          <w:tcPr>
            <w:tcW w:w="1085" w:type="dxa"/>
            <w:tcBorders>
              <w:left w:val="double" w:sz="4" w:space="0" w:color="auto"/>
              <w:right w:val="single" w:sz="4" w:space="0" w:color="auto"/>
            </w:tcBorders>
            <w:shd w:val="clear" w:color="auto" w:fill="FFFFFF" w:themeFill="background1"/>
            <w:tcMar>
              <w:left w:w="43" w:type="dxa"/>
            </w:tcMar>
            <w:hideMark/>
          </w:tcPr>
          <w:p w14:paraId="63363C94" w14:textId="77777777" w:rsidR="00432BEC" w:rsidRPr="00D22494" w:rsidRDefault="00432BEC" w:rsidP="00CE36A9">
            <w:pPr>
              <w:spacing w:before="0" w:after="0" w:line="240" w:lineRule="auto"/>
              <w:jc w:val="right"/>
              <w:rPr>
                <w:sz w:val="20"/>
                <w:szCs w:val="20"/>
              </w:rPr>
            </w:pPr>
            <w:r w:rsidRPr="00D22494">
              <w:rPr>
                <w:sz w:val="20"/>
                <w:szCs w:val="20"/>
              </w:rPr>
              <w:t>2981.924</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32BEE91C" w14:textId="77777777" w:rsidR="00432BEC" w:rsidRPr="00D22494" w:rsidRDefault="00432BEC" w:rsidP="00CE36A9">
            <w:pPr>
              <w:spacing w:before="0" w:after="0" w:line="240" w:lineRule="auto"/>
              <w:jc w:val="right"/>
              <w:rPr>
                <w:sz w:val="20"/>
                <w:szCs w:val="20"/>
              </w:rPr>
            </w:pPr>
            <w:r w:rsidRPr="00D22494">
              <w:rPr>
                <w:sz w:val="20"/>
                <w:szCs w:val="20"/>
              </w:rPr>
              <w:t>6494.474</w:t>
            </w:r>
          </w:p>
        </w:tc>
        <w:tc>
          <w:tcPr>
            <w:tcW w:w="1041" w:type="dxa"/>
            <w:tcBorders>
              <w:left w:val="double" w:sz="4" w:space="0" w:color="auto"/>
              <w:right w:val="single" w:sz="4" w:space="0" w:color="auto"/>
            </w:tcBorders>
            <w:shd w:val="clear" w:color="auto" w:fill="FFFFFF" w:themeFill="background1"/>
            <w:tcMar>
              <w:left w:w="43" w:type="dxa"/>
            </w:tcMar>
            <w:hideMark/>
          </w:tcPr>
          <w:p w14:paraId="6101ADDD" w14:textId="77777777" w:rsidR="00432BEC" w:rsidRPr="00D22494" w:rsidRDefault="00432BEC" w:rsidP="00CE36A9">
            <w:pPr>
              <w:spacing w:before="0" w:after="0" w:line="240" w:lineRule="auto"/>
              <w:jc w:val="right"/>
              <w:rPr>
                <w:sz w:val="20"/>
                <w:szCs w:val="20"/>
              </w:rPr>
            </w:pPr>
            <w:r w:rsidRPr="00D22494">
              <w:rPr>
                <w:sz w:val="20"/>
                <w:szCs w:val="20"/>
              </w:rPr>
              <w:t>3399.319</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1877D732" w14:textId="77777777" w:rsidR="00432BEC" w:rsidRPr="00D22494" w:rsidRDefault="00432BEC" w:rsidP="00CE36A9">
            <w:pPr>
              <w:spacing w:before="0" w:after="0" w:line="240" w:lineRule="auto"/>
              <w:jc w:val="right"/>
              <w:rPr>
                <w:sz w:val="20"/>
                <w:szCs w:val="20"/>
              </w:rPr>
            </w:pPr>
            <w:r w:rsidRPr="00D22494">
              <w:rPr>
                <w:sz w:val="20"/>
                <w:szCs w:val="20"/>
              </w:rPr>
              <w:t>7148.433</w:t>
            </w:r>
          </w:p>
        </w:tc>
        <w:tc>
          <w:tcPr>
            <w:tcW w:w="1080" w:type="dxa"/>
            <w:tcBorders>
              <w:left w:val="double" w:sz="4" w:space="0" w:color="auto"/>
              <w:right w:val="single" w:sz="4" w:space="0" w:color="auto"/>
            </w:tcBorders>
            <w:shd w:val="clear" w:color="auto" w:fill="FFFFFF" w:themeFill="background1"/>
            <w:tcMar>
              <w:left w:w="43" w:type="dxa"/>
            </w:tcMar>
            <w:hideMark/>
          </w:tcPr>
          <w:p w14:paraId="48875FD2" w14:textId="77777777" w:rsidR="00432BEC" w:rsidRPr="00D22494" w:rsidRDefault="00432BEC" w:rsidP="00CE36A9">
            <w:pPr>
              <w:spacing w:before="0" w:after="0" w:line="240" w:lineRule="auto"/>
              <w:jc w:val="right"/>
              <w:rPr>
                <w:sz w:val="20"/>
                <w:szCs w:val="20"/>
              </w:rPr>
            </w:pPr>
            <w:r w:rsidRPr="00D22494">
              <w:rPr>
                <w:sz w:val="20"/>
                <w:szCs w:val="20"/>
              </w:rPr>
              <w:t>2909.276</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0C73E025" w14:textId="77777777" w:rsidR="00432BEC" w:rsidRPr="00D22494" w:rsidRDefault="00432BEC" w:rsidP="00CE36A9">
            <w:pPr>
              <w:spacing w:before="0" w:after="0" w:line="240" w:lineRule="auto"/>
              <w:jc w:val="right"/>
              <w:rPr>
                <w:sz w:val="20"/>
                <w:szCs w:val="20"/>
              </w:rPr>
            </w:pPr>
            <w:r w:rsidRPr="00D22494">
              <w:rPr>
                <w:sz w:val="20"/>
                <w:szCs w:val="20"/>
              </w:rPr>
              <w:t>6372.544</w:t>
            </w:r>
          </w:p>
        </w:tc>
        <w:tc>
          <w:tcPr>
            <w:tcW w:w="3172" w:type="dxa"/>
            <w:tcBorders>
              <w:left w:val="double" w:sz="4" w:space="0" w:color="auto"/>
            </w:tcBorders>
            <w:shd w:val="clear" w:color="auto" w:fill="FFFFFF" w:themeFill="background1"/>
            <w:tcMar>
              <w:left w:w="43" w:type="dxa"/>
            </w:tcMar>
            <w:hideMark/>
          </w:tcPr>
          <w:p w14:paraId="546AB1A6"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48052D37"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2DF73B0E" w14:textId="77777777" w:rsidR="00432BEC" w:rsidRPr="00D22494" w:rsidRDefault="00432BEC" w:rsidP="0031086A">
            <w:pPr>
              <w:spacing w:before="0" w:after="0" w:line="240" w:lineRule="auto"/>
              <w:ind w:left="136"/>
              <w:jc w:val="left"/>
              <w:rPr>
                <w:sz w:val="20"/>
                <w:szCs w:val="20"/>
              </w:rPr>
            </w:pPr>
            <w:r w:rsidRPr="00D22494">
              <w:rPr>
                <w:sz w:val="20"/>
                <w:szCs w:val="20"/>
              </w:rPr>
              <w:t xml:space="preserve">Average daily traffic </w:t>
            </w:r>
          </w:p>
        </w:tc>
        <w:tc>
          <w:tcPr>
            <w:tcW w:w="1085" w:type="dxa"/>
            <w:tcBorders>
              <w:left w:val="double" w:sz="4" w:space="0" w:color="auto"/>
              <w:right w:val="single" w:sz="4" w:space="0" w:color="auto"/>
            </w:tcBorders>
            <w:shd w:val="clear" w:color="auto" w:fill="FFFFFF" w:themeFill="background1"/>
            <w:tcMar>
              <w:left w:w="43" w:type="dxa"/>
            </w:tcMar>
            <w:hideMark/>
          </w:tcPr>
          <w:p w14:paraId="00A140E3" w14:textId="77777777" w:rsidR="00432BEC" w:rsidRPr="00D22494" w:rsidRDefault="00432BEC" w:rsidP="00CE36A9">
            <w:pPr>
              <w:spacing w:before="0" w:after="0" w:line="240" w:lineRule="auto"/>
              <w:jc w:val="right"/>
              <w:rPr>
                <w:sz w:val="20"/>
                <w:szCs w:val="20"/>
              </w:rPr>
            </w:pPr>
            <w:r w:rsidRPr="00D22494">
              <w:rPr>
                <w:sz w:val="20"/>
                <w:szCs w:val="20"/>
              </w:rPr>
              <w:t>10097.440</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4542EBCD" w14:textId="77777777" w:rsidR="00432BEC" w:rsidRPr="00D22494" w:rsidRDefault="00432BEC" w:rsidP="00CE36A9">
            <w:pPr>
              <w:spacing w:before="0" w:after="0" w:line="240" w:lineRule="auto"/>
              <w:jc w:val="right"/>
              <w:rPr>
                <w:sz w:val="20"/>
                <w:szCs w:val="20"/>
              </w:rPr>
            </w:pPr>
            <w:r w:rsidRPr="00D22494">
              <w:rPr>
                <w:sz w:val="20"/>
                <w:szCs w:val="20"/>
              </w:rPr>
              <w:t>20305.454</w:t>
            </w:r>
          </w:p>
        </w:tc>
        <w:tc>
          <w:tcPr>
            <w:tcW w:w="1041" w:type="dxa"/>
            <w:tcBorders>
              <w:left w:val="double" w:sz="4" w:space="0" w:color="auto"/>
              <w:right w:val="single" w:sz="4" w:space="0" w:color="auto"/>
            </w:tcBorders>
            <w:shd w:val="clear" w:color="auto" w:fill="FFFFFF" w:themeFill="background1"/>
            <w:tcMar>
              <w:left w:w="43" w:type="dxa"/>
            </w:tcMar>
            <w:hideMark/>
          </w:tcPr>
          <w:p w14:paraId="335CFF2D" w14:textId="77777777" w:rsidR="00432BEC" w:rsidRPr="00D22494" w:rsidRDefault="00432BEC" w:rsidP="00CE36A9">
            <w:pPr>
              <w:spacing w:before="0" w:after="0" w:line="240" w:lineRule="auto"/>
              <w:jc w:val="right"/>
              <w:rPr>
                <w:sz w:val="20"/>
                <w:szCs w:val="20"/>
              </w:rPr>
            </w:pPr>
            <w:r w:rsidRPr="00D22494">
              <w:rPr>
                <w:sz w:val="20"/>
                <w:szCs w:val="20"/>
              </w:rPr>
              <w:t>10568.388</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11B62F47" w14:textId="77777777" w:rsidR="00432BEC" w:rsidRPr="00D22494" w:rsidRDefault="00432BEC" w:rsidP="00CE36A9">
            <w:pPr>
              <w:spacing w:before="0" w:after="0" w:line="240" w:lineRule="auto"/>
              <w:jc w:val="right"/>
              <w:rPr>
                <w:sz w:val="20"/>
                <w:szCs w:val="20"/>
              </w:rPr>
            </w:pPr>
            <w:r w:rsidRPr="00D22494">
              <w:rPr>
                <w:sz w:val="20"/>
                <w:szCs w:val="20"/>
              </w:rPr>
              <w:t>18571.645</w:t>
            </w:r>
          </w:p>
        </w:tc>
        <w:tc>
          <w:tcPr>
            <w:tcW w:w="1080" w:type="dxa"/>
            <w:tcBorders>
              <w:left w:val="double" w:sz="4" w:space="0" w:color="auto"/>
              <w:right w:val="single" w:sz="4" w:space="0" w:color="auto"/>
            </w:tcBorders>
            <w:shd w:val="clear" w:color="auto" w:fill="FFFFFF" w:themeFill="background1"/>
            <w:tcMar>
              <w:left w:w="43" w:type="dxa"/>
            </w:tcMar>
            <w:hideMark/>
          </w:tcPr>
          <w:p w14:paraId="154066AD" w14:textId="77777777" w:rsidR="00432BEC" w:rsidRPr="00D22494" w:rsidRDefault="00432BEC" w:rsidP="00CE36A9">
            <w:pPr>
              <w:spacing w:before="0" w:after="0" w:line="240" w:lineRule="auto"/>
              <w:jc w:val="right"/>
              <w:rPr>
                <w:sz w:val="20"/>
                <w:szCs w:val="20"/>
              </w:rPr>
            </w:pPr>
            <w:r w:rsidRPr="00D22494">
              <w:rPr>
                <w:sz w:val="20"/>
                <w:szCs w:val="20"/>
              </w:rPr>
              <w:t>10015.471</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62AFB0F2" w14:textId="77777777" w:rsidR="00432BEC" w:rsidRPr="00D22494" w:rsidRDefault="00432BEC" w:rsidP="00CE36A9">
            <w:pPr>
              <w:spacing w:before="0" w:after="0" w:line="240" w:lineRule="auto"/>
              <w:jc w:val="right"/>
              <w:rPr>
                <w:sz w:val="20"/>
                <w:szCs w:val="20"/>
              </w:rPr>
            </w:pPr>
            <w:r w:rsidRPr="00D22494">
              <w:rPr>
                <w:sz w:val="20"/>
                <w:szCs w:val="20"/>
              </w:rPr>
              <w:t>20594.640</w:t>
            </w:r>
          </w:p>
        </w:tc>
        <w:tc>
          <w:tcPr>
            <w:tcW w:w="3172" w:type="dxa"/>
            <w:tcBorders>
              <w:left w:val="double" w:sz="4" w:space="0" w:color="auto"/>
            </w:tcBorders>
            <w:shd w:val="clear" w:color="auto" w:fill="FFFFFF" w:themeFill="background1"/>
            <w:tcMar>
              <w:left w:w="43" w:type="dxa"/>
            </w:tcMar>
            <w:hideMark/>
          </w:tcPr>
          <w:p w14:paraId="0924134D"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4BEADC73"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09A47252" w14:textId="77777777" w:rsidR="00432BEC" w:rsidRPr="00D22494" w:rsidRDefault="00432BEC" w:rsidP="0031086A">
            <w:pPr>
              <w:spacing w:before="0" w:after="0" w:line="240" w:lineRule="auto"/>
              <w:ind w:left="136"/>
              <w:jc w:val="left"/>
              <w:rPr>
                <w:sz w:val="20"/>
                <w:szCs w:val="20"/>
              </w:rPr>
            </w:pPr>
            <w:r w:rsidRPr="00D22494">
              <w:rPr>
                <w:sz w:val="20"/>
                <w:szCs w:val="20"/>
              </w:rPr>
              <w:t xml:space="preserve">% HH owning zero vehicles </w:t>
            </w:r>
          </w:p>
        </w:tc>
        <w:tc>
          <w:tcPr>
            <w:tcW w:w="1085" w:type="dxa"/>
            <w:tcBorders>
              <w:left w:val="double" w:sz="4" w:space="0" w:color="auto"/>
              <w:right w:val="single" w:sz="4" w:space="0" w:color="auto"/>
            </w:tcBorders>
            <w:shd w:val="clear" w:color="auto" w:fill="FFFFFF" w:themeFill="background1"/>
            <w:tcMar>
              <w:left w:w="43" w:type="dxa"/>
            </w:tcMar>
            <w:hideMark/>
          </w:tcPr>
          <w:p w14:paraId="04C27761" w14:textId="77777777" w:rsidR="00432BEC" w:rsidRPr="00D22494" w:rsidRDefault="00432BEC" w:rsidP="00CE36A9">
            <w:pPr>
              <w:spacing w:before="0" w:after="0" w:line="240" w:lineRule="auto"/>
              <w:jc w:val="right"/>
              <w:rPr>
                <w:sz w:val="20"/>
                <w:szCs w:val="20"/>
              </w:rPr>
            </w:pPr>
            <w:r w:rsidRPr="00D22494">
              <w:rPr>
                <w:sz w:val="20"/>
                <w:szCs w:val="20"/>
              </w:rPr>
              <w:t>6.943</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336A7192" w14:textId="77777777" w:rsidR="00432BEC" w:rsidRPr="00D22494" w:rsidRDefault="00432BEC" w:rsidP="00CE36A9">
            <w:pPr>
              <w:spacing w:before="0" w:after="0" w:line="240" w:lineRule="auto"/>
              <w:jc w:val="right"/>
              <w:rPr>
                <w:sz w:val="20"/>
                <w:szCs w:val="20"/>
              </w:rPr>
            </w:pPr>
            <w:r w:rsidRPr="00D22494">
              <w:rPr>
                <w:sz w:val="20"/>
                <w:szCs w:val="20"/>
              </w:rPr>
              <w:t>9.456</w:t>
            </w:r>
          </w:p>
        </w:tc>
        <w:tc>
          <w:tcPr>
            <w:tcW w:w="1041" w:type="dxa"/>
            <w:tcBorders>
              <w:left w:val="double" w:sz="4" w:space="0" w:color="auto"/>
              <w:right w:val="single" w:sz="4" w:space="0" w:color="auto"/>
            </w:tcBorders>
            <w:shd w:val="clear" w:color="auto" w:fill="FFFFFF" w:themeFill="background1"/>
            <w:tcMar>
              <w:left w:w="43" w:type="dxa"/>
            </w:tcMar>
            <w:hideMark/>
          </w:tcPr>
          <w:p w14:paraId="1593C3C3" w14:textId="77777777" w:rsidR="00432BEC" w:rsidRPr="00D22494" w:rsidRDefault="00432BEC" w:rsidP="00CE36A9">
            <w:pPr>
              <w:spacing w:before="0" w:after="0" w:line="240" w:lineRule="auto"/>
              <w:jc w:val="right"/>
              <w:rPr>
                <w:sz w:val="20"/>
                <w:szCs w:val="20"/>
              </w:rPr>
            </w:pPr>
            <w:r w:rsidRPr="00D22494">
              <w:rPr>
                <w:sz w:val="20"/>
                <w:szCs w:val="20"/>
              </w:rPr>
              <w:t>12.248</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60C9BB85" w14:textId="77777777" w:rsidR="00432BEC" w:rsidRPr="00D22494" w:rsidRDefault="00432BEC" w:rsidP="00CE36A9">
            <w:pPr>
              <w:spacing w:before="0" w:after="0" w:line="240" w:lineRule="auto"/>
              <w:jc w:val="right"/>
              <w:rPr>
                <w:sz w:val="20"/>
                <w:szCs w:val="20"/>
              </w:rPr>
            </w:pPr>
            <w:r w:rsidRPr="00D22494">
              <w:rPr>
                <w:sz w:val="20"/>
                <w:szCs w:val="20"/>
              </w:rPr>
              <w:t>12.454</w:t>
            </w:r>
          </w:p>
        </w:tc>
        <w:tc>
          <w:tcPr>
            <w:tcW w:w="1080" w:type="dxa"/>
            <w:tcBorders>
              <w:left w:val="double" w:sz="4" w:space="0" w:color="auto"/>
              <w:right w:val="single" w:sz="4" w:space="0" w:color="auto"/>
            </w:tcBorders>
            <w:shd w:val="clear" w:color="auto" w:fill="FFFFFF" w:themeFill="background1"/>
            <w:tcMar>
              <w:left w:w="43" w:type="dxa"/>
            </w:tcMar>
            <w:hideMark/>
          </w:tcPr>
          <w:p w14:paraId="362BD98C" w14:textId="77777777" w:rsidR="00432BEC" w:rsidRPr="00D22494" w:rsidRDefault="00432BEC" w:rsidP="00CE36A9">
            <w:pPr>
              <w:spacing w:before="0" w:after="0" w:line="240" w:lineRule="auto"/>
              <w:jc w:val="right"/>
              <w:rPr>
                <w:sz w:val="20"/>
                <w:szCs w:val="20"/>
              </w:rPr>
            </w:pPr>
            <w:r w:rsidRPr="00D22494">
              <w:rPr>
                <w:sz w:val="20"/>
                <w:szCs w:val="20"/>
              </w:rPr>
              <w:t>6.019</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4B45AFD8" w14:textId="77777777" w:rsidR="00432BEC" w:rsidRPr="00D22494" w:rsidRDefault="00432BEC" w:rsidP="00CE36A9">
            <w:pPr>
              <w:spacing w:before="0" w:after="0" w:line="240" w:lineRule="auto"/>
              <w:jc w:val="right"/>
              <w:rPr>
                <w:sz w:val="20"/>
                <w:szCs w:val="20"/>
              </w:rPr>
            </w:pPr>
            <w:r w:rsidRPr="00D22494">
              <w:rPr>
                <w:sz w:val="20"/>
                <w:szCs w:val="20"/>
              </w:rPr>
              <w:t>8.502</w:t>
            </w:r>
          </w:p>
        </w:tc>
        <w:tc>
          <w:tcPr>
            <w:tcW w:w="3172" w:type="dxa"/>
            <w:tcBorders>
              <w:left w:val="double" w:sz="4" w:space="0" w:color="auto"/>
            </w:tcBorders>
            <w:shd w:val="clear" w:color="auto" w:fill="FFFFFF" w:themeFill="background1"/>
            <w:tcMar>
              <w:left w:w="43" w:type="dxa"/>
            </w:tcMar>
            <w:hideMark/>
          </w:tcPr>
          <w:p w14:paraId="4B77BF18" w14:textId="77777777" w:rsidR="00432BEC" w:rsidRPr="00D22494" w:rsidRDefault="00432BEC" w:rsidP="00CE36A9">
            <w:pPr>
              <w:spacing w:before="0" w:after="0" w:line="240" w:lineRule="auto"/>
              <w:jc w:val="left"/>
              <w:rPr>
                <w:sz w:val="20"/>
                <w:szCs w:val="20"/>
              </w:rPr>
            </w:pPr>
            <w:r w:rsidRPr="00D22494">
              <w:rPr>
                <w:sz w:val="20"/>
                <w:szCs w:val="20"/>
              </w:rPr>
              <w:t>SLD – 2019</w:t>
            </w:r>
          </w:p>
        </w:tc>
      </w:tr>
      <w:tr w:rsidR="00432BEC" w:rsidRPr="00D22494" w14:paraId="40F7FF3D"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0C1814BA" w14:textId="77777777" w:rsidR="00432BEC" w:rsidRPr="00D22494" w:rsidRDefault="00432BEC" w:rsidP="0031086A">
            <w:pPr>
              <w:spacing w:before="0" w:after="0" w:line="240" w:lineRule="auto"/>
              <w:ind w:left="136"/>
              <w:jc w:val="left"/>
              <w:rPr>
                <w:sz w:val="20"/>
                <w:szCs w:val="20"/>
              </w:rPr>
            </w:pPr>
            <w:r w:rsidRPr="00D22494">
              <w:rPr>
                <w:sz w:val="20"/>
                <w:szCs w:val="20"/>
              </w:rPr>
              <w:t>% HH owning one vehicle</w:t>
            </w:r>
          </w:p>
        </w:tc>
        <w:tc>
          <w:tcPr>
            <w:tcW w:w="1085" w:type="dxa"/>
            <w:tcBorders>
              <w:left w:val="double" w:sz="4" w:space="0" w:color="auto"/>
              <w:right w:val="single" w:sz="4" w:space="0" w:color="auto"/>
            </w:tcBorders>
            <w:shd w:val="clear" w:color="auto" w:fill="FFFFFF" w:themeFill="background1"/>
            <w:tcMar>
              <w:left w:w="43" w:type="dxa"/>
            </w:tcMar>
            <w:hideMark/>
          </w:tcPr>
          <w:p w14:paraId="12DFDB18" w14:textId="77777777" w:rsidR="00432BEC" w:rsidRPr="00D22494" w:rsidRDefault="00432BEC" w:rsidP="00CE36A9">
            <w:pPr>
              <w:spacing w:before="0" w:after="0" w:line="240" w:lineRule="auto"/>
              <w:jc w:val="right"/>
              <w:rPr>
                <w:sz w:val="20"/>
                <w:szCs w:val="20"/>
              </w:rPr>
            </w:pPr>
            <w:r w:rsidRPr="00D22494">
              <w:rPr>
                <w:sz w:val="20"/>
                <w:szCs w:val="20"/>
              </w:rPr>
              <w:t>35.223</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30E4F20D" w14:textId="77777777" w:rsidR="00432BEC" w:rsidRPr="00D22494" w:rsidRDefault="00432BEC" w:rsidP="00CE36A9">
            <w:pPr>
              <w:spacing w:before="0" w:after="0" w:line="240" w:lineRule="auto"/>
              <w:jc w:val="right"/>
              <w:rPr>
                <w:sz w:val="20"/>
                <w:szCs w:val="20"/>
              </w:rPr>
            </w:pPr>
            <w:r w:rsidRPr="00D22494">
              <w:rPr>
                <w:sz w:val="20"/>
                <w:szCs w:val="20"/>
              </w:rPr>
              <w:t>16.464</w:t>
            </w:r>
          </w:p>
        </w:tc>
        <w:tc>
          <w:tcPr>
            <w:tcW w:w="1041" w:type="dxa"/>
            <w:tcBorders>
              <w:left w:val="double" w:sz="4" w:space="0" w:color="auto"/>
              <w:right w:val="single" w:sz="4" w:space="0" w:color="auto"/>
            </w:tcBorders>
            <w:shd w:val="clear" w:color="auto" w:fill="FFFFFF" w:themeFill="background1"/>
            <w:tcMar>
              <w:left w:w="43" w:type="dxa"/>
            </w:tcMar>
            <w:hideMark/>
          </w:tcPr>
          <w:p w14:paraId="5A269764" w14:textId="77777777" w:rsidR="00432BEC" w:rsidRPr="00D22494" w:rsidRDefault="00432BEC" w:rsidP="00CE36A9">
            <w:pPr>
              <w:spacing w:before="0" w:after="0" w:line="240" w:lineRule="auto"/>
              <w:jc w:val="right"/>
              <w:rPr>
                <w:sz w:val="20"/>
                <w:szCs w:val="20"/>
              </w:rPr>
            </w:pPr>
            <w:r w:rsidRPr="00D22494">
              <w:rPr>
                <w:sz w:val="20"/>
                <w:szCs w:val="20"/>
              </w:rPr>
              <w:t>42.932</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158AB9C9" w14:textId="77777777" w:rsidR="00432BEC" w:rsidRPr="00D22494" w:rsidRDefault="00432BEC" w:rsidP="00CE36A9">
            <w:pPr>
              <w:spacing w:before="0" w:after="0" w:line="240" w:lineRule="auto"/>
              <w:jc w:val="right"/>
              <w:rPr>
                <w:sz w:val="20"/>
                <w:szCs w:val="20"/>
              </w:rPr>
            </w:pPr>
            <w:r w:rsidRPr="00D22494">
              <w:rPr>
                <w:sz w:val="20"/>
                <w:szCs w:val="20"/>
              </w:rPr>
              <w:t>16.421</w:t>
            </w:r>
          </w:p>
        </w:tc>
        <w:tc>
          <w:tcPr>
            <w:tcW w:w="1080" w:type="dxa"/>
            <w:tcBorders>
              <w:left w:val="double" w:sz="4" w:space="0" w:color="auto"/>
              <w:right w:val="single" w:sz="4" w:space="0" w:color="auto"/>
            </w:tcBorders>
            <w:shd w:val="clear" w:color="auto" w:fill="FFFFFF" w:themeFill="background1"/>
            <w:tcMar>
              <w:left w:w="43" w:type="dxa"/>
            </w:tcMar>
            <w:hideMark/>
          </w:tcPr>
          <w:p w14:paraId="0606216D" w14:textId="77777777" w:rsidR="00432BEC" w:rsidRPr="00D22494" w:rsidRDefault="00432BEC" w:rsidP="00CE36A9">
            <w:pPr>
              <w:spacing w:before="0" w:after="0" w:line="240" w:lineRule="auto"/>
              <w:jc w:val="right"/>
              <w:rPr>
                <w:sz w:val="20"/>
                <w:szCs w:val="20"/>
              </w:rPr>
            </w:pPr>
            <w:r w:rsidRPr="00D22494">
              <w:rPr>
                <w:sz w:val="20"/>
                <w:szCs w:val="20"/>
              </w:rPr>
              <w:t>33.881</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343CF810" w14:textId="77777777" w:rsidR="00432BEC" w:rsidRPr="00D22494" w:rsidRDefault="00432BEC" w:rsidP="00CE36A9">
            <w:pPr>
              <w:spacing w:before="0" w:after="0" w:line="240" w:lineRule="auto"/>
              <w:jc w:val="right"/>
              <w:rPr>
                <w:sz w:val="20"/>
                <w:szCs w:val="20"/>
              </w:rPr>
            </w:pPr>
            <w:r w:rsidRPr="00D22494">
              <w:rPr>
                <w:sz w:val="20"/>
                <w:szCs w:val="20"/>
              </w:rPr>
              <w:t>16.101</w:t>
            </w:r>
          </w:p>
        </w:tc>
        <w:tc>
          <w:tcPr>
            <w:tcW w:w="3172" w:type="dxa"/>
            <w:tcBorders>
              <w:left w:val="double" w:sz="4" w:space="0" w:color="auto"/>
            </w:tcBorders>
            <w:shd w:val="clear" w:color="auto" w:fill="FFFFFF" w:themeFill="background1"/>
            <w:tcMar>
              <w:left w:w="43" w:type="dxa"/>
            </w:tcMar>
            <w:hideMark/>
          </w:tcPr>
          <w:p w14:paraId="220550C3" w14:textId="77777777" w:rsidR="00432BEC" w:rsidRPr="00D22494" w:rsidRDefault="00432BEC" w:rsidP="00CE36A9">
            <w:pPr>
              <w:spacing w:before="0" w:after="0" w:line="240" w:lineRule="auto"/>
              <w:jc w:val="left"/>
              <w:rPr>
                <w:sz w:val="20"/>
                <w:szCs w:val="20"/>
              </w:rPr>
            </w:pPr>
            <w:r w:rsidRPr="00D22494">
              <w:rPr>
                <w:sz w:val="20"/>
                <w:szCs w:val="20"/>
              </w:rPr>
              <w:t>SLD – 2019</w:t>
            </w:r>
          </w:p>
        </w:tc>
      </w:tr>
      <w:tr w:rsidR="00432BEC" w:rsidRPr="00D22494" w14:paraId="38BBC6C5"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05079C0F" w14:textId="77777777" w:rsidR="00432BEC" w:rsidRPr="00D22494" w:rsidRDefault="00432BEC" w:rsidP="0031086A">
            <w:pPr>
              <w:spacing w:before="0" w:after="0" w:line="240" w:lineRule="auto"/>
              <w:ind w:left="136"/>
              <w:jc w:val="left"/>
              <w:rPr>
                <w:sz w:val="20"/>
                <w:szCs w:val="20"/>
              </w:rPr>
            </w:pPr>
            <w:r w:rsidRPr="00D22494">
              <w:rPr>
                <w:sz w:val="20"/>
                <w:szCs w:val="20"/>
              </w:rPr>
              <w:t>% HH owning two or more vehicles</w:t>
            </w:r>
          </w:p>
        </w:tc>
        <w:tc>
          <w:tcPr>
            <w:tcW w:w="1085" w:type="dxa"/>
            <w:tcBorders>
              <w:left w:val="double" w:sz="4" w:space="0" w:color="auto"/>
              <w:right w:val="single" w:sz="4" w:space="0" w:color="auto"/>
            </w:tcBorders>
            <w:shd w:val="clear" w:color="auto" w:fill="FFFFFF" w:themeFill="background1"/>
            <w:tcMar>
              <w:left w:w="43" w:type="dxa"/>
            </w:tcMar>
            <w:hideMark/>
          </w:tcPr>
          <w:p w14:paraId="0FFA9736" w14:textId="77777777" w:rsidR="00432BEC" w:rsidRPr="00D22494" w:rsidRDefault="00432BEC" w:rsidP="00CE36A9">
            <w:pPr>
              <w:spacing w:before="0" w:after="0" w:line="240" w:lineRule="auto"/>
              <w:jc w:val="right"/>
              <w:rPr>
                <w:sz w:val="20"/>
                <w:szCs w:val="20"/>
              </w:rPr>
            </w:pPr>
            <w:r w:rsidRPr="00D22494">
              <w:rPr>
                <w:sz w:val="20"/>
                <w:szCs w:val="20"/>
              </w:rPr>
              <w:t>57.678</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1B87A918" w14:textId="77777777" w:rsidR="00432BEC" w:rsidRPr="00D22494" w:rsidRDefault="00432BEC" w:rsidP="00CE36A9">
            <w:pPr>
              <w:spacing w:before="0" w:after="0" w:line="240" w:lineRule="auto"/>
              <w:jc w:val="right"/>
              <w:rPr>
                <w:sz w:val="20"/>
                <w:szCs w:val="20"/>
              </w:rPr>
            </w:pPr>
            <w:r w:rsidRPr="00D22494">
              <w:rPr>
                <w:sz w:val="20"/>
                <w:szCs w:val="20"/>
              </w:rPr>
              <w:t>20.832</w:t>
            </w:r>
          </w:p>
        </w:tc>
        <w:tc>
          <w:tcPr>
            <w:tcW w:w="1041" w:type="dxa"/>
            <w:tcBorders>
              <w:left w:val="double" w:sz="4" w:space="0" w:color="auto"/>
              <w:right w:val="single" w:sz="4" w:space="0" w:color="auto"/>
            </w:tcBorders>
            <w:shd w:val="clear" w:color="auto" w:fill="FFFFFF" w:themeFill="background1"/>
            <w:tcMar>
              <w:left w:w="43" w:type="dxa"/>
            </w:tcMar>
            <w:hideMark/>
          </w:tcPr>
          <w:p w14:paraId="3E6EB338" w14:textId="77777777" w:rsidR="00432BEC" w:rsidRPr="00D22494" w:rsidRDefault="00432BEC" w:rsidP="00CE36A9">
            <w:pPr>
              <w:spacing w:before="0" w:after="0" w:line="240" w:lineRule="auto"/>
              <w:jc w:val="right"/>
              <w:rPr>
                <w:sz w:val="20"/>
                <w:szCs w:val="20"/>
              </w:rPr>
            </w:pPr>
            <w:r w:rsidRPr="00D22494">
              <w:rPr>
                <w:sz w:val="20"/>
                <w:szCs w:val="20"/>
              </w:rPr>
              <w:t>44.166</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37DE3958" w14:textId="77777777" w:rsidR="00432BEC" w:rsidRPr="00D22494" w:rsidRDefault="00432BEC" w:rsidP="00CE36A9">
            <w:pPr>
              <w:spacing w:before="0" w:after="0" w:line="240" w:lineRule="auto"/>
              <w:jc w:val="right"/>
              <w:rPr>
                <w:sz w:val="20"/>
                <w:szCs w:val="20"/>
              </w:rPr>
            </w:pPr>
            <w:r w:rsidRPr="00D22494">
              <w:rPr>
                <w:sz w:val="20"/>
                <w:szCs w:val="20"/>
              </w:rPr>
              <w:t>19.961</w:t>
            </w:r>
          </w:p>
        </w:tc>
        <w:tc>
          <w:tcPr>
            <w:tcW w:w="1080" w:type="dxa"/>
            <w:tcBorders>
              <w:left w:val="double" w:sz="4" w:space="0" w:color="auto"/>
              <w:right w:val="single" w:sz="4" w:space="0" w:color="auto"/>
            </w:tcBorders>
            <w:shd w:val="clear" w:color="auto" w:fill="FFFFFF" w:themeFill="background1"/>
            <w:tcMar>
              <w:left w:w="43" w:type="dxa"/>
            </w:tcMar>
            <w:hideMark/>
          </w:tcPr>
          <w:p w14:paraId="634AC22D" w14:textId="77777777" w:rsidR="00432BEC" w:rsidRPr="00D22494" w:rsidRDefault="00432BEC" w:rsidP="00CE36A9">
            <w:pPr>
              <w:spacing w:before="0" w:after="0" w:line="240" w:lineRule="auto"/>
              <w:jc w:val="right"/>
              <w:rPr>
                <w:sz w:val="20"/>
                <w:szCs w:val="20"/>
              </w:rPr>
            </w:pPr>
            <w:r w:rsidRPr="00D22494">
              <w:rPr>
                <w:sz w:val="20"/>
                <w:szCs w:val="20"/>
              </w:rPr>
              <w:t>60.030</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4608370D" w14:textId="77777777" w:rsidR="00432BEC" w:rsidRPr="00D22494" w:rsidRDefault="00432BEC" w:rsidP="00CE36A9">
            <w:pPr>
              <w:spacing w:before="0" w:after="0" w:line="240" w:lineRule="auto"/>
              <w:jc w:val="right"/>
              <w:rPr>
                <w:sz w:val="20"/>
                <w:szCs w:val="20"/>
              </w:rPr>
            </w:pPr>
            <w:r w:rsidRPr="00D22494">
              <w:rPr>
                <w:sz w:val="20"/>
                <w:szCs w:val="20"/>
              </w:rPr>
              <w:t>20.074</w:t>
            </w:r>
          </w:p>
        </w:tc>
        <w:tc>
          <w:tcPr>
            <w:tcW w:w="3172" w:type="dxa"/>
            <w:tcBorders>
              <w:left w:val="double" w:sz="4" w:space="0" w:color="auto"/>
            </w:tcBorders>
            <w:shd w:val="clear" w:color="auto" w:fill="FFFFFF" w:themeFill="background1"/>
            <w:tcMar>
              <w:left w:w="43" w:type="dxa"/>
            </w:tcMar>
            <w:hideMark/>
          </w:tcPr>
          <w:p w14:paraId="4434CD7B" w14:textId="77777777" w:rsidR="00432BEC" w:rsidRPr="00D22494" w:rsidRDefault="00432BEC" w:rsidP="00CE36A9">
            <w:pPr>
              <w:spacing w:before="0" w:after="0" w:line="240" w:lineRule="auto"/>
              <w:jc w:val="left"/>
              <w:rPr>
                <w:sz w:val="20"/>
                <w:szCs w:val="20"/>
              </w:rPr>
            </w:pPr>
            <w:r w:rsidRPr="00D22494">
              <w:rPr>
                <w:sz w:val="20"/>
                <w:szCs w:val="20"/>
              </w:rPr>
              <w:t>SLD – 2019</w:t>
            </w:r>
          </w:p>
        </w:tc>
      </w:tr>
      <w:tr w:rsidR="00432BEC" w:rsidRPr="00D22494" w14:paraId="760F4C62"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16C53A4D" w14:textId="77777777" w:rsidR="00432BEC" w:rsidRPr="00D22494" w:rsidRDefault="00432BEC" w:rsidP="0031086A">
            <w:pPr>
              <w:spacing w:before="0" w:after="0" w:line="240" w:lineRule="auto"/>
              <w:ind w:left="136"/>
              <w:jc w:val="left"/>
              <w:rPr>
                <w:sz w:val="20"/>
                <w:szCs w:val="20"/>
              </w:rPr>
            </w:pPr>
            <w:r w:rsidRPr="00D22494">
              <w:rPr>
                <w:sz w:val="20"/>
                <w:szCs w:val="20"/>
              </w:rPr>
              <w:t>% individuals commuting by car</w:t>
            </w:r>
          </w:p>
        </w:tc>
        <w:tc>
          <w:tcPr>
            <w:tcW w:w="1085" w:type="dxa"/>
            <w:tcBorders>
              <w:left w:val="double" w:sz="4" w:space="0" w:color="auto"/>
              <w:right w:val="single" w:sz="4" w:space="0" w:color="auto"/>
            </w:tcBorders>
            <w:shd w:val="clear" w:color="auto" w:fill="FFFFFF" w:themeFill="background1"/>
            <w:tcMar>
              <w:left w:w="43" w:type="dxa"/>
            </w:tcMar>
            <w:hideMark/>
          </w:tcPr>
          <w:p w14:paraId="275A616F" w14:textId="77777777" w:rsidR="00432BEC" w:rsidRPr="00D22494" w:rsidRDefault="00432BEC" w:rsidP="00CE36A9">
            <w:pPr>
              <w:spacing w:before="0" w:after="0" w:line="240" w:lineRule="auto"/>
              <w:jc w:val="right"/>
              <w:rPr>
                <w:sz w:val="20"/>
                <w:szCs w:val="20"/>
              </w:rPr>
            </w:pPr>
            <w:r w:rsidRPr="00D22494">
              <w:rPr>
                <w:sz w:val="20"/>
                <w:szCs w:val="20"/>
              </w:rPr>
              <w:t>89.824</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5158A169" w14:textId="77777777" w:rsidR="00432BEC" w:rsidRPr="00D22494" w:rsidRDefault="00432BEC" w:rsidP="00CE36A9">
            <w:pPr>
              <w:spacing w:before="0" w:after="0" w:line="240" w:lineRule="auto"/>
              <w:jc w:val="right"/>
              <w:rPr>
                <w:sz w:val="20"/>
                <w:szCs w:val="20"/>
              </w:rPr>
            </w:pPr>
            <w:r w:rsidRPr="00D22494">
              <w:rPr>
                <w:sz w:val="20"/>
                <w:szCs w:val="20"/>
              </w:rPr>
              <w:t>9.106</w:t>
            </w:r>
          </w:p>
        </w:tc>
        <w:tc>
          <w:tcPr>
            <w:tcW w:w="1041" w:type="dxa"/>
            <w:tcBorders>
              <w:left w:val="double" w:sz="4" w:space="0" w:color="auto"/>
              <w:right w:val="single" w:sz="4" w:space="0" w:color="auto"/>
            </w:tcBorders>
            <w:shd w:val="clear" w:color="auto" w:fill="FFFFFF" w:themeFill="background1"/>
            <w:tcMar>
              <w:left w:w="43" w:type="dxa"/>
            </w:tcMar>
            <w:hideMark/>
          </w:tcPr>
          <w:p w14:paraId="50351AED" w14:textId="77777777" w:rsidR="00432BEC" w:rsidRPr="00D22494" w:rsidRDefault="00432BEC" w:rsidP="00CE36A9">
            <w:pPr>
              <w:spacing w:before="0" w:after="0" w:line="240" w:lineRule="auto"/>
              <w:jc w:val="right"/>
              <w:rPr>
                <w:sz w:val="20"/>
                <w:szCs w:val="20"/>
              </w:rPr>
            </w:pPr>
            <w:r w:rsidRPr="00D22494">
              <w:rPr>
                <w:sz w:val="20"/>
                <w:szCs w:val="20"/>
              </w:rPr>
              <w:t>88.411</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2056D183" w14:textId="77777777" w:rsidR="00432BEC" w:rsidRPr="00D22494" w:rsidRDefault="00432BEC" w:rsidP="00CE36A9">
            <w:pPr>
              <w:spacing w:before="0" w:after="0" w:line="240" w:lineRule="auto"/>
              <w:jc w:val="right"/>
              <w:rPr>
                <w:sz w:val="20"/>
                <w:szCs w:val="20"/>
              </w:rPr>
            </w:pPr>
            <w:r w:rsidRPr="00D22494">
              <w:rPr>
                <w:sz w:val="20"/>
                <w:szCs w:val="20"/>
              </w:rPr>
              <w:t>11.151</w:t>
            </w:r>
          </w:p>
        </w:tc>
        <w:tc>
          <w:tcPr>
            <w:tcW w:w="1080" w:type="dxa"/>
            <w:tcBorders>
              <w:left w:val="double" w:sz="4" w:space="0" w:color="auto"/>
              <w:right w:val="single" w:sz="4" w:space="0" w:color="auto"/>
            </w:tcBorders>
            <w:shd w:val="clear" w:color="auto" w:fill="FFFFFF" w:themeFill="background1"/>
            <w:tcMar>
              <w:left w:w="43" w:type="dxa"/>
            </w:tcMar>
            <w:hideMark/>
          </w:tcPr>
          <w:p w14:paraId="3DB05925" w14:textId="77777777" w:rsidR="00432BEC" w:rsidRPr="00D22494" w:rsidRDefault="00432BEC" w:rsidP="00CE36A9">
            <w:pPr>
              <w:spacing w:before="0" w:after="0" w:line="240" w:lineRule="auto"/>
              <w:jc w:val="right"/>
              <w:rPr>
                <w:sz w:val="20"/>
                <w:szCs w:val="20"/>
              </w:rPr>
            </w:pPr>
            <w:r w:rsidRPr="00D22494">
              <w:rPr>
                <w:sz w:val="20"/>
                <w:szCs w:val="20"/>
              </w:rPr>
              <w:t>90.070</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3158B004" w14:textId="77777777" w:rsidR="00432BEC" w:rsidRPr="00D22494" w:rsidRDefault="00432BEC" w:rsidP="00CE36A9">
            <w:pPr>
              <w:spacing w:before="0" w:after="0" w:line="240" w:lineRule="auto"/>
              <w:jc w:val="right"/>
              <w:rPr>
                <w:sz w:val="20"/>
                <w:szCs w:val="20"/>
              </w:rPr>
            </w:pPr>
            <w:r w:rsidRPr="00D22494">
              <w:rPr>
                <w:sz w:val="20"/>
                <w:szCs w:val="20"/>
              </w:rPr>
              <w:t>8.680</w:t>
            </w:r>
          </w:p>
        </w:tc>
        <w:tc>
          <w:tcPr>
            <w:tcW w:w="3172" w:type="dxa"/>
            <w:tcBorders>
              <w:left w:val="double" w:sz="4" w:space="0" w:color="auto"/>
            </w:tcBorders>
            <w:shd w:val="clear" w:color="auto" w:fill="FFFFFF" w:themeFill="background1"/>
            <w:tcMar>
              <w:left w:w="43" w:type="dxa"/>
            </w:tcMar>
            <w:hideMark/>
          </w:tcPr>
          <w:p w14:paraId="32655F8C" w14:textId="77777777" w:rsidR="00432BEC" w:rsidRPr="00D22494" w:rsidRDefault="00432BEC" w:rsidP="00CE36A9">
            <w:pPr>
              <w:spacing w:before="0" w:after="0" w:line="240" w:lineRule="auto"/>
              <w:jc w:val="left"/>
              <w:rPr>
                <w:sz w:val="20"/>
                <w:szCs w:val="20"/>
              </w:rPr>
            </w:pPr>
            <w:r w:rsidRPr="00D22494">
              <w:rPr>
                <w:sz w:val="20"/>
                <w:szCs w:val="20"/>
              </w:rPr>
              <w:t>U.S. Census Bureau – 2010</w:t>
            </w:r>
          </w:p>
        </w:tc>
      </w:tr>
      <w:tr w:rsidR="00432BEC" w:rsidRPr="00D22494" w14:paraId="7A098036"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43F2333A" w14:textId="77777777" w:rsidR="00432BEC" w:rsidRPr="00D22494" w:rsidRDefault="00432BEC" w:rsidP="0031086A">
            <w:pPr>
              <w:spacing w:before="0" w:after="0" w:line="240" w:lineRule="auto"/>
              <w:ind w:left="136"/>
              <w:jc w:val="left"/>
              <w:rPr>
                <w:sz w:val="20"/>
                <w:szCs w:val="20"/>
              </w:rPr>
            </w:pPr>
            <w:r w:rsidRPr="00D22494">
              <w:rPr>
                <w:sz w:val="20"/>
                <w:szCs w:val="20"/>
              </w:rPr>
              <w:t>% individuals commuting by public transit</w:t>
            </w:r>
          </w:p>
        </w:tc>
        <w:tc>
          <w:tcPr>
            <w:tcW w:w="1085" w:type="dxa"/>
            <w:tcBorders>
              <w:left w:val="double" w:sz="4" w:space="0" w:color="auto"/>
              <w:right w:val="single" w:sz="4" w:space="0" w:color="auto"/>
            </w:tcBorders>
            <w:shd w:val="clear" w:color="auto" w:fill="FFFFFF" w:themeFill="background1"/>
            <w:tcMar>
              <w:left w:w="43" w:type="dxa"/>
            </w:tcMar>
            <w:hideMark/>
          </w:tcPr>
          <w:p w14:paraId="3DA41A01" w14:textId="77777777" w:rsidR="00432BEC" w:rsidRPr="00D22494" w:rsidRDefault="00432BEC" w:rsidP="00CE36A9">
            <w:pPr>
              <w:spacing w:before="0" w:after="0" w:line="240" w:lineRule="auto"/>
              <w:jc w:val="right"/>
              <w:rPr>
                <w:sz w:val="20"/>
                <w:szCs w:val="20"/>
              </w:rPr>
            </w:pPr>
            <w:r w:rsidRPr="00D22494">
              <w:rPr>
                <w:sz w:val="20"/>
                <w:szCs w:val="20"/>
              </w:rPr>
              <w:t>2.296</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5B865B59" w14:textId="77777777" w:rsidR="00432BEC" w:rsidRPr="00D22494" w:rsidRDefault="00432BEC" w:rsidP="00CE36A9">
            <w:pPr>
              <w:spacing w:before="0" w:after="0" w:line="240" w:lineRule="auto"/>
              <w:jc w:val="right"/>
              <w:rPr>
                <w:sz w:val="20"/>
                <w:szCs w:val="20"/>
              </w:rPr>
            </w:pPr>
            <w:r w:rsidRPr="00D22494">
              <w:rPr>
                <w:sz w:val="20"/>
                <w:szCs w:val="20"/>
              </w:rPr>
              <w:t>4.225</w:t>
            </w:r>
          </w:p>
        </w:tc>
        <w:tc>
          <w:tcPr>
            <w:tcW w:w="1041" w:type="dxa"/>
            <w:tcBorders>
              <w:left w:val="double" w:sz="4" w:space="0" w:color="auto"/>
              <w:right w:val="single" w:sz="4" w:space="0" w:color="auto"/>
            </w:tcBorders>
            <w:shd w:val="clear" w:color="auto" w:fill="FFFFFF" w:themeFill="background1"/>
            <w:tcMar>
              <w:left w:w="43" w:type="dxa"/>
            </w:tcMar>
            <w:hideMark/>
          </w:tcPr>
          <w:p w14:paraId="4C6B4E02" w14:textId="77777777" w:rsidR="00432BEC" w:rsidRPr="00D22494" w:rsidRDefault="00432BEC" w:rsidP="00CE36A9">
            <w:pPr>
              <w:spacing w:before="0" w:after="0" w:line="240" w:lineRule="auto"/>
              <w:jc w:val="right"/>
              <w:rPr>
                <w:sz w:val="20"/>
                <w:szCs w:val="20"/>
              </w:rPr>
            </w:pPr>
            <w:r w:rsidRPr="00D22494">
              <w:rPr>
                <w:sz w:val="20"/>
                <w:szCs w:val="20"/>
              </w:rPr>
              <w:t>4.557</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4B9C730D" w14:textId="77777777" w:rsidR="00432BEC" w:rsidRPr="00D22494" w:rsidRDefault="00432BEC" w:rsidP="00CE36A9">
            <w:pPr>
              <w:spacing w:before="0" w:after="0" w:line="240" w:lineRule="auto"/>
              <w:jc w:val="right"/>
              <w:rPr>
                <w:sz w:val="20"/>
                <w:szCs w:val="20"/>
              </w:rPr>
            </w:pPr>
            <w:r w:rsidRPr="00D22494">
              <w:rPr>
                <w:sz w:val="20"/>
                <w:szCs w:val="20"/>
              </w:rPr>
              <w:t>6.991</w:t>
            </w:r>
          </w:p>
        </w:tc>
        <w:tc>
          <w:tcPr>
            <w:tcW w:w="1080" w:type="dxa"/>
            <w:tcBorders>
              <w:left w:val="double" w:sz="4" w:space="0" w:color="auto"/>
              <w:right w:val="single" w:sz="4" w:space="0" w:color="auto"/>
            </w:tcBorders>
            <w:shd w:val="clear" w:color="auto" w:fill="FFFFFF" w:themeFill="background1"/>
            <w:tcMar>
              <w:left w:w="43" w:type="dxa"/>
            </w:tcMar>
            <w:hideMark/>
          </w:tcPr>
          <w:p w14:paraId="4BF688C6" w14:textId="77777777" w:rsidR="00432BEC" w:rsidRPr="00D22494" w:rsidRDefault="00432BEC" w:rsidP="00CE36A9">
            <w:pPr>
              <w:spacing w:before="0" w:after="0" w:line="240" w:lineRule="auto"/>
              <w:jc w:val="right"/>
              <w:rPr>
                <w:sz w:val="20"/>
                <w:szCs w:val="20"/>
              </w:rPr>
            </w:pPr>
            <w:r w:rsidRPr="00D22494">
              <w:rPr>
                <w:sz w:val="20"/>
                <w:szCs w:val="20"/>
              </w:rPr>
              <w:t>1.903</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4BE9DF9B" w14:textId="77777777" w:rsidR="00432BEC" w:rsidRPr="00D22494" w:rsidRDefault="00432BEC" w:rsidP="00CE36A9">
            <w:pPr>
              <w:spacing w:before="0" w:after="0" w:line="240" w:lineRule="auto"/>
              <w:jc w:val="right"/>
              <w:rPr>
                <w:sz w:val="20"/>
                <w:szCs w:val="20"/>
              </w:rPr>
            </w:pPr>
            <w:r w:rsidRPr="00D22494">
              <w:rPr>
                <w:sz w:val="20"/>
                <w:szCs w:val="20"/>
              </w:rPr>
              <w:t>3.699</w:t>
            </w:r>
          </w:p>
        </w:tc>
        <w:tc>
          <w:tcPr>
            <w:tcW w:w="3172" w:type="dxa"/>
            <w:tcBorders>
              <w:left w:val="double" w:sz="4" w:space="0" w:color="auto"/>
            </w:tcBorders>
            <w:shd w:val="clear" w:color="auto" w:fill="FFFFFF" w:themeFill="background1"/>
            <w:tcMar>
              <w:left w:w="43" w:type="dxa"/>
            </w:tcMar>
            <w:hideMark/>
          </w:tcPr>
          <w:p w14:paraId="663428AE" w14:textId="77777777" w:rsidR="00432BEC" w:rsidRPr="00D22494" w:rsidRDefault="00432BEC" w:rsidP="00CE36A9">
            <w:pPr>
              <w:spacing w:before="0" w:after="0" w:line="240" w:lineRule="auto"/>
              <w:jc w:val="left"/>
              <w:rPr>
                <w:sz w:val="20"/>
                <w:szCs w:val="20"/>
              </w:rPr>
            </w:pPr>
            <w:r w:rsidRPr="00D22494">
              <w:rPr>
                <w:sz w:val="20"/>
                <w:szCs w:val="20"/>
              </w:rPr>
              <w:t>U.S. Census Bureau – 2010</w:t>
            </w:r>
          </w:p>
        </w:tc>
      </w:tr>
      <w:tr w:rsidR="00432BEC" w:rsidRPr="00D22494" w14:paraId="4288E3C8" w14:textId="77777777" w:rsidTr="009D545F">
        <w:trPr>
          <w:trHeight w:val="20"/>
        </w:trPr>
        <w:tc>
          <w:tcPr>
            <w:tcW w:w="3775" w:type="dxa"/>
            <w:tcBorders>
              <w:top w:val="nil"/>
              <w:bottom w:val="single" w:sz="4" w:space="0" w:color="auto"/>
              <w:right w:val="double" w:sz="4" w:space="0" w:color="auto"/>
            </w:tcBorders>
            <w:shd w:val="clear" w:color="auto" w:fill="FFFFFF" w:themeFill="background1"/>
            <w:tcMar>
              <w:left w:w="43" w:type="dxa"/>
            </w:tcMar>
            <w:hideMark/>
          </w:tcPr>
          <w:p w14:paraId="59889220" w14:textId="77777777" w:rsidR="00432BEC" w:rsidRPr="00D22494" w:rsidRDefault="00432BEC" w:rsidP="0031086A">
            <w:pPr>
              <w:spacing w:before="0" w:after="0" w:line="240" w:lineRule="auto"/>
              <w:ind w:left="136"/>
              <w:jc w:val="left"/>
              <w:rPr>
                <w:sz w:val="20"/>
                <w:szCs w:val="20"/>
              </w:rPr>
            </w:pPr>
            <w:r w:rsidRPr="00D22494">
              <w:rPr>
                <w:sz w:val="20"/>
                <w:szCs w:val="20"/>
              </w:rPr>
              <w:t>% individuals commuting by walking</w:t>
            </w:r>
          </w:p>
        </w:tc>
        <w:tc>
          <w:tcPr>
            <w:tcW w:w="1085"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675AAEDD" w14:textId="77777777" w:rsidR="00432BEC" w:rsidRPr="00D22494" w:rsidRDefault="00432BEC" w:rsidP="00CE36A9">
            <w:pPr>
              <w:spacing w:before="0" w:after="0" w:line="240" w:lineRule="auto"/>
              <w:jc w:val="right"/>
              <w:rPr>
                <w:sz w:val="20"/>
                <w:szCs w:val="20"/>
              </w:rPr>
            </w:pPr>
            <w:r w:rsidRPr="00D22494">
              <w:rPr>
                <w:sz w:val="20"/>
                <w:szCs w:val="20"/>
              </w:rPr>
              <w:t>1.672</w:t>
            </w:r>
          </w:p>
        </w:tc>
        <w:tc>
          <w:tcPr>
            <w:tcW w:w="1063"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1CF33AF0" w14:textId="77777777" w:rsidR="00432BEC" w:rsidRPr="00D22494" w:rsidRDefault="00432BEC" w:rsidP="00CE36A9">
            <w:pPr>
              <w:spacing w:before="0" w:after="0" w:line="240" w:lineRule="auto"/>
              <w:jc w:val="right"/>
              <w:rPr>
                <w:sz w:val="20"/>
                <w:szCs w:val="20"/>
              </w:rPr>
            </w:pPr>
            <w:r w:rsidRPr="00D22494">
              <w:rPr>
                <w:sz w:val="20"/>
                <w:szCs w:val="20"/>
              </w:rPr>
              <w:t>4.525</w:t>
            </w:r>
          </w:p>
        </w:tc>
        <w:tc>
          <w:tcPr>
            <w:tcW w:w="1041"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3A28DD2F" w14:textId="77777777" w:rsidR="00432BEC" w:rsidRPr="00D22494" w:rsidRDefault="00432BEC" w:rsidP="00CE36A9">
            <w:pPr>
              <w:spacing w:before="0" w:after="0" w:line="240" w:lineRule="auto"/>
              <w:jc w:val="right"/>
              <w:rPr>
                <w:sz w:val="20"/>
                <w:szCs w:val="20"/>
              </w:rPr>
            </w:pPr>
            <w:r w:rsidRPr="00D22494">
              <w:rPr>
                <w:sz w:val="20"/>
                <w:szCs w:val="20"/>
              </w:rPr>
              <w:t>1.886</w:t>
            </w:r>
          </w:p>
        </w:tc>
        <w:tc>
          <w:tcPr>
            <w:tcW w:w="1019"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4CBA1F4D" w14:textId="77777777" w:rsidR="00432BEC" w:rsidRPr="00D22494" w:rsidRDefault="00432BEC" w:rsidP="00CE36A9">
            <w:pPr>
              <w:spacing w:before="0" w:after="0" w:line="240" w:lineRule="auto"/>
              <w:jc w:val="right"/>
              <w:rPr>
                <w:sz w:val="20"/>
                <w:szCs w:val="20"/>
              </w:rPr>
            </w:pPr>
            <w:r w:rsidRPr="00D22494">
              <w:rPr>
                <w:sz w:val="20"/>
                <w:szCs w:val="20"/>
              </w:rPr>
              <w:t>6.234</w:t>
            </w:r>
          </w:p>
        </w:tc>
        <w:tc>
          <w:tcPr>
            <w:tcW w:w="1080"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1B4FB4E7" w14:textId="77777777" w:rsidR="00432BEC" w:rsidRPr="00D22494" w:rsidRDefault="00432BEC" w:rsidP="00CE36A9">
            <w:pPr>
              <w:spacing w:before="0" w:after="0" w:line="240" w:lineRule="auto"/>
              <w:jc w:val="right"/>
              <w:rPr>
                <w:sz w:val="20"/>
                <w:szCs w:val="20"/>
              </w:rPr>
            </w:pPr>
            <w:r w:rsidRPr="00D22494">
              <w:rPr>
                <w:sz w:val="20"/>
                <w:szCs w:val="20"/>
              </w:rPr>
              <w:t>1.634</w:t>
            </w:r>
          </w:p>
        </w:tc>
        <w:tc>
          <w:tcPr>
            <w:tcW w:w="990"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5BDBB2EB" w14:textId="77777777" w:rsidR="00432BEC" w:rsidRPr="00D22494" w:rsidRDefault="00432BEC" w:rsidP="00CE36A9">
            <w:pPr>
              <w:spacing w:before="0" w:after="0" w:line="240" w:lineRule="auto"/>
              <w:jc w:val="right"/>
              <w:rPr>
                <w:sz w:val="20"/>
                <w:szCs w:val="20"/>
              </w:rPr>
            </w:pPr>
            <w:r w:rsidRPr="00D22494">
              <w:rPr>
                <w:sz w:val="20"/>
                <w:szCs w:val="20"/>
              </w:rPr>
              <w:t>4.157</w:t>
            </w:r>
          </w:p>
        </w:tc>
        <w:tc>
          <w:tcPr>
            <w:tcW w:w="3172" w:type="dxa"/>
            <w:tcBorders>
              <w:left w:val="double" w:sz="4" w:space="0" w:color="auto"/>
              <w:bottom w:val="single" w:sz="4" w:space="0" w:color="auto"/>
            </w:tcBorders>
            <w:shd w:val="clear" w:color="auto" w:fill="FFFFFF" w:themeFill="background1"/>
            <w:tcMar>
              <w:left w:w="43" w:type="dxa"/>
            </w:tcMar>
            <w:hideMark/>
          </w:tcPr>
          <w:p w14:paraId="166BD9A2" w14:textId="77777777" w:rsidR="00432BEC" w:rsidRPr="00D22494" w:rsidRDefault="00432BEC" w:rsidP="00CE36A9">
            <w:pPr>
              <w:spacing w:before="0" w:after="0" w:line="240" w:lineRule="auto"/>
              <w:jc w:val="left"/>
              <w:rPr>
                <w:sz w:val="20"/>
                <w:szCs w:val="20"/>
              </w:rPr>
            </w:pPr>
            <w:r w:rsidRPr="00D22494">
              <w:rPr>
                <w:sz w:val="20"/>
                <w:szCs w:val="20"/>
              </w:rPr>
              <w:t>U.S. Census Bureau – 2010</w:t>
            </w:r>
          </w:p>
        </w:tc>
      </w:tr>
      <w:tr w:rsidR="00432BEC" w:rsidRPr="00D22494" w14:paraId="352735F0" w14:textId="77777777" w:rsidTr="009D545F">
        <w:trPr>
          <w:trHeight w:val="20"/>
        </w:trPr>
        <w:tc>
          <w:tcPr>
            <w:tcW w:w="3775" w:type="dxa"/>
            <w:tcBorders>
              <w:top w:val="single" w:sz="4" w:space="0" w:color="auto"/>
              <w:bottom w:val="nil"/>
              <w:right w:val="double" w:sz="4" w:space="0" w:color="auto"/>
            </w:tcBorders>
            <w:shd w:val="clear" w:color="auto" w:fill="FFFFFF" w:themeFill="background1"/>
            <w:tcMar>
              <w:left w:w="43" w:type="dxa"/>
            </w:tcMar>
          </w:tcPr>
          <w:p w14:paraId="189757E2" w14:textId="77777777" w:rsidR="00432BEC" w:rsidRPr="00D22494" w:rsidRDefault="00432BEC" w:rsidP="00CE36A9">
            <w:pPr>
              <w:spacing w:before="0" w:after="0" w:line="240" w:lineRule="auto"/>
              <w:jc w:val="left"/>
              <w:rPr>
                <w:sz w:val="20"/>
                <w:szCs w:val="20"/>
              </w:rPr>
            </w:pPr>
            <w:r w:rsidRPr="00D22494">
              <w:rPr>
                <w:b/>
                <w:bCs/>
                <w:sz w:val="20"/>
                <w:szCs w:val="20"/>
              </w:rPr>
              <w:t>Cultural</w:t>
            </w:r>
          </w:p>
        </w:tc>
        <w:tc>
          <w:tcPr>
            <w:tcW w:w="1085"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011345FB" w14:textId="77777777" w:rsidR="00432BEC" w:rsidRPr="00D22494" w:rsidRDefault="00432BEC" w:rsidP="00CE36A9">
            <w:pPr>
              <w:spacing w:before="0" w:after="0" w:line="240" w:lineRule="auto"/>
              <w:jc w:val="right"/>
              <w:rPr>
                <w:sz w:val="20"/>
                <w:szCs w:val="20"/>
              </w:rPr>
            </w:pPr>
          </w:p>
        </w:tc>
        <w:tc>
          <w:tcPr>
            <w:tcW w:w="1063"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5B706F98" w14:textId="77777777" w:rsidR="00432BEC" w:rsidRPr="00D22494" w:rsidRDefault="00432BEC" w:rsidP="00CE36A9">
            <w:pPr>
              <w:spacing w:before="0" w:after="0" w:line="240" w:lineRule="auto"/>
              <w:jc w:val="right"/>
              <w:rPr>
                <w:sz w:val="20"/>
                <w:szCs w:val="20"/>
              </w:rPr>
            </w:pPr>
          </w:p>
        </w:tc>
        <w:tc>
          <w:tcPr>
            <w:tcW w:w="1041"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03760A04" w14:textId="77777777" w:rsidR="00432BEC" w:rsidRPr="00D22494" w:rsidRDefault="00432BEC" w:rsidP="00CE36A9">
            <w:pPr>
              <w:spacing w:before="0" w:after="0" w:line="240" w:lineRule="auto"/>
              <w:jc w:val="right"/>
              <w:rPr>
                <w:sz w:val="20"/>
                <w:szCs w:val="20"/>
              </w:rPr>
            </w:pPr>
          </w:p>
        </w:tc>
        <w:tc>
          <w:tcPr>
            <w:tcW w:w="1019"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626AFAB1" w14:textId="77777777" w:rsidR="00432BEC" w:rsidRPr="00D22494" w:rsidRDefault="00432BEC" w:rsidP="00CE36A9">
            <w:pPr>
              <w:spacing w:before="0" w:after="0" w:line="240" w:lineRule="auto"/>
              <w:jc w:val="right"/>
              <w:rPr>
                <w:sz w:val="20"/>
                <w:szCs w:val="20"/>
              </w:rPr>
            </w:pPr>
          </w:p>
        </w:tc>
        <w:tc>
          <w:tcPr>
            <w:tcW w:w="1080"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3D203DD4" w14:textId="77777777" w:rsidR="00432BEC" w:rsidRPr="00D22494" w:rsidRDefault="00432BEC" w:rsidP="00CE36A9">
            <w:pPr>
              <w:spacing w:before="0" w:after="0" w:line="240" w:lineRule="auto"/>
              <w:jc w:val="right"/>
              <w:rPr>
                <w:sz w:val="20"/>
                <w:szCs w:val="20"/>
              </w:rPr>
            </w:pPr>
          </w:p>
        </w:tc>
        <w:tc>
          <w:tcPr>
            <w:tcW w:w="990"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18F0CC94" w14:textId="77777777" w:rsidR="00432BEC" w:rsidRPr="00D22494" w:rsidRDefault="00432BEC" w:rsidP="00CE36A9">
            <w:pPr>
              <w:spacing w:before="0" w:after="0" w:line="240" w:lineRule="auto"/>
              <w:jc w:val="right"/>
              <w:rPr>
                <w:sz w:val="20"/>
                <w:szCs w:val="20"/>
              </w:rPr>
            </w:pPr>
          </w:p>
        </w:tc>
        <w:tc>
          <w:tcPr>
            <w:tcW w:w="3172" w:type="dxa"/>
            <w:tcBorders>
              <w:top w:val="single" w:sz="4" w:space="0" w:color="auto"/>
              <w:left w:val="double" w:sz="4" w:space="0" w:color="auto"/>
              <w:bottom w:val="nil"/>
            </w:tcBorders>
            <w:shd w:val="clear" w:color="auto" w:fill="FFFFFF" w:themeFill="background1"/>
            <w:tcMar>
              <w:left w:w="43" w:type="dxa"/>
            </w:tcMar>
          </w:tcPr>
          <w:p w14:paraId="68E50615" w14:textId="77777777" w:rsidR="00432BEC" w:rsidRPr="00D22494" w:rsidRDefault="00432BEC" w:rsidP="00CE36A9">
            <w:pPr>
              <w:spacing w:before="0" w:after="0" w:line="240" w:lineRule="auto"/>
              <w:jc w:val="left"/>
              <w:rPr>
                <w:sz w:val="20"/>
                <w:szCs w:val="20"/>
              </w:rPr>
            </w:pPr>
          </w:p>
        </w:tc>
      </w:tr>
      <w:tr w:rsidR="00432BEC" w:rsidRPr="00D22494" w14:paraId="47D24CE6"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3C4CF7A7" w14:textId="497A8DDE" w:rsidR="00432BEC" w:rsidRPr="00D22494" w:rsidRDefault="00432BEC" w:rsidP="0031086A">
            <w:pPr>
              <w:spacing w:before="0" w:after="0" w:line="240" w:lineRule="auto"/>
              <w:ind w:left="136"/>
              <w:jc w:val="left"/>
              <w:rPr>
                <w:sz w:val="20"/>
                <w:szCs w:val="20"/>
              </w:rPr>
            </w:pPr>
            <w:r w:rsidRPr="00D22494">
              <w:rPr>
                <w:sz w:val="20"/>
                <w:szCs w:val="20"/>
              </w:rPr>
              <w:t xml:space="preserve">% population with </w:t>
            </w:r>
            <w:r w:rsidR="00F20D8F">
              <w:rPr>
                <w:sz w:val="20"/>
                <w:szCs w:val="20"/>
              </w:rPr>
              <w:t>less than a</w:t>
            </w:r>
            <w:r w:rsidRPr="00D22494">
              <w:rPr>
                <w:sz w:val="20"/>
                <w:szCs w:val="20"/>
              </w:rPr>
              <w:t xml:space="preserve"> high school diploma</w:t>
            </w:r>
          </w:p>
        </w:tc>
        <w:tc>
          <w:tcPr>
            <w:tcW w:w="1085" w:type="dxa"/>
            <w:tcBorders>
              <w:top w:val="nil"/>
              <w:left w:val="double" w:sz="4" w:space="0" w:color="auto"/>
              <w:right w:val="single" w:sz="4" w:space="0" w:color="auto"/>
            </w:tcBorders>
            <w:shd w:val="clear" w:color="auto" w:fill="FFFFFF" w:themeFill="background1"/>
            <w:tcMar>
              <w:left w:w="43" w:type="dxa"/>
            </w:tcMar>
            <w:hideMark/>
          </w:tcPr>
          <w:p w14:paraId="6FC595BC" w14:textId="77777777" w:rsidR="00432BEC" w:rsidRPr="00D22494" w:rsidRDefault="00432BEC" w:rsidP="00CE36A9">
            <w:pPr>
              <w:spacing w:before="0" w:after="0" w:line="240" w:lineRule="auto"/>
              <w:jc w:val="right"/>
              <w:rPr>
                <w:sz w:val="20"/>
                <w:szCs w:val="20"/>
              </w:rPr>
            </w:pPr>
            <w:r w:rsidRPr="00D22494">
              <w:rPr>
                <w:sz w:val="20"/>
                <w:szCs w:val="20"/>
              </w:rPr>
              <w:t>19.170</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0A0E45DC" w14:textId="77777777" w:rsidR="00432BEC" w:rsidRPr="00D22494" w:rsidRDefault="00432BEC" w:rsidP="00CE36A9">
            <w:pPr>
              <w:spacing w:before="0" w:after="0" w:line="240" w:lineRule="auto"/>
              <w:jc w:val="right"/>
              <w:rPr>
                <w:sz w:val="20"/>
                <w:szCs w:val="20"/>
              </w:rPr>
            </w:pPr>
            <w:r w:rsidRPr="00D22494">
              <w:rPr>
                <w:sz w:val="20"/>
                <w:szCs w:val="20"/>
              </w:rPr>
              <w:t>16.645</w:t>
            </w:r>
          </w:p>
        </w:tc>
        <w:tc>
          <w:tcPr>
            <w:tcW w:w="1041" w:type="dxa"/>
            <w:tcBorders>
              <w:top w:val="nil"/>
              <w:left w:val="double" w:sz="4" w:space="0" w:color="auto"/>
              <w:right w:val="single" w:sz="4" w:space="0" w:color="auto"/>
            </w:tcBorders>
            <w:shd w:val="clear" w:color="auto" w:fill="FFFFFF" w:themeFill="background1"/>
            <w:tcMar>
              <w:left w:w="43" w:type="dxa"/>
            </w:tcMar>
            <w:hideMark/>
          </w:tcPr>
          <w:p w14:paraId="609AC670" w14:textId="77777777" w:rsidR="00432BEC" w:rsidRPr="00D22494" w:rsidRDefault="00432BEC" w:rsidP="00CE36A9">
            <w:pPr>
              <w:spacing w:before="0" w:after="0" w:line="240" w:lineRule="auto"/>
              <w:jc w:val="right"/>
              <w:rPr>
                <w:sz w:val="20"/>
                <w:szCs w:val="20"/>
              </w:rPr>
            </w:pPr>
            <w:r w:rsidRPr="00D22494">
              <w:rPr>
                <w:sz w:val="20"/>
                <w:szCs w:val="20"/>
              </w:rPr>
              <w:t>17.945</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2CBB9566" w14:textId="77777777" w:rsidR="00432BEC" w:rsidRPr="00D22494" w:rsidRDefault="00432BEC" w:rsidP="00CE36A9">
            <w:pPr>
              <w:spacing w:before="0" w:after="0" w:line="240" w:lineRule="auto"/>
              <w:jc w:val="right"/>
              <w:rPr>
                <w:sz w:val="20"/>
                <w:szCs w:val="20"/>
              </w:rPr>
            </w:pPr>
            <w:r w:rsidRPr="00D22494">
              <w:rPr>
                <w:sz w:val="20"/>
                <w:szCs w:val="20"/>
              </w:rPr>
              <w:t>10.521</w:t>
            </w:r>
          </w:p>
        </w:tc>
        <w:tc>
          <w:tcPr>
            <w:tcW w:w="1080" w:type="dxa"/>
            <w:tcBorders>
              <w:top w:val="nil"/>
              <w:left w:val="double" w:sz="4" w:space="0" w:color="auto"/>
              <w:right w:val="single" w:sz="4" w:space="0" w:color="auto"/>
            </w:tcBorders>
            <w:shd w:val="clear" w:color="auto" w:fill="FFFFFF" w:themeFill="background1"/>
            <w:tcMar>
              <w:left w:w="43" w:type="dxa"/>
            </w:tcMar>
            <w:hideMark/>
          </w:tcPr>
          <w:p w14:paraId="335F344F" w14:textId="77777777" w:rsidR="00432BEC" w:rsidRPr="00D22494" w:rsidRDefault="00432BEC" w:rsidP="00CE36A9">
            <w:pPr>
              <w:spacing w:before="0" w:after="0" w:line="240" w:lineRule="auto"/>
              <w:jc w:val="right"/>
              <w:rPr>
                <w:sz w:val="20"/>
                <w:szCs w:val="20"/>
              </w:rPr>
            </w:pPr>
            <w:r w:rsidRPr="00D22494">
              <w:rPr>
                <w:sz w:val="20"/>
                <w:szCs w:val="20"/>
              </w:rPr>
              <w:t>19.383</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666694C3" w14:textId="77777777" w:rsidR="00432BEC" w:rsidRPr="00D22494" w:rsidRDefault="00432BEC" w:rsidP="00CE36A9">
            <w:pPr>
              <w:spacing w:before="0" w:after="0" w:line="240" w:lineRule="auto"/>
              <w:jc w:val="right"/>
              <w:rPr>
                <w:sz w:val="20"/>
                <w:szCs w:val="20"/>
              </w:rPr>
            </w:pPr>
            <w:r w:rsidRPr="00D22494">
              <w:rPr>
                <w:sz w:val="20"/>
                <w:szCs w:val="20"/>
              </w:rPr>
              <w:t>17.486</w:t>
            </w:r>
          </w:p>
        </w:tc>
        <w:tc>
          <w:tcPr>
            <w:tcW w:w="3172" w:type="dxa"/>
            <w:tcBorders>
              <w:top w:val="nil"/>
              <w:left w:val="double" w:sz="4" w:space="0" w:color="auto"/>
            </w:tcBorders>
            <w:shd w:val="clear" w:color="auto" w:fill="FFFFFF" w:themeFill="background1"/>
            <w:tcMar>
              <w:left w:w="43" w:type="dxa"/>
            </w:tcMar>
            <w:hideMark/>
          </w:tcPr>
          <w:p w14:paraId="0865E36C" w14:textId="77777777" w:rsidR="00432BEC" w:rsidRPr="00D22494" w:rsidRDefault="00432BEC" w:rsidP="00CE36A9">
            <w:pPr>
              <w:spacing w:before="0" w:after="0" w:line="240" w:lineRule="auto"/>
              <w:jc w:val="left"/>
              <w:rPr>
                <w:sz w:val="20"/>
                <w:szCs w:val="20"/>
              </w:rPr>
            </w:pPr>
            <w:r w:rsidRPr="00D22494">
              <w:rPr>
                <w:sz w:val="20"/>
                <w:szCs w:val="20"/>
              </w:rPr>
              <w:t>U.S. Census Bureau – 2010</w:t>
            </w:r>
          </w:p>
        </w:tc>
      </w:tr>
      <w:tr w:rsidR="00432BEC" w:rsidRPr="00D22494" w14:paraId="5A989D3F" w14:textId="77777777" w:rsidTr="009D545F">
        <w:trPr>
          <w:trHeight w:val="20"/>
        </w:trPr>
        <w:tc>
          <w:tcPr>
            <w:tcW w:w="3775" w:type="dxa"/>
            <w:tcBorders>
              <w:top w:val="nil"/>
              <w:bottom w:val="single" w:sz="4" w:space="0" w:color="auto"/>
              <w:right w:val="double" w:sz="4" w:space="0" w:color="auto"/>
            </w:tcBorders>
            <w:shd w:val="clear" w:color="auto" w:fill="FFFFFF" w:themeFill="background1"/>
            <w:tcMar>
              <w:left w:w="43" w:type="dxa"/>
            </w:tcMar>
            <w:hideMark/>
          </w:tcPr>
          <w:p w14:paraId="69DCE2E7" w14:textId="77777777" w:rsidR="00432BEC" w:rsidRPr="00D22494" w:rsidRDefault="00432BEC" w:rsidP="0031086A">
            <w:pPr>
              <w:spacing w:before="0" w:after="0" w:line="240" w:lineRule="auto"/>
              <w:ind w:left="136"/>
              <w:jc w:val="left"/>
              <w:rPr>
                <w:sz w:val="20"/>
                <w:szCs w:val="20"/>
              </w:rPr>
            </w:pPr>
            <w:r w:rsidRPr="00D22494">
              <w:rPr>
                <w:sz w:val="20"/>
                <w:szCs w:val="20"/>
              </w:rPr>
              <w:t>Crime rate (crimes/ 0.1 capita)</w:t>
            </w:r>
          </w:p>
        </w:tc>
        <w:tc>
          <w:tcPr>
            <w:tcW w:w="1085"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59F99F78" w14:textId="77777777" w:rsidR="00432BEC" w:rsidRPr="00D22494" w:rsidRDefault="00432BEC" w:rsidP="00CE36A9">
            <w:pPr>
              <w:spacing w:before="0" w:after="0" w:line="240" w:lineRule="auto"/>
              <w:jc w:val="right"/>
              <w:rPr>
                <w:sz w:val="20"/>
                <w:szCs w:val="20"/>
              </w:rPr>
            </w:pPr>
            <w:r w:rsidRPr="00D22494">
              <w:rPr>
                <w:sz w:val="20"/>
                <w:szCs w:val="20"/>
              </w:rPr>
              <w:t>0.040</w:t>
            </w:r>
          </w:p>
        </w:tc>
        <w:tc>
          <w:tcPr>
            <w:tcW w:w="1063"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5867997B" w14:textId="77777777" w:rsidR="00432BEC" w:rsidRPr="00D22494" w:rsidRDefault="00432BEC" w:rsidP="00CE36A9">
            <w:pPr>
              <w:spacing w:before="0" w:after="0" w:line="240" w:lineRule="auto"/>
              <w:jc w:val="right"/>
              <w:rPr>
                <w:sz w:val="20"/>
                <w:szCs w:val="20"/>
              </w:rPr>
            </w:pPr>
            <w:r w:rsidRPr="00D22494">
              <w:rPr>
                <w:sz w:val="20"/>
                <w:szCs w:val="20"/>
              </w:rPr>
              <w:t>0.219</w:t>
            </w:r>
          </w:p>
        </w:tc>
        <w:tc>
          <w:tcPr>
            <w:tcW w:w="1041"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1977EA30" w14:textId="77777777" w:rsidR="00432BEC" w:rsidRPr="00D22494" w:rsidRDefault="00432BEC" w:rsidP="00CE36A9">
            <w:pPr>
              <w:spacing w:before="0" w:after="0" w:line="240" w:lineRule="auto"/>
              <w:jc w:val="right"/>
              <w:rPr>
                <w:sz w:val="20"/>
                <w:szCs w:val="20"/>
              </w:rPr>
            </w:pPr>
            <w:r w:rsidRPr="00D22494">
              <w:rPr>
                <w:sz w:val="20"/>
                <w:szCs w:val="20"/>
              </w:rPr>
              <w:t>0.066</w:t>
            </w:r>
          </w:p>
        </w:tc>
        <w:tc>
          <w:tcPr>
            <w:tcW w:w="1019"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285FF97F" w14:textId="77777777" w:rsidR="00432BEC" w:rsidRPr="00D22494" w:rsidRDefault="00432BEC" w:rsidP="00CE36A9">
            <w:pPr>
              <w:spacing w:before="0" w:after="0" w:line="240" w:lineRule="auto"/>
              <w:jc w:val="right"/>
              <w:rPr>
                <w:sz w:val="20"/>
                <w:szCs w:val="20"/>
              </w:rPr>
            </w:pPr>
            <w:r w:rsidRPr="00D22494">
              <w:rPr>
                <w:sz w:val="20"/>
                <w:szCs w:val="20"/>
              </w:rPr>
              <w:t>0.074</w:t>
            </w:r>
          </w:p>
        </w:tc>
        <w:tc>
          <w:tcPr>
            <w:tcW w:w="1080" w:type="dxa"/>
            <w:tcBorders>
              <w:left w:val="double" w:sz="4" w:space="0" w:color="auto"/>
              <w:bottom w:val="single" w:sz="4" w:space="0" w:color="auto"/>
              <w:right w:val="single" w:sz="4" w:space="0" w:color="auto"/>
            </w:tcBorders>
            <w:shd w:val="clear" w:color="auto" w:fill="FFFFFF" w:themeFill="background1"/>
            <w:tcMar>
              <w:left w:w="43" w:type="dxa"/>
            </w:tcMar>
            <w:hideMark/>
          </w:tcPr>
          <w:p w14:paraId="04F3509C" w14:textId="77777777" w:rsidR="00432BEC" w:rsidRPr="00D22494" w:rsidRDefault="00432BEC" w:rsidP="00CE36A9">
            <w:pPr>
              <w:spacing w:before="0" w:after="0" w:line="240" w:lineRule="auto"/>
              <w:jc w:val="right"/>
              <w:rPr>
                <w:sz w:val="20"/>
                <w:szCs w:val="20"/>
              </w:rPr>
            </w:pPr>
            <w:r w:rsidRPr="00D22494">
              <w:rPr>
                <w:sz w:val="20"/>
                <w:szCs w:val="20"/>
              </w:rPr>
              <w:t>0.035</w:t>
            </w:r>
          </w:p>
        </w:tc>
        <w:tc>
          <w:tcPr>
            <w:tcW w:w="990" w:type="dxa"/>
            <w:tcBorders>
              <w:top w:val="nil"/>
              <w:left w:val="single" w:sz="4" w:space="0" w:color="auto"/>
              <w:bottom w:val="single" w:sz="4" w:space="0" w:color="auto"/>
              <w:right w:val="double" w:sz="4" w:space="0" w:color="auto"/>
            </w:tcBorders>
            <w:shd w:val="clear" w:color="auto" w:fill="FFFFFF" w:themeFill="background1"/>
            <w:tcMar>
              <w:left w:w="43" w:type="dxa"/>
            </w:tcMar>
            <w:hideMark/>
          </w:tcPr>
          <w:p w14:paraId="0568317D" w14:textId="77777777" w:rsidR="00432BEC" w:rsidRPr="00D22494" w:rsidRDefault="00432BEC" w:rsidP="00CE36A9">
            <w:pPr>
              <w:spacing w:before="0" w:after="0" w:line="240" w:lineRule="auto"/>
              <w:jc w:val="right"/>
              <w:rPr>
                <w:sz w:val="20"/>
                <w:szCs w:val="20"/>
              </w:rPr>
            </w:pPr>
            <w:r w:rsidRPr="00D22494">
              <w:rPr>
                <w:sz w:val="20"/>
                <w:szCs w:val="20"/>
              </w:rPr>
              <w:t>0.235</w:t>
            </w:r>
          </w:p>
        </w:tc>
        <w:tc>
          <w:tcPr>
            <w:tcW w:w="3172" w:type="dxa"/>
            <w:tcBorders>
              <w:left w:val="double" w:sz="4" w:space="0" w:color="auto"/>
              <w:bottom w:val="single" w:sz="4" w:space="0" w:color="auto"/>
            </w:tcBorders>
            <w:shd w:val="clear" w:color="auto" w:fill="FFFFFF" w:themeFill="background1"/>
            <w:tcMar>
              <w:left w:w="43" w:type="dxa"/>
            </w:tcMar>
            <w:hideMark/>
          </w:tcPr>
          <w:p w14:paraId="093F4076" w14:textId="77777777" w:rsidR="00432BEC" w:rsidRPr="00D22494" w:rsidRDefault="00432BEC" w:rsidP="00CE36A9">
            <w:pPr>
              <w:spacing w:before="0" w:after="0" w:line="240" w:lineRule="auto"/>
              <w:jc w:val="left"/>
              <w:rPr>
                <w:sz w:val="20"/>
                <w:szCs w:val="20"/>
              </w:rPr>
            </w:pPr>
            <w:r w:rsidRPr="00D22494">
              <w:rPr>
                <w:sz w:val="20"/>
                <w:szCs w:val="20"/>
              </w:rPr>
              <w:t>City of Houston police reports – 2019</w:t>
            </w:r>
          </w:p>
        </w:tc>
      </w:tr>
      <w:tr w:rsidR="00432BEC" w:rsidRPr="00D22494" w14:paraId="5F0829B8" w14:textId="77777777" w:rsidTr="009D545F">
        <w:trPr>
          <w:trHeight w:val="20"/>
        </w:trPr>
        <w:tc>
          <w:tcPr>
            <w:tcW w:w="3775" w:type="dxa"/>
            <w:tcBorders>
              <w:top w:val="single" w:sz="4" w:space="0" w:color="auto"/>
              <w:bottom w:val="nil"/>
              <w:right w:val="double" w:sz="4" w:space="0" w:color="auto"/>
            </w:tcBorders>
            <w:shd w:val="clear" w:color="auto" w:fill="FFFFFF" w:themeFill="background1"/>
            <w:tcMar>
              <w:left w:w="43" w:type="dxa"/>
            </w:tcMar>
          </w:tcPr>
          <w:p w14:paraId="2BD56470" w14:textId="77777777" w:rsidR="00432BEC" w:rsidRPr="00D22494" w:rsidRDefault="00432BEC" w:rsidP="00CE36A9">
            <w:pPr>
              <w:spacing w:before="0" w:after="0" w:line="240" w:lineRule="auto"/>
              <w:jc w:val="left"/>
              <w:rPr>
                <w:sz w:val="20"/>
                <w:szCs w:val="20"/>
              </w:rPr>
            </w:pPr>
            <w:r w:rsidRPr="00D22494">
              <w:rPr>
                <w:b/>
                <w:bCs/>
                <w:sz w:val="20"/>
                <w:szCs w:val="20"/>
              </w:rPr>
              <w:t>Built Environment</w:t>
            </w:r>
          </w:p>
        </w:tc>
        <w:tc>
          <w:tcPr>
            <w:tcW w:w="1085"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347ADB67" w14:textId="77777777" w:rsidR="00432BEC" w:rsidRPr="00D22494" w:rsidRDefault="00432BEC" w:rsidP="00CE36A9">
            <w:pPr>
              <w:spacing w:before="0" w:after="0" w:line="240" w:lineRule="auto"/>
              <w:jc w:val="right"/>
              <w:rPr>
                <w:sz w:val="20"/>
                <w:szCs w:val="20"/>
              </w:rPr>
            </w:pPr>
          </w:p>
        </w:tc>
        <w:tc>
          <w:tcPr>
            <w:tcW w:w="1063"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683FD987" w14:textId="77777777" w:rsidR="00432BEC" w:rsidRPr="00D22494" w:rsidRDefault="00432BEC" w:rsidP="00CE36A9">
            <w:pPr>
              <w:spacing w:before="0" w:after="0" w:line="240" w:lineRule="auto"/>
              <w:jc w:val="right"/>
              <w:rPr>
                <w:sz w:val="20"/>
                <w:szCs w:val="20"/>
              </w:rPr>
            </w:pPr>
          </w:p>
        </w:tc>
        <w:tc>
          <w:tcPr>
            <w:tcW w:w="1041"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74890B72" w14:textId="77777777" w:rsidR="00432BEC" w:rsidRPr="00D22494" w:rsidRDefault="00432BEC" w:rsidP="00CE36A9">
            <w:pPr>
              <w:spacing w:before="0" w:after="0" w:line="240" w:lineRule="auto"/>
              <w:jc w:val="right"/>
              <w:rPr>
                <w:sz w:val="20"/>
                <w:szCs w:val="20"/>
              </w:rPr>
            </w:pPr>
          </w:p>
        </w:tc>
        <w:tc>
          <w:tcPr>
            <w:tcW w:w="1019"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48891AD6" w14:textId="77777777" w:rsidR="00432BEC" w:rsidRPr="00D22494" w:rsidRDefault="00432BEC" w:rsidP="00CE36A9">
            <w:pPr>
              <w:spacing w:before="0" w:after="0" w:line="240" w:lineRule="auto"/>
              <w:jc w:val="right"/>
              <w:rPr>
                <w:sz w:val="20"/>
                <w:szCs w:val="20"/>
              </w:rPr>
            </w:pPr>
          </w:p>
        </w:tc>
        <w:tc>
          <w:tcPr>
            <w:tcW w:w="1080" w:type="dxa"/>
            <w:tcBorders>
              <w:top w:val="single" w:sz="4" w:space="0" w:color="auto"/>
              <w:left w:val="double" w:sz="4" w:space="0" w:color="auto"/>
              <w:bottom w:val="nil"/>
              <w:right w:val="single" w:sz="4" w:space="0" w:color="auto"/>
            </w:tcBorders>
            <w:shd w:val="clear" w:color="auto" w:fill="FFFFFF" w:themeFill="background1"/>
            <w:tcMar>
              <w:left w:w="43" w:type="dxa"/>
            </w:tcMar>
          </w:tcPr>
          <w:p w14:paraId="4ED7587C" w14:textId="77777777" w:rsidR="00432BEC" w:rsidRPr="00D22494" w:rsidRDefault="00432BEC" w:rsidP="00CE36A9">
            <w:pPr>
              <w:spacing w:before="0" w:after="0" w:line="240" w:lineRule="auto"/>
              <w:jc w:val="right"/>
              <w:rPr>
                <w:sz w:val="20"/>
                <w:szCs w:val="20"/>
              </w:rPr>
            </w:pPr>
          </w:p>
        </w:tc>
        <w:tc>
          <w:tcPr>
            <w:tcW w:w="990" w:type="dxa"/>
            <w:tcBorders>
              <w:top w:val="single" w:sz="4" w:space="0" w:color="auto"/>
              <w:left w:val="single" w:sz="4" w:space="0" w:color="auto"/>
              <w:bottom w:val="nil"/>
              <w:right w:val="double" w:sz="4" w:space="0" w:color="auto"/>
            </w:tcBorders>
            <w:shd w:val="clear" w:color="auto" w:fill="FFFFFF" w:themeFill="background1"/>
            <w:tcMar>
              <w:left w:w="43" w:type="dxa"/>
            </w:tcMar>
          </w:tcPr>
          <w:p w14:paraId="366A7799" w14:textId="77777777" w:rsidR="00432BEC" w:rsidRPr="00D22494" w:rsidRDefault="00432BEC" w:rsidP="00CE36A9">
            <w:pPr>
              <w:spacing w:before="0" w:after="0" w:line="240" w:lineRule="auto"/>
              <w:jc w:val="right"/>
              <w:rPr>
                <w:sz w:val="20"/>
                <w:szCs w:val="20"/>
              </w:rPr>
            </w:pPr>
          </w:p>
        </w:tc>
        <w:tc>
          <w:tcPr>
            <w:tcW w:w="3172" w:type="dxa"/>
            <w:tcBorders>
              <w:top w:val="single" w:sz="4" w:space="0" w:color="auto"/>
              <w:left w:val="double" w:sz="4" w:space="0" w:color="auto"/>
              <w:bottom w:val="nil"/>
            </w:tcBorders>
            <w:shd w:val="clear" w:color="auto" w:fill="FFFFFF" w:themeFill="background1"/>
            <w:tcMar>
              <w:left w:w="43" w:type="dxa"/>
            </w:tcMar>
          </w:tcPr>
          <w:p w14:paraId="2D7AE74C" w14:textId="77777777" w:rsidR="00432BEC" w:rsidRPr="00D22494" w:rsidRDefault="00432BEC" w:rsidP="00CE36A9">
            <w:pPr>
              <w:spacing w:before="0" w:after="0" w:line="240" w:lineRule="auto"/>
              <w:jc w:val="left"/>
              <w:rPr>
                <w:sz w:val="20"/>
                <w:szCs w:val="20"/>
              </w:rPr>
            </w:pPr>
          </w:p>
        </w:tc>
      </w:tr>
      <w:tr w:rsidR="00432BEC" w:rsidRPr="00D22494" w14:paraId="0034411E"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tcPr>
          <w:p w14:paraId="57357340" w14:textId="77777777" w:rsidR="00432BEC" w:rsidRPr="00D22494" w:rsidRDefault="00432BEC" w:rsidP="00CE36A9">
            <w:pPr>
              <w:spacing w:before="0" w:after="0" w:line="240" w:lineRule="auto"/>
              <w:jc w:val="left"/>
              <w:rPr>
                <w:sz w:val="20"/>
                <w:szCs w:val="20"/>
              </w:rPr>
            </w:pPr>
            <w:r w:rsidRPr="00D22494">
              <w:rPr>
                <w:b/>
                <w:bCs/>
                <w:i/>
                <w:sz w:val="20"/>
                <w:szCs w:val="20"/>
              </w:rPr>
              <w:t>Active Transportation Facilities</w:t>
            </w:r>
          </w:p>
        </w:tc>
        <w:tc>
          <w:tcPr>
            <w:tcW w:w="1085" w:type="dxa"/>
            <w:tcBorders>
              <w:top w:val="nil"/>
              <w:left w:val="double" w:sz="4" w:space="0" w:color="auto"/>
              <w:bottom w:val="nil"/>
              <w:right w:val="single" w:sz="4" w:space="0" w:color="auto"/>
            </w:tcBorders>
            <w:shd w:val="clear" w:color="auto" w:fill="FFFFFF" w:themeFill="background1"/>
            <w:tcMar>
              <w:left w:w="43" w:type="dxa"/>
            </w:tcMar>
          </w:tcPr>
          <w:p w14:paraId="38933E4F" w14:textId="77777777" w:rsidR="00432BEC" w:rsidRPr="00D22494" w:rsidRDefault="00432BEC" w:rsidP="00CE36A9">
            <w:pPr>
              <w:spacing w:before="0" w:after="0" w:line="240" w:lineRule="auto"/>
              <w:jc w:val="right"/>
              <w:rPr>
                <w:sz w:val="20"/>
                <w:szCs w:val="20"/>
              </w:rPr>
            </w:pP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03CA314C" w14:textId="77777777" w:rsidR="00432BEC" w:rsidRPr="00D22494" w:rsidRDefault="00432BEC" w:rsidP="00CE36A9">
            <w:pPr>
              <w:spacing w:before="0" w:after="0" w:line="240" w:lineRule="auto"/>
              <w:jc w:val="right"/>
              <w:rPr>
                <w:sz w:val="20"/>
                <w:szCs w:val="20"/>
              </w:rPr>
            </w:pPr>
          </w:p>
        </w:tc>
        <w:tc>
          <w:tcPr>
            <w:tcW w:w="1041" w:type="dxa"/>
            <w:tcBorders>
              <w:top w:val="nil"/>
              <w:left w:val="double" w:sz="4" w:space="0" w:color="auto"/>
              <w:bottom w:val="nil"/>
              <w:right w:val="single" w:sz="4" w:space="0" w:color="auto"/>
            </w:tcBorders>
            <w:shd w:val="clear" w:color="auto" w:fill="FFFFFF" w:themeFill="background1"/>
            <w:tcMar>
              <w:left w:w="43" w:type="dxa"/>
            </w:tcMar>
          </w:tcPr>
          <w:p w14:paraId="7ED1E6DB" w14:textId="77777777" w:rsidR="00432BEC" w:rsidRPr="00D22494" w:rsidRDefault="00432BEC" w:rsidP="00CE36A9">
            <w:pPr>
              <w:spacing w:before="0" w:after="0" w:line="240" w:lineRule="auto"/>
              <w:jc w:val="right"/>
              <w:rPr>
                <w:sz w:val="20"/>
                <w:szCs w:val="20"/>
              </w:rPr>
            </w:pP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55924CE1" w14:textId="77777777" w:rsidR="00432BEC" w:rsidRPr="00D22494" w:rsidRDefault="00432BEC" w:rsidP="00CE36A9">
            <w:pPr>
              <w:spacing w:before="0" w:after="0" w:line="240" w:lineRule="auto"/>
              <w:jc w:val="right"/>
              <w:rPr>
                <w:sz w:val="20"/>
                <w:szCs w:val="20"/>
              </w:rPr>
            </w:pPr>
          </w:p>
        </w:tc>
        <w:tc>
          <w:tcPr>
            <w:tcW w:w="1080" w:type="dxa"/>
            <w:tcBorders>
              <w:top w:val="nil"/>
              <w:left w:val="double" w:sz="4" w:space="0" w:color="auto"/>
              <w:bottom w:val="nil"/>
              <w:right w:val="single" w:sz="4" w:space="0" w:color="auto"/>
            </w:tcBorders>
            <w:shd w:val="clear" w:color="auto" w:fill="FFFFFF" w:themeFill="background1"/>
            <w:tcMar>
              <w:left w:w="43" w:type="dxa"/>
            </w:tcMar>
          </w:tcPr>
          <w:p w14:paraId="689C2E2D" w14:textId="77777777" w:rsidR="00432BEC" w:rsidRPr="00D22494" w:rsidRDefault="00432BEC" w:rsidP="00CE36A9">
            <w:pPr>
              <w:spacing w:before="0" w:after="0" w:line="240" w:lineRule="auto"/>
              <w:jc w:val="right"/>
              <w:rPr>
                <w:sz w:val="20"/>
                <w:szCs w:val="20"/>
              </w:rPr>
            </w:pP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4AA45767" w14:textId="77777777" w:rsidR="00432BEC" w:rsidRPr="00D22494" w:rsidRDefault="00432BEC" w:rsidP="00CE36A9">
            <w:pPr>
              <w:spacing w:before="0" w:after="0" w:line="240" w:lineRule="auto"/>
              <w:jc w:val="right"/>
              <w:rPr>
                <w:sz w:val="20"/>
                <w:szCs w:val="20"/>
              </w:rPr>
            </w:pPr>
          </w:p>
        </w:tc>
        <w:tc>
          <w:tcPr>
            <w:tcW w:w="3172" w:type="dxa"/>
            <w:tcBorders>
              <w:top w:val="nil"/>
              <w:left w:val="double" w:sz="4" w:space="0" w:color="auto"/>
              <w:bottom w:val="nil"/>
            </w:tcBorders>
            <w:shd w:val="clear" w:color="auto" w:fill="FFFFFF" w:themeFill="background1"/>
            <w:tcMar>
              <w:left w:w="43" w:type="dxa"/>
            </w:tcMar>
          </w:tcPr>
          <w:p w14:paraId="1DB9E934" w14:textId="77777777" w:rsidR="00432BEC" w:rsidRPr="00D22494" w:rsidRDefault="00432BEC" w:rsidP="00CE36A9">
            <w:pPr>
              <w:spacing w:before="0" w:after="0" w:line="240" w:lineRule="auto"/>
              <w:jc w:val="left"/>
              <w:rPr>
                <w:sz w:val="20"/>
                <w:szCs w:val="20"/>
              </w:rPr>
            </w:pPr>
          </w:p>
        </w:tc>
      </w:tr>
      <w:tr w:rsidR="00432BEC" w:rsidRPr="00D22494" w14:paraId="24D5F02C"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6FB2CB7A" w14:textId="77777777" w:rsidR="00432BEC" w:rsidRPr="00D22494" w:rsidRDefault="00432BEC" w:rsidP="00CE36A9">
            <w:pPr>
              <w:spacing w:before="0" w:after="0" w:line="240" w:lineRule="auto"/>
              <w:ind w:left="129"/>
              <w:jc w:val="left"/>
              <w:rPr>
                <w:sz w:val="20"/>
                <w:szCs w:val="20"/>
              </w:rPr>
            </w:pPr>
            <w:r w:rsidRPr="00D22494">
              <w:rPr>
                <w:sz w:val="20"/>
                <w:szCs w:val="20"/>
              </w:rPr>
              <w:t>Proportion of sidewalks to total road miles</w:t>
            </w:r>
          </w:p>
        </w:tc>
        <w:tc>
          <w:tcPr>
            <w:tcW w:w="1085" w:type="dxa"/>
            <w:tcBorders>
              <w:top w:val="nil"/>
              <w:left w:val="double" w:sz="4" w:space="0" w:color="auto"/>
              <w:right w:val="single" w:sz="4" w:space="0" w:color="auto"/>
            </w:tcBorders>
            <w:shd w:val="clear" w:color="auto" w:fill="FFFFFF" w:themeFill="background1"/>
            <w:tcMar>
              <w:left w:w="43" w:type="dxa"/>
            </w:tcMar>
            <w:hideMark/>
          </w:tcPr>
          <w:p w14:paraId="3934EE46" w14:textId="77777777" w:rsidR="00432BEC" w:rsidRPr="00D22494" w:rsidRDefault="00432BEC" w:rsidP="00CE36A9">
            <w:pPr>
              <w:spacing w:before="0" w:after="0" w:line="240" w:lineRule="auto"/>
              <w:jc w:val="right"/>
              <w:rPr>
                <w:sz w:val="20"/>
                <w:szCs w:val="20"/>
              </w:rPr>
            </w:pPr>
            <w:r w:rsidRPr="00D22494">
              <w:rPr>
                <w:sz w:val="20"/>
                <w:szCs w:val="20"/>
              </w:rPr>
              <w:t>1.965</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3EA5CB52" w14:textId="77777777" w:rsidR="00432BEC" w:rsidRPr="00D22494" w:rsidRDefault="00432BEC" w:rsidP="00CE36A9">
            <w:pPr>
              <w:spacing w:before="0" w:after="0" w:line="240" w:lineRule="auto"/>
              <w:jc w:val="right"/>
              <w:rPr>
                <w:sz w:val="20"/>
                <w:szCs w:val="20"/>
              </w:rPr>
            </w:pPr>
            <w:r w:rsidRPr="00D22494">
              <w:rPr>
                <w:sz w:val="20"/>
                <w:szCs w:val="20"/>
              </w:rPr>
              <w:t>2.845</w:t>
            </w:r>
          </w:p>
        </w:tc>
        <w:tc>
          <w:tcPr>
            <w:tcW w:w="1041" w:type="dxa"/>
            <w:tcBorders>
              <w:top w:val="nil"/>
              <w:left w:val="double" w:sz="4" w:space="0" w:color="auto"/>
              <w:right w:val="single" w:sz="4" w:space="0" w:color="auto"/>
            </w:tcBorders>
            <w:shd w:val="clear" w:color="auto" w:fill="FFFFFF" w:themeFill="background1"/>
            <w:tcMar>
              <w:left w:w="43" w:type="dxa"/>
            </w:tcMar>
          </w:tcPr>
          <w:p w14:paraId="7975E519" w14:textId="77777777" w:rsidR="00432BEC" w:rsidRPr="00D22494" w:rsidRDefault="00432BEC" w:rsidP="00CE36A9">
            <w:pPr>
              <w:spacing w:before="0" w:after="0" w:line="240" w:lineRule="auto"/>
              <w:jc w:val="right"/>
              <w:rPr>
                <w:sz w:val="20"/>
                <w:szCs w:val="20"/>
              </w:rPr>
            </w:pPr>
            <w:r w:rsidRPr="00D22494">
              <w:rPr>
                <w:sz w:val="20"/>
                <w:szCs w:val="20"/>
              </w:rPr>
              <w:t>1.848</w:t>
            </w: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3AE2E7E5" w14:textId="77777777" w:rsidR="00432BEC" w:rsidRPr="00D22494" w:rsidRDefault="00432BEC" w:rsidP="00CE36A9">
            <w:pPr>
              <w:spacing w:before="0" w:after="0" w:line="240" w:lineRule="auto"/>
              <w:jc w:val="right"/>
              <w:rPr>
                <w:sz w:val="20"/>
                <w:szCs w:val="20"/>
              </w:rPr>
            </w:pPr>
            <w:r w:rsidRPr="00D22494">
              <w:rPr>
                <w:sz w:val="20"/>
                <w:szCs w:val="20"/>
              </w:rPr>
              <w:t>6.062</w:t>
            </w:r>
          </w:p>
        </w:tc>
        <w:tc>
          <w:tcPr>
            <w:tcW w:w="1080" w:type="dxa"/>
            <w:tcBorders>
              <w:top w:val="nil"/>
              <w:left w:val="double" w:sz="4" w:space="0" w:color="auto"/>
              <w:right w:val="single" w:sz="4" w:space="0" w:color="auto"/>
            </w:tcBorders>
            <w:shd w:val="clear" w:color="auto" w:fill="FFFFFF" w:themeFill="background1"/>
            <w:tcMar>
              <w:left w:w="43" w:type="dxa"/>
            </w:tcMar>
            <w:hideMark/>
          </w:tcPr>
          <w:p w14:paraId="2DE700C1" w14:textId="77777777" w:rsidR="00432BEC" w:rsidRPr="00D22494" w:rsidRDefault="00432BEC" w:rsidP="00CE36A9">
            <w:pPr>
              <w:spacing w:before="0" w:after="0" w:line="240" w:lineRule="auto"/>
              <w:jc w:val="right"/>
              <w:rPr>
                <w:sz w:val="20"/>
                <w:szCs w:val="20"/>
              </w:rPr>
            </w:pPr>
            <w:r w:rsidRPr="00D22494">
              <w:rPr>
                <w:sz w:val="20"/>
                <w:szCs w:val="20"/>
              </w:rPr>
              <w:t>1.985</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1214A74F" w14:textId="77777777" w:rsidR="00432BEC" w:rsidRPr="00D22494" w:rsidRDefault="00432BEC" w:rsidP="00CE36A9">
            <w:pPr>
              <w:spacing w:before="0" w:after="0" w:line="240" w:lineRule="auto"/>
              <w:jc w:val="right"/>
              <w:rPr>
                <w:sz w:val="20"/>
                <w:szCs w:val="20"/>
              </w:rPr>
            </w:pPr>
            <w:r w:rsidRPr="00D22494">
              <w:rPr>
                <w:sz w:val="20"/>
                <w:szCs w:val="20"/>
              </w:rPr>
              <w:t>9.835</w:t>
            </w:r>
          </w:p>
        </w:tc>
        <w:tc>
          <w:tcPr>
            <w:tcW w:w="3172" w:type="dxa"/>
            <w:tcBorders>
              <w:top w:val="nil"/>
              <w:left w:val="double" w:sz="4" w:space="0" w:color="auto"/>
            </w:tcBorders>
            <w:shd w:val="clear" w:color="auto" w:fill="FFFFFF" w:themeFill="background1"/>
            <w:tcMar>
              <w:left w:w="43" w:type="dxa"/>
            </w:tcMar>
            <w:hideMark/>
          </w:tcPr>
          <w:p w14:paraId="3D634835" w14:textId="3398E234" w:rsidR="00432BEC" w:rsidRPr="00D22494" w:rsidRDefault="00432BEC" w:rsidP="00CE36A9">
            <w:pPr>
              <w:spacing w:before="0" w:after="0" w:line="240" w:lineRule="auto"/>
              <w:jc w:val="left"/>
              <w:rPr>
                <w:sz w:val="20"/>
                <w:szCs w:val="20"/>
              </w:rPr>
            </w:pPr>
            <w:r w:rsidRPr="00D22494">
              <w:rPr>
                <w:sz w:val="20"/>
                <w:szCs w:val="20"/>
              </w:rPr>
              <w:t>COH open data portal – 2018</w:t>
            </w:r>
          </w:p>
        </w:tc>
      </w:tr>
      <w:tr w:rsidR="00432BEC" w:rsidRPr="00D22494" w14:paraId="5BC4710E"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3E6B966F" w14:textId="77777777" w:rsidR="00432BEC" w:rsidRPr="00D22494" w:rsidRDefault="00432BEC" w:rsidP="00CE36A9">
            <w:pPr>
              <w:spacing w:before="0" w:after="0" w:line="240" w:lineRule="auto"/>
              <w:ind w:left="129"/>
              <w:jc w:val="left"/>
              <w:rPr>
                <w:sz w:val="20"/>
                <w:szCs w:val="20"/>
              </w:rPr>
            </w:pPr>
            <w:r w:rsidRPr="00D22494">
              <w:rPr>
                <w:sz w:val="20"/>
                <w:szCs w:val="20"/>
              </w:rPr>
              <w:t>Proportion of bikeways to total road miles</w:t>
            </w:r>
          </w:p>
        </w:tc>
        <w:tc>
          <w:tcPr>
            <w:tcW w:w="1085" w:type="dxa"/>
            <w:tcBorders>
              <w:left w:val="double" w:sz="4" w:space="0" w:color="auto"/>
              <w:bottom w:val="nil"/>
              <w:right w:val="single" w:sz="4" w:space="0" w:color="auto"/>
            </w:tcBorders>
            <w:shd w:val="clear" w:color="auto" w:fill="FFFFFF" w:themeFill="background1"/>
            <w:tcMar>
              <w:left w:w="43" w:type="dxa"/>
            </w:tcMar>
            <w:hideMark/>
          </w:tcPr>
          <w:p w14:paraId="407700FB" w14:textId="77777777" w:rsidR="00432BEC" w:rsidRPr="00D22494" w:rsidRDefault="00432BEC" w:rsidP="00CE36A9">
            <w:pPr>
              <w:spacing w:before="0" w:after="0" w:line="240" w:lineRule="auto"/>
              <w:jc w:val="right"/>
              <w:rPr>
                <w:sz w:val="20"/>
                <w:szCs w:val="20"/>
              </w:rPr>
            </w:pPr>
            <w:r w:rsidRPr="00D22494">
              <w:rPr>
                <w:sz w:val="20"/>
                <w:szCs w:val="20"/>
              </w:rPr>
              <w:t>0.362</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306D832A" w14:textId="77777777" w:rsidR="00432BEC" w:rsidRPr="00D22494" w:rsidRDefault="00432BEC" w:rsidP="00CE36A9">
            <w:pPr>
              <w:spacing w:before="0" w:after="0" w:line="240" w:lineRule="auto"/>
              <w:jc w:val="right"/>
              <w:rPr>
                <w:sz w:val="20"/>
                <w:szCs w:val="20"/>
              </w:rPr>
            </w:pPr>
            <w:r w:rsidRPr="00D22494">
              <w:rPr>
                <w:sz w:val="20"/>
                <w:szCs w:val="20"/>
              </w:rPr>
              <w:t>2.846</w:t>
            </w:r>
          </w:p>
        </w:tc>
        <w:tc>
          <w:tcPr>
            <w:tcW w:w="1041" w:type="dxa"/>
            <w:tcBorders>
              <w:left w:val="double" w:sz="4" w:space="0" w:color="auto"/>
              <w:bottom w:val="nil"/>
              <w:right w:val="single" w:sz="4" w:space="0" w:color="auto"/>
            </w:tcBorders>
            <w:shd w:val="clear" w:color="auto" w:fill="FFFFFF" w:themeFill="background1"/>
            <w:tcMar>
              <w:left w:w="43" w:type="dxa"/>
            </w:tcMar>
            <w:hideMark/>
          </w:tcPr>
          <w:p w14:paraId="744D9DE6" w14:textId="77777777" w:rsidR="00432BEC" w:rsidRPr="00D22494" w:rsidRDefault="00432BEC" w:rsidP="00CE36A9">
            <w:pPr>
              <w:spacing w:before="0" w:after="0" w:line="240" w:lineRule="auto"/>
              <w:jc w:val="right"/>
              <w:rPr>
                <w:sz w:val="20"/>
                <w:szCs w:val="20"/>
              </w:rPr>
            </w:pPr>
            <w:r w:rsidRPr="00D22494">
              <w:rPr>
                <w:sz w:val="20"/>
                <w:szCs w:val="20"/>
              </w:rPr>
              <w:t>0.502</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60AF70DF" w14:textId="77777777" w:rsidR="00432BEC" w:rsidRPr="00D22494" w:rsidRDefault="00432BEC" w:rsidP="00CE36A9">
            <w:pPr>
              <w:spacing w:before="0" w:after="0" w:line="240" w:lineRule="auto"/>
              <w:jc w:val="right"/>
              <w:rPr>
                <w:sz w:val="20"/>
                <w:szCs w:val="20"/>
              </w:rPr>
            </w:pPr>
            <w:r w:rsidRPr="00D22494">
              <w:rPr>
                <w:sz w:val="20"/>
                <w:szCs w:val="20"/>
              </w:rPr>
              <w:t>3.091</w:t>
            </w:r>
          </w:p>
        </w:tc>
        <w:tc>
          <w:tcPr>
            <w:tcW w:w="1080" w:type="dxa"/>
            <w:tcBorders>
              <w:left w:val="double" w:sz="4" w:space="0" w:color="auto"/>
              <w:bottom w:val="nil"/>
              <w:right w:val="single" w:sz="4" w:space="0" w:color="auto"/>
            </w:tcBorders>
            <w:shd w:val="clear" w:color="auto" w:fill="FFFFFF" w:themeFill="background1"/>
            <w:tcMar>
              <w:left w:w="43" w:type="dxa"/>
            </w:tcMar>
            <w:hideMark/>
          </w:tcPr>
          <w:p w14:paraId="4589FFA4" w14:textId="77777777" w:rsidR="00432BEC" w:rsidRPr="00D22494" w:rsidRDefault="00432BEC" w:rsidP="00CE36A9">
            <w:pPr>
              <w:spacing w:before="0" w:after="0" w:line="240" w:lineRule="auto"/>
              <w:jc w:val="right"/>
              <w:rPr>
                <w:sz w:val="20"/>
                <w:szCs w:val="20"/>
              </w:rPr>
            </w:pPr>
            <w:r w:rsidRPr="00D22494">
              <w:rPr>
                <w:sz w:val="20"/>
                <w:szCs w:val="20"/>
              </w:rPr>
              <w:t>0.337</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5A210E3E" w14:textId="77777777" w:rsidR="00432BEC" w:rsidRPr="00D22494" w:rsidRDefault="00432BEC" w:rsidP="00CE36A9">
            <w:pPr>
              <w:spacing w:before="0" w:after="0" w:line="240" w:lineRule="auto"/>
              <w:jc w:val="right"/>
              <w:rPr>
                <w:sz w:val="20"/>
                <w:szCs w:val="20"/>
              </w:rPr>
            </w:pPr>
            <w:r w:rsidRPr="00D22494">
              <w:rPr>
                <w:sz w:val="20"/>
                <w:szCs w:val="20"/>
              </w:rPr>
              <w:t>2.800</w:t>
            </w:r>
          </w:p>
        </w:tc>
        <w:tc>
          <w:tcPr>
            <w:tcW w:w="3172" w:type="dxa"/>
            <w:tcBorders>
              <w:left w:val="double" w:sz="4" w:space="0" w:color="auto"/>
              <w:bottom w:val="nil"/>
            </w:tcBorders>
            <w:shd w:val="clear" w:color="auto" w:fill="FFFFFF" w:themeFill="background1"/>
            <w:tcMar>
              <w:left w:w="43" w:type="dxa"/>
            </w:tcMar>
            <w:hideMark/>
          </w:tcPr>
          <w:p w14:paraId="412C4E4B" w14:textId="77777777" w:rsidR="00432BEC" w:rsidRPr="00D22494" w:rsidRDefault="00432BEC" w:rsidP="00CE36A9">
            <w:pPr>
              <w:spacing w:before="0" w:after="0" w:line="240" w:lineRule="auto"/>
              <w:jc w:val="left"/>
              <w:rPr>
                <w:sz w:val="20"/>
                <w:szCs w:val="20"/>
              </w:rPr>
            </w:pPr>
            <w:r w:rsidRPr="00D22494">
              <w:rPr>
                <w:sz w:val="20"/>
                <w:szCs w:val="20"/>
              </w:rPr>
              <w:t>COH open data portal – 2021</w:t>
            </w:r>
          </w:p>
        </w:tc>
      </w:tr>
      <w:tr w:rsidR="00432BEC" w:rsidRPr="00D22494" w14:paraId="70BFFD9D" w14:textId="77777777" w:rsidTr="009D545F">
        <w:trPr>
          <w:trHeight w:val="64"/>
        </w:trPr>
        <w:tc>
          <w:tcPr>
            <w:tcW w:w="3775" w:type="dxa"/>
            <w:tcBorders>
              <w:top w:val="nil"/>
              <w:bottom w:val="nil"/>
              <w:right w:val="double" w:sz="4" w:space="0" w:color="auto"/>
            </w:tcBorders>
            <w:shd w:val="clear" w:color="auto" w:fill="FFFFFF" w:themeFill="background1"/>
            <w:tcMar>
              <w:left w:w="43" w:type="dxa"/>
            </w:tcMar>
          </w:tcPr>
          <w:p w14:paraId="1A320FD0" w14:textId="77777777" w:rsidR="00432BEC" w:rsidRPr="00D22494" w:rsidRDefault="00432BEC" w:rsidP="00CE36A9">
            <w:pPr>
              <w:spacing w:before="0" w:after="0" w:line="240" w:lineRule="auto"/>
              <w:jc w:val="left"/>
              <w:rPr>
                <w:sz w:val="20"/>
                <w:szCs w:val="20"/>
              </w:rPr>
            </w:pPr>
            <w:r w:rsidRPr="00D22494">
              <w:rPr>
                <w:b/>
                <w:i/>
                <w:sz w:val="20"/>
                <w:szCs w:val="20"/>
              </w:rPr>
              <w:t>School Availability</w:t>
            </w:r>
          </w:p>
        </w:tc>
        <w:tc>
          <w:tcPr>
            <w:tcW w:w="1085" w:type="dxa"/>
            <w:tcBorders>
              <w:top w:val="nil"/>
              <w:left w:val="double" w:sz="4" w:space="0" w:color="auto"/>
              <w:bottom w:val="nil"/>
              <w:right w:val="single" w:sz="4" w:space="0" w:color="auto"/>
            </w:tcBorders>
            <w:shd w:val="clear" w:color="auto" w:fill="FFFFFF" w:themeFill="background1"/>
            <w:tcMar>
              <w:left w:w="43" w:type="dxa"/>
            </w:tcMar>
          </w:tcPr>
          <w:p w14:paraId="0D955D5B" w14:textId="77777777" w:rsidR="00432BEC" w:rsidRPr="00D22494" w:rsidRDefault="00432BEC" w:rsidP="00CE36A9">
            <w:pPr>
              <w:spacing w:before="0" w:after="0" w:line="240" w:lineRule="auto"/>
              <w:jc w:val="right"/>
              <w:rPr>
                <w:sz w:val="20"/>
                <w:szCs w:val="20"/>
              </w:rPr>
            </w:pP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362B27C7" w14:textId="77777777" w:rsidR="00432BEC" w:rsidRPr="00D22494" w:rsidRDefault="00432BEC" w:rsidP="00CE36A9">
            <w:pPr>
              <w:spacing w:before="0" w:after="0" w:line="240" w:lineRule="auto"/>
              <w:jc w:val="right"/>
              <w:rPr>
                <w:sz w:val="20"/>
                <w:szCs w:val="20"/>
              </w:rPr>
            </w:pPr>
          </w:p>
        </w:tc>
        <w:tc>
          <w:tcPr>
            <w:tcW w:w="1041" w:type="dxa"/>
            <w:tcBorders>
              <w:top w:val="nil"/>
              <w:left w:val="double" w:sz="4" w:space="0" w:color="auto"/>
              <w:bottom w:val="nil"/>
              <w:right w:val="single" w:sz="4" w:space="0" w:color="auto"/>
            </w:tcBorders>
            <w:shd w:val="clear" w:color="auto" w:fill="FFFFFF" w:themeFill="background1"/>
            <w:tcMar>
              <w:left w:w="43" w:type="dxa"/>
            </w:tcMar>
          </w:tcPr>
          <w:p w14:paraId="30A1CE37" w14:textId="77777777" w:rsidR="00432BEC" w:rsidRPr="00D22494" w:rsidRDefault="00432BEC" w:rsidP="00CE36A9">
            <w:pPr>
              <w:spacing w:before="0" w:after="0" w:line="240" w:lineRule="auto"/>
              <w:jc w:val="right"/>
              <w:rPr>
                <w:sz w:val="20"/>
                <w:szCs w:val="20"/>
              </w:rPr>
            </w:pP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4A70F46A" w14:textId="77777777" w:rsidR="00432BEC" w:rsidRPr="00D22494" w:rsidRDefault="00432BEC" w:rsidP="00CE36A9">
            <w:pPr>
              <w:spacing w:before="0" w:after="0" w:line="240" w:lineRule="auto"/>
              <w:jc w:val="right"/>
              <w:rPr>
                <w:sz w:val="20"/>
                <w:szCs w:val="20"/>
              </w:rPr>
            </w:pPr>
          </w:p>
        </w:tc>
        <w:tc>
          <w:tcPr>
            <w:tcW w:w="1080" w:type="dxa"/>
            <w:tcBorders>
              <w:top w:val="nil"/>
              <w:left w:val="double" w:sz="4" w:space="0" w:color="auto"/>
              <w:bottom w:val="nil"/>
              <w:right w:val="single" w:sz="4" w:space="0" w:color="auto"/>
            </w:tcBorders>
            <w:shd w:val="clear" w:color="auto" w:fill="FFFFFF" w:themeFill="background1"/>
            <w:tcMar>
              <w:left w:w="43" w:type="dxa"/>
            </w:tcMar>
          </w:tcPr>
          <w:p w14:paraId="6A5D5794" w14:textId="77777777" w:rsidR="00432BEC" w:rsidRPr="00D22494" w:rsidRDefault="00432BEC" w:rsidP="00CE36A9">
            <w:pPr>
              <w:spacing w:before="0" w:after="0" w:line="240" w:lineRule="auto"/>
              <w:jc w:val="right"/>
              <w:rPr>
                <w:sz w:val="20"/>
                <w:szCs w:val="20"/>
              </w:rPr>
            </w:pP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19F5B723" w14:textId="77777777" w:rsidR="00432BEC" w:rsidRPr="00D22494" w:rsidRDefault="00432BEC" w:rsidP="00CE36A9">
            <w:pPr>
              <w:spacing w:before="0" w:after="0" w:line="240" w:lineRule="auto"/>
              <w:jc w:val="right"/>
              <w:rPr>
                <w:sz w:val="20"/>
                <w:szCs w:val="20"/>
              </w:rPr>
            </w:pPr>
          </w:p>
        </w:tc>
        <w:tc>
          <w:tcPr>
            <w:tcW w:w="3172" w:type="dxa"/>
            <w:tcBorders>
              <w:top w:val="nil"/>
              <w:left w:val="double" w:sz="4" w:space="0" w:color="auto"/>
              <w:bottom w:val="nil"/>
            </w:tcBorders>
            <w:shd w:val="clear" w:color="auto" w:fill="FFFFFF" w:themeFill="background1"/>
            <w:tcMar>
              <w:left w:w="43" w:type="dxa"/>
            </w:tcMar>
          </w:tcPr>
          <w:p w14:paraId="027F828D" w14:textId="77777777" w:rsidR="00432BEC" w:rsidRPr="00D22494" w:rsidRDefault="00432BEC" w:rsidP="00CE36A9">
            <w:pPr>
              <w:spacing w:before="0" w:after="0" w:line="240" w:lineRule="auto"/>
              <w:jc w:val="left"/>
              <w:rPr>
                <w:sz w:val="20"/>
                <w:szCs w:val="20"/>
              </w:rPr>
            </w:pPr>
          </w:p>
        </w:tc>
      </w:tr>
      <w:tr w:rsidR="00432BEC" w:rsidRPr="00D22494" w14:paraId="26AABA01" w14:textId="77777777" w:rsidTr="009D545F">
        <w:trPr>
          <w:trHeight w:val="135"/>
        </w:trPr>
        <w:tc>
          <w:tcPr>
            <w:tcW w:w="3775" w:type="dxa"/>
            <w:tcBorders>
              <w:top w:val="nil"/>
              <w:bottom w:val="nil"/>
              <w:right w:val="double" w:sz="4" w:space="0" w:color="auto"/>
            </w:tcBorders>
            <w:shd w:val="clear" w:color="auto" w:fill="FFFFFF" w:themeFill="background1"/>
            <w:tcMar>
              <w:left w:w="43" w:type="dxa"/>
            </w:tcMar>
          </w:tcPr>
          <w:p w14:paraId="10715831" w14:textId="77777777" w:rsidR="00432BEC" w:rsidRPr="00D22494" w:rsidRDefault="00432BEC" w:rsidP="00CE36A9">
            <w:pPr>
              <w:spacing w:before="0" w:after="0" w:line="240" w:lineRule="auto"/>
              <w:ind w:left="129"/>
              <w:jc w:val="left"/>
              <w:rPr>
                <w:sz w:val="20"/>
                <w:szCs w:val="20"/>
              </w:rPr>
            </w:pPr>
            <w:r w:rsidRPr="00D22494">
              <w:rPr>
                <w:sz w:val="20"/>
                <w:szCs w:val="20"/>
              </w:rPr>
              <w:t># schools per 10 acres</w:t>
            </w:r>
          </w:p>
        </w:tc>
        <w:tc>
          <w:tcPr>
            <w:tcW w:w="1085" w:type="dxa"/>
            <w:tcBorders>
              <w:top w:val="nil"/>
              <w:left w:val="double" w:sz="4" w:space="0" w:color="auto"/>
              <w:bottom w:val="nil"/>
              <w:right w:val="single" w:sz="4" w:space="0" w:color="auto"/>
            </w:tcBorders>
            <w:shd w:val="clear" w:color="auto" w:fill="FFFFFF" w:themeFill="background1"/>
            <w:tcMar>
              <w:left w:w="43" w:type="dxa"/>
            </w:tcMar>
          </w:tcPr>
          <w:p w14:paraId="6751066C" w14:textId="77777777" w:rsidR="00432BEC" w:rsidRPr="00F12B2F" w:rsidRDefault="00432BEC" w:rsidP="00CE36A9">
            <w:pPr>
              <w:spacing w:before="0" w:after="0" w:line="240" w:lineRule="auto"/>
              <w:jc w:val="right"/>
              <w:rPr>
                <w:sz w:val="20"/>
                <w:szCs w:val="20"/>
              </w:rPr>
            </w:pPr>
            <w:r w:rsidRPr="00D22494">
              <w:rPr>
                <w:sz w:val="20"/>
                <w:szCs w:val="20"/>
              </w:rPr>
              <w:t>0.014</w:t>
            </w: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2A704709" w14:textId="77777777" w:rsidR="00432BEC" w:rsidRPr="00F12B2F" w:rsidRDefault="00432BEC" w:rsidP="00CE36A9">
            <w:pPr>
              <w:spacing w:before="0" w:after="0" w:line="240" w:lineRule="auto"/>
              <w:jc w:val="right"/>
              <w:rPr>
                <w:sz w:val="20"/>
                <w:szCs w:val="20"/>
              </w:rPr>
            </w:pPr>
            <w:r w:rsidRPr="00F12B2F">
              <w:rPr>
                <w:sz w:val="20"/>
                <w:szCs w:val="20"/>
              </w:rPr>
              <w:t>0.04</w:t>
            </w:r>
          </w:p>
        </w:tc>
        <w:tc>
          <w:tcPr>
            <w:tcW w:w="1041" w:type="dxa"/>
            <w:tcBorders>
              <w:top w:val="nil"/>
              <w:left w:val="double" w:sz="4" w:space="0" w:color="auto"/>
              <w:bottom w:val="nil"/>
              <w:right w:val="single" w:sz="4" w:space="0" w:color="auto"/>
            </w:tcBorders>
            <w:shd w:val="clear" w:color="auto" w:fill="FFFFFF" w:themeFill="background1"/>
            <w:tcMar>
              <w:left w:w="43" w:type="dxa"/>
            </w:tcMar>
          </w:tcPr>
          <w:p w14:paraId="3061EA07" w14:textId="77777777" w:rsidR="00432BEC" w:rsidRPr="00F12B2F" w:rsidRDefault="00432BEC" w:rsidP="00CE36A9">
            <w:pPr>
              <w:spacing w:before="0" w:after="0" w:line="240" w:lineRule="auto"/>
              <w:jc w:val="right"/>
              <w:rPr>
                <w:sz w:val="20"/>
                <w:szCs w:val="20"/>
              </w:rPr>
            </w:pPr>
            <w:r w:rsidRPr="00F12B2F">
              <w:rPr>
                <w:sz w:val="20"/>
                <w:szCs w:val="20"/>
              </w:rPr>
              <w:t>0.0</w:t>
            </w:r>
            <w:r w:rsidRPr="00D22494">
              <w:rPr>
                <w:sz w:val="20"/>
                <w:szCs w:val="20"/>
              </w:rPr>
              <w:t>18</w:t>
            </w: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375BEC81" w14:textId="77777777" w:rsidR="00432BEC" w:rsidRPr="00F12B2F" w:rsidRDefault="00432BEC" w:rsidP="00CE36A9">
            <w:pPr>
              <w:spacing w:before="0" w:after="0" w:line="240" w:lineRule="auto"/>
              <w:jc w:val="right"/>
              <w:rPr>
                <w:sz w:val="20"/>
                <w:szCs w:val="20"/>
              </w:rPr>
            </w:pPr>
            <w:r w:rsidRPr="00F12B2F">
              <w:rPr>
                <w:sz w:val="20"/>
                <w:szCs w:val="20"/>
              </w:rPr>
              <w:t>0.0</w:t>
            </w:r>
            <w:r w:rsidRPr="00D22494">
              <w:rPr>
                <w:sz w:val="20"/>
                <w:szCs w:val="20"/>
              </w:rPr>
              <w:t>49</w:t>
            </w:r>
          </w:p>
        </w:tc>
        <w:tc>
          <w:tcPr>
            <w:tcW w:w="1080" w:type="dxa"/>
            <w:tcBorders>
              <w:top w:val="nil"/>
              <w:left w:val="double" w:sz="4" w:space="0" w:color="auto"/>
              <w:bottom w:val="nil"/>
              <w:right w:val="single" w:sz="4" w:space="0" w:color="auto"/>
            </w:tcBorders>
            <w:shd w:val="clear" w:color="auto" w:fill="FFFFFF" w:themeFill="background1"/>
            <w:tcMar>
              <w:left w:w="43" w:type="dxa"/>
            </w:tcMar>
          </w:tcPr>
          <w:p w14:paraId="5C8CE229" w14:textId="77777777" w:rsidR="00432BEC" w:rsidRPr="00F12B2F" w:rsidRDefault="00432BEC" w:rsidP="00CE36A9">
            <w:pPr>
              <w:spacing w:before="0" w:after="0" w:line="240" w:lineRule="auto"/>
              <w:jc w:val="right"/>
              <w:rPr>
                <w:sz w:val="20"/>
                <w:szCs w:val="20"/>
              </w:rPr>
            </w:pPr>
            <w:r w:rsidRPr="00F12B2F">
              <w:rPr>
                <w:sz w:val="20"/>
                <w:szCs w:val="20"/>
              </w:rPr>
              <w:t>0.0</w:t>
            </w:r>
            <w:r w:rsidRPr="00D22494">
              <w:rPr>
                <w:sz w:val="20"/>
                <w:szCs w:val="20"/>
              </w:rPr>
              <w:t>14</w:t>
            </w: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23CD1BCF" w14:textId="77777777" w:rsidR="00432BEC" w:rsidRPr="00F12B2F" w:rsidRDefault="00432BEC" w:rsidP="00CE36A9">
            <w:pPr>
              <w:spacing w:before="0" w:after="0" w:line="240" w:lineRule="auto"/>
              <w:jc w:val="right"/>
              <w:rPr>
                <w:sz w:val="20"/>
                <w:szCs w:val="20"/>
              </w:rPr>
            </w:pPr>
            <w:r w:rsidRPr="00F12B2F">
              <w:rPr>
                <w:sz w:val="20"/>
                <w:szCs w:val="20"/>
              </w:rPr>
              <w:t>0.04</w:t>
            </w:r>
            <w:r w:rsidRPr="00D22494">
              <w:rPr>
                <w:sz w:val="20"/>
                <w:szCs w:val="20"/>
              </w:rPr>
              <w:t>4</w:t>
            </w:r>
          </w:p>
        </w:tc>
        <w:tc>
          <w:tcPr>
            <w:tcW w:w="3172" w:type="dxa"/>
            <w:tcBorders>
              <w:top w:val="nil"/>
              <w:left w:val="double" w:sz="4" w:space="0" w:color="auto"/>
              <w:bottom w:val="nil"/>
            </w:tcBorders>
            <w:shd w:val="clear" w:color="auto" w:fill="FFFFFF" w:themeFill="background1"/>
            <w:tcMar>
              <w:left w:w="43" w:type="dxa"/>
            </w:tcMar>
          </w:tcPr>
          <w:p w14:paraId="0EB090AB" w14:textId="32D315D6" w:rsidR="00432BEC" w:rsidRPr="00D22494" w:rsidRDefault="00432BEC" w:rsidP="00CE36A9">
            <w:pPr>
              <w:spacing w:before="0" w:after="0" w:line="240" w:lineRule="auto"/>
              <w:jc w:val="left"/>
              <w:rPr>
                <w:sz w:val="20"/>
                <w:szCs w:val="20"/>
              </w:rPr>
            </w:pPr>
            <w:r w:rsidRPr="00D22494">
              <w:rPr>
                <w:sz w:val="20"/>
                <w:szCs w:val="20"/>
              </w:rPr>
              <w:t>Texas Education Agency – 2021</w:t>
            </w:r>
          </w:p>
        </w:tc>
      </w:tr>
      <w:tr w:rsidR="00432BEC" w:rsidRPr="00D22494" w14:paraId="0D9DE089"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tcPr>
          <w:p w14:paraId="7EAE6F95" w14:textId="77777777" w:rsidR="00432BEC" w:rsidRPr="00D22494" w:rsidRDefault="00432BEC" w:rsidP="00CE36A9">
            <w:pPr>
              <w:spacing w:before="0" w:after="0" w:line="240" w:lineRule="auto"/>
              <w:jc w:val="left"/>
              <w:rPr>
                <w:sz w:val="20"/>
                <w:szCs w:val="20"/>
              </w:rPr>
            </w:pPr>
            <w:r w:rsidRPr="00D22494">
              <w:rPr>
                <w:b/>
                <w:i/>
                <w:sz w:val="20"/>
                <w:szCs w:val="20"/>
              </w:rPr>
              <w:t>Transit Availability</w:t>
            </w:r>
          </w:p>
        </w:tc>
        <w:tc>
          <w:tcPr>
            <w:tcW w:w="1085" w:type="dxa"/>
            <w:tcBorders>
              <w:top w:val="nil"/>
              <w:left w:val="double" w:sz="4" w:space="0" w:color="auto"/>
              <w:bottom w:val="nil"/>
              <w:right w:val="single" w:sz="4" w:space="0" w:color="auto"/>
            </w:tcBorders>
            <w:shd w:val="clear" w:color="auto" w:fill="FFFFFF" w:themeFill="background1"/>
            <w:tcMar>
              <w:left w:w="43" w:type="dxa"/>
            </w:tcMar>
          </w:tcPr>
          <w:p w14:paraId="04FBA251" w14:textId="77777777" w:rsidR="00432BEC" w:rsidRPr="00D22494" w:rsidRDefault="00432BEC" w:rsidP="00CE36A9">
            <w:pPr>
              <w:spacing w:before="0" w:after="0" w:line="240" w:lineRule="auto"/>
              <w:jc w:val="left"/>
              <w:rPr>
                <w:sz w:val="20"/>
                <w:szCs w:val="20"/>
              </w:rPr>
            </w:pP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448EA237" w14:textId="77777777" w:rsidR="00432BEC" w:rsidRPr="00D22494" w:rsidRDefault="00432BEC" w:rsidP="00CE36A9">
            <w:pPr>
              <w:spacing w:before="0" w:after="0" w:line="240" w:lineRule="auto"/>
              <w:jc w:val="right"/>
              <w:rPr>
                <w:sz w:val="20"/>
                <w:szCs w:val="20"/>
              </w:rPr>
            </w:pPr>
          </w:p>
        </w:tc>
        <w:tc>
          <w:tcPr>
            <w:tcW w:w="1041" w:type="dxa"/>
            <w:tcBorders>
              <w:top w:val="nil"/>
              <w:left w:val="double" w:sz="4" w:space="0" w:color="auto"/>
              <w:bottom w:val="nil"/>
              <w:right w:val="single" w:sz="4" w:space="0" w:color="auto"/>
            </w:tcBorders>
            <w:shd w:val="clear" w:color="auto" w:fill="FFFFFF" w:themeFill="background1"/>
            <w:tcMar>
              <w:left w:w="43" w:type="dxa"/>
            </w:tcMar>
          </w:tcPr>
          <w:p w14:paraId="2EF1F8F0" w14:textId="77777777" w:rsidR="00432BEC" w:rsidRPr="00D22494" w:rsidRDefault="00432BEC" w:rsidP="00CE36A9">
            <w:pPr>
              <w:spacing w:before="0" w:after="0" w:line="240" w:lineRule="auto"/>
              <w:jc w:val="right"/>
              <w:rPr>
                <w:sz w:val="20"/>
                <w:szCs w:val="20"/>
              </w:rPr>
            </w:pP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13E7EAAE" w14:textId="77777777" w:rsidR="00432BEC" w:rsidRPr="00D22494" w:rsidRDefault="00432BEC" w:rsidP="00CE36A9">
            <w:pPr>
              <w:spacing w:before="0" w:after="0" w:line="240" w:lineRule="auto"/>
              <w:jc w:val="right"/>
              <w:rPr>
                <w:sz w:val="20"/>
                <w:szCs w:val="20"/>
              </w:rPr>
            </w:pPr>
          </w:p>
        </w:tc>
        <w:tc>
          <w:tcPr>
            <w:tcW w:w="1080" w:type="dxa"/>
            <w:tcBorders>
              <w:top w:val="nil"/>
              <w:left w:val="double" w:sz="4" w:space="0" w:color="auto"/>
              <w:bottom w:val="nil"/>
              <w:right w:val="single" w:sz="4" w:space="0" w:color="auto"/>
            </w:tcBorders>
            <w:shd w:val="clear" w:color="auto" w:fill="FFFFFF" w:themeFill="background1"/>
            <w:tcMar>
              <w:left w:w="43" w:type="dxa"/>
            </w:tcMar>
          </w:tcPr>
          <w:p w14:paraId="4322C05F" w14:textId="77777777" w:rsidR="00432BEC" w:rsidRPr="00D22494" w:rsidRDefault="00432BEC" w:rsidP="00CE36A9">
            <w:pPr>
              <w:spacing w:before="0" w:after="0" w:line="240" w:lineRule="auto"/>
              <w:jc w:val="right"/>
              <w:rPr>
                <w:sz w:val="20"/>
                <w:szCs w:val="20"/>
              </w:rPr>
            </w:pP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273AC7F7" w14:textId="77777777" w:rsidR="00432BEC" w:rsidRPr="00D22494" w:rsidRDefault="00432BEC" w:rsidP="00CE36A9">
            <w:pPr>
              <w:spacing w:before="0" w:after="0" w:line="240" w:lineRule="auto"/>
              <w:jc w:val="right"/>
              <w:rPr>
                <w:sz w:val="20"/>
                <w:szCs w:val="20"/>
              </w:rPr>
            </w:pPr>
          </w:p>
        </w:tc>
        <w:tc>
          <w:tcPr>
            <w:tcW w:w="3172" w:type="dxa"/>
            <w:tcBorders>
              <w:top w:val="nil"/>
              <w:left w:val="double" w:sz="4" w:space="0" w:color="auto"/>
              <w:bottom w:val="nil"/>
            </w:tcBorders>
            <w:shd w:val="clear" w:color="auto" w:fill="FFFFFF" w:themeFill="background1"/>
            <w:tcMar>
              <w:left w:w="43" w:type="dxa"/>
            </w:tcMar>
          </w:tcPr>
          <w:p w14:paraId="15162533" w14:textId="39AEA6C2" w:rsidR="00432BEC" w:rsidRPr="00D22494" w:rsidRDefault="00BA43BD" w:rsidP="00CE36A9">
            <w:pPr>
              <w:spacing w:before="0" w:after="0" w:line="240" w:lineRule="auto"/>
              <w:jc w:val="left"/>
              <w:rPr>
                <w:sz w:val="20"/>
                <w:szCs w:val="20"/>
              </w:rPr>
            </w:pPr>
            <w:r w:rsidRPr="00D22494">
              <w:rPr>
                <w:sz w:val="20"/>
                <w:szCs w:val="20"/>
              </w:rPr>
              <w:t>Metropolitan Transit Authority of</w:t>
            </w:r>
          </w:p>
        </w:tc>
      </w:tr>
      <w:tr w:rsidR="00432BEC" w:rsidRPr="00D22494" w14:paraId="16FA9F9A"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7CBB946C" w14:textId="77777777" w:rsidR="00432BEC" w:rsidRPr="00D22494" w:rsidRDefault="00432BEC" w:rsidP="00CE36A9">
            <w:pPr>
              <w:spacing w:before="0" w:after="0" w:line="240" w:lineRule="auto"/>
              <w:ind w:left="129"/>
              <w:jc w:val="left"/>
              <w:rPr>
                <w:sz w:val="20"/>
                <w:szCs w:val="20"/>
              </w:rPr>
            </w:pPr>
            <w:r w:rsidRPr="00D22494">
              <w:rPr>
                <w:sz w:val="20"/>
                <w:szCs w:val="20"/>
              </w:rPr>
              <w:t># of bus stops per 10 acres</w:t>
            </w:r>
          </w:p>
        </w:tc>
        <w:tc>
          <w:tcPr>
            <w:tcW w:w="1085" w:type="dxa"/>
            <w:tcBorders>
              <w:top w:val="nil"/>
              <w:left w:val="double" w:sz="4" w:space="0" w:color="auto"/>
              <w:bottom w:val="nil"/>
              <w:right w:val="single" w:sz="4" w:space="0" w:color="auto"/>
            </w:tcBorders>
            <w:shd w:val="clear" w:color="auto" w:fill="FFFFFF" w:themeFill="background1"/>
            <w:tcMar>
              <w:left w:w="43" w:type="dxa"/>
            </w:tcMar>
            <w:hideMark/>
          </w:tcPr>
          <w:p w14:paraId="4339FD54" w14:textId="77777777" w:rsidR="00432BEC" w:rsidRPr="00F12B2F" w:rsidRDefault="00432BEC" w:rsidP="00CE36A9">
            <w:pPr>
              <w:spacing w:before="0" w:after="0" w:line="240" w:lineRule="auto"/>
              <w:jc w:val="right"/>
              <w:rPr>
                <w:sz w:val="20"/>
                <w:szCs w:val="20"/>
              </w:rPr>
            </w:pPr>
            <w:r w:rsidRPr="00F12B2F">
              <w:rPr>
                <w:sz w:val="20"/>
                <w:szCs w:val="20"/>
              </w:rPr>
              <w:t>0.17</w:t>
            </w:r>
            <w:r w:rsidRPr="00D22494">
              <w:rPr>
                <w:sz w:val="20"/>
                <w:szCs w:val="20"/>
              </w:rPr>
              <w:t>4</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22B8505E" w14:textId="77777777" w:rsidR="00432BEC" w:rsidRPr="00F12B2F" w:rsidRDefault="00432BEC" w:rsidP="00CE36A9">
            <w:pPr>
              <w:spacing w:before="0" w:after="0" w:line="240" w:lineRule="auto"/>
              <w:jc w:val="right"/>
              <w:rPr>
                <w:sz w:val="20"/>
                <w:szCs w:val="20"/>
              </w:rPr>
            </w:pPr>
            <w:r w:rsidRPr="00D22494">
              <w:rPr>
                <w:sz w:val="20"/>
                <w:szCs w:val="20"/>
              </w:rPr>
              <w:t>0.289</w:t>
            </w:r>
          </w:p>
        </w:tc>
        <w:tc>
          <w:tcPr>
            <w:tcW w:w="1041" w:type="dxa"/>
            <w:tcBorders>
              <w:top w:val="nil"/>
              <w:left w:val="double" w:sz="4" w:space="0" w:color="auto"/>
              <w:bottom w:val="nil"/>
              <w:right w:val="single" w:sz="4" w:space="0" w:color="auto"/>
            </w:tcBorders>
            <w:shd w:val="clear" w:color="auto" w:fill="FFFFFF" w:themeFill="background1"/>
            <w:tcMar>
              <w:left w:w="43" w:type="dxa"/>
            </w:tcMar>
            <w:hideMark/>
          </w:tcPr>
          <w:p w14:paraId="13EFD941" w14:textId="77777777" w:rsidR="00432BEC" w:rsidRPr="00F12B2F" w:rsidRDefault="00432BEC" w:rsidP="00CE36A9">
            <w:pPr>
              <w:spacing w:before="0" w:after="0" w:line="240" w:lineRule="auto"/>
              <w:jc w:val="right"/>
              <w:rPr>
                <w:sz w:val="20"/>
                <w:szCs w:val="20"/>
              </w:rPr>
            </w:pPr>
            <w:r w:rsidRPr="00F12B2F">
              <w:rPr>
                <w:sz w:val="20"/>
                <w:szCs w:val="20"/>
              </w:rPr>
              <w:t>0</w:t>
            </w:r>
            <w:r w:rsidRPr="00D22494">
              <w:rPr>
                <w:sz w:val="20"/>
                <w:szCs w:val="20"/>
              </w:rPr>
              <w:t>.</w:t>
            </w:r>
            <w:r w:rsidRPr="00F12B2F">
              <w:rPr>
                <w:sz w:val="20"/>
                <w:szCs w:val="20"/>
              </w:rPr>
              <w:t>29</w:t>
            </w:r>
            <w:r w:rsidRPr="00D22494">
              <w:rPr>
                <w:sz w:val="20"/>
                <w:szCs w:val="20"/>
              </w:rPr>
              <w:t>1</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736E4171" w14:textId="77777777" w:rsidR="00432BEC" w:rsidRPr="00F12B2F" w:rsidRDefault="00432BEC" w:rsidP="00CE36A9">
            <w:pPr>
              <w:spacing w:before="0" w:after="0" w:line="240" w:lineRule="auto"/>
              <w:jc w:val="right"/>
              <w:rPr>
                <w:sz w:val="20"/>
                <w:szCs w:val="20"/>
              </w:rPr>
            </w:pPr>
            <w:r w:rsidRPr="00F12B2F">
              <w:rPr>
                <w:sz w:val="20"/>
                <w:szCs w:val="20"/>
              </w:rPr>
              <w:t>0.330</w:t>
            </w:r>
          </w:p>
        </w:tc>
        <w:tc>
          <w:tcPr>
            <w:tcW w:w="1080" w:type="dxa"/>
            <w:tcBorders>
              <w:top w:val="nil"/>
              <w:left w:val="double" w:sz="4" w:space="0" w:color="auto"/>
              <w:bottom w:val="nil"/>
              <w:right w:val="single" w:sz="4" w:space="0" w:color="auto"/>
            </w:tcBorders>
            <w:shd w:val="clear" w:color="auto" w:fill="FFFFFF" w:themeFill="background1"/>
            <w:tcMar>
              <w:left w:w="43" w:type="dxa"/>
            </w:tcMar>
            <w:hideMark/>
          </w:tcPr>
          <w:p w14:paraId="67D17A0B" w14:textId="77777777" w:rsidR="00432BEC" w:rsidRPr="00F12B2F" w:rsidRDefault="00432BEC" w:rsidP="00CE36A9">
            <w:pPr>
              <w:spacing w:before="0" w:after="0" w:line="240" w:lineRule="auto"/>
              <w:jc w:val="right"/>
              <w:rPr>
                <w:sz w:val="20"/>
                <w:szCs w:val="20"/>
              </w:rPr>
            </w:pPr>
            <w:r w:rsidRPr="00D22494">
              <w:rPr>
                <w:sz w:val="20"/>
                <w:szCs w:val="20"/>
              </w:rPr>
              <w:t>0.</w:t>
            </w:r>
            <w:r w:rsidRPr="00F12B2F">
              <w:rPr>
                <w:sz w:val="20"/>
                <w:szCs w:val="20"/>
              </w:rPr>
              <w:t>15</w:t>
            </w:r>
            <w:r w:rsidRPr="00D22494">
              <w:rPr>
                <w:sz w:val="20"/>
                <w:szCs w:val="20"/>
              </w:rPr>
              <w:t>3</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6A43EAB6" w14:textId="77777777" w:rsidR="00432BEC" w:rsidRPr="00F12B2F" w:rsidRDefault="00432BEC" w:rsidP="00CE36A9">
            <w:pPr>
              <w:spacing w:before="0" w:after="0" w:line="240" w:lineRule="auto"/>
              <w:jc w:val="right"/>
              <w:rPr>
                <w:sz w:val="20"/>
                <w:szCs w:val="20"/>
              </w:rPr>
            </w:pPr>
            <w:r w:rsidRPr="00F12B2F">
              <w:rPr>
                <w:sz w:val="20"/>
                <w:szCs w:val="20"/>
              </w:rPr>
              <w:t>0</w:t>
            </w:r>
            <w:r w:rsidRPr="00D22494">
              <w:rPr>
                <w:sz w:val="20"/>
                <w:szCs w:val="20"/>
              </w:rPr>
              <w:t>.</w:t>
            </w:r>
            <w:r w:rsidRPr="00F12B2F">
              <w:rPr>
                <w:sz w:val="20"/>
                <w:szCs w:val="20"/>
              </w:rPr>
              <w:t>2</w:t>
            </w:r>
            <w:r w:rsidRPr="00D22494">
              <w:rPr>
                <w:sz w:val="20"/>
                <w:szCs w:val="20"/>
              </w:rPr>
              <w:t>89</w:t>
            </w:r>
          </w:p>
        </w:tc>
        <w:tc>
          <w:tcPr>
            <w:tcW w:w="3172" w:type="dxa"/>
            <w:tcBorders>
              <w:top w:val="nil"/>
              <w:left w:val="double" w:sz="4" w:space="0" w:color="auto"/>
              <w:bottom w:val="nil"/>
            </w:tcBorders>
            <w:shd w:val="clear" w:color="auto" w:fill="FFFFFF" w:themeFill="background1"/>
            <w:tcMar>
              <w:left w:w="43" w:type="dxa"/>
            </w:tcMar>
            <w:hideMark/>
          </w:tcPr>
          <w:p w14:paraId="4A90257A" w14:textId="323F18FE" w:rsidR="00432BEC" w:rsidRPr="00D22494" w:rsidRDefault="00432BEC" w:rsidP="00CE36A9">
            <w:pPr>
              <w:spacing w:before="0" w:after="0" w:line="240" w:lineRule="auto"/>
              <w:jc w:val="left"/>
              <w:rPr>
                <w:sz w:val="20"/>
                <w:szCs w:val="20"/>
              </w:rPr>
            </w:pPr>
            <w:r w:rsidRPr="00D22494">
              <w:rPr>
                <w:sz w:val="20"/>
                <w:szCs w:val="20"/>
              </w:rPr>
              <w:t>Harris County – 2018</w:t>
            </w:r>
          </w:p>
        </w:tc>
      </w:tr>
      <w:tr w:rsidR="00432BEC" w:rsidRPr="00D22494" w14:paraId="51AEA46D"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tcPr>
          <w:p w14:paraId="27C9881A" w14:textId="77777777" w:rsidR="00432BEC" w:rsidRPr="00D22494" w:rsidRDefault="00432BEC" w:rsidP="00CE36A9">
            <w:pPr>
              <w:spacing w:before="0" w:after="0" w:line="240" w:lineRule="auto"/>
              <w:jc w:val="left"/>
              <w:rPr>
                <w:sz w:val="20"/>
                <w:szCs w:val="20"/>
              </w:rPr>
            </w:pPr>
            <w:r w:rsidRPr="00D22494">
              <w:rPr>
                <w:b/>
                <w:i/>
                <w:sz w:val="20"/>
                <w:szCs w:val="20"/>
              </w:rPr>
              <w:t>Road Design</w:t>
            </w:r>
          </w:p>
        </w:tc>
        <w:tc>
          <w:tcPr>
            <w:tcW w:w="1085" w:type="dxa"/>
            <w:tcBorders>
              <w:top w:val="nil"/>
              <w:left w:val="double" w:sz="4" w:space="0" w:color="auto"/>
              <w:bottom w:val="nil"/>
              <w:right w:val="single" w:sz="4" w:space="0" w:color="auto"/>
            </w:tcBorders>
            <w:shd w:val="clear" w:color="auto" w:fill="FFFFFF" w:themeFill="background1"/>
            <w:tcMar>
              <w:left w:w="43" w:type="dxa"/>
            </w:tcMar>
          </w:tcPr>
          <w:p w14:paraId="797706EA" w14:textId="77777777" w:rsidR="00432BEC" w:rsidRPr="00D22494" w:rsidRDefault="00432BEC" w:rsidP="00CE36A9">
            <w:pPr>
              <w:spacing w:before="0" w:after="0" w:line="240" w:lineRule="auto"/>
              <w:jc w:val="right"/>
              <w:rPr>
                <w:sz w:val="20"/>
                <w:szCs w:val="20"/>
              </w:rPr>
            </w:pPr>
          </w:p>
        </w:tc>
        <w:tc>
          <w:tcPr>
            <w:tcW w:w="1063" w:type="dxa"/>
            <w:tcBorders>
              <w:top w:val="nil"/>
              <w:left w:val="single" w:sz="4" w:space="0" w:color="auto"/>
              <w:bottom w:val="nil"/>
              <w:right w:val="double" w:sz="4" w:space="0" w:color="auto"/>
            </w:tcBorders>
            <w:shd w:val="clear" w:color="auto" w:fill="FFFFFF" w:themeFill="background1"/>
            <w:tcMar>
              <w:left w:w="43" w:type="dxa"/>
            </w:tcMar>
          </w:tcPr>
          <w:p w14:paraId="6651250F" w14:textId="77777777" w:rsidR="00432BEC" w:rsidRPr="00D22494" w:rsidRDefault="00432BEC" w:rsidP="00CE36A9">
            <w:pPr>
              <w:spacing w:before="0" w:after="0" w:line="240" w:lineRule="auto"/>
              <w:jc w:val="right"/>
              <w:rPr>
                <w:sz w:val="20"/>
                <w:szCs w:val="20"/>
              </w:rPr>
            </w:pPr>
          </w:p>
        </w:tc>
        <w:tc>
          <w:tcPr>
            <w:tcW w:w="1041" w:type="dxa"/>
            <w:tcBorders>
              <w:top w:val="nil"/>
              <w:left w:val="double" w:sz="4" w:space="0" w:color="auto"/>
              <w:bottom w:val="nil"/>
              <w:right w:val="single" w:sz="4" w:space="0" w:color="auto"/>
            </w:tcBorders>
            <w:shd w:val="clear" w:color="auto" w:fill="FFFFFF" w:themeFill="background1"/>
            <w:tcMar>
              <w:left w:w="43" w:type="dxa"/>
            </w:tcMar>
          </w:tcPr>
          <w:p w14:paraId="52079993" w14:textId="77777777" w:rsidR="00432BEC" w:rsidRPr="00D22494" w:rsidRDefault="00432BEC" w:rsidP="00CE36A9">
            <w:pPr>
              <w:spacing w:before="0" w:after="0" w:line="240" w:lineRule="auto"/>
              <w:jc w:val="right"/>
              <w:rPr>
                <w:sz w:val="20"/>
                <w:szCs w:val="20"/>
              </w:rPr>
            </w:pPr>
          </w:p>
        </w:tc>
        <w:tc>
          <w:tcPr>
            <w:tcW w:w="1019" w:type="dxa"/>
            <w:tcBorders>
              <w:top w:val="nil"/>
              <w:left w:val="single" w:sz="4" w:space="0" w:color="auto"/>
              <w:bottom w:val="nil"/>
              <w:right w:val="double" w:sz="4" w:space="0" w:color="auto"/>
            </w:tcBorders>
            <w:shd w:val="clear" w:color="auto" w:fill="FFFFFF" w:themeFill="background1"/>
            <w:tcMar>
              <w:left w:w="43" w:type="dxa"/>
            </w:tcMar>
          </w:tcPr>
          <w:p w14:paraId="089B702D" w14:textId="77777777" w:rsidR="00432BEC" w:rsidRPr="00D22494" w:rsidRDefault="00432BEC" w:rsidP="00CE36A9">
            <w:pPr>
              <w:spacing w:before="0" w:after="0" w:line="240" w:lineRule="auto"/>
              <w:jc w:val="right"/>
              <w:rPr>
                <w:sz w:val="20"/>
                <w:szCs w:val="20"/>
              </w:rPr>
            </w:pPr>
          </w:p>
        </w:tc>
        <w:tc>
          <w:tcPr>
            <w:tcW w:w="1080" w:type="dxa"/>
            <w:tcBorders>
              <w:top w:val="nil"/>
              <w:left w:val="double" w:sz="4" w:space="0" w:color="auto"/>
              <w:bottom w:val="nil"/>
              <w:right w:val="single" w:sz="4" w:space="0" w:color="auto"/>
            </w:tcBorders>
            <w:shd w:val="clear" w:color="auto" w:fill="FFFFFF" w:themeFill="background1"/>
            <w:tcMar>
              <w:left w:w="43" w:type="dxa"/>
            </w:tcMar>
          </w:tcPr>
          <w:p w14:paraId="4E2B24AC" w14:textId="77777777" w:rsidR="00432BEC" w:rsidRPr="00D22494" w:rsidRDefault="00432BEC" w:rsidP="00CE36A9">
            <w:pPr>
              <w:spacing w:before="0" w:after="0" w:line="240" w:lineRule="auto"/>
              <w:jc w:val="right"/>
              <w:rPr>
                <w:sz w:val="20"/>
                <w:szCs w:val="20"/>
              </w:rPr>
            </w:pPr>
          </w:p>
        </w:tc>
        <w:tc>
          <w:tcPr>
            <w:tcW w:w="990" w:type="dxa"/>
            <w:tcBorders>
              <w:top w:val="nil"/>
              <w:left w:val="single" w:sz="4" w:space="0" w:color="auto"/>
              <w:bottom w:val="nil"/>
              <w:right w:val="double" w:sz="4" w:space="0" w:color="auto"/>
            </w:tcBorders>
            <w:shd w:val="clear" w:color="auto" w:fill="FFFFFF" w:themeFill="background1"/>
            <w:tcMar>
              <w:left w:w="43" w:type="dxa"/>
            </w:tcMar>
          </w:tcPr>
          <w:p w14:paraId="682AA868" w14:textId="77777777" w:rsidR="00432BEC" w:rsidRPr="00D22494" w:rsidRDefault="00432BEC" w:rsidP="00CE36A9">
            <w:pPr>
              <w:spacing w:before="0" w:after="0" w:line="240" w:lineRule="auto"/>
              <w:jc w:val="right"/>
              <w:rPr>
                <w:sz w:val="20"/>
                <w:szCs w:val="20"/>
              </w:rPr>
            </w:pPr>
          </w:p>
        </w:tc>
        <w:tc>
          <w:tcPr>
            <w:tcW w:w="3172" w:type="dxa"/>
            <w:tcBorders>
              <w:top w:val="nil"/>
              <w:left w:val="double" w:sz="4" w:space="0" w:color="auto"/>
              <w:bottom w:val="nil"/>
            </w:tcBorders>
            <w:shd w:val="clear" w:color="auto" w:fill="FFFFFF" w:themeFill="background1"/>
            <w:tcMar>
              <w:left w:w="43" w:type="dxa"/>
            </w:tcMar>
          </w:tcPr>
          <w:p w14:paraId="478B9A63" w14:textId="77777777" w:rsidR="00432BEC" w:rsidRPr="00D22494" w:rsidRDefault="00432BEC" w:rsidP="00CE36A9">
            <w:pPr>
              <w:spacing w:before="0" w:after="0" w:line="240" w:lineRule="auto"/>
              <w:jc w:val="left"/>
              <w:rPr>
                <w:sz w:val="20"/>
                <w:szCs w:val="20"/>
              </w:rPr>
            </w:pPr>
          </w:p>
        </w:tc>
      </w:tr>
      <w:tr w:rsidR="00432BEC" w:rsidRPr="00D22494" w14:paraId="5728EB1A"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33E6C8FC" w14:textId="77777777" w:rsidR="00432BEC" w:rsidRPr="00D22494" w:rsidRDefault="00432BEC" w:rsidP="00CE36A9">
            <w:pPr>
              <w:spacing w:before="0" w:after="0" w:line="240" w:lineRule="auto"/>
              <w:ind w:left="129"/>
              <w:jc w:val="left"/>
              <w:rPr>
                <w:sz w:val="20"/>
                <w:szCs w:val="20"/>
              </w:rPr>
            </w:pPr>
            <w:r w:rsidRPr="00D22494">
              <w:rPr>
                <w:sz w:val="20"/>
                <w:szCs w:val="20"/>
              </w:rPr>
              <w:t># intersections per acre</w:t>
            </w:r>
          </w:p>
        </w:tc>
        <w:tc>
          <w:tcPr>
            <w:tcW w:w="1085" w:type="dxa"/>
            <w:tcBorders>
              <w:top w:val="nil"/>
              <w:left w:val="double" w:sz="4" w:space="0" w:color="auto"/>
              <w:bottom w:val="nil"/>
              <w:right w:val="single" w:sz="4" w:space="0" w:color="auto"/>
            </w:tcBorders>
            <w:shd w:val="clear" w:color="auto" w:fill="FFFFFF" w:themeFill="background1"/>
            <w:tcMar>
              <w:left w:w="43" w:type="dxa"/>
            </w:tcMar>
            <w:hideMark/>
          </w:tcPr>
          <w:p w14:paraId="37B927CA" w14:textId="77777777" w:rsidR="00432BEC" w:rsidRPr="00D22494" w:rsidRDefault="00432BEC" w:rsidP="00CE36A9">
            <w:pPr>
              <w:spacing w:before="0" w:after="0" w:line="240" w:lineRule="auto"/>
              <w:jc w:val="right"/>
              <w:rPr>
                <w:sz w:val="20"/>
                <w:szCs w:val="20"/>
              </w:rPr>
            </w:pPr>
            <w:r w:rsidRPr="00D22494">
              <w:rPr>
                <w:sz w:val="20"/>
                <w:szCs w:val="20"/>
              </w:rPr>
              <w:t>0.076</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55384BB8" w14:textId="77777777" w:rsidR="00432BEC" w:rsidRPr="00D22494" w:rsidRDefault="00432BEC" w:rsidP="00CE36A9">
            <w:pPr>
              <w:spacing w:before="0" w:after="0" w:line="240" w:lineRule="auto"/>
              <w:jc w:val="right"/>
              <w:rPr>
                <w:sz w:val="20"/>
                <w:szCs w:val="20"/>
              </w:rPr>
            </w:pPr>
            <w:r w:rsidRPr="00D22494">
              <w:rPr>
                <w:sz w:val="20"/>
                <w:szCs w:val="20"/>
              </w:rPr>
              <w:t>0.048</w:t>
            </w:r>
          </w:p>
        </w:tc>
        <w:tc>
          <w:tcPr>
            <w:tcW w:w="1041" w:type="dxa"/>
            <w:tcBorders>
              <w:top w:val="nil"/>
              <w:left w:val="double" w:sz="4" w:space="0" w:color="auto"/>
              <w:bottom w:val="nil"/>
              <w:right w:val="single" w:sz="4" w:space="0" w:color="auto"/>
            </w:tcBorders>
            <w:shd w:val="clear" w:color="auto" w:fill="FFFFFF" w:themeFill="background1"/>
            <w:tcMar>
              <w:left w:w="43" w:type="dxa"/>
            </w:tcMar>
            <w:hideMark/>
          </w:tcPr>
          <w:p w14:paraId="6BBDBBCA" w14:textId="77777777" w:rsidR="00432BEC" w:rsidRPr="00D22494" w:rsidRDefault="00432BEC" w:rsidP="00CE36A9">
            <w:pPr>
              <w:spacing w:before="0" w:after="0" w:line="240" w:lineRule="auto"/>
              <w:jc w:val="right"/>
              <w:rPr>
                <w:sz w:val="20"/>
                <w:szCs w:val="20"/>
              </w:rPr>
            </w:pPr>
            <w:r w:rsidRPr="00D22494">
              <w:rPr>
                <w:sz w:val="20"/>
                <w:szCs w:val="20"/>
              </w:rPr>
              <w:t>0.077</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68DA2E70" w14:textId="77777777" w:rsidR="00432BEC" w:rsidRPr="00D22494" w:rsidRDefault="00432BEC" w:rsidP="00CE36A9">
            <w:pPr>
              <w:spacing w:before="0" w:after="0" w:line="240" w:lineRule="auto"/>
              <w:jc w:val="right"/>
              <w:rPr>
                <w:sz w:val="20"/>
                <w:szCs w:val="20"/>
              </w:rPr>
            </w:pPr>
            <w:r w:rsidRPr="00D22494">
              <w:rPr>
                <w:sz w:val="20"/>
                <w:szCs w:val="20"/>
              </w:rPr>
              <w:t>0.045</w:t>
            </w:r>
          </w:p>
        </w:tc>
        <w:tc>
          <w:tcPr>
            <w:tcW w:w="1080" w:type="dxa"/>
            <w:tcBorders>
              <w:top w:val="nil"/>
              <w:left w:val="double" w:sz="4" w:space="0" w:color="auto"/>
              <w:bottom w:val="nil"/>
              <w:right w:val="single" w:sz="4" w:space="0" w:color="auto"/>
            </w:tcBorders>
            <w:shd w:val="clear" w:color="auto" w:fill="FFFFFF" w:themeFill="background1"/>
            <w:tcMar>
              <w:left w:w="43" w:type="dxa"/>
            </w:tcMar>
            <w:hideMark/>
          </w:tcPr>
          <w:p w14:paraId="15347AD9" w14:textId="77777777" w:rsidR="00432BEC" w:rsidRPr="00D22494" w:rsidRDefault="00432BEC" w:rsidP="00CE36A9">
            <w:pPr>
              <w:spacing w:before="0" w:after="0" w:line="240" w:lineRule="auto"/>
              <w:jc w:val="right"/>
              <w:rPr>
                <w:sz w:val="20"/>
                <w:szCs w:val="20"/>
              </w:rPr>
            </w:pPr>
            <w:r w:rsidRPr="00D22494">
              <w:rPr>
                <w:sz w:val="20"/>
                <w:szCs w:val="20"/>
              </w:rPr>
              <w:t>0.076</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1959897C" w14:textId="77777777" w:rsidR="00432BEC" w:rsidRPr="00D22494" w:rsidRDefault="00432BEC" w:rsidP="00CE36A9">
            <w:pPr>
              <w:spacing w:before="0" w:after="0" w:line="240" w:lineRule="auto"/>
              <w:jc w:val="right"/>
              <w:rPr>
                <w:sz w:val="20"/>
                <w:szCs w:val="20"/>
              </w:rPr>
            </w:pPr>
            <w:r w:rsidRPr="00D22494">
              <w:rPr>
                <w:sz w:val="20"/>
                <w:szCs w:val="20"/>
              </w:rPr>
              <w:t>0.048</w:t>
            </w:r>
          </w:p>
        </w:tc>
        <w:tc>
          <w:tcPr>
            <w:tcW w:w="3172" w:type="dxa"/>
            <w:tcBorders>
              <w:top w:val="nil"/>
              <w:left w:val="double" w:sz="4" w:space="0" w:color="auto"/>
              <w:bottom w:val="nil"/>
            </w:tcBorders>
            <w:shd w:val="clear" w:color="auto" w:fill="FFFFFF" w:themeFill="background1"/>
            <w:tcMar>
              <w:left w:w="43" w:type="dxa"/>
            </w:tcMar>
            <w:hideMark/>
          </w:tcPr>
          <w:p w14:paraId="1AFC2BCC"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60BFCF8E"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57D034E9" w14:textId="77777777" w:rsidR="00432BEC" w:rsidRPr="00D22494" w:rsidRDefault="00432BEC" w:rsidP="00CE36A9">
            <w:pPr>
              <w:spacing w:before="0" w:after="0" w:line="240" w:lineRule="auto"/>
              <w:ind w:left="129"/>
              <w:jc w:val="left"/>
              <w:rPr>
                <w:sz w:val="20"/>
                <w:szCs w:val="20"/>
              </w:rPr>
            </w:pPr>
            <w:r w:rsidRPr="00D22494">
              <w:rPr>
                <w:sz w:val="20"/>
                <w:szCs w:val="20"/>
              </w:rPr>
              <w:t>% three-leg intersections</w:t>
            </w:r>
          </w:p>
        </w:tc>
        <w:tc>
          <w:tcPr>
            <w:tcW w:w="1085" w:type="dxa"/>
            <w:tcBorders>
              <w:top w:val="nil"/>
              <w:left w:val="double" w:sz="4" w:space="0" w:color="auto"/>
              <w:bottom w:val="nil"/>
              <w:right w:val="single" w:sz="4" w:space="0" w:color="auto"/>
            </w:tcBorders>
            <w:shd w:val="clear" w:color="auto" w:fill="FFFFFF" w:themeFill="background1"/>
            <w:tcMar>
              <w:left w:w="43" w:type="dxa"/>
            </w:tcMar>
            <w:hideMark/>
          </w:tcPr>
          <w:p w14:paraId="698AC122" w14:textId="77777777" w:rsidR="00432BEC" w:rsidRPr="00D22494" w:rsidRDefault="00432BEC" w:rsidP="00CE36A9">
            <w:pPr>
              <w:spacing w:before="0" w:after="0" w:line="240" w:lineRule="auto"/>
              <w:jc w:val="right"/>
              <w:rPr>
                <w:sz w:val="20"/>
                <w:szCs w:val="20"/>
              </w:rPr>
            </w:pPr>
            <w:r w:rsidRPr="00D22494">
              <w:rPr>
                <w:sz w:val="20"/>
                <w:szCs w:val="20"/>
              </w:rPr>
              <w:t>33.148</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0B20242D" w14:textId="77777777" w:rsidR="00432BEC" w:rsidRPr="00D22494" w:rsidRDefault="00432BEC" w:rsidP="00CE36A9">
            <w:pPr>
              <w:spacing w:before="0" w:after="0" w:line="240" w:lineRule="auto"/>
              <w:jc w:val="right"/>
              <w:rPr>
                <w:sz w:val="20"/>
                <w:szCs w:val="20"/>
              </w:rPr>
            </w:pPr>
            <w:r w:rsidRPr="00D22494">
              <w:rPr>
                <w:sz w:val="20"/>
                <w:szCs w:val="20"/>
              </w:rPr>
              <w:t>16.704</w:t>
            </w:r>
          </w:p>
        </w:tc>
        <w:tc>
          <w:tcPr>
            <w:tcW w:w="1041" w:type="dxa"/>
            <w:tcBorders>
              <w:top w:val="nil"/>
              <w:left w:val="double" w:sz="4" w:space="0" w:color="auto"/>
              <w:bottom w:val="nil"/>
              <w:right w:val="single" w:sz="4" w:space="0" w:color="auto"/>
            </w:tcBorders>
            <w:shd w:val="clear" w:color="auto" w:fill="FFFFFF" w:themeFill="background1"/>
            <w:tcMar>
              <w:left w:w="43" w:type="dxa"/>
            </w:tcMar>
            <w:hideMark/>
          </w:tcPr>
          <w:p w14:paraId="6B187842" w14:textId="77777777" w:rsidR="00432BEC" w:rsidRPr="00D22494" w:rsidRDefault="00432BEC" w:rsidP="00CE36A9">
            <w:pPr>
              <w:spacing w:before="0" w:after="0" w:line="240" w:lineRule="auto"/>
              <w:jc w:val="right"/>
              <w:rPr>
                <w:sz w:val="20"/>
                <w:szCs w:val="20"/>
              </w:rPr>
            </w:pPr>
            <w:r w:rsidRPr="00D22494">
              <w:rPr>
                <w:sz w:val="20"/>
                <w:szCs w:val="20"/>
              </w:rPr>
              <w:t>30.423</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24CA78BC" w14:textId="77777777" w:rsidR="00432BEC" w:rsidRPr="00D22494" w:rsidRDefault="00432BEC" w:rsidP="00CE36A9">
            <w:pPr>
              <w:spacing w:before="0" w:after="0" w:line="240" w:lineRule="auto"/>
              <w:jc w:val="right"/>
              <w:rPr>
                <w:sz w:val="20"/>
                <w:szCs w:val="20"/>
              </w:rPr>
            </w:pPr>
            <w:r w:rsidRPr="00D22494">
              <w:rPr>
                <w:sz w:val="20"/>
                <w:szCs w:val="20"/>
              </w:rPr>
              <w:t>17.189</w:t>
            </w:r>
          </w:p>
        </w:tc>
        <w:tc>
          <w:tcPr>
            <w:tcW w:w="1080" w:type="dxa"/>
            <w:tcBorders>
              <w:top w:val="nil"/>
              <w:left w:val="double" w:sz="4" w:space="0" w:color="auto"/>
              <w:bottom w:val="nil"/>
              <w:right w:val="single" w:sz="4" w:space="0" w:color="auto"/>
            </w:tcBorders>
            <w:shd w:val="clear" w:color="auto" w:fill="FFFFFF" w:themeFill="background1"/>
            <w:tcMar>
              <w:left w:w="43" w:type="dxa"/>
            </w:tcMar>
            <w:hideMark/>
          </w:tcPr>
          <w:p w14:paraId="06868869" w14:textId="77777777" w:rsidR="00432BEC" w:rsidRPr="00D22494" w:rsidRDefault="00432BEC" w:rsidP="00CE36A9">
            <w:pPr>
              <w:spacing w:before="0" w:after="0" w:line="240" w:lineRule="auto"/>
              <w:jc w:val="right"/>
              <w:rPr>
                <w:sz w:val="20"/>
                <w:szCs w:val="20"/>
              </w:rPr>
            </w:pPr>
            <w:r w:rsidRPr="00D22494">
              <w:rPr>
                <w:sz w:val="20"/>
                <w:szCs w:val="20"/>
              </w:rPr>
              <w:t>33.622</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722BDBE3" w14:textId="77777777" w:rsidR="00432BEC" w:rsidRPr="00D22494" w:rsidRDefault="00432BEC" w:rsidP="00CE36A9">
            <w:pPr>
              <w:spacing w:before="0" w:after="0" w:line="240" w:lineRule="auto"/>
              <w:jc w:val="right"/>
              <w:rPr>
                <w:sz w:val="20"/>
                <w:szCs w:val="20"/>
              </w:rPr>
            </w:pPr>
            <w:r w:rsidRPr="00D22494">
              <w:rPr>
                <w:sz w:val="20"/>
                <w:szCs w:val="20"/>
              </w:rPr>
              <w:t>16.576</w:t>
            </w:r>
          </w:p>
        </w:tc>
        <w:tc>
          <w:tcPr>
            <w:tcW w:w="3172" w:type="dxa"/>
            <w:tcBorders>
              <w:top w:val="nil"/>
              <w:left w:val="double" w:sz="4" w:space="0" w:color="auto"/>
              <w:bottom w:val="nil"/>
            </w:tcBorders>
            <w:shd w:val="clear" w:color="auto" w:fill="FFFFFF" w:themeFill="background1"/>
            <w:tcMar>
              <w:left w:w="43" w:type="dxa"/>
            </w:tcMar>
            <w:hideMark/>
          </w:tcPr>
          <w:p w14:paraId="179F9911"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1B1701E5"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398A6522" w14:textId="77777777" w:rsidR="00432BEC" w:rsidRPr="00D22494" w:rsidRDefault="00432BEC" w:rsidP="00CE36A9">
            <w:pPr>
              <w:spacing w:before="0" w:after="0" w:line="240" w:lineRule="auto"/>
              <w:ind w:left="129"/>
              <w:jc w:val="left"/>
              <w:rPr>
                <w:sz w:val="20"/>
                <w:szCs w:val="20"/>
              </w:rPr>
            </w:pPr>
            <w:r w:rsidRPr="00D22494">
              <w:rPr>
                <w:sz w:val="20"/>
                <w:szCs w:val="20"/>
              </w:rPr>
              <w:t>% four or more–leg intersections</w:t>
            </w:r>
          </w:p>
        </w:tc>
        <w:tc>
          <w:tcPr>
            <w:tcW w:w="1085" w:type="dxa"/>
            <w:tcBorders>
              <w:top w:val="nil"/>
              <w:left w:val="double" w:sz="4" w:space="0" w:color="auto"/>
              <w:bottom w:val="nil"/>
              <w:right w:val="single" w:sz="4" w:space="0" w:color="auto"/>
            </w:tcBorders>
            <w:shd w:val="clear" w:color="auto" w:fill="FFFFFF" w:themeFill="background1"/>
            <w:tcMar>
              <w:left w:w="43" w:type="dxa"/>
            </w:tcMar>
            <w:hideMark/>
          </w:tcPr>
          <w:p w14:paraId="0D56AE6F" w14:textId="77777777" w:rsidR="00432BEC" w:rsidRPr="00D22494" w:rsidRDefault="00432BEC" w:rsidP="00CE36A9">
            <w:pPr>
              <w:spacing w:before="0" w:after="0" w:line="240" w:lineRule="auto"/>
              <w:jc w:val="right"/>
              <w:rPr>
                <w:sz w:val="20"/>
                <w:szCs w:val="20"/>
              </w:rPr>
            </w:pPr>
            <w:r w:rsidRPr="00D22494">
              <w:rPr>
                <w:sz w:val="20"/>
                <w:szCs w:val="20"/>
              </w:rPr>
              <w:t>64.626</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516E8D13" w14:textId="77777777" w:rsidR="00432BEC" w:rsidRPr="00D22494" w:rsidRDefault="00432BEC" w:rsidP="00CE36A9">
            <w:pPr>
              <w:spacing w:before="0" w:after="0" w:line="240" w:lineRule="auto"/>
              <w:jc w:val="right"/>
              <w:rPr>
                <w:sz w:val="20"/>
                <w:szCs w:val="20"/>
              </w:rPr>
            </w:pPr>
            <w:r w:rsidRPr="00D22494">
              <w:rPr>
                <w:sz w:val="20"/>
                <w:szCs w:val="20"/>
              </w:rPr>
              <w:t>18.714</w:t>
            </w:r>
          </w:p>
        </w:tc>
        <w:tc>
          <w:tcPr>
            <w:tcW w:w="1041" w:type="dxa"/>
            <w:tcBorders>
              <w:top w:val="nil"/>
              <w:left w:val="double" w:sz="4" w:space="0" w:color="auto"/>
              <w:bottom w:val="nil"/>
              <w:right w:val="single" w:sz="4" w:space="0" w:color="auto"/>
            </w:tcBorders>
            <w:shd w:val="clear" w:color="auto" w:fill="FFFFFF" w:themeFill="background1"/>
            <w:tcMar>
              <w:left w:w="43" w:type="dxa"/>
            </w:tcMar>
            <w:hideMark/>
          </w:tcPr>
          <w:p w14:paraId="1926E6F3" w14:textId="77777777" w:rsidR="00432BEC" w:rsidRPr="00D22494" w:rsidRDefault="00432BEC" w:rsidP="00CE36A9">
            <w:pPr>
              <w:spacing w:before="0" w:after="0" w:line="240" w:lineRule="auto"/>
              <w:jc w:val="right"/>
              <w:rPr>
                <w:sz w:val="20"/>
                <w:szCs w:val="20"/>
              </w:rPr>
            </w:pPr>
            <w:r w:rsidRPr="00D22494">
              <w:rPr>
                <w:sz w:val="20"/>
                <w:szCs w:val="20"/>
              </w:rPr>
              <w:t>66.434</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0476B1FA" w14:textId="77777777" w:rsidR="00432BEC" w:rsidRPr="00D22494" w:rsidRDefault="00432BEC" w:rsidP="00CE36A9">
            <w:pPr>
              <w:spacing w:before="0" w:after="0" w:line="240" w:lineRule="auto"/>
              <w:jc w:val="right"/>
              <w:rPr>
                <w:sz w:val="20"/>
                <w:szCs w:val="20"/>
              </w:rPr>
            </w:pPr>
            <w:r w:rsidRPr="00D22494">
              <w:rPr>
                <w:sz w:val="20"/>
                <w:szCs w:val="20"/>
              </w:rPr>
              <w:t>20.261</w:t>
            </w:r>
          </w:p>
        </w:tc>
        <w:tc>
          <w:tcPr>
            <w:tcW w:w="1080" w:type="dxa"/>
            <w:tcBorders>
              <w:top w:val="nil"/>
              <w:left w:val="double" w:sz="4" w:space="0" w:color="auto"/>
              <w:bottom w:val="nil"/>
              <w:right w:val="single" w:sz="4" w:space="0" w:color="auto"/>
            </w:tcBorders>
            <w:shd w:val="clear" w:color="auto" w:fill="FFFFFF" w:themeFill="background1"/>
            <w:tcMar>
              <w:left w:w="43" w:type="dxa"/>
            </w:tcMar>
            <w:hideMark/>
          </w:tcPr>
          <w:p w14:paraId="5896720D" w14:textId="77777777" w:rsidR="00432BEC" w:rsidRPr="00D22494" w:rsidRDefault="00432BEC" w:rsidP="00CE36A9">
            <w:pPr>
              <w:spacing w:before="0" w:after="0" w:line="240" w:lineRule="auto"/>
              <w:jc w:val="right"/>
              <w:rPr>
                <w:sz w:val="20"/>
                <w:szCs w:val="20"/>
              </w:rPr>
            </w:pPr>
            <w:r w:rsidRPr="00D22494">
              <w:rPr>
                <w:sz w:val="20"/>
                <w:szCs w:val="20"/>
              </w:rPr>
              <w:t>64.311</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1EA23956" w14:textId="77777777" w:rsidR="00432BEC" w:rsidRPr="00D22494" w:rsidRDefault="00432BEC" w:rsidP="00CE36A9">
            <w:pPr>
              <w:spacing w:before="0" w:after="0" w:line="240" w:lineRule="auto"/>
              <w:jc w:val="right"/>
              <w:rPr>
                <w:sz w:val="20"/>
                <w:szCs w:val="20"/>
              </w:rPr>
            </w:pPr>
            <w:r w:rsidRPr="00D22494">
              <w:rPr>
                <w:sz w:val="20"/>
                <w:szCs w:val="20"/>
              </w:rPr>
              <w:t>18.418</w:t>
            </w:r>
          </w:p>
        </w:tc>
        <w:tc>
          <w:tcPr>
            <w:tcW w:w="3172" w:type="dxa"/>
            <w:tcBorders>
              <w:top w:val="nil"/>
              <w:left w:val="double" w:sz="4" w:space="0" w:color="auto"/>
              <w:bottom w:val="nil"/>
            </w:tcBorders>
            <w:shd w:val="clear" w:color="auto" w:fill="FFFFFF" w:themeFill="background1"/>
            <w:tcMar>
              <w:left w:w="43" w:type="dxa"/>
            </w:tcMar>
            <w:hideMark/>
          </w:tcPr>
          <w:p w14:paraId="507E5F33"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5EC0610C"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hideMark/>
          </w:tcPr>
          <w:p w14:paraId="5CB063EA" w14:textId="77777777" w:rsidR="00432BEC" w:rsidRPr="00D22494" w:rsidRDefault="00432BEC" w:rsidP="00CE36A9">
            <w:pPr>
              <w:spacing w:before="0" w:after="0" w:line="240" w:lineRule="auto"/>
              <w:ind w:left="129"/>
              <w:jc w:val="left"/>
              <w:rPr>
                <w:sz w:val="20"/>
                <w:szCs w:val="20"/>
              </w:rPr>
            </w:pPr>
            <w:r w:rsidRPr="00D22494">
              <w:rPr>
                <w:sz w:val="20"/>
                <w:szCs w:val="20"/>
              </w:rPr>
              <w:t># traffic signals relative to # of intersections</w:t>
            </w:r>
          </w:p>
        </w:tc>
        <w:tc>
          <w:tcPr>
            <w:tcW w:w="1085" w:type="dxa"/>
            <w:tcBorders>
              <w:top w:val="nil"/>
              <w:left w:val="double" w:sz="4" w:space="0" w:color="auto"/>
              <w:bottom w:val="nil"/>
              <w:right w:val="single" w:sz="4" w:space="0" w:color="auto"/>
            </w:tcBorders>
            <w:shd w:val="clear" w:color="auto" w:fill="FFFFFF" w:themeFill="background1"/>
            <w:tcMar>
              <w:left w:w="43" w:type="dxa"/>
            </w:tcMar>
            <w:hideMark/>
          </w:tcPr>
          <w:p w14:paraId="75F5EAE9" w14:textId="77777777" w:rsidR="00432BEC" w:rsidRPr="00D22494" w:rsidRDefault="00432BEC" w:rsidP="00CE36A9">
            <w:pPr>
              <w:spacing w:before="0" w:after="0" w:line="240" w:lineRule="auto"/>
              <w:jc w:val="right"/>
              <w:rPr>
                <w:sz w:val="20"/>
                <w:szCs w:val="20"/>
              </w:rPr>
            </w:pPr>
            <w:r w:rsidRPr="00D22494">
              <w:rPr>
                <w:sz w:val="20"/>
                <w:szCs w:val="20"/>
              </w:rPr>
              <w:t>0.232</w:t>
            </w:r>
          </w:p>
        </w:tc>
        <w:tc>
          <w:tcPr>
            <w:tcW w:w="1063" w:type="dxa"/>
            <w:tcBorders>
              <w:top w:val="nil"/>
              <w:left w:val="single" w:sz="4" w:space="0" w:color="auto"/>
              <w:bottom w:val="nil"/>
              <w:right w:val="double" w:sz="4" w:space="0" w:color="auto"/>
            </w:tcBorders>
            <w:shd w:val="clear" w:color="auto" w:fill="FFFFFF" w:themeFill="background1"/>
            <w:tcMar>
              <w:left w:w="43" w:type="dxa"/>
            </w:tcMar>
            <w:hideMark/>
          </w:tcPr>
          <w:p w14:paraId="7641E3DA" w14:textId="77777777" w:rsidR="00432BEC" w:rsidRPr="00D22494" w:rsidRDefault="00432BEC" w:rsidP="00CE36A9">
            <w:pPr>
              <w:spacing w:before="0" w:after="0" w:line="240" w:lineRule="auto"/>
              <w:jc w:val="right"/>
              <w:rPr>
                <w:sz w:val="20"/>
                <w:szCs w:val="20"/>
              </w:rPr>
            </w:pPr>
            <w:r w:rsidRPr="00D22494">
              <w:rPr>
                <w:sz w:val="20"/>
                <w:szCs w:val="20"/>
              </w:rPr>
              <w:t>0.428</w:t>
            </w:r>
          </w:p>
        </w:tc>
        <w:tc>
          <w:tcPr>
            <w:tcW w:w="1041" w:type="dxa"/>
            <w:tcBorders>
              <w:top w:val="nil"/>
              <w:left w:val="double" w:sz="4" w:space="0" w:color="auto"/>
              <w:bottom w:val="nil"/>
              <w:right w:val="single" w:sz="4" w:space="0" w:color="auto"/>
            </w:tcBorders>
            <w:shd w:val="clear" w:color="auto" w:fill="FFFFFF" w:themeFill="background1"/>
            <w:tcMar>
              <w:left w:w="43" w:type="dxa"/>
            </w:tcMar>
            <w:hideMark/>
          </w:tcPr>
          <w:p w14:paraId="58CF2219" w14:textId="77777777" w:rsidR="00432BEC" w:rsidRPr="00D22494" w:rsidRDefault="00432BEC" w:rsidP="00CE36A9">
            <w:pPr>
              <w:spacing w:before="0" w:after="0" w:line="240" w:lineRule="auto"/>
              <w:jc w:val="right"/>
              <w:rPr>
                <w:sz w:val="20"/>
                <w:szCs w:val="20"/>
              </w:rPr>
            </w:pPr>
            <w:r w:rsidRPr="00D22494">
              <w:rPr>
                <w:sz w:val="20"/>
                <w:szCs w:val="20"/>
              </w:rPr>
              <w:t>0.238</w:t>
            </w:r>
          </w:p>
        </w:tc>
        <w:tc>
          <w:tcPr>
            <w:tcW w:w="1019" w:type="dxa"/>
            <w:tcBorders>
              <w:top w:val="nil"/>
              <w:left w:val="single" w:sz="4" w:space="0" w:color="auto"/>
              <w:bottom w:val="nil"/>
              <w:right w:val="double" w:sz="4" w:space="0" w:color="auto"/>
            </w:tcBorders>
            <w:shd w:val="clear" w:color="auto" w:fill="FFFFFF" w:themeFill="background1"/>
            <w:tcMar>
              <w:left w:w="43" w:type="dxa"/>
            </w:tcMar>
            <w:hideMark/>
          </w:tcPr>
          <w:p w14:paraId="1D5BF552" w14:textId="77777777" w:rsidR="00432BEC" w:rsidRPr="00D22494" w:rsidRDefault="00432BEC" w:rsidP="00CE36A9">
            <w:pPr>
              <w:spacing w:before="0" w:after="0" w:line="240" w:lineRule="auto"/>
              <w:jc w:val="right"/>
              <w:rPr>
                <w:sz w:val="20"/>
                <w:szCs w:val="20"/>
              </w:rPr>
            </w:pPr>
            <w:r w:rsidRPr="00D22494">
              <w:rPr>
                <w:sz w:val="20"/>
                <w:szCs w:val="20"/>
              </w:rPr>
              <w:t>0.340</w:t>
            </w:r>
          </w:p>
        </w:tc>
        <w:tc>
          <w:tcPr>
            <w:tcW w:w="1080" w:type="dxa"/>
            <w:tcBorders>
              <w:top w:val="nil"/>
              <w:left w:val="double" w:sz="4" w:space="0" w:color="auto"/>
              <w:bottom w:val="nil"/>
              <w:right w:val="single" w:sz="4" w:space="0" w:color="auto"/>
            </w:tcBorders>
            <w:shd w:val="clear" w:color="auto" w:fill="FFFFFF" w:themeFill="background1"/>
            <w:tcMar>
              <w:left w:w="43" w:type="dxa"/>
            </w:tcMar>
            <w:hideMark/>
          </w:tcPr>
          <w:p w14:paraId="6BDF1544" w14:textId="77777777" w:rsidR="00432BEC" w:rsidRPr="00D22494" w:rsidRDefault="00432BEC" w:rsidP="00CE36A9">
            <w:pPr>
              <w:spacing w:before="0" w:after="0" w:line="240" w:lineRule="auto"/>
              <w:jc w:val="right"/>
              <w:rPr>
                <w:sz w:val="20"/>
                <w:szCs w:val="20"/>
              </w:rPr>
            </w:pPr>
            <w:r w:rsidRPr="00D22494">
              <w:rPr>
                <w:sz w:val="20"/>
                <w:szCs w:val="20"/>
              </w:rPr>
              <w:t>0.230</w:t>
            </w:r>
          </w:p>
        </w:tc>
        <w:tc>
          <w:tcPr>
            <w:tcW w:w="990" w:type="dxa"/>
            <w:tcBorders>
              <w:top w:val="nil"/>
              <w:left w:val="single" w:sz="4" w:space="0" w:color="auto"/>
              <w:bottom w:val="nil"/>
              <w:right w:val="double" w:sz="4" w:space="0" w:color="auto"/>
            </w:tcBorders>
            <w:shd w:val="clear" w:color="auto" w:fill="FFFFFF" w:themeFill="background1"/>
            <w:tcMar>
              <w:left w:w="43" w:type="dxa"/>
            </w:tcMar>
            <w:hideMark/>
          </w:tcPr>
          <w:p w14:paraId="683FC0AB" w14:textId="77777777" w:rsidR="00432BEC" w:rsidRPr="00D22494" w:rsidRDefault="00432BEC" w:rsidP="00CE36A9">
            <w:pPr>
              <w:spacing w:before="0" w:after="0" w:line="240" w:lineRule="auto"/>
              <w:jc w:val="right"/>
              <w:rPr>
                <w:sz w:val="20"/>
                <w:szCs w:val="20"/>
              </w:rPr>
            </w:pPr>
            <w:r w:rsidRPr="00D22494">
              <w:rPr>
                <w:sz w:val="20"/>
                <w:szCs w:val="20"/>
              </w:rPr>
              <w:t>0.442</w:t>
            </w:r>
          </w:p>
        </w:tc>
        <w:tc>
          <w:tcPr>
            <w:tcW w:w="3172" w:type="dxa"/>
            <w:tcBorders>
              <w:top w:val="nil"/>
              <w:left w:val="double" w:sz="4" w:space="0" w:color="auto"/>
              <w:bottom w:val="nil"/>
            </w:tcBorders>
            <w:shd w:val="clear" w:color="auto" w:fill="FFFFFF" w:themeFill="background1"/>
            <w:tcMar>
              <w:left w:w="43" w:type="dxa"/>
            </w:tcMar>
            <w:hideMark/>
          </w:tcPr>
          <w:p w14:paraId="70CF60C5" w14:textId="77777777" w:rsidR="00432BEC" w:rsidRPr="00D22494" w:rsidRDefault="00432BEC" w:rsidP="00CE36A9">
            <w:pPr>
              <w:spacing w:before="0" w:after="0" w:line="240" w:lineRule="auto"/>
              <w:jc w:val="left"/>
              <w:rPr>
                <w:sz w:val="20"/>
                <w:szCs w:val="20"/>
              </w:rPr>
            </w:pPr>
            <w:r w:rsidRPr="00D22494">
              <w:rPr>
                <w:sz w:val="20"/>
                <w:szCs w:val="20"/>
              </w:rPr>
              <w:t>Open Street Maps – 2021</w:t>
            </w:r>
          </w:p>
        </w:tc>
      </w:tr>
      <w:tr w:rsidR="00432BEC" w:rsidRPr="00D22494" w14:paraId="6B9CABEA"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1557F064" w14:textId="77777777" w:rsidR="00432BEC" w:rsidRPr="00D22494" w:rsidRDefault="00432BEC" w:rsidP="00CE36A9">
            <w:pPr>
              <w:spacing w:before="0" w:after="0" w:line="240" w:lineRule="auto"/>
              <w:ind w:left="129"/>
              <w:jc w:val="left"/>
              <w:rPr>
                <w:sz w:val="20"/>
                <w:szCs w:val="20"/>
              </w:rPr>
            </w:pPr>
            <w:r w:rsidRPr="00D22494">
              <w:rPr>
                <w:sz w:val="20"/>
                <w:szCs w:val="20"/>
              </w:rPr>
              <w:t>Road density (miles/10 acres)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69ADD670" w14:textId="77777777" w:rsidR="00432BEC" w:rsidRPr="00D22494" w:rsidRDefault="00432BEC" w:rsidP="00CE36A9">
            <w:pPr>
              <w:spacing w:before="0" w:after="0" w:line="240" w:lineRule="auto"/>
              <w:jc w:val="right"/>
              <w:rPr>
                <w:sz w:val="20"/>
                <w:szCs w:val="20"/>
              </w:rPr>
            </w:pPr>
            <w:r w:rsidRPr="00D22494">
              <w:rPr>
                <w:sz w:val="20"/>
                <w:szCs w:val="20"/>
              </w:rPr>
              <w:t>0.248</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D0863AC" w14:textId="77777777" w:rsidR="00432BEC" w:rsidRPr="00D22494" w:rsidRDefault="00432BEC" w:rsidP="00CE36A9">
            <w:pPr>
              <w:spacing w:before="0" w:after="0" w:line="240" w:lineRule="auto"/>
              <w:jc w:val="right"/>
              <w:rPr>
                <w:sz w:val="20"/>
                <w:szCs w:val="20"/>
              </w:rPr>
            </w:pPr>
            <w:r w:rsidRPr="00D22494">
              <w:rPr>
                <w:sz w:val="20"/>
                <w:szCs w:val="20"/>
              </w:rPr>
              <w:t>0.268</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55E4A748" w14:textId="77777777" w:rsidR="00432BEC" w:rsidRPr="00D22494" w:rsidRDefault="00432BEC" w:rsidP="00CE36A9">
            <w:pPr>
              <w:spacing w:before="0" w:after="0" w:line="240" w:lineRule="auto"/>
              <w:jc w:val="right"/>
              <w:rPr>
                <w:sz w:val="20"/>
                <w:szCs w:val="20"/>
              </w:rPr>
            </w:pPr>
            <w:r w:rsidRPr="00D22494">
              <w:rPr>
                <w:sz w:val="20"/>
                <w:szCs w:val="20"/>
              </w:rPr>
              <w:t>0.267</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FF26147" w14:textId="77777777" w:rsidR="00432BEC" w:rsidRPr="00D22494" w:rsidRDefault="00432BEC" w:rsidP="00CE36A9">
            <w:pPr>
              <w:spacing w:before="0" w:after="0" w:line="240" w:lineRule="auto"/>
              <w:jc w:val="right"/>
              <w:rPr>
                <w:sz w:val="20"/>
                <w:szCs w:val="20"/>
              </w:rPr>
            </w:pPr>
            <w:r w:rsidRPr="00D22494">
              <w:rPr>
                <w:sz w:val="20"/>
                <w:szCs w:val="20"/>
              </w:rPr>
              <w:t>0.245</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508ABEC1" w14:textId="77777777" w:rsidR="00432BEC" w:rsidRPr="00D22494" w:rsidRDefault="00432BEC" w:rsidP="00CE36A9">
            <w:pPr>
              <w:spacing w:before="0" w:after="0" w:line="240" w:lineRule="auto"/>
              <w:jc w:val="right"/>
              <w:rPr>
                <w:sz w:val="20"/>
                <w:szCs w:val="20"/>
              </w:rPr>
            </w:pPr>
            <w:r w:rsidRPr="00D22494">
              <w:rPr>
                <w:sz w:val="20"/>
                <w:szCs w:val="20"/>
              </w:rPr>
              <w:t>0.247</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75C4C368" w14:textId="77777777" w:rsidR="00432BEC" w:rsidRPr="00D22494" w:rsidRDefault="00432BEC" w:rsidP="00CE36A9">
            <w:pPr>
              <w:spacing w:before="0" w:after="0" w:line="240" w:lineRule="auto"/>
              <w:jc w:val="right"/>
              <w:rPr>
                <w:sz w:val="20"/>
                <w:szCs w:val="20"/>
              </w:rPr>
            </w:pPr>
            <w:r w:rsidRPr="00D22494">
              <w:rPr>
                <w:sz w:val="20"/>
                <w:szCs w:val="20"/>
              </w:rPr>
              <w:t>0.273</w:t>
            </w:r>
          </w:p>
        </w:tc>
        <w:tc>
          <w:tcPr>
            <w:tcW w:w="3172" w:type="dxa"/>
            <w:tcBorders>
              <w:top w:val="nil"/>
              <w:left w:val="double" w:sz="4" w:space="0" w:color="auto"/>
              <w:bottom w:val="nil"/>
            </w:tcBorders>
            <w:shd w:val="clear" w:color="auto" w:fill="FFFFFF" w:themeFill="background1"/>
            <w:tcMar>
              <w:left w:w="43" w:type="dxa"/>
            </w:tcMar>
            <w:vAlign w:val="center"/>
            <w:hideMark/>
          </w:tcPr>
          <w:p w14:paraId="1889700F"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11818D74"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747C203F" w14:textId="77777777" w:rsidR="00432BEC" w:rsidRPr="00D22494" w:rsidRDefault="00432BEC" w:rsidP="00CE36A9">
            <w:pPr>
              <w:spacing w:before="0" w:after="0" w:line="240" w:lineRule="auto"/>
              <w:ind w:left="129"/>
              <w:jc w:val="left"/>
              <w:rPr>
                <w:sz w:val="20"/>
                <w:szCs w:val="20"/>
              </w:rPr>
            </w:pPr>
            <w:r w:rsidRPr="00D22494">
              <w:rPr>
                <w:sz w:val="20"/>
                <w:szCs w:val="20"/>
              </w:rPr>
              <w:t xml:space="preserve">% Freeway miles </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58EE14FC" w14:textId="77777777" w:rsidR="00432BEC" w:rsidRPr="00D22494" w:rsidRDefault="00432BEC" w:rsidP="00CE36A9">
            <w:pPr>
              <w:spacing w:before="0" w:after="0" w:line="240" w:lineRule="auto"/>
              <w:jc w:val="right"/>
              <w:rPr>
                <w:sz w:val="20"/>
                <w:szCs w:val="20"/>
              </w:rPr>
            </w:pPr>
            <w:r w:rsidRPr="00D22494">
              <w:rPr>
                <w:sz w:val="20"/>
                <w:szCs w:val="20"/>
              </w:rPr>
              <w:t>2.116</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0A7EA61" w14:textId="77777777" w:rsidR="00432BEC" w:rsidRPr="00D22494" w:rsidRDefault="00432BEC" w:rsidP="00CE36A9">
            <w:pPr>
              <w:spacing w:before="0" w:after="0" w:line="240" w:lineRule="auto"/>
              <w:jc w:val="right"/>
              <w:rPr>
                <w:sz w:val="20"/>
                <w:szCs w:val="20"/>
              </w:rPr>
            </w:pPr>
            <w:r w:rsidRPr="00D22494">
              <w:rPr>
                <w:sz w:val="20"/>
                <w:szCs w:val="20"/>
              </w:rPr>
              <w:t>8.120</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4D7551F" w14:textId="77777777" w:rsidR="00432BEC" w:rsidRPr="00D22494" w:rsidRDefault="00432BEC" w:rsidP="00CE36A9">
            <w:pPr>
              <w:spacing w:before="0" w:after="0" w:line="240" w:lineRule="auto"/>
              <w:jc w:val="right"/>
              <w:rPr>
                <w:sz w:val="20"/>
                <w:szCs w:val="20"/>
              </w:rPr>
            </w:pPr>
            <w:r w:rsidRPr="00D22494">
              <w:rPr>
                <w:sz w:val="20"/>
                <w:szCs w:val="20"/>
              </w:rPr>
              <w:t>3.175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3E93D7C" w14:textId="77777777" w:rsidR="00432BEC" w:rsidRPr="00D22494" w:rsidRDefault="00432BEC" w:rsidP="00CE36A9">
            <w:pPr>
              <w:spacing w:before="0" w:after="0" w:line="240" w:lineRule="auto"/>
              <w:jc w:val="right"/>
              <w:rPr>
                <w:sz w:val="20"/>
                <w:szCs w:val="20"/>
              </w:rPr>
            </w:pPr>
            <w:r w:rsidRPr="00D22494">
              <w:rPr>
                <w:sz w:val="20"/>
                <w:szCs w:val="20"/>
              </w:rPr>
              <w:t>10.760</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5E892DE" w14:textId="77777777" w:rsidR="00432BEC" w:rsidRPr="00D22494" w:rsidRDefault="00432BEC" w:rsidP="00CE36A9">
            <w:pPr>
              <w:spacing w:before="0" w:after="0" w:line="240" w:lineRule="auto"/>
              <w:jc w:val="right"/>
              <w:rPr>
                <w:sz w:val="20"/>
                <w:szCs w:val="20"/>
              </w:rPr>
            </w:pPr>
            <w:r w:rsidRPr="00D22494">
              <w:rPr>
                <w:sz w:val="20"/>
                <w:szCs w:val="20"/>
              </w:rPr>
              <w:t>1.932</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65719CD" w14:textId="77777777" w:rsidR="00432BEC" w:rsidRPr="00D22494" w:rsidRDefault="00432BEC" w:rsidP="00CE36A9">
            <w:pPr>
              <w:spacing w:before="0" w:after="0" w:line="240" w:lineRule="auto"/>
              <w:jc w:val="right"/>
              <w:rPr>
                <w:sz w:val="20"/>
                <w:szCs w:val="20"/>
              </w:rPr>
            </w:pPr>
            <w:r w:rsidRPr="00D22494">
              <w:rPr>
                <w:sz w:val="20"/>
                <w:szCs w:val="20"/>
              </w:rPr>
              <w:t>7.555</w:t>
            </w:r>
          </w:p>
        </w:tc>
        <w:tc>
          <w:tcPr>
            <w:tcW w:w="3172" w:type="dxa"/>
            <w:tcBorders>
              <w:top w:val="nil"/>
              <w:left w:val="double" w:sz="4" w:space="0" w:color="auto"/>
              <w:bottom w:val="nil"/>
            </w:tcBorders>
            <w:shd w:val="clear" w:color="auto" w:fill="FFFFFF" w:themeFill="background1"/>
            <w:tcMar>
              <w:left w:w="43" w:type="dxa"/>
            </w:tcMar>
            <w:vAlign w:val="center"/>
            <w:hideMark/>
          </w:tcPr>
          <w:p w14:paraId="4685AE6E"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0C784D4B"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321C464D" w14:textId="77777777" w:rsidR="00432BEC" w:rsidRPr="00D22494" w:rsidRDefault="00432BEC" w:rsidP="00CE36A9">
            <w:pPr>
              <w:spacing w:before="0" w:after="0" w:line="240" w:lineRule="auto"/>
              <w:ind w:left="129"/>
              <w:jc w:val="left"/>
              <w:rPr>
                <w:sz w:val="20"/>
                <w:szCs w:val="20"/>
              </w:rPr>
            </w:pPr>
            <w:r w:rsidRPr="00D22494">
              <w:rPr>
                <w:sz w:val="20"/>
                <w:szCs w:val="20"/>
              </w:rPr>
              <w:t>% Interstate miles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1C1C36E" w14:textId="77777777" w:rsidR="00432BEC" w:rsidRPr="00D22494" w:rsidRDefault="00432BEC" w:rsidP="00CE36A9">
            <w:pPr>
              <w:spacing w:before="0" w:after="0" w:line="240" w:lineRule="auto"/>
              <w:jc w:val="right"/>
              <w:rPr>
                <w:sz w:val="20"/>
                <w:szCs w:val="20"/>
              </w:rPr>
            </w:pPr>
            <w:r w:rsidRPr="00D22494">
              <w:rPr>
                <w:sz w:val="20"/>
                <w:szCs w:val="20"/>
              </w:rPr>
              <w:t>3.004</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01730312" w14:textId="77777777" w:rsidR="00432BEC" w:rsidRPr="00D22494" w:rsidRDefault="00432BEC" w:rsidP="00CE36A9">
            <w:pPr>
              <w:spacing w:before="0" w:after="0" w:line="240" w:lineRule="auto"/>
              <w:jc w:val="right"/>
              <w:rPr>
                <w:sz w:val="20"/>
                <w:szCs w:val="20"/>
              </w:rPr>
            </w:pPr>
            <w:r w:rsidRPr="00D22494">
              <w:rPr>
                <w:sz w:val="20"/>
                <w:szCs w:val="20"/>
              </w:rPr>
              <w:t>9.792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4496E2F" w14:textId="77777777" w:rsidR="00432BEC" w:rsidRPr="00D22494" w:rsidRDefault="00432BEC" w:rsidP="00CE36A9">
            <w:pPr>
              <w:spacing w:before="0" w:after="0" w:line="240" w:lineRule="auto"/>
              <w:jc w:val="right"/>
              <w:rPr>
                <w:sz w:val="20"/>
                <w:szCs w:val="20"/>
              </w:rPr>
            </w:pPr>
            <w:r w:rsidRPr="00D22494">
              <w:rPr>
                <w:sz w:val="20"/>
                <w:szCs w:val="20"/>
              </w:rPr>
              <w:t>2.511</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0014C4BC" w14:textId="77777777" w:rsidR="00432BEC" w:rsidRPr="00D22494" w:rsidRDefault="00432BEC" w:rsidP="00CE36A9">
            <w:pPr>
              <w:spacing w:before="0" w:after="0" w:line="240" w:lineRule="auto"/>
              <w:jc w:val="right"/>
              <w:rPr>
                <w:sz w:val="20"/>
                <w:szCs w:val="20"/>
              </w:rPr>
            </w:pPr>
            <w:r w:rsidRPr="00D22494">
              <w:rPr>
                <w:sz w:val="20"/>
                <w:szCs w:val="20"/>
              </w:rPr>
              <w:t>7.905</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7CC0174" w14:textId="77777777" w:rsidR="00432BEC" w:rsidRPr="00D22494" w:rsidRDefault="00432BEC" w:rsidP="00CE36A9">
            <w:pPr>
              <w:spacing w:before="0" w:after="0" w:line="240" w:lineRule="auto"/>
              <w:jc w:val="right"/>
              <w:rPr>
                <w:sz w:val="20"/>
                <w:szCs w:val="20"/>
              </w:rPr>
            </w:pPr>
            <w:r w:rsidRPr="00D22494">
              <w:rPr>
                <w:sz w:val="20"/>
                <w:szCs w:val="20"/>
              </w:rPr>
              <w:t>3.090</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2860943A" w14:textId="77777777" w:rsidR="00432BEC" w:rsidRPr="00D22494" w:rsidRDefault="00432BEC" w:rsidP="00CE36A9">
            <w:pPr>
              <w:spacing w:before="0" w:after="0" w:line="240" w:lineRule="auto"/>
              <w:jc w:val="right"/>
              <w:rPr>
                <w:sz w:val="20"/>
                <w:szCs w:val="20"/>
              </w:rPr>
            </w:pPr>
            <w:r w:rsidRPr="00D22494">
              <w:rPr>
                <w:sz w:val="20"/>
                <w:szCs w:val="20"/>
              </w:rPr>
              <w:t>10.084</w:t>
            </w:r>
          </w:p>
        </w:tc>
        <w:tc>
          <w:tcPr>
            <w:tcW w:w="3172" w:type="dxa"/>
            <w:tcBorders>
              <w:top w:val="nil"/>
              <w:left w:val="double" w:sz="4" w:space="0" w:color="auto"/>
              <w:bottom w:val="nil"/>
            </w:tcBorders>
            <w:shd w:val="clear" w:color="auto" w:fill="FFFFFF" w:themeFill="background1"/>
            <w:tcMar>
              <w:left w:w="43" w:type="dxa"/>
            </w:tcMar>
            <w:vAlign w:val="center"/>
            <w:hideMark/>
          </w:tcPr>
          <w:p w14:paraId="1C232CBF"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00E7489B"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7E39E8AB" w14:textId="77777777" w:rsidR="00432BEC" w:rsidRPr="00D22494" w:rsidRDefault="00432BEC" w:rsidP="00CE36A9">
            <w:pPr>
              <w:spacing w:before="0" w:after="0" w:line="240" w:lineRule="auto"/>
              <w:ind w:left="129"/>
              <w:jc w:val="left"/>
              <w:rPr>
                <w:sz w:val="20"/>
                <w:szCs w:val="20"/>
              </w:rPr>
            </w:pPr>
            <w:r w:rsidRPr="00D22494">
              <w:rPr>
                <w:sz w:val="20"/>
                <w:szCs w:val="20"/>
              </w:rPr>
              <w:t>% Principal Arterial miles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E9FF1B1" w14:textId="77777777" w:rsidR="00432BEC" w:rsidRPr="00D22494" w:rsidRDefault="00432BEC" w:rsidP="00CE36A9">
            <w:pPr>
              <w:spacing w:before="0" w:after="0" w:line="240" w:lineRule="auto"/>
              <w:jc w:val="right"/>
              <w:rPr>
                <w:sz w:val="20"/>
                <w:szCs w:val="20"/>
              </w:rPr>
            </w:pPr>
            <w:r w:rsidRPr="00D22494">
              <w:rPr>
                <w:sz w:val="20"/>
                <w:szCs w:val="20"/>
              </w:rPr>
              <w:t>5.648</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2907D9A9" w14:textId="77777777" w:rsidR="00432BEC" w:rsidRPr="00D22494" w:rsidRDefault="00432BEC" w:rsidP="00CE36A9">
            <w:pPr>
              <w:spacing w:before="0" w:after="0" w:line="240" w:lineRule="auto"/>
              <w:jc w:val="right"/>
              <w:rPr>
                <w:sz w:val="20"/>
                <w:szCs w:val="20"/>
              </w:rPr>
            </w:pPr>
            <w:r w:rsidRPr="00D22494">
              <w:rPr>
                <w:sz w:val="20"/>
                <w:szCs w:val="20"/>
              </w:rPr>
              <w:t>12.770</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2D35F160" w14:textId="77777777" w:rsidR="00432BEC" w:rsidRPr="00D22494" w:rsidRDefault="00432BEC" w:rsidP="00CE36A9">
            <w:pPr>
              <w:spacing w:before="0" w:after="0" w:line="240" w:lineRule="auto"/>
              <w:jc w:val="right"/>
              <w:rPr>
                <w:sz w:val="20"/>
                <w:szCs w:val="20"/>
              </w:rPr>
            </w:pPr>
            <w:r w:rsidRPr="00D22494">
              <w:rPr>
                <w:sz w:val="20"/>
                <w:szCs w:val="20"/>
              </w:rPr>
              <w:t>6.350</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0979C692" w14:textId="77777777" w:rsidR="00432BEC" w:rsidRPr="00D22494" w:rsidRDefault="00432BEC" w:rsidP="00CE36A9">
            <w:pPr>
              <w:spacing w:before="0" w:after="0" w:line="240" w:lineRule="auto"/>
              <w:jc w:val="right"/>
              <w:rPr>
                <w:sz w:val="20"/>
                <w:szCs w:val="20"/>
              </w:rPr>
            </w:pPr>
            <w:r w:rsidRPr="00D22494">
              <w:rPr>
                <w:sz w:val="20"/>
                <w:szCs w:val="20"/>
              </w:rPr>
              <w:t>13.370</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FC38896" w14:textId="77777777" w:rsidR="00432BEC" w:rsidRPr="00D22494" w:rsidRDefault="00432BEC" w:rsidP="00CE36A9">
            <w:pPr>
              <w:spacing w:before="0" w:after="0" w:line="240" w:lineRule="auto"/>
              <w:jc w:val="right"/>
              <w:rPr>
                <w:sz w:val="20"/>
                <w:szCs w:val="20"/>
              </w:rPr>
            </w:pPr>
            <w:r w:rsidRPr="00D22494">
              <w:rPr>
                <w:sz w:val="20"/>
                <w:szCs w:val="20"/>
              </w:rPr>
              <w:t>5.525</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2B5BA927" w14:textId="77777777" w:rsidR="00432BEC" w:rsidRPr="00D22494" w:rsidRDefault="00432BEC" w:rsidP="00CE36A9">
            <w:pPr>
              <w:spacing w:before="0" w:after="0" w:line="240" w:lineRule="auto"/>
              <w:jc w:val="right"/>
              <w:rPr>
                <w:sz w:val="20"/>
                <w:szCs w:val="20"/>
              </w:rPr>
            </w:pPr>
            <w:r w:rsidRPr="00D22494">
              <w:rPr>
                <w:sz w:val="20"/>
                <w:szCs w:val="20"/>
              </w:rPr>
              <w:t>12.661</w:t>
            </w:r>
          </w:p>
        </w:tc>
        <w:tc>
          <w:tcPr>
            <w:tcW w:w="3172" w:type="dxa"/>
            <w:tcBorders>
              <w:top w:val="nil"/>
              <w:left w:val="double" w:sz="4" w:space="0" w:color="auto"/>
              <w:bottom w:val="nil"/>
            </w:tcBorders>
            <w:shd w:val="clear" w:color="auto" w:fill="FFFFFF" w:themeFill="background1"/>
            <w:tcMar>
              <w:left w:w="43" w:type="dxa"/>
            </w:tcMar>
            <w:vAlign w:val="center"/>
            <w:hideMark/>
          </w:tcPr>
          <w:p w14:paraId="7674FBA8"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7C2B9E6A"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43D91D6D" w14:textId="77777777" w:rsidR="00432BEC" w:rsidRPr="00D22494" w:rsidRDefault="00432BEC" w:rsidP="00CE36A9">
            <w:pPr>
              <w:spacing w:before="0" w:after="0" w:line="240" w:lineRule="auto"/>
              <w:ind w:left="129"/>
              <w:jc w:val="left"/>
              <w:rPr>
                <w:sz w:val="20"/>
                <w:szCs w:val="20"/>
              </w:rPr>
            </w:pPr>
            <w:r w:rsidRPr="00D22494">
              <w:rPr>
                <w:sz w:val="20"/>
                <w:szCs w:val="20"/>
              </w:rPr>
              <w:t>% Four or more lane road miles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B4AC47F" w14:textId="77777777" w:rsidR="00432BEC" w:rsidRPr="00D22494" w:rsidRDefault="00432BEC" w:rsidP="00CE36A9">
            <w:pPr>
              <w:spacing w:before="0" w:after="0" w:line="240" w:lineRule="auto"/>
              <w:jc w:val="right"/>
              <w:rPr>
                <w:sz w:val="20"/>
                <w:szCs w:val="20"/>
              </w:rPr>
            </w:pPr>
            <w:r w:rsidRPr="00D22494">
              <w:rPr>
                <w:sz w:val="20"/>
                <w:szCs w:val="20"/>
              </w:rPr>
              <w:t>13.523</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7E614900" w14:textId="77777777" w:rsidR="00432BEC" w:rsidRPr="00D22494" w:rsidRDefault="00432BEC" w:rsidP="00CE36A9">
            <w:pPr>
              <w:spacing w:before="0" w:after="0" w:line="240" w:lineRule="auto"/>
              <w:jc w:val="right"/>
              <w:rPr>
                <w:sz w:val="20"/>
                <w:szCs w:val="20"/>
              </w:rPr>
            </w:pPr>
            <w:r w:rsidRPr="00D22494">
              <w:rPr>
                <w:sz w:val="20"/>
                <w:szCs w:val="20"/>
              </w:rPr>
              <w:t>18.506</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53A716B" w14:textId="77777777" w:rsidR="00432BEC" w:rsidRPr="00D22494" w:rsidRDefault="00432BEC" w:rsidP="00CE36A9">
            <w:pPr>
              <w:spacing w:before="0" w:after="0" w:line="240" w:lineRule="auto"/>
              <w:jc w:val="right"/>
              <w:rPr>
                <w:sz w:val="20"/>
                <w:szCs w:val="20"/>
              </w:rPr>
            </w:pPr>
            <w:r w:rsidRPr="00D22494">
              <w:rPr>
                <w:sz w:val="20"/>
                <w:szCs w:val="20"/>
              </w:rPr>
              <w:t>16.245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E1E0FC7" w14:textId="77777777" w:rsidR="00432BEC" w:rsidRPr="00D22494" w:rsidRDefault="00432BEC" w:rsidP="00CE36A9">
            <w:pPr>
              <w:spacing w:before="0" w:after="0" w:line="240" w:lineRule="auto"/>
              <w:jc w:val="right"/>
              <w:rPr>
                <w:sz w:val="20"/>
                <w:szCs w:val="20"/>
              </w:rPr>
            </w:pPr>
            <w:r w:rsidRPr="00D22494">
              <w:rPr>
                <w:sz w:val="20"/>
                <w:szCs w:val="20"/>
              </w:rPr>
              <w:t>20.710</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42503383" w14:textId="77777777" w:rsidR="00432BEC" w:rsidRPr="00D22494" w:rsidRDefault="00432BEC" w:rsidP="00CE36A9">
            <w:pPr>
              <w:spacing w:before="0" w:after="0" w:line="240" w:lineRule="auto"/>
              <w:jc w:val="right"/>
              <w:rPr>
                <w:sz w:val="20"/>
                <w:szCs w:val="20"/>
              </w:rPr>
            </w:pPr>
            <w:r w:rsidRPr="00D22494">
              <w:rPr>
                <w:sz w:val="20"/>
                <w:szCs w:val="20"/>
              </w:rPr>
              <w:t>13.049</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19D509D9" w14:textId="77777777" w:rsidR="00432BEC" w:rsidRPr="00D22494" w:rsidRDefault="00432BEC" w:rsidP="00CE36A9">
            <w:pPr>
              <w:spacing w:before="0" w:after="0" w:line="240" w:lineRule="auto"/>
              <w:jc w:val="right"/>
              <w:rPr>
                <w:sz w:val="20"/>
                <w:szCs w:val="20"/>
              </w:rPr>
            </w:pPr>
            <w:r w:rsidRPr="00D22494">
              <w:rPr>
                <w:sz w:val="20"/>
                <w:szCs w:val="20"/>
              </w:rPr>
              <w:t>18.058</w:t>
            </w:r>
          </w:p>
        </w:tc>
        <w:tc>
          <w:tcPr>
            <w:tcW w:w="3172" w:type="dxa"/>
            <w:tcBorders>
              <w:top w:val="nil"/>
              <w:left w:val="double" w:sz="4" w:space="0" w:color="auto"/>
              <w:bottom w:val="nil"/>
            </w:tcBorders>
            <w:shd w:val="clear" w:color="auto" w:fill="FFFFFF" w:themeFill="background1"/>
            <w:tcMar>
              <w:left w:w="43" w:type="dxa"/>
            </w:tcMar>
            <w:vAlign w:val="center"/>
            <w:hideMark/>
          </w:tcPr>
          <w:p w14:paraId="1CE79AD5" w14:textId="77777777" w:rsidR="00432BEC" w:rsidRPr="00D22494" w:rsidRDefault="00432BEC" w:rsidP="00CE36A9">
            <w:pPr>
              <w:spacing w:before="0" w:after="0" w:line="240" w:lineRule="auto"/>
              <w:jc w:val="left"/>
              <w:rPr>
                <w:sz w:val="20"/>
                <w:szCs w:val="20"/>
              </w:rPr>
            </w:pPr>
            <w:r w:rsidRPr="00D22494">
              <w:rPr>
                <w:sz w:val="20"/>
                <w:szCs w:val="20"/>
              </w:rPr>
              <w:t>TxDOT roadway inventory – 2019</w:t>
            </w:r>
          </w:p>
        </w:tc>
      </w:tr>
      <w:tr w:rsidR="00432BEC" w:rsidRPr="00D22494" w14:paraId="73865694"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tcPr>
          <w:p w14:paraId="30693BD3" w14:textId="77777777" w:rsidR="00432BEC" w:rsidRPr="00D22494" w:rsidRDefault="00432BEC" w:rsidP="00CE36A9">
            <w:pPr>
              <w:spacing w:before="0" w:after="0" w:line="240" w:lineRule="auto"/>
              <w:jc w:val="left"/>
              <w:rPr>
                <w:sz w:val="20"/>
                <w:szCs w:val="20"/>
              </w:rPr>
            </w:pPr>
            <w:r w:rsidRPr="00D22494">
              <w:rPr>
                <w:b/>
                <w:i/>
                <w:sz w:val="20"/>
                <w:szCs w:val="20"/>
              </w:rPr>
              <w:t>Land-use Diversity</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tcPr>
          <w:p w14:paraId="5028D61B" w14:textId="77777777" w:rsidR="00432BEC" w:rsidRPr="00D22494" w:rsidRDefault="00432BEC" w:rsidP="00CE36A9">
            <w:pPr>
              <w:spacing w:before="0" w:after="0" w:line="240" w:lineRule="auto"/>
              <w:jc w:val="right"/>
              <w:rPr>
                <w:sz w:val="20"/>
                <w:szCs w:val="20"/>
              </w:rPr>
            </w:pP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tcPr>
          <w:p w14:paraId="49AABC73" w14:textId="77777777" w:rsidR="00432BEC" w:rsidRPr="00D22494" w:rsidRDefault="00432BEC" w:rsidP="00CE36A9">
            <w:pPr>
              <w:spacing w:before="0" w:after="0" w:line="240" w:lineRule="auto"/>
              <w:jc w:val="right"/>
              <w:rPr>
                <w:sz w:val="20"/>
                <w:szCs w:val="20"/>
              </w:rPr>
            </w:pP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tcPr>
          <w:p w14:paraId="360C5E2C" w14:textId="77777777" w:rsidR="00432BEC" w:rsidRPr="00D22494" w:rsidRDefault="00432BEC" w:rsidP="00CE36A9">
            <w:pPr>
              <w:spacing w:before="0" w:after="0" w:line="240" w:lineRule="auto"/>
              <w:jc w:val="right"/>
              <w:rPr>
                <w:sz w:val="20"/>
                <w:szCs w:val="20"/>
              </w:rPr>
            </w:pP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tcPr>
          <w:p w14:paraId="13858206" w14:textId="77777777" w:rsidR="00432BEC" w:rsidRPr="00D22494" w:rsidRDefault="00432BEC" w:rsidP="00CE36A9">
            <w:pPr>
              <w:spacing w:before="0" w:after="0" w:line="240" w:lineRule="auto"/>
              <w:jc w:val="right"/>
              <w:rPr>
                <w:sz w:val="20"/>
                <w:szCs w:val="20"/>
              </w:rPr>
            </w:pP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tcPr>
          <w:p w14:paraId="03D9D0F6" w14:textId="77777777" w:rsidR="00432BEC" w:rsidRPr="00D22494" w:rsidRDefault="00432BEC" w:rsidP="00CE36A9">
            <w:pPr>
              <w:spacing w:before="0" w:after="0" w:line="240" w:lineRule="auto"/>
              <w:jc w:val="right"/>
              <w:rPr>
                <w:sz w:val="20"/>
                <w:szCs w:val="20"/>
              </w:rPr>
            </w:pP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tcPr>
          <w:p w14:paraId="56322A5C" w14:textId="77777777" w:rsidR="00432BEC" w:rsidRPr="00D22494" w:rsidRDefault="00432BEC" w:rsidP="00CE36A9">
            <w:pPr>
              <w:spacing w:before="0" w:after="0" w:line="240" w:lineRule="auto"/>
              <w:jc w:val="right"/>
              <w:rPr>
                <w:sz w:val="20"/>
                <w:szCs w:val="20"/>
              </w:rPr>
            </w:pPr>
          </w:p>
        </w:tc>
        <w:tc>
          <w:tcPr>
            <w:tcW w:w="3172" w:type="dxa"/>
            <w:tcBorders>
              <w:top w:val="nil"/>
              <w:left w:val="double" w:sz="4" w:space="0" w:color="auto"/>
              <w:bottom w:val="nil"/>
            </w:tcBorders>
            <w:shd w:val="clear" w:color="auto" w:fill="FFFFFF" w:themeFill="background1"/>
            <w:tcMar>
              <w:left w:w="43" w:type="dxa"/>
            </w:tcMar>
            <w:vAlign w:val="center"/>
          </w:tcPr>
          <w:p w14:paraId="5D8FDFB7" w14:textId="77777777" w:rsidR="00432BEC" w:rsidRPr="00D22494" w:rsidRDefault="00432BEC" w:rsidP="00CE36A9">
            <w:pPr>
              <w:spacing w:before="0" w:after="0" w:line="240" w:lineRule="auto"/>
              <w:jc w:val="left"/>
              <w:rPr>
                <w:sz w:val="20"/>
                <w:szCs w:val="20"/>
              </w:rPr>
            </w:pPr>
          </w:p>
        </w:tc>
      </w:tr>
      <w:tr w:rsidR="00432BEC" w:rsidRPr="00D22494" w14:paraId="4E46DEC9"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03B46993" w14:textId="77777777" w:rsidR="00432BEC" w:rsidRPr="00D22494" w:rsidRDefault="00432BEC" w:rsidP="00CE36A9">
            <w:pPr>
              <w:spacing w:before="0" w:after="0" w:line="240" w:lineRule="auto"/>
              <w:ind w:left="129"/>
              <w:jc w:val="left"/>
              <w:rPr>
                <w:sz w:val="20"/>
                <w:szCs w:val="20"/>
              </w:rPr>
            </w:pPr>
            <w:r w:rsidRPr="00D22494">
              <w:rPr>
                <w:sz w:val="20"/>
                <w:szCs w:val="20"/>
              </w:rPr>
              <w:t>Land-use diversity index</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B42DEFB" w14:textId="77777777" w:rsidR="00432BEC" w:rsidRPr="00D22494" w:rsidRDefault="00432BEC" w:rsidP="00CE36A9">
            <w:pPr>
              <w:spacing w:before="0" w:after="0" w:line="240" w:lineRule="auto"/>
              <w:jc w:val="right"/>
              <w:rPr>
                <w:sz w:val="20"/>
                <w:szCs w:val="20"/>
              </w:rPr>
            </w:pPr>
            <w:r w:rsidRPr="00D22494">
              <w:rPr>
                <w:sz w:val="20"/>
                <w:szCs w:val="20"/>
              </w:rPr>
              <w:t>0.415</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0F710DF7" w14:textId="77777777" w:rsidR="00432BEC" w:rsidRPr="00D22494" w:rsidRDefault="00432BEC" w:rsidP="00CE36A9">
            <w:pPr>
              <w:spacing w:before="0" w:after="0" w:line="240" w:lineRule="auto"/>
              <w:jc w:val="right"/>
              <w:rPr>
                <w:sz w:val="20"/>
                <w:szCs w:val="20"/>
              </w:rPr>
            </w:pPr>
            <w:r w:rsidRPr="00D22494">
              <w:rPr>
                <w:sz w:val="20"/>
                <w:szCs w:val="20"/>
              </w:rPr>
              <w:t>0.196</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F317AD8" w14:textId="77777777" w:rsidR="00432BEC" w:rsidRPr="00D22494" w:rsidRDefault="00432BEC" w:rsidP="00CE36A9">
            <w:pPr>
              <w:spacing w:before="0" w:after="0" w:line="240" w:lineRule="auto"/>
              <w:jc w:val="right"/>
              <w:rPr>
                <w:sz w:val="20"/>
                <w:szCs w:val="20"/>
              </w:rPr>
            </w:pPr>
            <w:r w:rsidRPr="00D22494">
              <w:rPr>
                <w:sz w:val="20"/>
                <w:szCs w:val="20"/>
              </w:rPr>
              <w:t>0.364</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2842A090" w14:textId="77777777" w:rsidR="00432BEC" w:rsidRPr="00D22494" w:rsidRDefault="00432BEC" w:rsidP="00CE36A9">
            <w:pPr>
              <w:spacing w:before="0" w:after="0" w:line="240" w:lineRule="auto"/>
              <w:jc w:val="right"/>
              <w:rPr>
                <w:sz w:val="20"/>
                <w:szCs w:val="20"/>
              </w:rPr>
            </w:pPr>
            <w:r w:rsidRPr="00D22494">
              <w:rPr>
                <w:sz w:val="20"/>
                <w:szCs w:val="20"/>
              </w:rPr>
              <w:t>0.212</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F1683F7" w14:textId="77777777" w:rsidR="00432BEC" w:rsidRPr="00D22494" w:rsidRDefault="00432BEC" w:rsidP="00CE36A9">
            <w:pPr>
              <w:spacing w:before="0" w:after="0" w:line="240" w:lineRule="auto"/>
              <w:jc w:val="right"/>
              <w:rPr>
                <w:sz w:val="20"/>
                <w:szCs w:val="20"/>
              </w:rPr>
            </w:pPr>
            <w:r w:rsidRPr="00D22494">
              <w:rPr>
                <w:sz w:val="20"/>
                <w:szCs w:val="20"/>
              </w:rPr>
              <w:t>0.424</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DD1516E" w14:textId="77777777" w:rsidR="00432BEC" w:rsidRPr="00D22494" w:rsidRDefault="00432BEC" w:rsidP="00CE36A9">
            <w:pPr>
              <w:spacing w:before="0" w:after="0" w:line="240" w:lineRule="auto"/>
              <w:jc w:val="right"/>
              <w:rPr>
                <w:sz w:val="20"/>
                <w:szCs w:val="20"/>
              </w:rPr>
            </w:pPr>
            <w:r w:rsidRPr="00D22494">
              <w:rPr>
                <w:sz w:val="20"/>
                <w:szCs w:val="20"/>
              </w:rPr>
              <w:t>0.192</w:t>
            </w:r>
          </w:p>
        </w:tc>
        <w:tc>
          <w:tcPr>
            <w:tcW w:w="3172" w:type="dxa"/>
            <w:tcBorders>
              <w:top w:val="nil"/>
              <w:left w:val="double" w:sz="4" w:space="0" w:color="auto"/>
              <w:bottom w:val="nil"/>
            </w:tcBorders>
            <w:shd w:val="clear" w:color="auto" w:fill="FFFFFF" w:themeFill="background1"/>
            <w:tcMar>
              <w:left w:w="43" w:type="dxa"/>
            </w:tcMar>
            <w:vAlign w:val="center"/>
            <w:hideMark/>
          </w:tcPr>
          <w:p w14:paraId="222DB35E" w14:textId="77777777" w:rsidR="00432BEC" w:rsidRPr="00D22494" w:rsidRDefault="00432BEC" w:rsidP="00CE36A9">
            <w:pPr>
              <w:spacing w:before="0" w:after="0" w:line="240" w:lineRule="auto"/>
              <w:jc w:val="left"/>
              <w:rPr>
                <w:sz w:val="20"/>
                <w:szCs w:val="20"/>
              </w:rPr>
            </w:pPr>
            <w:r w:rsidRPr="00D22494">
              <w:rPr>
                <w:sz w:val="20"/>
                <w:szCs w:val="20"/>
              </w:rPr>
              <w:t>SLD – 2019</w:t>
            </w:r>
          </w:p>
        </w:tc>
      </w:tr>
      <w:tr w:rsidR="009D545F" w:rsidRPr="00D22494" w14:paraId="55D46C68" w14:textId="77777777" w:rsidTr="009D545F">
        <w:trPr>
          <w:trHeight w:val="20"/>
        </w:trPr>
        <w:tc>
          <w:tcPr>
            <w:tcW w:w="13225" w:type="dxa"/>
            <w:gridSpan w:val="8"/>
            <w:tcBorders>
              <w:top w:val="nil"/>
              <w:left w:val="nil"/>
              <w:bottom w:val="nil"/>
              <w:right w:val="nil"/>
            </w:tcBorders>
            <w:shd w:val="clear" w:color="auto" w:fill="FFFFFF" w:themeFill="background1"/>
            <w:tcMar>
              <w:left w:w="43" w:type="dxa"/>
            </w:tcMar>
            <w:vAlign w:val="center"/>
          </w:tcPr>
          <w:p w14:paraId="36041633" w14:textId="19A8C67F" w:rsidR="009D545F" w:rsidRPr="009D545F" w:rsidRDefault="009D545F" w:rsidP="003B46B5">
            <w:pPr>
              <w:spacing w:before="0" w:line="240" w:lineRule="auto"/>
              <w:ind w:left="-53"/>
              <w:jc w:val="left"/>
            </w:pPr>
            <w:r w:rsidRPr="009D545F">
              <w:rPr>
                <w:b/>
                <w:bCs/>
              </w:rPr>
              <w:lastRenderedPageBreak/>
              <w:t xml:space="preserve">Table 2. </w:t>
            </w:r>
            <w:r w:rsidRPr="009D545F">
              <w:rPr>
                <w:b/>
              </w:rPr>
              <w:t xml:space="preserve">Summary </w:t>
            </w:r>
            <w:r w:rsidR="00F5200B">
              <w:rPr>
                <w:b/>
              </w:rPr>
              <w:t>S</w:t>
            </w:r>
            <w:r w:rsidRPr="009D545F">
              <w:rPr>
                <w:b/>
              </w:rPr>
              <w:t xml:space="preserve">tatistics of </w:t>
            </w:r>
            <w:r w:rsidR="00F5200B">
              <w:rPr>
                <w:b/>
              </w:rPr>
              <w:t>E</w:t>
            </w:r>
            <w:r w:rsidRPr="009D545F">
              <w:rPr>
                <w:b/>
              </w:rPr>
              <w:t xml:space="preserve">xogenous </w:t>
            </w:r>
            <w:r w:rsidR="00F5200B">
              <w:rPr>
                <w:b/>
              </w:rPr>
              <w:t>V</w:t>
            </w:r>
            <w:r w:rsidRPr="009D545F">
              <w:rPr>
                <w:b/>
              </w:rPr>
              <w:t>ariables (contd.)</w:t>
            </w:r>
          </w:p>
        </w:tc>
      </w:tr>
      <w:tr w:rsidR="009D545F" w:rsidRPr="00D22494" w14:paraId="415F3EF1" w14:textId="77777777" w:rsidTr="006A1D9E">
        <w:trPr>
          <w:trHeight w:val="20"/>
        </w:trPr>
        <w:tc>
          <w:tcPr>
            <w:tcW w:w="3775" w:type="dxa"/>
            <w:vMerge w:val="restart"/>
            <w:tcBorders>
              <w:top w:val="double" w:sz="4" w:space="0" w:color="auto"/>
              <w:bottom w:val="double" w:sz="4" w:space="0" w:color="auto"/>
              <w:right w:val="double" w:sz="4" w:space="0" w:color="auto"/>
            </w:tcBorders>
            <w:shd w:val="clear" w:color="auto" w:fill="FFFFFF" w:themeFill="background1"/>
            <w:tcMar>
              <w:left w:w="43" w:type="dxa"/>
            </w:tcMar>
            <w:vAlign w:val="center"/>
          </w:tcPr>
          <w:p w14:paraId="47E627D6" w14:textId="3221C779" w:rsidR="009D545F" w:rsidRDefault="009D545F" w:rsidP="009D545F">
            <w:pPr>
              <w:spacing w:before="0" w:after="0" w:line="240" w:lineRule="auto"/>
              <w:jc w:val="left"/>
              <w:rPr>
                <w:b/>
                <w:bCs/>
                <w:sz w:val="20"/>
                <w:szCs w:val="20"/>
              </w:rPr>
            </w:pPr>
            <w:r w:rsidRPr="00D22494">
              <w:rPr>
                <w:b/>
                <w:bCs/>
                <w:sz w:val="20"/>
                <w:szCs w:val="20"/>
              </w:rPr>
              <w:t>CBG type</w:t>
            </w:r>
          </w:p>
        </w:tc>
        <w:tc>
          <w:tcPr>
            <w:tcW w:w="2148" w:type="dxa"/>
            <w:gridSpan w:val="2"/>
            <w:tcBorders>
              <w:top w:val="double" w:sz="4" w:space="0" w:color="auto"/>
              <w:left w:val="double" w:sz="4" w:space="0" w:color="auto"/>
              <w:bottom w:val="nil"/>
              <w:right w:val="double" w:sz="4" w:space="0" w:color="auto"/>
            </w:tcBorders>
            <w:shd w:val="clear" w:color="auto" w:fill="FFFFFF" w:themeFill="background1"/>
            <w:tcMar>
              <w:left w:w="43" w:type="dxa"/>
            </w:tcMar>
            <w:vAlign w:val="center"/>
          </w:tcPr>
          <w:p w14:paraId="1ED5CCC8" w14:textId="66F0EAB8" w:rsidR="009D545F" w:rsidRPr="00D22494" w:rsidRDefault="009D545F" w:rsidP="006A1D9E">
            <w:pPr>
              <w:spacing w:before="0" w:after="0" w:line="240" w:lineRule="auto"/>
              <w:jc w:val="center"/>
              <w:rPr>
                <w:sz w:val="20"/>
                <w:szCs w:val="20"/>
              </w:rPr>
            </w:pPr>
            <w:r w:rsidRPr="00D22494">
              <w:rPr>
                <w:b/>
                <w:bCs/>
                <w:sz w:val="20"/>
                <w:szCs w:val="20"/>
              </w:rPr>
              <w:t>All CBG</w:t>
            </w:r>
          </w:p>
        </w:tc>
        <w:tc>
          <w:tcPr>
            <w:tcW w:w="2060" w:type="dxa"/>
            <w:gridSpan w:val="2"/>
            <w:tcBorders>
              <w:top w:val="double" w:sz="4" w:space="0" w:color="auto"/>
              <w:left w:val="double" w:sz="4" w:space="0" w:color="auto"/>
              <w:bottom w:val="nil"/>
              <w:right w:val="double" w:sz="4" w:space="0" w:color="auto"/>
            </w:tcBorders>
            <w:shd w:val="clear" w:color="auto" w:fill="FFFFFF" w:themeFill="background1"/>
            <w:tcMar>
              <w:left w:w="43" w:type="dxa"/>
            </w:tcMar>
            <w:vAlign w:val="center"/>
          </w:tcPr>
          <w:p w14:paraId="158FD89B" w14:textId="2FCBA8D9" w:rsidR="009D545F" w:rsidRPr="00D22494" w:rsidRDefault="009D545F" w:rsidP="006A1D9E">
            <w:pPr>
              <w:spacing w:before="0" w:after="0" w:line="240" w:lineRule="auto"/>
              <w:jc w:val="center"/>
              <w:rPr>
                <w:sz w:val="20"/>
                <w:szCs w:val="20"/>
              </w:rPr>
            </w:pPr>
            <w:r w:rsidRPr="00D22494">
              <w:rPr>
                <w:b/>
                <w:bCs/>
                <w:sz w:val="20"/>
                <w:szCs w:val="20"/>
              </w:rPr>
              <w:t>Majority Black</w:t>
            </w:r>
          </w:p>
        </w:tc>
        <w:tc>
          <w:tcPr>
            <w:tcW w:w="2070" w:type="dxa"/>
            <w:gridSpan w:val="2"/>
            <w:tcBorders>
              <w:top w:val="double" w:sz="4" w:space="0" w:color="auto"/>
              <w:left w:val="double" w:sz="4" w:space="0" w:color="auto"/>
              <w:bottom w:val="nil"/>
              <w:right w:val="double" w:sz="4" w:space="0" w:color="auto"/>
            </w:tcBorders>
            <w:shd w:val="clear" w:color="auto" w:fill="FFFFFF" w:themeFill="background1"/>
            <w:tcMar>
              <w:left w:w="43" w:type="dxa"/>
            </w:tcMar>
            <w:vAlign w:val="center"/>
          </w:tcPr>
          <w:p w14:paraId="167DCE4C" w14:textId="1DEE4A0D" w:rsidR="009D545F" w:rsidRPr="00D22494" w:rsidRDefault="009D545F" w:rsidP="006A1D9E">
            <w:pPr>
              <w:spacing w:before="0" w:after="0" w:line="240" w:lineRule="auto"/>
              <w:jc w:val="center"/>
              <w:rPr>
                <w:sz w:val="20"/>
                <w:szCs w:val="20"/>
              </w:rPr>
            </w:pPr>
            <w:r w:rsidRPr="00D22494">
              <w:rPr>
                <w:b/>
                <w:bCs/>
                <w:sz w:val="20"/>
                <w:szCs w:val="20"/>
              </w:rPr>
              <w:t>Majority Not Black</w:t>
            </w:r>
          </w:p>
        </w:tc>
        <w:tc>
          <w:tcPr>
            <w:tcW w:w="3172" w:type="dxa"/>
            <w:vMerge w:val="restart"/>
            <w:tcBorders>
              <w:top w:val="double" w:sz="4" w:space="0" w:color="auto"/>
              <w:left w:val="double" w:sz="4" w:space="0" w:color="auto"/>
              <w:bottom w:val="double" w:sz="4" w:space="0" w:color="auto"/>
            </w:tcBorders>
            <w:shd w:val="clear" w:color="auto" w:fill="FFFFFF" w:themeFill="background1"/>
            <w:tcMar>
              <w:left w:w="43" w:type="dxa"/>
            </w:tcMar>
            <w:vAlign w:val="center"/>
          </w:tcPr>
          <w:p w14:paraId="735FE849" w14:textId="20C45DE9" w:rsidR="009D545F" w:rsidRPr="00D22494" w:rsidRDefault="009D545F" w:rsidP="006A1D9E">
            <w:pPr>
              <w:spacing w:before="0" w:after="0" w:line="240" w:lineRule="auto"/>
              <w:jc w:val="center"/>
              <w:rPr>
                <w:sz w:val="20"/>
                <w:szCs w:val="20"/>
              </w:rPr>
            </w:pPr>
            <w:r w:rsidRPr="00D22494">
              <w:rPr>
                <w:b/>
                <w:bCs/>
                <w:sz w:val="20"/>
                <w:szCs w:val="20"/>
              </w:rPr>
              <w:t>Data source</w:t>
            </w:r>
          </w:p>
        </w:tc>
      </w:tr>
      <w:tr w:rsidR="009D545F" w:rsidRPr="00D22494" w14:paraId="4B46E39E" w14:textId="77777777" w:rsidTr="006A1D9E">
        <w:trPr>
          <w:trHeight w:val="20"/>
        </w:trPr>
        <w:tc>
          <w:tcPr>
            <w:tcW w:w="3775" w:type="dxa"/>
            <w:vMerge/>
            <w:tcBorders>
              <w:top w:val="nil"/>
              <w:bottom w:val="double" w:sz="4" w:space="0" w:color="auto"/>
              <w:right w:val="double" w:sz="4" w:space="0" w:color="auto"/>
            </w:tcBorders>
            <w:shd w:val="clear" w:color="auto" w:fill="FFFFFF" w:themeFill="background1"/>
            <w:tcMar>
              <w:left w:w="43" w:type="dxa"/>
            </w:tcMar>
            <w:vAlign w:val="center"/>
          </w:tcPr>
          <w:p w14:paraId="16247686" w14:textId="77777777" w:rsidR="009D545F" w:rsidRDefault="009D545F" w:rsidP="009D545F">
            <w:pPr>
              <w:spacing w:before="0" w:after="0" w:line="240" w:lineRule="auto"/>
              <w:jc w:val="left"/>
              <w:rPr>
                <w:b/>
                <w:bCs/>
                <w:sz w:val="20"/>
                <w:szCs w:val="20"/>
              </w:rPr>
            </w:pPr>
          </w:p>
        </w:tc>
        <w:tc>
          <w:tcPr>
            <w:tcW w:w="1085"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tcPr>
          <w:p w14:paraId="0FE3B7C4" w14:textId="66864339" w:rsidR="009D545F" w:rsidRPr="00D22494" w:rsidRDefault="009D545F" w:rsidP="006A1D9E">
            <w:pPr>
              <w:spacing w:before="0" w:after="0" w:line="240" w:lineRule="auto"/>
              <w:jc w:val="center"/>
              <w:rPr>
                <w:sz w:val="20"/>
                <w:szCs w:val="20"/>
              </w:rPr>
            </w:pPr>
            <w:r w:rsidRPr="00D22494">
              <w:rPr>
                <w:b/>
                <w:bCs/>
                <w:sz w:val="20"/>
                <w:szCs w:val="20"/>
              </w:rPr>
              <w:t>Mean</w:t>
            </w:r>
          </w:p>
        </w:tc>
        <w:tc>
          <w:tcPr>
            <w:tcW w:w="1063"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tcPr>
          <w:p w14:paraId="2E0D9FD0" w14:textId="47CDCB95" w:rsidR="009D545F" w:rsidRPr="00D22494" w:rsidRDefault="009D545F" w:rsidP="006A1D9E">
            <w:pPr>
              <w:spacing w:before="0" w:after="0" w:line="240" w:lineRule="auto"/>
              <w:jc w:val="center"/>
              <w:rPr>
                <w:sz w:val="20"/>
                <w:szCs w:val="20"/>
              </w:rPr>
            </w:pPr>
            <w:r w:rsidRPr="00D22494">
              <w:rPr>
                <w:b/>
                <w:bCs/>
                <w:sz w:val="20"/>
                <w:szCs w:val="20"/>
              </w:rPr>
              <w:t>S.D.</w:t>
            </w:r>
          </w:p>
        </w:tc>
        <w:tc>
          <w:tcPr>
            <w:tcW w:w="1041"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tcPr>
          <w:p w14:paraId="5BB8BE96" w14:textId="3D07DFDB" w:rsidR="009D545F" w:rsidRPr="00D22494" w:rsidRDefault="009D545F" w:rsidP="006A1D9E">
            <w:pPr>
              <w:spacing w:before="0" w:after="0" w:line="240" w:lineRule="auto"/>
              <w:jc w:val="center"/>
              <w:rPr>
                <w:sz w:val="20"/>
                <w:szCs w:val="20"/>
              </w:rPr>
            </w:pPr>
            <w:r w:rsidRPr="00D22494">
              <w:rPr>
                <w:b/>
                <w:bCs/>
                <w:sz w:val="20"/>
                <w:szCs w:val="20"/>
              </w:rPr>
              <w:t>Mean</w:t>
            </w:r>
          </w:p>
        </w:tc>
        <w:tc>
          <w:tcPr>
            <w:tcW w:w="1019"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tcPr>
          <w:p w14:paraId="59745A08" w14:textId="7223AE65" w:rsidR="009D545F" w:rsidRPr="00D22494" w:rsidRDefault="009D545F" w:rsidP="006A1D9E">
            <w:pPr>
              <w:spacing w:before="0" w:after="0" w:line="240" w:lineRule="auto"/>
              <w:jc w:val="center"/>
              <w:rPr>
                <w:sz w:val="20"/>
                <w:szCs w:val="20"/>
              </w:rPr>
            </w:pPr>
            <w:r w:rsidRPr="00D22494">
              <w:rPr>
                <w:b/>
                <w:bCs/>
                <w:sz w:val="20"/>
                <w:szCs w:val="20"/>
              </w:rPr>
              <w:t>S.D.</w:t>
            </w:r>
          </w:p>
        </w:tc>
        <w:tc>
          <w:tcPr>
            <w:tcW w:w="1080" w:type="dxa"/>
            <w:tcBorders>
              <w:top w:val="single" w:sz="4" w:space="0" w:color="auto"/>
              <w:left w:val="double" w:sz="4" w:space="0" w:color="auto"/>
              <w:bottom w:val="double" w:sz="4" w:space="0" w:color="auto"/>
              <w:right w:val="single" w:sz="4" w:space="0" w:color="auto"/>
            </w:tcBorders>
            <w:shd w:val="clear" w:color="auto" w:fill="FFFFFF" w:themeFill="background1"/>
            <w:tcMar>
              <w:left w:w="43" w:type="dxa"/>
            </w:tcMar>
            <w:vAlign w:val="center"/>
          </w:tcPr>
          <w:p w14:paraId="5FAEC111" w14:textId="5DE650BA" w:rsidR="009D545F" w:rsidRPr="00D22494" w:rsidRDefault="009D545F" w:rsidP="006A1D9E">
            <w:pPr>
              <w:spacing w:before="0" w:after="0" w:line="240" w:lineRule="auto"/>
              <w:jc w:val="center"/>
              <w:rPr>
                <w:sz w:val="20"/>
                <w:szCs w:val="20"/>
              </w:rPr>
            </w:pPr>
            <w:r w:rsidRPr="00D22494">
              <w:rPr>
                <w:b/>
                <w:bCs/>
                <w:sz w:val="20"/>
                <w:szCs w:val="20"/>
              </w:rPr>
              <w:t>Mean</w:t>
            </w:r>
          </w:p>
        </w:tc>
        <w:tc>
          <w:tcPr>
            <w:tcW w:w="990" w:type="dxa"/>
            <w:tcBorders>
              <w:top w:val="single" w:sz="4" w:space="0" w:color="auto"/>
              <w:left w:val="single" w:sz="4" w:space="0" w:color="auto"/>
              <w:bottom w:val="double" w:sz="4" w:space="0" w:color="auto"/>
              <w:right w:val="double" w:sz="4" w:space="0" w:color="auto"/>
            </w:tcBorders>
            <w:shd w:val="clear" w:color="auto" w:fill="FFFFFF" w:themeFill="background1"/>
            <w:tcMar>
              <w:left w:w="43" w:type="dxa"/>
            </w:tcMar>
            <w:vAlign w:val="center"/>
          </w:tcPr>
          <w:p w14:paraId="4E31930D" w14:textId="67B3C91C" w:rsidR="009D545F" w:rsidRPr="00D22494" w:rsidRDefault="009D545F" w:rsidP="006A1D9E">
            <w:pPr>
              <w:spacing w:before="0" w:after="0" w:line="240" w:lineRule="auto"/>
              <w:jc w:val="center"/>
              <w:rPr>
                <w:sz w:val="20"/>
                <w:szCs w:val="20"/>
              </w:rPr>
            </w:pPr>
            <w:r w:rsidRPr="00D22494">
              <w:rPr>
                <w:b/>
                <w:bCs/>
                <w:sz w:val="20"/>
                <w:szCs w:val="20"/>
              </w:rPr>
              <w:t>S.D.</w:t>
            </w:r>
          </w:p>
        </w:tc>
        <w:tc>
          <w:tcPr>
            <w:tcW w:w="3172" w:type="dxa"/>
            <w:vMerge/>
            <w:tcBorders>
              <w:top w:val="nil"/>
              <w:left w:val="double" w:sz="4" w:space="0" w:color="auto"/>
              <w:bottom w:val="double" w:sz="4" w:space="0" w:color="auto"/>
            </w:tcBorders>
            <w:shd w:val="clear" w:color="auto" w:fill="FFFFFF" w:themeFill="background1"/>
            <w:tcMar>
              <w:left w:w="43" w:type="dxa"/>
            </w:tcMar>
            <w:vAlign w:val="center"/>
          </w:tcPr>
          <w:p w14:paraId="5EE32673" w14:textId="77777777" w:rsidR="009D545F" w:rsidRPr="00D22494" w:rsidRDefault="009D545F" w:rsidP="006A1D9E">
            <w:pPr>
              <w:spacing w:before="0" w:after="0" w:line="240" w:lineRule="auto"/>
              <w:jc w:val="center"/>
              <w:rPr>
                <w:sz w:val="20"/>
                <w:szCs w:val="20"/>
              </w:rPr>
            </w:pPr>
          </w:p>
        </w:tc>
      </w:tr>
      <w:tr w:rsidR="009D545F" w:rsidRPr="00D22494" w14:paraId="7AB728A6" w14:textId="77777777" w:rsidTr="006A1D9E">
        <w:trPr>
          <w:trHeight w:val="20"/>
        </w:trPr>
        <w:tc>
          <w:tcPr>
            <w:tcW w:w="3775" w:type="dxa"/>
            <w:tcBorders>
              <w:top w:val="double" w:sz="4" w:space="0" w:color="auto"/>
              <w:bottom w:val="nil"/>
              <w:right w:val="double" w:sz="4" w:space="0" w:color="auto"/>
            </w:tcBorders>
            <w:shd w:val="clear" w:color="auto" w:fill="FFFFFF" w:themeFill="background1"/>
            <w:tcMar>
              <w:left w:w="43" w:type="dxa"/>
            </w:tcMar>
            <w:vAlign w:val="center"/>
          </w:tcPr>
          <w:p w14:paraId="0FDDA35C" w14:textId="77777777" w:rsidR="009D545F" w:rsidRPr="00D22494" w:rsidRDefault="009D545F" w:rsidP="009D545F">
            <w:pPr>
              <w:spacing w:before="0" w:after="0" w:line="240" w:lineRule="auto"/>
              <w:jc w:val="left"/>
              <w:rPr>
                <w:sz w:val="20"/>
                <w:szCs w:val="20"/>
              </w:rPr>
            </w:pPr>
            <w:r w:rsidRPr="00D22494">
              <w:rPr>
                <w:b/>
                <w:bCs/>
                <w:sz w:val="20"/>
                <w:szCs w:val="20"/>
              </w:rPr>
              <w:t>Socio-demographic</w:t>
            </w:r>
          </w:p>
        </w:tc>
        <w:tc>
          <w:tcPr>
            <w:tcW w:w="1085" w:type="dxa"/>
            <w:tcBorders>
              <w:top w:val="double" w:sz="4" w:space="0" w:color="auto"/>
              <w:left w:val="double" w:sz="4" w:space="0" w:color="auto"/>
              <w:bottom w:val="nil"/>
              <w:right w:val="single" w:sz="4" w:space="0" w:color="auto"/>
            </w:tcBorders>
            <w:shd w:val="clear" w:color="auto" w:fill="FFFFFF" w:themeFill="background1"/>
            <w:tcMar>
              <w:left w:w="43" w:type="dxa"/>
            </w:tcMar>
            <w:vAlign w:val="center"/>
          </w:tcPr>
          <w:p w14:paraId="44D0A7D6" w14:textId="77777777" w:rsidR="009D545F" w:rsidRPr="00D22494" w:rsidRDefault="009D545F" w:rsidP="009D545F">
            <w:pPr>
              <w:spacing w:before="0" w:after="0" w:line="240" w:lineRule="auto"/>
              <w:jc w:val="right"/>
              <w:rPr>
                <w:sz w:val="20"/>
                <w:szCs w:val="20"/>
              </w:rPr>
            </w:pPr>
          </w:p>
        </w:tc>
        <w:tc>
          <w:tcPr>
            <w:tcW w:w="1063" w:type="dxa"/>
            <w:tcBorders>
              <w:top w:val="double" w:sz="4" w:space="0" w:color="auto"/>
              <w:left w:val="single" w:sz="4" w:space="0" w:color="auto"/>
              <w:bottom w:val="nil"/>
              <w:right w:val="double" w:sz="4" w:space="0" w:color="auto"/>
            </w:tcBorders>
            <w:shd w:val="clear" w:color="auto" w:fill="FFFFFF" w:themeFill="background1"/>
            <w:tcMar>
              <w:left w:w="43" w:type="dxa"/>
            </w:tcMar>
            <w:vAlign w:val="center"/>
          </w:tcPr>
          <w:p w14:paraId="13C3850D" w14:textId="77777777" w:rsidR="009D545F" w:rsidRPr="00D22494" w:rsidRDefault="009D545F" w:rsidP="009D545F">
            <w:pPr>
              <w:spacing w:before="0" w:after="0" w:line="240" w:lineRule="auto"/>
              <w:jc w:val="right"/>
              <w:rPr>
                <w:sz w:val="20"/>
                <w:szCs w:val="20"/>
              </w:rPr>
            </w:pPr>
          </w:p>
        </w:tc>
        <w:tc>
          <w:tcPr>
            <w:tcW w:w="1041" w:type="dxa"/>
            <w:tcBorders>
              <w:top w:val="double" w:sz="4" w:space="0" w:color="auto"/>
              <w:left w:val="double" w:sz="4" w:space="0" w:color="auto"/>
              <w:bottom w:val="nil"/>
              <w:right w:val="single" w:sz="4" w:space="0" w:color="auto"/>
            </w:tcBorders>
            <w:shd w:val="clear" w:color="auto" w:fill="FFFFFF" w:themeFill="background1"/>
            <w:tcMar>
              <w:left w:w="43" w:type="dxa"/>
            </w:tcMar>
            <w:vAlign w:val="center"/>
          </w:tcPr>
          <w:p w14:paraId="4ED40210" w14:textId="77777777" w:rsidR="009D545F" w:rsidRPr="00D22494" w:rsidRDefault="009D545F" w:rsidP="009D545F">
            <w:pPr>
              <w:spacing w:before="0" w:after="0" w:line="240" w:lineRule="auto"/>
              <w:jc w:val="right"/>
              <w:rPr>
                <w:sz w:val="20"/>
                <w:szCs w:val="20"/>
              </w:rPr>
            </w:pPr>
          </w:p>
        </w:tc>
        <w:tc>
          <w:tcPr>
            <w:tcW w:w="1019" w:type="dxa"/>
            <w:tcBorders>
              <w:top w:val="double" w:sz="4" w:space="0" w:color="auto"/>
              <w:left w:val="single" w:sz="4" w:space="0" w:color="auto"/>
              <w:bottom w:val="nil"/>
              <w:right w:val="double" w:sz="4" w:space="0" w:color="auto"/>
            </w:tcBorders>
            <w:shd w:val="clear" w:color="auto" w:fill="FFFFFF" w:themeFill="background1"/>
            <w:tcMar>
              <w:left w:w="43" w:type="dxa"/>
            </w:tcMar>
            <w:vAlign w:val="center"/>
          </w:tcPr>
          <w:p w14:paraId="365FFE73" w14:textId="77777777" w:rsidR="009D545F" w:rsidRPr="00D22494" w:rsidRDefault="009D545F" w:rsidP="009D545F">
            <w:pPr>
              <w:spacing w:before="0" w:after="0" w:line="240" w:lineRule="auto"/>
              <w:jc w:val="right"/>
              <w:rPr>
                <w:sz w:val="20"/>
                <w:szCs w:val="20"/>
              </w:rPr>
            </w:pPr>
          </w:p>
        </w:tc>
        <w:tc>
          <w:tcPr>
            <w:tcW w:w="1080" w:type="dxa"/>
            <w:tcBorders>
              <w:top w:val="double" w:sz="4" w:space="0" w:color="auto"/>
              <w:left w:val="double" w:sz="4" w:space="0" w:color="auto"/>
              <w:bottom w:val="nil"/>
              <w:right w:val="single" w:sz="4" w:space="0" w:color="auto"/>
            </w:tcBorders>
            <w:shd w:val="clear" w:color="auto" w:fill="FFFFFF" w:themeFill="background1"/>
            <w:tcMar>
              <w:left w:w="43" w:type="dxa"/>
            </w:tcMar>
            <w:vAlign w:val="center"/>
          </w:tcPr>
          <w:p w14:paraId="1BB14511" w14:textId="77777777" w:rsidR="009D545F" w:rsidRPr="00D22494" w:rsidRDefault="009D545F" w:rsidP="009D545F">
            <w:pPr>
              <w:spacing w:before="0" w:after="0" w:line="240" w:lineRule="auto"/>
              <w:jc w:val="right"/>
              <w:rPr>
                <w:sz w:val="20"/>
                <w:szCs w:val="20"/>
              </w:rPr>
            </w:pPr>
          </w:p>
        </w:tc>
        <w:tc>
          <w:tcPr>
            <w:tcW w:w="990" w:type="dxa"/>
            <w:tcBorders>
              <w:top w:val="double" w:sz="4" w:space="0" w:color="auto"/>
              <w:left w:val="single" w:sz="4" w:space="0" w:color="auto"/>
              <w:bottom w:val="nil"/>
              <w:right w:val="double" w:sz="4" w:space="0" w:color="auto"/>
            </w:tcBorders>
            <w:shd w:val="clear" w:color="auto" w:fill="FFFFFF" w:themeFill="background1"/>
            <w:tcMar>
              <w:left w:w="43" w:type="dxa"/>
            </w:tcMar>
            <w:vAlign w:val="center"/>
          </w:tcPr>
          <w:p w14:paraId="7AB354FE" w14:textId="77777777" w:rsidR="009D545F" w:rsidRPr="00D22494" w:rsidRDefault="009D545F" w:rsidP="009D545F">
            <w:pPr>
              <w:spacing w:before="0" w:after="0" w:line="240" w:lineRule="auto"/>
              <w:jc w:val="right"/>
              <w:rPr>
                <w:sz w:val="20"/>
                <w:szCs w:val="20"/>
              </w:rPr>
            </w:pPr>
          </w:p>
        </w:tc>
        <w:tc>
          <w:tcPr>
            <w:tcW w:w="3172" w:type="dxa"/>
            <w:tcBorders>
              <w:top w:val="double" w:sz="4" w:space="0" w:color="auto"/>
              <w:left w:val="double" w:sz="4" w:space="0" w:color="auto"/>
              <w:bottom w:val="nil"/>
            </w:tcBorders>
            <w:shd w:val="clear" w:color="auto" w:fill="FFFFFF" w:themeFill="background1"/>
            <w:tcMar>
              <w:left w:w="43" w:type="dxa"/>
            </w:tcMar>
            <w:vAlign w:val="center"/>
          </w:tcPr>
          <w:p w14:paraId="4CD0A0D7" w14:textId="77777777" w:rsidR="009D545F" w:rsidRPr="00D22494" w:rsidRDefault="009D545F" w:rsidP="009D545F">
            <w:pPr>
              <w:spacing w:before="0" w:after="0" w:line="240" w:lineRule="auto"/>
              <w:jc w:val="left"/>
              <w:rPr>
                <w:sz w:val="20"/>
                <w:szCs w:val="20"/>
              </w:rPr>
            </w:pPr>
          </w:p>
        </w:tc>
      </w:tr>
      <w:tr w:rsidR="009D545F" w:rsidRPr="00D22494" w14:paraId="06A9FD05"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5F9F729F" w14:textId="77777777" w:rsidR="009D545F" w:rsidRPr="00D22494" w:rsidRDefault="009D545F" w:rsidP="009D545F">
            <w:pPr>
              <w:spacing w:before="0" w:after="0" w:line="240" w:lineRule="auto"/>
              <w:ind w:left="136"/>
              <w:jc w:val="left"/>
              <w:rPr>
                <w:sz w:val="20"/>
                <w:szCs w:val="20"/>
              </w:rPr>
            </w:pPr>
            <w:r w:rsidRPr="00D22494">
              <w:rPr>
                <w:sz w:val="20"/>
                <w:szCs w:val="20"/>
              </w:rPr>
              <w:t>% Low income</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2FD2398" w14:textId="77777777" w:rsidR="009D545F" w:rsidRPr="00D22494" w:rsidRDefault="009D545F" w:rsidP="009D545F">
            <w:pPr>
              <w:spacing w:before="0" w:after="0" w:line="240" w:lineRule="auto"/>
              <w:jc w:val="right"/>
              <w:rPr>
                <w:sz w:val="20"/>
                <w:szCs w:val="20"/>
              </w:rPr>
            </w:pPr>
            <w:r w:rsidRPr="00D22494">
              <w:rPr>
                <w:sz w:val="20"/>
                <w:szCs w:val="20"/>
              </w:rPr>
              <w:t>33.813</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44B2BED" w14:textId="77777777" w:rsidR="009D545F" w:rsidRPr="00D22494" w:rsidRDefault="009D545F" w:rsidP="009D545F">
            <w:pPr>
              <w:spacing w:before="0" w:after="0" w:line="240" w:lineRule="auto"/>
              <w:jc w:val="right"/>
              <w:rPr>
                <w:sz w:val="20"/>
                <w:szCs w:val="20"/>
              </w:rPr>
            </w:pPr>
            <w:r w:rsidRPr="00D22494">
              <w:rPr>
                <w:sz w:val="20"/>
                <w:szCs w:val="20"/>
              </w:rPr>
              <w:t>20.172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2E0F54D" w14:textId="77777777" w:rsidR="009D545F" w:rsidRPr="00D22494" w:rsidRDefault="009D545F" w:rsidP="009D545F">
            <w:pPr>
              <w:spacing w:before="0" w:after="0" w:line="240" w:lineRule="auto"/>
              <w:jc w:val="right"/>
              <w:rPr>
                <w:sz w:val="20"/>
                <w:szCs w:val="20"/>
              </w:rPr>
            </w:pPr>
            <w:r w:rsidRPr="00D22494">
              <w:rPr>
                <w:sz w:val="20"/>
                <w:szCs w:val="20"/>
              </w:rPr>
              <w:t>46.993</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B2F390D" w14:textId="77777777" w:rsidR="009D545F" w:rsidRPr="00D22494" w:rsidRDefault="009D545F" w:rsidP="009D545F">
            <w:pPr>
              <w:spacing w:before="0" w:after="0" w:line="240" w:lineRule="auto"/>
              <w:jc w:val="right"/>
              <w:rPr>
                <w:sz w:val="20"/>
                <w:szCs w:val="20"/>
              </w:rPr>
            </w:pPr>
            <w:r w:rsidRPr="00D22494">
              <w:rPr>
                <w:sz w:val="20"/>
                <w:szCs w:val="20"/>
              </w:rPr>
              <w:t>19.720</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DAC9CC3" w14:textId="77777777" w:rsidR="009D545F" w:rsidRPr="00D22494" w:rsidRDefault="009D545F" w:rsidP="009D545F">
            <w:pPr>
              <w:spacing w:before="0" w:after="0" w:line="240" w:lineRule="auto"/>
              <w:jc w:val="right"/>
              <w:rPr>
                <w:sz w:val="20"/>
                <w:szCs w:val="20"/>
              </w:rPr>
            </w:pPr>
            <w:r w:rsidRPr="00D22494">
              <w:rPr>
                <w:sz w:val="20"/>
                <w:szCs w:val="20"/>
              </w:rPr>
              <w:t>31.693</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2206B40B" w14:textId="77777777" w:rsidR="009D545F" w:rsidRPr="00D22494" w:rsidRDefault="009D545F" w:rsidP="009D545F">
            <w:pPr>
              <w:spacing w:before="0" w:after="0" w:line="240" w:lineRule="auto"/>
              <w:jc w:val="right"/>
              <w:rPr>
                <w:sz w:val="20"/>
                <w:szCs w:val="20"/>
              </w:rPr>
            </w:pPr>
            <w:r w:rsidRPr="00D22494">
              <w:rPr>
                <w:sz w:val="20"/>
                <w:szCs w:val="20"/>
              </w:rPr>
              <w:t>19.490</w:t>
            </w:r>
          </w:p>
        </w:tc>
        <w:tc>
          <w:tcPr>
            <w:tcW w:w="3172" w:type="dxa"/>
            <w:tcBorders>
              <w:top w:val="nil"/>
              <w:left w:val="double" w:sz="4" w:space="0" w:color="auto"/>
              <w:bottom w:val="nil"/>
            </w:tcBorders>
            <w:shd w:val="clear" w:color="auto" w:fill="FFFFFF" w:themeFill="background1"/>
            <w:tcMar>
              <w:left w:w="43" w:type="dxa"/>
            </w:tcMar>
            <w:vAlign w:val="center"/>
            <w:hideMark/>
          </w:tcPr>
          <w:p w14:paraId="7635BD3E"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4588FA27"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425C6848" w14:textId="77777777" w:rsidR="009D545F" w:rsidRPr="00D22494" w:rsidRDefault="009D545F" w:rsidP="009D545F">
            <w:pPr>
              <w:spacing w:before="0" w:after="0" w:line="240" w:lineRule="auto"/>
              <w:ind w:left="136"/>
              <w:jc w:val="left"/>
              <w:rPr>
                <w:sz w:val="20"/>
                <w:szCs w:val="20"/>
              </w:rPr>
            </w:pPr>
            <w:r w:rsidRPr="00D22494">
              <w:rPr>
                <w:sz w:val="20"/>
                <w:szCs w:val="20"/>
              </w:rPr>
              <w:t>% Medium income</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6E196639" w14:textId="77777777" w:rsidR="009D545F" w:rsidRPr="00D22494" w:rsidRDefault="009D545F" w:rsidP="009D545F">
            <w:pPr>
              <w:spacing w:before="0" w:after="0" w:line="240" w:lineRule="auto"/>
              <w:jc w:val="right"/>
              <w:rPr>
                <w:sz w:val="20"/>
                <w:szCs w:val="20"/>
              </w:rPr>
            </w:pPr>
            <w:r w:rsidRPr="00D22494">
              <w:rPr>
                <w:sz w:val="20"/>
                <w:szCs w:val="20"/>
              </w:rPr>
              <w:t>45.210</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F739144" w14:textId="77777777" w:rsidR="009D545F" w:rsidRPr="00D22494" w:rsidRDefault="009D545F" w:rsidP="009D545F">
            <w:pPr>
              <w:spacing w:before="0" w:after="0" w:line="240" w:lineRule="auto"/>
              <w:jc w:val="right"/>
              <w:rPr>
                <w:sz w:val="20"/>
                <w:szCs w:val="20"/>
              </w:rPr>
            </w:pPr>
            <w:r w:rsidRPr="00D22494">
              <w:rPr>
                <w:sz w:val="20"/>
                <w:szCs w:val="20"/>
              </w:rPr>
              <w:t>14.763</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6F98C194" w14:textId="77777777" w:rsidR="009D545F" w:rsidRPr="00D22494" w:rsidRDefault="009D545F" w:rsidP="009D545F">
            <w:pPr>
              <w:spacing w:before="0" w:after="0" w:line="240" w:lineRule="auto"/>
              <w:jc w:val="right"/>
              <w:rPr>
                <w:sz w:val="20"/>
                <w:szCs w:val="20"/>
              </w:rPr>
            </w:pPr>
            <w:r w:rsidRPr="00D22494">
              <w:rPr>
                <w:sz w:val="20"/>
                <w:szCs w:val="20"/>
              </w:rPr>
              <w:t>44.505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2474FD6" w14:textId="77777777" w:rsidR="009D545F" w:rsidRPr="00D22494" w:rsidRDefault="009D545F" w:rsidP="009D545F">
            <w:pPr>
              <w:spacing w:before="0" w:after="0" w:line="240" w:lineRule="auto"/>
              <w:jc w:val="right"/>
              <w:rPr>
                <w:sz w:val="20"/>
                <w:szCs w:val="20"/>
              </w:rPr>
            </w:pPr>
            <w:r w:rsidRPr="00D22494">
              <w:rPr>
                <w:sz w:val="20"/>
                <w:szCs w:val="20"/>
              </w:rPr>
              <w:t>15.836</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4CEB55D" w14:textId="77777777" w:rsidR="009D545F" w:rsidRPr="00D22494" w:rsidRDefault="009D545F" w:rsidP="009D545F">
            <w:pPr>
              <w:spacing w:before="0" w:after="0" w:line="240" w:lineRule="auto"/>
              <w:jc w:val="right"/>
              <w:rPr>
                <w:sz w:val="20"/>
                <w:szCs w:val="20"/>
              </w:rPr>
            </w:pPr>
            <w:r w:rsidRPr="00D22494">
              <w:rPr>
                <w:sz w:val="20"/>
                <w:szCs w:val="20"/>
              </w:rPr>
              <w:t>45.332</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910647C" w14:textId="77777777" w:rsidR="009D545F" w:rsidRPr="00D22494" w:rsidRDefault="009D545F" w:rsidP="009D545F">
            <w:pPr>
              <w:spacing w:before="0" w:after="0" w:line="240" w:lineRule="auto"/>
              <w:jc w:val="right"/>
              <w:rPr>
                <w:sz w:val="20"/>
                <w:szCs w:val="20"/>
              </w:rPr>
            </w:pPr>
            <w:r w:rsidRPr="00D22494">
              <w:rPr>
                <w:sz w:val="20"/>
                <w:szCs w:val="20"/>
              </w:rPr>
              <w:t>14.568</w:t>
            </w:r>
          </w:p>
        </w:tc>
        <w:tc>
          <w:tcPr>
            <w:tcW w:w="3172" w:type="dxa"/>
            <w:tcBorders>
              <w:top w:val="nil"/>
              <w:left w:val="double" w:sz="4" w:space="0" w:color="auto"/>
            </w:tcBorders>
            <w:shd w:val="clear" w:color="auto" w:fill="FFFFFF" w:themeFill="background1"/>
            <w:tcMar>
              <w:left w:w="43" w:type="dxa"/>
            </w:tcMar>
            <w:vAlign w:val="center"/>
            <w:hideMark/>
          </w:tcPr>
          <w:p w14:paraId="64EBCF9F"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45E45AA7"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32F17985" w14:textId="77777777" w:rsidR="009D545F" w:rsidRPr="00D22494" w:rsidRDefault="009D545F" w:rsidP="009D545F">
            <w:pPr>
              <w:spacing w:before="0" w:after="0" w:line="240" w:lineRule="auto"/>
              <w:ind w:left="136"/>
              <w:jc w:val="left"/>
              <w:rPr>
                <w:sz w:val="20"/>
                <w:szCs w:val="20"/>
              </w:rPr>
            </w:pPr>
            <w:r w:rsidRPr="00D22494">
              <w:rPr>
                <w:sz w:val="20"/>
                <w:szCs w:val="20"/>
              </w:rPr>
              <w:t>% High income</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4CFA480" w14:textId="77777777" w:rsidR="009D545F" w:rsidRPr="00D22494" w:rsidRDefault="009D545F" w:rsidP="009D545F">
            <w:pPr>
              <w:spacing w:before="0" w:after="0" w:line="240" w:lineRule="auto"/>
              <w:jc w:val="right"/>
              <w:rPr>
                <w:sz w:val="20"/>
                <w:szCs w:val="20"/>
              </w:rPr>
            </w:pPr>
            <w:r w:rsidRPr="00D22494">
              <w:rPr>
                <w:sz w:val="20"/>
                <w:szCs w:val="20"/>
              </w:rPr>
              <w:t>20.811</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CE6C3C0" w14:textId="77777777" w:rsidR="009D545F" w:rsidRPr="00D22494" w:rsidRDefault="009D545F" w:rsidP="009D545F">
            <w:pPr>
              <w:spacing w:before="0" w:after="0" w:line="240" w:lineRule="auto"/>
              <w:jc w:val="right"/>
              <w:rPr>
                <w:sz w:val="20"/>
                <w:szCs w:val="20"/>
              </w:rPr>
            </w:pPr>
            <w:r w:rsidRPr="00D22494">
              <w:rPr>
                <w:sz w:val="20"/>
                <w:szCs w:val="20"/>
              </w:rPr>
              <w:t>19.690</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BF08354" w14:textId="77777777" w:rsidR="009D545F" w:rsidRPr="00D22494" w:rsidRDefault="009D545F" w:rsidP="009D545F">
            <w:pPr>
              <w:spacing w:before="0" w:after="0" w:line="240" w:lineRule="auto"/>
              <w:jc w:val="right"/>
              <w:rPr>
                <w:sz w:val="20"/>
                <w:szCs w:val="20"/>
              </w:rPr>
            </w:pPr>
            <w:r w:rsidRPr="00D22494">
              <w:rPr>
                <w:sz w:val="20"/>
                <w:szCs w:val="20"/>
              </w:rPr>
              <w:t>8.825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74EAFA8A" w14:textId="77777777" w:rsidR="009D545F" w:rsidRPr="00D22494" w:rsidRDefault="009D545F" w:rsidP="009D545F">
            <w:pPr>
              <w:spacing w:before="0" w:after="0" w:line="240" w:lineRule="auto"/>
              <w:jc w:val="right"/>
              <w:rPr>
                <w:sz w:val="20"/>
                <w:szCs w:val="20"/>
              </w:rPr>
            </w:pPr>
            <w:r w:rsidRPr="00D22494">
              <w:rPr>
                <w:sz w:val="20"/>
                <w:szCs w:val="20"/>
              </w:rPr>
              <w:t>9.865</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59A75D8" w14:textId="77777777" w:rsidR="009D545F" w:rsidRPr="00D22494" w:rsidRDefault="009D545F" w:rsidP="009D545F">
            <w:pPr>
              <w:spacing w:before="0" w:after="0" w:line="240" w:lineRule="auto"/>
              <w:jc w:val="right"/>
              <w:rPr>
                <w:sz w:val="20"/>
                <w:szCs w:val="20"/>
              </w:rPr>
            </w:pPr>
            <w:r w:rsidRPr="00D22494">
              <w:rPr>
                <w:sz w:val="20"/>
                <w:szCs w:val="20"/>
              </w:rPr>
              <w:t>22.898</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1A7C718" w14:textId="77777777" w:rsidR="009D545F" w:rsidRPr="00D22494" w:rsidRDefault="009D545F" w:rsidP="009D545F">
            <w:pPr>
              <w:spacing w:before="0" w:after="0" w:line="240" w:lineRule="auto"/>
              <w:jc w:val="right"/>
              <w:rPr>
                <w:sz w:val="20"/>
                <w:szCs w:val="20"/>
              </w:rPr>
            </w:pPr>
            <w:r w:rsidRPr="00D22494">
              <w:rPr>
                <w:sz w:val="20"/>
                <w:szCs w:val="20"/>
              </w:rPr>
              <w:t>20.222</w:t>
            </w:r>
          </w:p>
        </w:tc>
        <w:tc>
          <w:tcPr>
            <w:tcW w:w="3172" w:type="dxa"/>
            <w:tcBorders>
              <w:left w:val="double" w:sz="4" w:space="0" w:color="auto"/>
            </w:tcBorders>
            <w:shd w:val="clear" w:color="auto" w:fill="FFFFFF" w:themeFill="background1"/>
            <w:tcMar>
              <w:left w:w="43" w:type="dxa"/>
            </w:tcMar>
            <w:vAlign w:val="center"/>
            <w:hideMark/>
          </w:tcPr>
          <w:p w14:paraId="5C8DC5A6"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2D465427"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6476A157" w14:textId="77777777" w:rsidR="009D545F" w:rsidRPr="00D22494" w:rsidRDefault="009D545F" w:rsidP="009D545F">
            <w:pPr>
              <w:spacing w:before="0" w:after="0" w:line="240" w:lineRule="auto"/>
              <w:ind w:left="136"/>
              <w:jc w:val="left"/>
              <w:rPr>
                <w:sz w:val="20"/>
                <w:szCs w:val="20"/>
              </w:rPr>
            </w:pPr>
            <w:r w:rsidRPr="00D22494">
              <w:rPr>
                <w:sz w:val="20"/>
                <w:szCs w:val="20"/>
              </w:rPr>
              <w:t>% Children (&lt;15 years)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6187D4B" w14:textId="77777777" w:rsidR="009D545F" w:rsidRPr="00D22494" w:rsidRDefault="009D545F" w:rsidP="009D545F">
            <w:pPr>
              <w:spacing w:before="0" w:after="0" w:line="240" w:lineRule="auto"/>
              <w:jc w:val="right"/>
              <w:rPr>
                <w:sz w:val="20"/>
                <w:szCs w:val="20"/>
              </w:rPr>
            </w:pPr>
            <w:r w:rsidRPr="00D22494">
              <w:rPr>
                <w:sz w:val="20"/>
                <w:szCs w:val="20"/>
              </w:rPr>
              <w:t>20.652</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648B754B" w14:textId="77777777" w:rsidR="009D545F" w:rsidRPr="00D22494" w:rsidRDefault="009D545F" w:rsidP="009D545F">
            <w:pPr>
              <w:spacing w:before="0" w:after="0" w:line="240" w:lineRule="auto"/>
              <w:jc w:val="right"/>
              <w:rPr>
                <w:sz w:val="20"/>
                <w:szCs w:val="20"/>
              </w:rPr>
            </w:pPr>
            <w:r w:rsidRPr="00D22494">
              <w:rPr>
                <w:sz w:val="20"/>
                <w:szCs w:val="20"/>
              </w:rPr>
              <w:t>8.272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551FB049" w14:textId="77777777" w:rsidR="009D545F" w:rsidRPr="00D22494" w:rsidRDefault="009D545F" w:rsidP="009D545F">
            <w:pPr>
              <w:spacing w:before="0" w:after="0" w:line="240" w:lineRule="auto"/>
              <w:jc w:val="right"/>
              <w:rPr>
                <w:sz w:val="20"/>
                <w:szCs w:val="20"/>
              </w:rPr>
            </w:pPr>
            <w:r w:rsidRPr="00D22494">
              <w:rPr>
                <w:sz w:val="20"/>
                <w:szCs w:val="20"/>
              </w:rPr>
              <w:t>20.025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BBACBE4" w14:textId="77777777" w:rsidR="009D545F" w:rsidRPr="00D22494" w:rsidRDefault="009D545F" w:rsidP="009D545F">
            <w:pPr>
              <w:spacing w:before="0" w:after="0" w:line="240" w:lineRule="auto"/>
              <w:jc w:val="right"/>
              <w:rPr>
                <w:sz w:val="20"/>
                <w:szCs w:val="20"/>
              </w:rPr>
            </w:pPr>
            <w:r w:rsidRPr="00D22494">
              <w:rPr>
                <w:sz w:val="20"/>
                <w:szCs w:val="20"/>
              </w:rPr>
              <w:t>9.076</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82CCED6" w14:textId="77777777" w:rsidR="009D545F" w:rsidRPr="00D22494" w:rsidRDefault="009D545F" w:rsidP="009D545F">
            <w:pPr>
              <w:spacing w:before="0" w:after="0" w:line="240" w:lineRule="auto"/>
              <w:jc w:val="right"/>
              <w:rPr>
                <w:sz w:val="20"/>
                <w:szCs w:val="20"/>
              </w:rPr>
            </w:pPr>
            <w:r w:rsidRPr="00D22494">
              <w:rPr>
                <w:sz w:val="20"/>
                <w:szCs w:val="20"/>
              </w:rPr>
              <w:t>20.761</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A079586" w14:textId="77777777" w:rsidR="009D545F" w:rsidRPr="00D22494" w:rsidRDefault="009D545F" w:rsidP="009D545F">
            <w:pPr>
              <w:spacing w:before="0" w:after="0" w:line="240" w:lineRule="auto"/>
              <w:jc w:val="right"/>
              <w:rPr>
                <w:sz w:val="20"/>
                <w:szCs w:val="20"/>
              </w:rPr>
            </w:pPr>
            <w:r w:rsidRPr="00D22494">
              <w:rPr>
                <w:sz w:val="20"/>
                <w:szCs w:val="20"/>
              </w:rPr>
              <w:t>8.121</w:t>
            </w:r>
          </w:p>
        </w:tc>
        <w:tc>
          <w:tcPr>
            <w:tcW w:w="3172" w:type="dxa"/>
            <w:tcBorders>
              <w:left w:val="double" w:sz="4" w:space="0" w:color="auto"/>
            </w:tcBorders>
            <w:shd w:val="clear" w:color="auto" w:fill="FFFFFF" w:themeFill="background1"/>
            <w:tcMar>
              <w:left w:w="43" w:type="dxa"/>
            </w:tcMar>
            <w:vAlign w:val="center"/>
            <w:hideMark/>
          </w:tcPr>
          <w:p w14:paraId="50000ED8"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1FA386A3"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7E173448" w14:textId="77777777" w:rsidR="009D545F" w:rsidRPr="00D22494" w:rsidRDefault="009D545F" w:rsidP="009D545F">
            <w:pPr>
              <w:spacing w:before="0" w:after="0" w:line="240" w:lineRule="auto"/>
              <w:ind w:left="136"/>
              <w:jc w:val="left"/>
              <w:rPr>
                <w:sz w:val="20"/>
                <w:szCs w:val="20"/>
              </w:rPr>
            </w:pPr>
            <w:r w:rsidRPr="00D22494">
              <w:rPr>
                <w:sz w:val="20"/>
                <w:szCs w:val="20"/>
              </w:rPr>
              <w:t>% Young adults (18 – 30 years)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tcPr>
          <w:p w14:paraId="5B3D9F5F" w14:textId="77777777" w:rsidR="009D545F" w:rsidRPr="00D22494" w:rsidRDefault="009D545F" w:rsidP="009D545F">
            <w:pPr>
              <w:spacing w:before="0" w:after="0" w:line="240" w:lineRule="auto"/>
              <w:jc w:val="right"/>
              <w:rPr>
                <w:sz w:val="20"/>
                <w:szCs w:val="20"/>
              </w:rPr>
            </w:pPr>
            <w:r w:rsidRPr="00D22494">
              <w:rPr>
                <w:sz w:val="20"/>
                <w:szCs w:val="20"/>
              </w:rPr>
              <w:t>16.931</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tcPr>
          <w:p w14:paraId="6617EB08" w14:textId="77777777" w:rsidR="009D545F" w:rsidRPr="00D22494" w:rsidRDefault="009D545F" w:rsidP="009D545F">
            <w:pPr>
              <w:spacing w:before="0" w:after="0" w:line="240" w:lineRule="auto"/>
              <w:jc w:val="right"/>
              <w:rPr>
                <w:sz w:val="20"/>
                <w:szCs w:val="20"/>
              </w:rPr>
            </w:pPr>
            <w:r w:rsidRPr="00D22494">
              <w:rPr>
                <w:sz w:val="20"/>
                <w:szCs w:val="20"/>
              </w:rPr>
              <w:t>8.732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tcPr>
          <w:p w14:paraId="3EA084D9" w14:textId="77777777" w:rsidR="009D545F" w:rsidRPr="00D22494" w:rsidRDefault="009D545F" w:rsidP="009D545F">
            <w:pPr>
              <w:spacing w:before="0" w:after="0" w:line="240" w:lineRule="auto"/>
              <w:jc w:val="right"/>
              <w:rPr>
                <w:sz w:val="20"/>
                <w:szCs w:val="20"/>
              </w:rPr>
            </w:pPr>
            <w:r w:rsidRPr="00D22494">
              <w:rPr>
                <w:sz w:val="20"/>
                <w:szCs w:val="20"/>
              </w:rPr>
              <w:t>19.507</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tcPr>
          <w:p w14:paraId="2F1544BC" w14:textId="77777777" w:rsidR="009D545F" w:rsidRPr="00D22494" w:rsidRDefault="009D545F" w:rsidP="009D545F">
            <w:pPr>
              <w:spacing w:before="0" w:after="0" w:line="240" w:lineRule="auto"/>
              <w:jc w:val="right"/>
              <w:rPr>
                <w:sz w:val="20"/>
                <w:szCs w:val="20"/>
              </w:rPr>
            </w:pPr>
            <w:r w:rsidRPr="00D22494">
              <w:rPr>
                <w:sz w:val="20"/>
                <w:szCs w:val="20"/>
              </w:rPr>
              <w:t>9.439</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tcPr>
          <w:p w14:paraId="5DFABA36" w14:textId="77777777" w:rsidR="009D545F" w:rsidRPr="00D22494" w:rsidRDefault="009D545F" w:rsidP="009D545F">
            <w:pPr>
              <w:spacing w:before="0" w:after="0" w:line="240" w:lineRule="auto"/>
              <w:jc w:val="right"/>
              <w:rPr>
                <w:sz w:val="20"/>
                <w:szCs w:val="20"/>
              </w:rPr>
            </w:pPr>
            <w:r w:rsidRPr="00D22494">
              <w:rPr>
                <w:sz w:val="20"/>
                <w:szCs w:val="20"/>
              </w:rPr>
              <w:t>16.482</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tcPr>
          <w:p w14:paraId="76C68241" w14:textId="77777777" w:rsidR="009D545F" w:rsidRPr="00D22494" w:rsidRDefault="009D545F" w:rsidP="009D545F">
            <w:pPr>
              <w:spacing w:before="0" w:after="0" w:line="240" w:lineRule="auto"/>
              <w:jc w:val="right"/>
              <w:rPr>
                <w:sz w:val="20"/>
                <w:szCs w:val="20"/>
              </w:rPr>
            </w:pPr>
            <w:r w:rsidRPr="00D22494">
              <w:rPr>
                <w:sz w:val="20"/>
                <w:szCs w:val="20"/>
              </w:rPr>
              <w:t>8.525</w:t>
            </w:r>
          </w:p>
        </w:tc>
        <w:tc>
          <w:tcPr>
            <w:tcW w:w="3172" w:type="dxa"/>
            <w:tcBorders>
              <w:left w:val="double" w:sz="4" w:space="0" w:color="auto"/>
            </w:tcBorders>
            <w:shd w:val="clear" w:color="auto" w:fill="FFFFFF" w:themeFill="background1"/>
            <w:tcMar>
              <w:left w:w="43" w:type="dxa"/>
            </w:tcMar>
            <w:vAlign w:val="center"/>
            <w:hideMark/>
          </w:tcPr>
          <w:p w14:paraId="387FF33F"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038D1649"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tcPr>
          <w:p w14:paraId="5F70F161" w14:textId="77777777" w:rsidR="009D545F" w:rsidRPr="00D22494" w:rsidRDefault="009D545F" w:rsidP="009D545F">
            <w:pPr>
              <w:spacing w:before="0" w:after="0" w:line="240" w:lineRule="auto"/>
              <w:ind w:left="136"/>
              <w:jc w:val="left"/>
              <w:rPr>
                <w:sz w:val="20"/>
                <w:szCs w:val="20"/>
              </w:rPr>
            </w:pPr>
            <w:r w:rsidRPr="00D22494">
              <w:rPr>
                <w:sz w:val="20"/>
                <w:szCs w:val="20"/>
              </w:rPr>
              <w:t>% Adults (31 – 64 years)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tcPr>
          <w:p w14:paraId="0AE91219" w14:textId="77777777" w:rsidR="009D545F" w:rsidRPr="00D22494" w:rsidRDefault="009D545F" w:rsidP="009D545F">
            <w:pPr>
              <w:spacing w:before="0" w:after="0" w:line="240" w:lineRule="auto"/>
              <w:jc w:val="right"/>
              <w:rPr>
                <w:sz w:val="20"/>
                <w:szCs w:val="20"/>
              </w:rPr>
            </w:pPr>
            <w:r w:rsidRPr="00D22494">
              <w:rPr>
                <w:sz w:val="20"/>
                <w:szCs w:val="20"/>
              </w:rPr>
              <w:t>45.843</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tcPr>
          <w:p w14:paraId="2A68063A" w14:textId="77777777" w:rsidR="009D545F" w:rsidRPr="00D22494" w:rsidRDefault="009D545F" w:rsidP="009D545F">
            <w:pPr>
              <w:spacing w:before="0" w:after="0" w:line="240" w:lineRule="auto"/>
              <w:jc w:val="right"/>
              <w:rPr>
                <w:sz w:val="20"/>
                <w:szCs w:val="20"/>
              </w:rPr>
            </w:pPr>
            <w:r w:rsidRPr="00D22494">
              <w:rPr>
                <w:sz w:val="20"/>
                <w:szCs w:val="20"/>
              </w:rPr>
              <w:t>8.102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tcPr>
          <w:p w14:paraId="73C39AEF" w14:textId="77777777" w:rsidR="009D545F" w:rsidRPr="00D22494" w:rsidRDefault="009D545F" w:rsidP="009D545F">
            <w:pPr>
              <w:spacing w:before="0" w:after="0" w:line="240" w:lineRule="auto"/>
              <w:jc w:val="right"/>
              <w:rPr>
                <w:sz w:val="20"/>
                <w:szCs w:val="20"/>
              </w:rPr>
            </w:pPr>
            <w:r w:rsidRPr="00D22494">
              <w:rPr>
                <w:sz w:val="20"/>
                <w:szCs w:val="20"/>
              </w:rPr>
              <w:t>44.805</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tcPr>
          <w:p w14:paraId="321BC80C" w14:textId="77777777" w:rsidR="009D545F" w:rsidRPr="00D22494" w:rsidRDefault="009D545F" w:rsidP="009D545F">
            <w:pPr>
              <w:spacing w:before="0" w:after="0" w:line="240" w:lineRule="auto"/>
              <w:jc w:val="right"/>
              <w:rPr>
                <w:sz w:val="20"/>
                <w:szCs w:val="20"/>
              </w:rPr>
            </w:pPr>
            <w:r w:rsidRPr="00D22494">
              <w:rPr>
                <w:sz w:val="20"/>
                <w:szCs w:val="20"/>
              </w:rPr>
              <w:t>9.241</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tcPr>
          <w:p w14:paraId="6ED64CB3" w14:textId="77777777" w:rsidR="009D545F" w:rsidRPr="00D22494" w:rsidRDefault="009D545F" w:rsidP="009D545F">
            <w:pPr>
              <w:spacing w:before="0" w:after="0" w:line="240" w:lineRule="auto"/>
              <w:jc w:val="right"/>
              <w:rPr>
                <w:sz w:val="20"/>
                <w:szCs w:val="20"/>
              </w:rPr>
            </w:pPr>
            <w:r w:rsidRPr="00D22494">
              <w:rPr>
                <w:sz w:val="20"/>
                <w:szCs w:val="20"/>
              </w:rPr>
              <w:t>46.024</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tcPr>
          <w:p w14:paraId="2E494ECA" w14:textId="77777777" w:rsidR="009D545F" w:rsidRPr="00D22494" w:rsidRDefault="009D545F" w:rsidP="009D545F">
            <w:pPr>
              <w:spacing w:before="0" w:after="0" w:line="240" w:lineRule="auto"/>
              <w:jc w:val="right"/>
              <w:rPr>
                <w:sz w:val="20"/>
                <w:szCs w:val="20"/>
              </w:rPr>
            </w:pPr>
            <w:r w:rsidRPr="00D22494">
              <w:rPr>
                <w:sz w:val="20"/>
                <w:szCs w:val="20"/>
              </w:rPr>
              <w:t>7.875</w:t>
            </w:r>
          </w:p>
        </w:tc>
        <w:tc>
          <w:tcPr>
            <w:tcW w:w="3172" w:type="dxa"/>
            <w:tcBorders>
              <w:left w:val="double" w:sz="4" w:space="0" w:color="auto"/>
            </w:tcBorders>
            <w:shd w:val="clear" w:color="auto" w:fill="FFFFFF" w:themeFill="background1"/>
            <w:tcMar>
              <w:left w:w="43" w:type="dxa"/>
            </w:tcMar>
            <w:vAlign w:val="center"/>
          </w:tcPr>
          <w:p w14:paraId="4D605441"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210F7F84"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569CABBC" w14:textId="77777777" w:rsidR="009D545F" w:rsidRPr="00D22494" w:rsidRDefault="009D545F" w:rsidP="009D545F">
            <w:pPr>
              <w:spacing w:before="0" w:after="0" w:line="240" w:lineRule="auto"/>
              <w:ind w:left="136"/>
              <w:jc w:val="left"/>
              <w:rPr>
                <w:sz w:val="20"/>
                <w:szCs w:val="20"/>
              </w:rPr>
            </w:pPr>
            <w:r w:rsidRPr="00D22494">
              <w:rPr>
                <w:sz w:val="20"/>
                <w:szCs w:val="20"/>
              </w:rPr>
              <w:t>% Seniors (&gt;65 years)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5375347F" w14:textId="77777777" w:rsidR="009D545F" w:rsidRPr="00D22494" w:rsidRDefault="009D545F" w:rsidP="009D545F">
            <w:pPr>
              <w:spacing w:before="0" w:after="0" w:line="240" w:lineRule="auto"/>
              <w:jc w:val="right"/>
              <w:rPr>
                <w:sz w:val="20"/>
                <w:szCs w:val="20"/>
              </w:rPr>
            </w:pPr>
            <w:r w:rsidRPr="00D22494">
              <w:rPr>
                <w:sz w:val="20"/>
                <w:szCs w:val="20"/>
              </w:rPr>
              <w:t>12.438</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526BC6E0" w14:textId="77777777" w:rsidR="009D545F" w:rsidRPr="00D22494" w:rsidRDefault="009D545F" w:rsidP="009D545F">
            <w:pPr>
              <w:spacing w:before="0" w:after="0" w:line="240" w:lineRule="auto"/>
              <w:jc w:val="right"/>
              <w:rPr>
                <w:sz w:val="20"/>
                <w:szCs w:val="20"/>
              </w:rPr>
            </w:pPr>
            <w:r w:rsidRPr="00D22494">
              <w:rPr>
                <w:sz w:val="20"/>
                <w:szCs w:val="20"/>
              </w:rPr>
              <w:t>7.922</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BB957F2" w14:textId="77777777" w:rsidR="009D545F" w:rsidRPr="00D22494" w:rsidRDefault="009D545F" w:rsidP="009D545F">
            <w:pPr>
              <w:spacing w:before="0" w:after="0" w:line="240" w:lineRule="auto"/>
              <w:jc w:val="right"/>
              <w:rPr>
                <w:sz w:val="20"/>
                <w:szCs w:val="20"/>
              </w:rPr>
            </w:pPr>
            <w:r w:rsidRPr="00D22494">
              <w:rPr>
                <w:sz w:val="20"/>
                <w:szCs w:val="20"/>
              </w:rPr>
              <w:t>11.716</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606F86D9" w14:textId="77777777" w:rsidR="009D545F" w:rsidRPr="00D22494" w:rsidRDefault="009D545F" w:rsidP="009D545F">
            <w:pPr>
              <w:spacing w:before="0" w:after="0" w:line="240" w:lineRule="auto"/>
              <w:jc w:val="right"/>
              <w:rPr>
                <w:sz w:val="20"/>
                <w:szCs w:val="20"/>
              </w:rPr>
            </w:pPr>
            <w:r w:rsidRPr="00D22494">
              <w:rPr>
                <w:sz w:val="20"/>
                <w:szCs w:val="20"/>
              </w:rPr>
              <w:t>7.258</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31952BEB" w14:textId="77777777" w:rsidR="009D545F" w:rsidRPr="00D22494" w:rsidRDefault="009D545F" w:rsidP="009D545F">
            <w:pPr>
              <w:spacing w:before="0" w:after="0" w:line="240" w:lineRule="auto"/>
              <w:jc w:val="right"/>
              <w:rPr>
                <w:sz w:val="20"/>
                <w:szCs w:val="20"/>
              </w:rPr>
            </w:pPr>
            <w:r w:rsidRPr="00D22494">
              <w:rPr>
                <w:sz w:val="20"/>
                <w:szCs w:val="20"/>
              </w:rPr>
              <w:t>12.564</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2C29E3A" w14:textId="77777777" w:rsidR="009D545F" w:rsidRPr="00D22494" w:rsidRDefault="009D545F" w:rsidP="009D545F">
            <w:pPr>
              <w:spacing w:before="0" w:after="0" w:line="240" w:lineRule="auto"/>
              <w:jc w:val="right"/>
              <w:rPr>
                <w:sz w:val="20"/>
                <w:szCs w:val="20"/>
              </w:rPr>
            </w:pPr>
            <w:r w:rsidRPr="00D22494">
              <w:rPr>
                <w:sz w:val="20"/>
                <w:szCs w:val="20"/>
              </w:rPr>
              <w:t>8.026</w:t>
            </w:r>
          </w:p>
        </w:tc>
        <w:tc>
          <w:tcPr>
            <w:tcW w:w="3172" w:type="dxa"/>
            <w:tcBorders>
              <w:left w:val="double" w:sz="4" w:space="0" w:color="auto"/>
            </w:tcBorders>
            <w:shd w:val="clear" w:color="auto" w:fill="FFFFFF" w:themeFill="background1"/>
            <w:tcMar>
              <w:left w:w="43" w:type="dxa"/>
            </w:tcMar>
            <w:vAlign w:val="center"/>
            <w:hideMark/>
          </w:tcPr>
          <w:p w14:paraId="3F3CF854"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784F4252"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6A9BABFD" w14:textId="77777777" w:rsidR="009D545F" w:rsidRPr="00D22494" w:rsidRDefault="009D545F" w:rsidP="009D545F">
            <w:pPr>
              <w:spacing w:before="0" w:after="0" w:line="240" w:lineRule="auto"/>
              <w:ind w:left="136"/>
              <w:jc w:val="left"/>
              <w:rPr>
                <w:sz w:val="20"/>
                <w:szCs w:val="20"/>
              </w:rPr>
            </w:pPr>
            <w:r w:rsidRPr="00D22494">
              <w:rPr>
                <w:sz w:val="20"/>
                <w:szCs w:val="20"/>
              </w:rPr>
              <w:t>% High school graduates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7121FC39" w14:textId="77777777" w:rsidR="009D545F" w:rsidRPr="00D22494" w:rsidRDefault="009D545F" w:rsidP="009D545F">
            <w:pPr>
              <w:spacing w:before="0" w:after="0" w:line="240" w:lineRule="auto"/>
              <w:jc w:val="right"/>
              <w:rPr>
                <w:sz w:val="20"/>
                <w:szCs w:val="20"/>
              </w:rPr>
            </w:pPr>
            <w:r w:rsidRPr="00D22494">
              <w:rPr>
                <w:sz w:val="20"/>
                <w:szCs w:val="20"/>
              </w:rPr>
              <w:t>44.882</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3FD60574" w14:textId="77777777" w:rsidR="009D545F" w:rsidRPr="00D22494" w:rsidRDefault="009D545F" w:rsidP="009D545F">
            <w:pPr>
              <w:spacing w:before="0" w:after="0" w:line="240" w:lineRule="auto"/>
              <w:jc w:val="right"/>
              <w:rPr>
                <w:sz w:val="20"/>
                <w:szCs w:val="20"/>
              </w:rPr>
            </w:pPr>
            <w:r w:rsidRPr="00D22494">
              <w:rPr>
                <w:sz w:val="20"/>
                <w:szCs w:val="20"/>
              </w:rPr>
              <w:t>15.817</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109BF89A" w14:textId="77777777" w:rsidR="009D545F" w:rsidRPr="00D22494" w:rsidRDefault="009D545F" w:rsidP="009D545F">
            <w:pPr>
              <w:spacing w:before="0" w:after="0" w:line="240" w:lineRule="auto"/>
              <w:jc w:val="right"/>
              <w:rPr>
                <w:sz w:val="20"/>
                <w:szCs w:val="20"/>
              </w:rPr>
            </w:pPr>
            <w:r w:rsidRPr="00D22494">
              <w:rPr>
                <w:sz w:val="20"/>
                <w:szCs w:val="20"/>
              </w:rPr>
              <w:t>54.816</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A9CEE08" w14:textId="77777777" w:rsidR="009D545F" w:rsidRPr="00D22494" w:rsidRDefault="009D545F" w:rsidP="009D545F">
            <w:pPr>
              <w:spacing w:before="0" w:after="0" w:line="240" w:lineRule="auto"/>
              <w:jc w:val="right"/>
              <w:rPr>
                <w:sz w:val="20"/>
                <w:szCs w:val="20"/>
              </w:rPr>
            </w:pPr>
            <w:r w:rsidRPr="00D22494">
              <w:rPr>
                <w:sz w:val="20"/>
                <w:szCs w:val="20"/>
              </w:rPr>
              <w:t>12.063</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01648AB1" w14:textId="77777777" w:rsidR="009D545F" w:rsidRPr="00D22494" w:rsidRDefault="009D545F" w:rsidP="009D545F">
            <w:pPr>
              <w:spacing w:before="0" w:after="0" w:line="240" w:lineRule="auto"/>
              <w:jc w:val="right"/>
              <w:rPr>
                <w:sz w:val="20"/>
                <w:szCs w:val="20"/>
              </w:rPr>
            </w:pPr>
            <w:r w:rsidRPr="00D22494">
              <w:rPr>
                <w:sz w:val="20"/>
                <w:szCs w:val="20"/>
              </w:rPr>
              <w:t>43.153</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09295D5B" w14:textId="77777777" w:rsidR="009D545F" w:rsidRPr="00D22494" w:rsidRDefault="009D545F" w:rsidP="009D545F">
            <w:pPr>
              <w:spacing w:before="0" w:after="0" w:line="240" w:lineRule="auto"/>
              <w:jc w:val="right"/>
              <w:rPr>
                <w:sz w:val="20"/>
                <w:szCs w:val="20"/>
              </w:rPr>
            </w:pPr>
            <w:r w:rsidRPr="00D22494">
              <w:rPr>
                <w:sz w:val="20"/>
                <w:szCs w:val="20"/>
              </w:rPr>
              <w:t>15. 757</w:t>
            </w:r>
          </w:p>
        </w:tc>
        <w:tc>
          <w:tcPr>
            <w:tcW w:w="3172" w:type="dxa"/>
            <w:tcBorders>
              <w:left w:val="double" w:sz="4" w:space="0" w:color="auto"/>
            </w:tcBorders>
            <w:shd w:val="clear" w:color="auto" w:fill="FFFFFF" w:themeFill="background1"/>
            <w:tcMar>
              <w:left w:w="43" w:type="dxa"/>
            </w:tcMar>
            <w:vAlign w:val="center"/>
            <w:hideMark/>
          </w:tcPr>
          <w:p w14:paraId="12EF1041"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7708E5D6" w14:textId="77777777" w:rsidTr="009D545F">
        <w:trPr>
          <w:trHeight w:val="20"/>
        </w:trPr>
        <w:tc>
          <w:tcPr>
            <w:tcW w:w="3775" w:type="dxa"/>
            <w:tcBorders>
              <w:top w:val="nil"/>
              <w:bottom w:val="nil"/>
              <w:right w:val="double" w:sz="4" w:space="0" w:color="auto"/>
            </w:tcBorders>
            <w:shd w:val="clear" w:color="auto" w:fill="FFFFFF" w:themeFill="background1"/>
            <w:tcMar>
              <w:left w:w="43" w:type="dxa"/>
            </w:tcMar>
            <w:vAlign w:val="center"/>
            <w:hideMark/>
          </w:tcPr>
          <w:p w14:paraId="13B04EE5" w14:textId="77777777" w:rsidR="009D545F" w:rsidRPr="00D22494" w:rsidRDefault="009D545F" w:rsidP="009D545F">
            <w:pPr>
              <w:spacing w:before="0" w:after="0" w:line="240" w:lineRule="auto"/>
              <w:ind w:left="136"/>
              <w:jc w:val="left"/>
              <w:rPr>
                <w:sz w:val="20"/>
                <w:szCs w:val="20"/>
              </w:rPr>
            </w:pPr>
            <w:r w:rsidRPr="00D22494">
              <w:rPr>
                <w:sz w:val="20"/>
                <w:szCs w:val="20"/>
              </w:rPr>
              <w:t>% College graduates</w:t>
            </w:r>
          </w:p>
        </w:tc>
        <w:tc>
          <w:tcPr>
            <w:tcW w:w="1085"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6DCF763D" w14:textId="77777777" w:rsidR="009D545F" w:rsidRPr="00D22494" w:rsidRDefault="009D545F" w:rsidP="009D545F">
            <w:pPr>
              <w:spacing w:before="0" w:after="0" w:line="240" w:lineRule="auto"/>
              <w:jc w:val="right"/>
              <w:rPr>
                <w:sz w:val="20"/>
                <w:szCs w:val="20"/>
              </w:rPr>
            </w:pPr>
            <w:r w:rsidRPr="00D22494">
              <w:rPr>
                <w:sz w:val="20"/>
                <w:szCs w:val="20"/>
              </w:rPr>
              <w:t>33.838</w:t>
            </w:r>
          </w:p>
        </w:tc>
        <w:tc>
          <w:tcPr>
            <w:tcW w:w="1063"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4AF7F433" w14:textId="77777777" w:rsidR="009D545F" w:rsidRPr="00D22494" w:rsidRDefault="009D545F" w:rsidP="009D545F">
            <w:pPr>
              <w:spacing w:before="0" w:after="0" w:line="240" w:lineRule="auto"/>
              <w:jc w:val="right"/>
              <w:rPr>
                <w:sz w:val="20"/>
                <w:szCs w:val="20"/>
              </w:rPr>
            </w:pPr>
            <w:r w:rsidRPr="00D22494">
              <w:rPr>
                <w:sz w:val="20"/>
                <w:szCs w:val="20"/>
              </w:rPr>
              <w:t>21.717</w:t>
            </w:r>
          </w:p>
        </w:tc>
        <w:tc>
          <w:tcPr>
            <w:tcW w:w="1041"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2560340D" w14:textId="77777777" w:rsidR="009D545F" w:rsidRPr="00D22494" w:rsidRDefault="009D545F" w:rsidP="009D545F">
            <w:pPr>
              <w:spacing w:before="0" w:after="0" w:line="240" w:lineRule="auto"/>
              <w:jc w:val="right"/>
              <w:rPr>
                <w:sz w:val="20"/>
                <w:szCs w:val="20"/>
              </w:rPr>
            </w:pPr>
            <w:r w:rsidRPr="00D22494">
              <w:rPr>
                <w:sz w:val="20"/>
                <w:szCs w:val="20"/>
              </w:rPr>
              <w:t>26.370</w:t>
            </w:r>
          </w:p>
        </w:tc>
        <w:tc>
          <w:tcPr>
            <w:tcW w:w="1019"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76B9A34C" w14:textId="77777777" w:rsidR="009D545F" w:rsidRPr="00D22494" w:rsidRDefault="009D545F" w:rsidP="009D545F">
            <w:pPr>
              <w:spacing w:before="0" w:after="0" w:line="240" w:lineRule="auto"/>
              <w:jc w:val="right"/>
              <w:rPr>
                <w:sz w:val="20"/>
                <w:szCs w:val="20"/>
              </w:rPr>
            </w:pPr>
            <w:r w:rsidRPr="00D22494">
              <w:rPr>
                <w:sz w:val="20"/>
                <w:szCs w:val="20"/>
              </w:rPr>
              <w:t>15.072</w:t>
            </w:r>
          </w:p>
        </w:tc>
        <w:tc>
          <w:tcPr>
            <w:tcW w:w="1080" w:type="dxa"/>
            <w:tcBorders>
              <w:top w:val="nil"/>
              <w:left w:val="double" w:sz="4" w:space="0" w:color="auto"/>
              <w:bottom w:val="nil"/>
              <w:right w:val="single" w:sz="4" w:space="0" w:color="auto"/>
            </w:tcBorders>
            <w:shd w:val="clear" w:color="auto" w:fill="FFFFFF" w:themeFill="background1"/>
            <w:tcMar>
              <w:left w:w="43" w:type="dxa"/>
            </w:tcMar>
            <w:vAlign w:val="center"/>
            <w:hideMark/>
          </w:tcPr>
          <w:p w14:paraId="4ABA8CE0" w14:textId="77777777" w:rsidR="009D545F" w:rsidRPr="00D22494" w:rsidRDefault="009D545F" w:rsidP="009D545F">
            <w:pPr>
              <w:spacing w:before="0" w:after="0" w:line="240" w:lineRule="auto"/>
              <w:jc w:val="right"/>
              <w:rPr>
                <w:sz w:val="20"/>
                <w:szCs w:val="20"/>
              </w:rPr>
            </w:pPr>
            <w:r w:rsidRPr="00D22494">
              <w:rPr>
                <w:sz w:val="20"/>
                <w:szCs w:val="20"/>
              </w:rPr>
              <w:t>35.138</w:t>
            </w:r>
          </w:p>
        </w:tc>
        <w:tc>
          <w:tcPr>
            <w:tcW w:w="990" w:type="dxa"/>
            <w:tcBorders>
              <w:top w:val="nil"/>
              <w:left w:val="single" w:sz="4" w:space="0" w:color="auto"/>
              <w:bottom w:val="nil"/>
              <w:right w:val="double" w:sz="4" w:space="0" w:color="auto"/>
            </w:tcBorders>
            <w:shd w:val="clear" w:color="auto" w:fill="FFFFFF" w:themeFill="background1"/>
            <w:tcMar>
              <w:left w:w="43" w:type="dxa"/>
            </w:tcMar>
            <w:vAlign w:val="center"/>
            <w:hideMark/>
          </w:tcPr>
          <w:p w14:paraId="71BB475C" w14:textId="77777777" w:rsidR="009D545F" w:rsidRPr="00D22494" w:rsidRDefault="009D545F" w:rsidP="009D545F">
            <w:pPr>
              <w:spacing w:before="0" w:after="0" w:line="240" w:lineRule="auto"/>
              <w:jc w:val="right"/>
              <w:rPr>
                <w:sz w:val="20"/>
                <w:szCs w:val="20"/>
              </w:rPr>
            </w:pPr>
            <w:r w:rsidRPr="00D22494">
              <w:rPr>
                <w:sz w:val="20"/>
                <w:szCs w:val="20"/>
              </w:rPr>
              <w:t>22.426</w:t>
            </w:r>
          </w:p>
        </w:tc>
        <w:tc>
          <w:tcPr>
            <w:tcW w:w="3172" w:type="dxa"/>
            <w:tcBorders>
              <w:left w:val="double" w:sz="4" w:space="0" w:color="auto"/>
            </w:tcBorders>
            <w:shd w:val="clear" w:color="auto" w:fill="FFFFFF" w:themeFill="background1"/>
            <w:tcMar>
              <w:left w:w="43" w:type="dxa"/>
            </w:tcMar>
            <w:vAlign w:val="center"/>
            <w:hideMark/>
          </w:tcPr>
          <w:p w14:paraId="38AD9A65"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r w:rsidR="009D545F" w:rsidRPr="00D22494" w14:paraId="61337C0A" w14:textId="77777777" w:rsidTr="009D545F">
        <w:trPr>
          <w:trHeight w:val="20"/>
        </w:trPr>
        <w:tc>
          <w:tcPr>
            <w:tcW w:w="3775" w:type="dxa"/>
            <w:tcBorders>
              <w:top w:val="nil"/>
              <w:bottom w:val="double" w:sz="4" w:space="0" w:color="auto"/>
              <w:right w:val="double" w:sz="4" w:space="0" w:color="auto"/>
            </w:tcBorders>
            <w:shd w:val="clear" w:color="auto" w:fill="FFFFFF" w:themeFill="background1"/>
            <w:tcMar>
              <w:left w:w="43" w:type="dxa"/>
            </w:tcMar>
            <w:vAlign w:val="center"/>
            <w:hideMark/>
          </w:tcPr>
          <w:p w14:paraId="2B663815" w14:textId="77777777" w:rsidR="009D545F" w:rsidRPr="00D22494" w:rsidRDefault="009D545F" w:rsidP="009D545F">
            <w:pPr>
              <w:spacing w:before="0" w:after="0" w:line="240" w:lineRule="auto"/>
              <w:ind w:left="136"/>
              <w:jc w:val="left"/>
              <w:rPr>
                <w:sz w:val="20"/>
                <w:szCs w:val="20"/>
              </w:rPr>
            </w:pPr>
            <w:r w:rsidRPr="00D22494">
              <w:rPr>
                <w:sz w:val="20"/>
                <w:szCs w:val="20"/>
              </w:rPr>
              <w:t>Racial diversity index</w:t>
            </w:r>
          </w:p>
        </w:tc>
        <w:tc>
          <w:tcPr>
            <w:tcW w:w="1085" w:type="dxa"/>
            <w:tcBorders>
              <w:top w:val="nil"/>
              <w:left w:val="double" w:sz="4" w:space="0" w:color="auto"/>
              <w:bottom w:val="double" w:sz="4" w:space="0" w:color="auto"/>
              <w:right w:val="single" w:sz="4" w:space="0" w:color="auto"/>
            </w:tcBorders>
            <w:shd w:val="clear" w:color="auto" w:fill="FFFFFF" w:themeFill="background1"/>
            <w:tcMar>
              <w:left w:w="43" w:type="dxa"/>
            </w:tcMar>
            <w:vAlign w:val="center"/>
            <w:hideMark/>
          </w:tcPr>
          <w:p w14:paraId="0B82427E" w14:textId="77777777" w:rsidR="009D545F" w:rsidRPr="00D22494" w:rsidRDefault="009D545F" w:rsidP="009D545F">
            <w:pPr>
              <w:spacing w:before="0" w:after="0" w:line="240" w:lineRule="auto"/>
              <w:jc w:val="right"/>
              <w:rPr>
                <w:sz w:val="20"/>
                <w:szCs w:val="20"/>
              </w:rPr>
            </w:pPr>
            <w:r w:rsidRPr="00D22494">
              <w:rPr>
                <w:sz w:val="20"/>
                <w:szCs w:val="20"/>
              </w:rPr>
              <w:t>0.431</w:t>
            </w:r>
          </w:p>
        </w:tc>
        <w:tc>
          <w:tcPr>
            <w:tcW w:w="1063" w:type="dxa"/>
            <w:tcBorders>
              <w:top w:val="nil"/>
              <w:left w:val="single" w:sz="4" w:space="0" w:color="auto"/>
              <w:bottom w:val="double" w:sz="4" w:space="0" w:color="auto"/>
              <w:right w:val="double" w:sz="4" w:space="0" w:color="auto"/>
            </w:tcBorders>
            <w:shd w:val="clear" w:color="auto" w:fill="FFFFFF" w:themeFill="background1"/>
            <w:tcMar>
              <w:left w:w="43" w:type="dxa"/>
            </w:tcMar>
            <w:vAlign w:val="center"/>
            <w:hideMark/>
          </w:tcPr>
          <w:p w14:paraId="1F3D8C7B" w14:textId="77777777" w:rsidR="009D545F" w:rsidRPr="00D22494" w:rsidRDefault="009D545F" w:rsidP="009D545F">
            <w:pPr>
              <w:spacing w:before="0" w:after="0" w:line="240" w:lineRule="auto"/>
              <w:jc w:val="right"/>
              <w:rPr>
                <w:sz w:val="20"/>
                <w:szCs w:val="20"/>
              </w:rPr>
            </w:pPr>
            <w:r w:rsidRPr="00D22494">
              <w:rPr>
                <w:sz w:val="20"/>
                <w:szCs w:val="20"/>
              </w:rPr>
              <w:t>0.177</w:t>
            </w:r>
          </w:p>
        </w:tc>
        <w:tc>
          <w:tcPr>
            <w:tcW w:w="1041" w:type="dxa"/>
            <w:tcBorders>
              <w:top w:val="nil"/>
              <w:left w:val="double" w:sz="4" w:space="0" w:color="auto"/>
              <w:bottom w:val="double" w:sz="4" w:space="0" w:color="auto"/>
              <w:right w:val="single" w:sz="4" w:space="0" w:color="auto"/>
            </w:tcBorders>
            <w:shd w:val="clear" w:color="auto" w:fill="FFFFFF" w:themeFill="background1"/>
            <w:tcMar>
              <w:left w:w="43" w:type="dxa"/>
            </w:tcMar>
            <w:vAlign w:val="center"/>
            <w:hideMark/>
          </w:tcPr>
          <w:p w14:paraId="174300B6" w14:textId="77777777" w:rsidR="009D545F" w:rsidRPr="00D22494" w:rsidRDefault="009D545F" w:rsidP="009D545F">
            <w:pPr>
              <w:spacing w:before="0" w:after="0" w:line="240" w:lineRule="auto"/>
              <w:jc w:val="right"/>
              <w:rPr>
                <w:sz w:val="20"/>
                <w:szCs w:val="20"/>
              </w:rPr>
            </w:pPr>
            <w:r w:rsidRPr="00D22494">
              <w:rPr>
                <w:sz w:val="20"/>
                <w:szCs w:val="20"/>
              </w:rPr>
              <w:t>0.520</w:t>
            </w:r>
          </w:p>
        </w:tc>
        <w:tc>
          <w:tcPr>
            <w:tcW w:w="1019" w:type="dxa"/>
            <w:tcBorders>
              <w:top w:val="nil"/>
              <w:left w:val="single" w:sz="4" w:space="0" w:color="auto"/>
              <w:bottom w:val="double" w:sz="4" w:space="0" w:color="auto"/>
              <w:right w:val="double" w:sz="4" w:space="0" w:color="auto"/>
            </w:tcBorders>
            <w:shd w:val="clear" w:color="auto" w:fill="FFFFFF" w:themeFill="background1"/>
            <w:tcMar>
              <w:left w:w="43" w:type="dxa"/>
            </w:tcMar>
            <w:vAlign w:val="center"/>
            <w:hideMark/>
          </w:tcPr>
          <w:p w14:paraId="007EF82C" w14:textId="77777777" w:rsidR="009D545F" w:rsidRPr="00D22494" w:rsidRDefault="009D545F" w:rsidP="009D545F">
            <w:pPr>
              <w:spacing w:before="0" w:after="0" w:line="240" w:lineRule="auto"/>
              <w:jc w:val="right"/>
              <w:rPr>
                <w:sz w:val="20"/>
                <w:szCs w:val="20"/>
              </w:rPr>
            </w:pPr>
            <w:r w:rsidRPr="00D22494">
              <w:rPr>
                <w:sz w:val="20"/>
                <w:szCs w:val="20"/>
              </w:rPr>
              <w:t>0.161</w:t>
            </w:r>
          </w:p>
        </w:tc>
        <w:tc>
          <w:tcPr>
            <w:tcW w:w="1080" w:type="dxa"/>
            <w:tcBorders>
              <w:top w:val="nil"/>
              <w:left w:val="double" w:sz="4" w:space="0" w:color="auto"/>
              <w:bottom w:val="double" w:sz="4" w:space="0" w:color="auto"/>
              <w:right w:val="single" w:sz="4" w:space="0" w:color="auto"/>
            </w:tcBorders>
            <w:shd w:val="clear" w:color="auto" w:fill="FFFFFF" w:themeFill="background1"/>
            <w:tcMar>
              <w:left w:w="43" w:type="dxa"/>
            </w:tcMar>
            <w:vAlign w:val="center"/>
            <w:hideMark/>
          </w:tcPr>
          <w:p w14:paraId="2203705A" w14:textId="77777777" w:rsidR="009D545F" w:rsidRPr="00D22494" w:rsidRDefault="009D545F" w:rsidP="009D545F">
            <w:pPr>
              <w:spacing w:before="0" w:after="0" w:line="240" w:lineRule="auto"/>
              <w:jc w:val="right"/>
              <w:rPr>
                <w:sz w:val="20"/>
                <w:szCs w:val="20"/>
              </w:rPr>
            </w:pPr>
            <w:r w:rsidRPr="00D22494">
              <w:rPr>
                <w:sz w:val="20"/>
                <w:szCs w:val="20"/>
              </w:rPr>
              <w:t>0.416</w:t>
            </w:r>
          </w:p>
        </w:tc>
        <w:tc>
          <w:tcPr>
            <w:tcW w:w="990" w:type="dxa"/>
            <w:tcBorders>
              <w:top w:val="nil"/>
              <w:left w:val="single" w:sz="4" w:space="0" w:color="auto"/>
              <w:bottom w:val="double" w:sz="4" w:space="0" w:color="auto"/>
              <w:right w:val="double" w:sz="4" w:space="0" w:color="auto"/>
            </w:tcBorders>
            <w:shd w:val="clear" w:color="auto" w:fill="FFFFFF" w:themeFill="background1"/>
            <w:tcMar>
              <w:left w:w="43" w:type="dxa"/>
            </w:tcMar>
            <w:vAlign w:val="center"/>
            <w:hideMark/>
          </w:tcPr>
          <w:p w14:paraId="78F9E14B" w14:textId="77777777" w:rsidR="009D545F" w:rsidRPr="00D22494" w:rsidRDefault="009D545F" w:rsidP="009D545F">
            <w:pPr>
              <w:spacing w:before="0" w:after="0" w:line="240" w:lineRule="auto"/>
              <w:jc w:val="right"/>
              <w:rPr>
                <w:sz w:val="20"/>
                <w:szCs w:val="20"/>
              </w:rPr>
            </w:pPr>
            <w:r w:rsidRPr="00D22494">
              <w:rPr>
                <w:sz w:val="20"/>
                <w:szCs w:val="20"/>
              </w:rPr>
              <w:t>0.175</w:t>
            </w:r>
          </w:p>
        </w:tc>
        <w:tc>
          <w:tcPr>
            <w:tcW w:w="3172" w:type="dxa"/>
            <w:tcBorders>
              <w:left w:val="double" w:sz="4" w:space="0" w:color="auto"/>
              <w:bottom w:val="double" w:sz="4" w:space="0" w:color="auto"/>
            </w:tcBorders>
            <w:shd w:val="clear" w:color="auto" w:fill="FFFFFF" w:themeFill="background1"/>
            <w:tcMar>
              <w:left w:w="43" w:type="dxa"/>
            </w:tcMar>
            <w:vAlign w:val="center"/>
            <w:hideMark/>
          </w:tcPr>
          <w:p w14:paraId="2544F338" w14:textId="77777777" w:rsidR="009D545F" w:rsidRPr="00D22494" w:rsidRDefault="009D545F" w:rsidP="009D545F">
            <w:pPr>
              <w:spacing w:before="0" w:after="0" w:line="240" w:lineRule="auto"/>
              <w:jc w:val="left"/>
              <w:rPr>
                <w:sz w:val="20"/>
                <w:szCs w:val="20"/>
              </w:rPr>
            </w:pPr>
            <w:r w:rsidRPr="00D22494">
              <w:rPr>
                <w:sz w:val="20"/>
                <w:szCs w:val="20"/>
              </w:rPr>
              <w:t>U.S. Census Bureau – 2010</w:t>
            </w:r>
          </w:p>
        </w:tc>
      </w:tr>
    </w:tbl>
    <w:p w14:paraId="4BF3B331" w14:textId="77777777" w:rsidR="00432BEC" w:rsidRDefault="00432BEC" w:rsidP="00432BEC">
      <w:pPr>
        <w:pBdr>
          <w:top w:val="nil"/>
          <w:left w:val="nil"/>
          <w:bottom w:val="nil"/>
          <w:right w:val="nil"/>
          <w:between w:val="nil"/>
        </w:pBdr>
        <w:spacing w:before="0" w:after="0" w:line="240" w:lineRule="auto"/>
        <w:jc w:val="left"/>
        <w:rPr>
          <w:b/>
          <w:sz w:val="18"/>
          <w:szCs w:val="18"/>
        </w:rPr>
      </w:pPr>
    </w:p>
    <w:p w14:paraId="3AE9613A" w14:textId="186A9570" w:rsidR="00443681" w:rsidRDefault="00443681" w:rsidP="00432BEC">
      <w:pPr>
        <w:pBdr>
          <w:top w:val="nil"/>
          <w:left w:val="nil"/>
          <w:bottom w:val="nil"/>
          <w:right w:val="nil"/>
          <w:between w:val="nil"/>
        </w:pBdr>
        <w:spacing w:before="0" w:after="0" w:line="240" w:lineRule="auto"/>
        <w:jc w:val="left"/>
        <w:rPr>
          <w:b/>
          <w:sz w:val="18"/>
          <w:szCs w:val="18"/>
        </w:rPr>
        <w:sectPr w:rsidR="00443681" w:rsidSect="000B2277">
          <w:pgSz w:w="15840" w:h="12240" w:orient="landscape"/>
          <w:pgMar w:top="1440" w:right="1440" w:bottom="1440" w:left="1440" w:header="720" w:footer="720" w:gutter="0"/>
          <w:cols w:space="720"/>
          <w:docGrid w:linePitch="326"/>
        </w:sectPr>
      </w:pPr>
    </w:p>
    <w:p w14:paraId="000001C5" w14:textId="77777777" w:rsidR="00536120" w:rsidRDefault="001B78B7" w:rsidP="00966F5E">
      <w:pPr>
        <w:pStyle w:val="Heading2"/>
        <w:spacing w:before="0" w:line="360" w:lineRule="auto"/>
      </w:pPr>
      <w:r>
        <w:lastRenderedPageBreak/>
        <w:t xml:space="preserve"> Mathematical Formulation</w:t>
      </w:r>
    </w:p>
    <w:p w14:paraId="000001C6" w14:textId="6F775B07" w:rsidR="00536120" w:rsidRDefault="00A22D3A" w:rsidP="007D5556">
      <w:pPr>
        <w:spacing w:before="0" w:after="0" w:line="360" w:lineRule="auto"/>
        <w:ind w:firstLine="720"/>
      </w:pPr>
      <w:r>
        <w:t xml:space="preserve">The binary and ordered-response models of the first and second models take the same form, except that the binary </w:t>
      </w:r>
      <w:bookmarkStart w:id="38" w:name="_GoBack"/>
      <w:bookmarkEnd w:id="38"/>
      <w:r>
        <w:t xml:space="preserve">model is a special case of the ordered-response model. </w:t>
      </w:r>
      <w:r w:rsidR="00844EEC">
        <w:t>The third model takes a fractional split form. For completeness, we provide a brief overview of each of these model</w:t>
      </w:r>
      <w:r w:rsidR="007B34BE">
        <w:t xml:space="preserve"> structures</w:t>
      </w:r>
      <w:r w:rsidR="00844EEC">
        <w:t xml:space="preserve"> below.</w:t>
      </w:r>
    </w:p>
    <w:p w14:paraId="02256E95" w14:textId="77777777" w:rsidR="00682038" w:rsidRDefault="00682038" w:rsidP="00966F5E">
      <w:pPr>
        <w:spacing w:before="0" w:after="0" w:line="360" w:lineRule="auto"/>
      </w:pPr>
    </w:p>
    <w:p w14:paraId="000001C7" w14:textId="73EBCFC5" w:rsidR="00536120" w:rsidRDefault="00FF7B8B" w:rsidP="00966F5E">
      <w:pPr>
        <w:pStyle w:val="Heading3"/>
        <w:spacing w:before="0" w:line="360" w:lineRule="auto"/>
      </w:pPr>
      <w:r w:rsidRPr="00C37C8C">
        <w:rPr>
          <w:i/>
        </w:rPr>
        <w:t>MB</w:t>
      </w:r>
      <w:r>
        <w:t xml:space="preserve"> versus </w:t>
      </w:r>
      <w:r w:rsidRPr="00C37C8C">
        <w:rPr>
          <w:i/>
        </w:rPr>
        <w:t>NMB</w:t>
      </w:r>
      <w:r>
        <w:t xml:space="preserve"> CBG Binary Model</w:t>
      </w:r>
    </w:p>
    <w:p w14:paraId="000001C8" w14:textId="693C1FFE" w:rsidR="00536120" w:rsidRDefault="001B78B7" w:rsidP="007D5556">
      <w:pPr>
        <w:spacing w:before="0" w:after="0" w:line="360" w:lineRule="auto"/>
        <w:ind w:firstLine="720"/>
      </w:pPr>
      <w:r>
        <w:t xml:space="preserve">In order </w:t>
      </w:r>
      <w:r w:rsidRPr="00966F5E">
        <w:t xml:space="preserve">to test the characteristics that distinguish </w:t>
      </w:r>
      <w:r w:rsidR="00685B94" w:rsidRPr="00966F5E">
        <w:rPr>
          <w:i/>
        </w:rPr>
        <w:t>MB</w:t>
      </w:r>
      <w:r w:rsidR="00685B94" w:rsidRPr="00966F5E">
        <w:t xml:space="preserve"> </w:t>
      </w:r>
      <w:r w:rsidRPr="00966F5E">
        <w:t xml:space="preserve">CBGs, a Probit binary response model </w:t>
      </w:r>
      <w:r w:rsidR="00E9366E" w:rsidRPr="00966F5E">
        <w:t>(see Greene, 20</w:t>
      </w:r>
      <w:r w:rsidR="00966F5E" w:rsidRPr="00966F5E">
        <w:t>17</w:t>
      </w:r>
      <w:r w:rsidR="00E9366E" w:rsidRPr="00966F5E">
        <w:t xml:space="preserve">) </w:t>
      </w:r>
      <w:r w:rsidRPr="00966F5E">
        <w:t xml:space="preserve">is used. Let </w:t>
      </w:r>
      <w:r w:rsidRPr="00966F5E">
        <w:rPr>
          <w:i/>
        </w:rPr>
        <w:t>q</w:t>
      </w:r>
      <w:r w:rsidRPr="00966F5E">
        <w:t xml:space="preserve"> be an index for CBG (</w:t>
      </w:r>
      <w:r w:rsidRPr="00966F5E">
        <w:rPr>
          <w:i/>
        </w:rPr>
        <w:t>q</w:t>
      </w:r>
      <w:r w:rsidRPr="00966F5E">
        <w:t xml:space="preserve"> = 1, 2, …, </w:t>
      </w:r>
      <w:r w:rsidRPr="00966F5E">
        <w:rPr>
          <w:i/>
        </w:rPr>
        <w:t>Q</w:t>
      </w:r>
      <w:r w:rsidRPr="00966F5E">
        <w:t xml:space="preserve">; where </w:t>
      </w:r>
      <w:r w:rsidRPr="00966F5E">
        <w:rPr>
          <w:i/>
        </w:rPr>
        <w:t>Q</w:t>
      </w:r>
      <w:r w:rsidRPr="00966F5E">
        <w:t xml:space="preserve"> = 2,968 in our case), and let </w:t>
      </w:r>
      <w:r w:rsidR="00FC00AE" w:rsidRPr="00966F5E">
        <w:rPr>
          <w:noProof/>
          <w:position w:val="-14"/>
        </w:rPr>
        <w:object w:dxaOrig="260" w:dyaOrig="400" w14:anchorId="2F144EF6">
          <v:shape id="_x0000_i1026" type="#_x0000_t75" style="width:11.85pt;height:20.85pt" o:ole="" o:preferrelative="f">
            <v:imagedata r:id="rId23" o:title=""/>
            <o:lock v:ext="edit" aspectratio="f"/>
          </v:shape>
          <o:OLEObject Type="Embed" ProgID="Equation.DSMT4" ShapeID="_x0000_i1026" DrawAspect="Content" ObjectID="_1734427223" r:id="rId24"/>
        </w:object>
      </w:r>
      <w:r w:rsidR="00EC02ED" w:rsidRPr="00966F5E">
        <w:t xml:space="preserve"> b</w:t>
      </w:r>
      <w:r w:rsidRPr="00966F5E">
        <w:t>e equal</w:t>
      </w:r>
      <w:r>
        <w:t xml:space="preserve"> to one if a certain CBG is </w:t>
      </w:r>
      <w:r w:rsidR="001028F4" w:rsidRPr="00966F5E">
        <w:rPr>
          <w:i/>
        </w:rPr>
        <w:t>MB</w:t>
      </w:r>
      <w:r>
        <w:t xml:space="preserve"> and zero otherwise. The binary response model estimates the probability</w:t>
      </w:r>
      <w:r w:rsidR="00FC00AE" w:rsidRPr="00101AE7">
        <w:rPr>
          <w:noProof/>
          <w:position w:val="-14"/>
        </w:rPr>
        <w:object w:dxaOrig="1380" w:dyaOrig="380" w14:anchorId="1561044C">
          <v:shape id="_x0000_i1027" type="#_x0000_t75" style="width:69.15pt;height:18pt" o:ole="" o:preferrelative="f">
            <v:imagedata r:id="rId25" o:title=""/>
            <o:lock v:ext="edit" aspectratio="f"/>
          </v:shape>
          <o:OLEObject Type="Embed" ProgID="Equation.DSMT4" ShapeID="_x0000_i1027" DrawAspect="Content" ObjectID="_1734427224" r:id="rId26"/>
        </w:object>
      </w:r>
      <w:r>
        <w:t xml:space="preserve">, where </w:t>
      </w:r>
      <w:r w:rsidR="00FC00AE" w:rsidRPr="00101AE7">
        <w:rPr>
          <w:noProof/>
          <w:position w:val="-14"/>
        </w:rPr>
        <w:object w:dxaOrig="360" w:dyaOrig="380" w14:anchorId="6A7126B6">
          <v:shape id="_x0000_i1028" type="#_x0000_t75" style="width:18pt;height:18pt" o:ole="" o:preferrelative="f">
            <v:imagedata r:id="rId27" o:title=""/>
            <o:lock v:ext="edit" aspectratio="f"/>
          </v:shape>
          <o:OLEObject Type="Embed" ProgID="Equation.DSMT4" ShapeID="_x0000_i1028" DrawAspect="Content" ObjectID="_1734427225" r:id="rId28"/>
        </w:object>
      </w:r>
      <w:r>
        <w:rPr>
          <w:vertAlign w:val="subscript"/>
        </w:rPr>
        <w:t xml:space="preserve"> </w:t>
      </w:r>
      <w:r>
        <w:t>is a</w:t>
      </w:r>
      <w:r w:rsidR="00685B94">
        <w:t>n</w:t>
      </w:r>
      <w:r>
        <w:t xml:space="preserve"> </w:t>
      </w:r>
      <w:r w:rsidR="001028F4">
        <w:t>(</w:t>
      </w:r>
      <w:r w:rsidR="001028F4">
        <w:rPr>
          <w:i/>
        </w:rPr>
        <w:t>L×</w:t>
      </w:r>
      <w:r w:rsidR="001028F4">
        <w:t>1)</w:t>
      </w:r>
      <w:r w:rsidR="001028F4" w:rsidDel="001028F4">
        <w:t xml:space="preserve"> </w:t>
      </w:r>
      <w:r>
        <w:t>vector of exogenous variables. Let</w:t>
      </w:r>
      <w:r w:rsidR="00685B94">
        <w:t xml:space="preserve"> </w:t>
      </w:r>
      <w:r w:rsidR="00FC00AE" w:rsidRPr="00895C33">
        <w:rPr>
          <w:noProof/>
          <w:position w:val="-14"/>
        </w:rPr>
        <w:object w:dxaOrig="260" w:dyaOrig="400" w14:anchorId="5B8ACC69">
          <v:shape id="_x0000_i1029" type="#_x0000_t75" style="width:11.85pt;height:20.85pt" o:ole="" o:preferrelative="f">
            <v:imagedata r:id="rId29" o:title=""/>
            <o:lock v:ext="edit" aspectratio="f"/>
          </v:shape>
          <o:OLEObject Type="Embed" ProgID="Equation.DSMT4" ShapeID="_x0000_i1029" DrawAspect="Content" ObjectID="_1734427226" r:id="rId30"/>
        </w:object>
      </w:r>
      <w:r>
        <w:t xml:space="preserve"> be the latent propensity </w:t>
      </w:r>
      <w:r w:rsidRPr="00B438AC">
        <w:t>corresponding to</w:t>
      </w:r>
      <w:r w:rsidR="00B438AC">
        <w:t xml:space="preserve"> </w:t>
      </w:r>
      <w:r w:rsidR="00510F3A" w:rsidRPr="00B42529">
        <w:rPr>
          <w:noProof/>
          <w:position w:val="-14"/>
        </w:rPr>
        <w:object w:dxaOrig="660" w:dyaOrig="380" w14:anchorId="5E69A6F4">
          <v:shape id="_x0000_i1030" type="#_x0000_t75" style="width:33.15pt;height:18pt" o:ole="">
            <v:imagedata r:id="rId31" o:title=""/>
          </v:shape>
          <o:OLEObject Type="Embed" ProgID="Equation.DSMT4" ShapeID="_x0000_i1030" DrawAspect="Content" ObjectID="_1734427227" r:id="rId32"/>
        </w:object>
      </w:r>
      <w:r>
        <w:t xml:space="preserve">. </w:t>
      </w:r>
      <w:r w:rsidR="00FC00AE" w:rsidRPr="00895C33">
        <w:rPr>
          <w:noProof/>
          <w:position w:val="-14"/>
        </w:rPr>
        <w:object w:dxaOrig="260" w:dyaOrig="400" w14:anchorId="3EFCD2F3">
          <v:shape id="_x0000_i1031" type="#_x0000_t75" style="width:11.85pt;height:20.85pt" o:ole="" o:preferrelative="f">
            <v:imagedata r:id="rId29" o:title=""/>
            <o:lock v:ext="edit" aspectratio="f"/>
          </v:shape>
          <o:OLEObject Type="Embed" ProgID="Equation.DSMT4" ShapeID="_x0000_i1031" DrawAspect="Content" ObjectID="_1734427228" r:id="rId33"/>
        </w:object>
      </w:r>
      <w:r w:rsidR="00685B94">
        <w:t xml:space="preserve"> </w:t>
      </w:r>
      <w:r w:rsidR="00FF7B8B">
        <w:t xml:space="preserve">is </w:t>
      </w:r>
      <w:r>
        <w:t>written as follows:</w:t>
      </w:r>
    </w:p>
    <w:p w14:paraId="000001C9" w14:textId="5E2D8355" w:rsidR="00536120" w:rsidRDefault="00FC00AE" w:rsidP="00966F5E">
      <w:pPr>
        <w:tabs>
          <w:tab w:val="right" w:pos="9360"/>
        </w:tabs>
        <w:spacing w:before="0" w:after="60" w:line="360" w:lineRule="auto"/>
      </w:pPr>
      <w:r w:rsidRPr="002D2BD2">
        <w:rPr>
          <w:noProof/>
          <w:position w:val="-14"/>
          <w:sz w:val="36"/>
          <w:szCs w:val="36"/>
          <w:vertAlign w:val="subscript"/>
        </w:rPr>
        <w:object w:dxaOrig="1520" w:dyaOrig="400" w14:anchorId="784C5B96">
          <v:shape id="_x0000_i1032" type="#_x0000_t75" style="width:76.75pt;height:20.85pt" o:ole="" o:preferrelative="f">
            <v:imagedata r:id="rId34" o:title=""/>
            <o:lock v:ext="edit" aspectratio="f"/>
          </v:shape>
          <o:OLEObject Type="Embed" ProgID="Equation.DSMT4" ShapeID="_x0000_i1032" DrawAspect="Content" ObjectID="_1734427229" r:id="rId35"/>
        </w:object>
      </w:r>
      <w:r w:rsidR="001B78B7">
        <w:tab/>
        <w:t>(2)</w:t>
      </w:r>
    </w:p>
    <w:p w14:paraId="000001CA" w14:textId="6499CB5E" w:rsidR="00536120" w:rsidRDefault="001B78B7" w:rsidP="00966F5E">
      <w:pPr>
        <w:tabs>
          <w:tab w:val="right" w:pos="9360"/>
        </w:tabs>
        <w:spacing w:before="0" w:after="0" w:line="360" w:lineRule="auto"/>
      </w:pPr>
      <w:r>
        <w:t xml:space="preserve">where </w:t>
      </w:r>
      <w:r w:rsidR="00FC00AE" w:rsidRPr="00101AE7">
        <w:rPr>
          <w:noProof/>
          <w:position w:val="-10"/>
        </w:rPr>
        <w:object w:dxaOrig="200" w:dyaOrig="260" w14:anchorId="60B5FBC1">
          <v:shape id="_x0000_i1033" type="#_x0000_t75" style="width:9pt;height:11.85pt" o:ole="" o:preferrelative="f">
            <v:imagedata r:id="rId36" o:title=""/>
            <o:lock v:ext="edit" aspectratio="f"/>
          </v:shape>
          <o:OLEObject Type="Embed" ProgID="Equation.DSMT4" ShapeID="_x0000_i1033" DrawAspect="Content" ObjectID="_1734427230" r:id="rId37"/>
        </w:object>
      </w:r>
      <w:r w:rsidR="00FF7B8B">
        <w:t xml:space="preserve"> is</w:t>
      </w:r>
      <w:r>
        <w:t xml:space="preserve"> a</w:t>
      </w:r>
      <w:r w:rsidR="00FF7B8B">
        <w:t>n</w:t>
      </w:r>
      <w:r>
        <w:t xml:space="preserve"> </w:t>
      </w:r>
      <w:r w:rsidR="00685B94">
        <w:t>(</w:t>
      </w:r>
      <w:r w:rsidR="00B52869" w:rsidRPr="00685B94">
        <w:rPr>
          <w:noProof/>
          <w:position w:val="-4"/>
        </w:rPr>
        <w:object w:dxaOrig="480" w:dyaOrig="260" w14:anchorId="7F83E7DD">
          <v:shape id="_x0000_i1034" type="#_x0000_t75" style="width:24.15pt;height:11.85pt" o:ole="" o:preferrelative="f">
            <v:imagedata r:id="rId38" o:title=""/>
            <o:lock v:ext="edit" aspectratio="f"/>
          </v:shape>
          <o:OLEObject Type="Embed" ProgID="Equation.DSMT4" ShapeID="_x0000_i1034" DrawAspect="Content" ObjectID="_1734427231" r:id="rId39"/>
        </w:object>
      </w:r>
      <w:r w:rsidR="00685B94">
        <w:t xml:space="preserve">) </w:t>
      </w:r>
      <w:r>
        <w:t xml:space="preserve">vector of coefficients to be estimated, and </w:t>
      </w:r>
      <w:r w:rsidR="00FC00AE" w:rsidRPr="00FB7B19">
        <w:rPr>
          <w:noProof/>
          <w:position w:val="-14"/>
        </w:rPr>
        <w:object w:dxaOrig="300" w:dyaOrig="380" w14:anchorId="2295FC54">
          <v:shape id="_x0000_i1035" type="#_x0000_t75" style="width:15.15pt;height:18pt" o:ole="" o:preferrelative="f">
            <v:imagedata r:id="rId40" o:title=""/>
            <o:lock v:ext="edit" aspectratio="f"/>
          </v:shape>
          <o:OLEObject Type="Embed" ProgID="Equation.DSMT4" ShapeID="_x0000_i1035" DrawAspect="Content" ObjectID="_1734427232" r:id="rId41"/>
        </w:object>
      </w:r>
      <w:r>
        <w:t xml:space="preserve">is a standard normal error term assumed to be identically and independently distributed across CBGs. In the data, we observe whether a CBG is </w:t>
      </w:r>
      <w:r w:rsidR="00685B94" w:rsidRPr="00685B94">
        <w:rPr>
          <w:i/>
        </w:rPr>
        <w:t>MB</w:t>
      </w:r>
      <w:r>
        <w:t xml:space="preserve"> (</w:t>
      </w:r>
      <w:r w:rsidR="00FC00AE" w:rsidRPr="00895C33">
        <w:rPr>
          <w:noProof/>
          <w:position w:val="-14"/>
        </w:rPr>
        <w:object w:dxaOrig="600" w:dyaOrig="400" w14:anchorId="0D7D6734">
          <v:shape id="_x0000_i1036" type="#_x0000_t75" style="width:29.85pt;height:20.85pt" o:ole="" o:preferrelative="f">
            <v:imagedata r:id="rId42" o:title=""/>
            <o:lock v:ext="edit" aspectratio="f"/>
          </v:shape>
          <o:OLEObject Type="Embed" ProgID="Equation.DSMT4" ShapeID="_x0000_i1036" DrawAspect="Content" ObjectID="_1734427233" r:id="rId43"/>
        </w:object>
      </w:r>
      <w:r w:rsidR="00B52869">
        <w:rPr>
          <w:noProof/>
        </w:rPr>
        <w:t xml:space="preserve"> </w:t>
      </w:r>
      <w:r>
        <w:t>when</w:t>
      </w:r>
      <w:r w:rsidR="00685B94">
        <w:t xml:space="preserve"> </w:t>
      </w:r>
      <w:r w:rsidR="00FC00AE" w:rsidRPr="00895C33">
        <w:rPr>
          <w:noProof/>
          <w:position w:val="-14"/>
        </w:rPr>
        <w:object w:dxaOrig="639" w:dyaOrig="400" w14:anchorId="6E99C52A">
          <v:shape id="_x0000_i1037" type="#_x0000_t75" style="width:31.75pt;height:20.85pt" o:ole="" o:preferrelative="f">
            <v:imagedata r:id="rId44" o:title=""/>
            <o:lock v:ext="edit" aspectratio="f"/>
          </v:shape>
          <o:OLEObject Type="Embed" ProgID="Equation.DSMT4" ShapeID="_x0000_i1037" DrawAspect="Content" ObjectID="_1734427234" r:id="rId45"/>
        </w:object>
      </w:r>
      <m:oMath>
        <m:r>
          <w:rPr>
            <w:rFonts w:ascii="Cambria Math" w:eastAsia="Cambria Math" w:hAnsi="Cambria Math" w:cs="Cambria Math"/>
          </w:rPr>
          <m:t>)</m:t>
        </m:r>
      </m:oMath>
      <w:r>
        <w:t xml:space="preserve"> or not (</w:t>
      </w:r>
      <w:r w:rsidR="00FC00AE" w:rsidRPr="00895C33">
        <w:rPr>
          <w:noProof/>
          <w:position w:val="-14"/>
        </w:rPr>
        <w:object w:dxaOrig="639" w:dyaOrig="400" w14:anchorId="59454FEE">
          <v:shape id="_x0000_i1038" type="#_x0000_t75" style="width:31.75pt;height:20.85pt" o:ole="" o:preferrelative="f">
            <v:imagedata r:id="rId46" o:title=""/>
            <o:lock v:ext="edit" aspectratio="f"/>
          </v:shape>
          <o:OLEObject Type="Embed" ProgID="Equation.DSMT4" ShapeID="_x0000_i1038" DrawAspect="Content" ObjectID="_1734427235" r:id="rId47"/>
        </w:object>
      </w:r>
      <w:r w:rsidR="002C3368">
        <w:t xml:space="preserve"> </w:t>
      </w:r>
      <w:proofErr w:type="spellStart"/>
      <w:r>
        <w:t>when</w:t>
      </w:r>
      <w:proofErr w:type="spellEnd"/>
      <w:r w:rsidR="00685B94">
        <w:t xml:space="preserve"> </w:t>
      </w:r>
      <w:r w:rsidR="00FC00AE" w:rsidRPr="00FB7B19">
        <w:rPr>
          <w:noProof/>
          <w:position w:val="-14"/>
        </w:rPr>
        <w:object w:dxaOrig="639" w:dyaOrig="400" w14:anchorId="3FD77C33">
          <v:shape id="_x0000_i1039" type="#_x0000_t75" style="width:31.75pt;height:20.85pt" o:ole="" o:preferrelative="f">
            <v:imagedata r:id="rId48" o:title=""/>
            <o:lock v:ext="edit" aspectratio="f"/>
          </v:shape>
          <o:OLEObject Type="Embed" ProgID="Equation.DSMT4" ShapeID="_x0000_i1039" DrawAspect="Content" ObjectID="_1734427236" r:id="rId49"/>
        </w:object>
      </w:r>
      <w:r w:rsidR="00685B94">
        <w:t>)</w:t>
      </w:r>
      <w:r>
        <w:t>, wh</w:t>
      </w:r>
      <w:r w:rsidR="00FF7B8B">
        <w:t>ere</w:t>
      </w:r>
      <w:r>
        <w:t xml:space="preserve"> </w:t>
      </w:r>
      <w:r w:rsidR="00FC00AE" w:rsidRPr="00895C33">
        <w:rPr>
          <w:noProof/>
          <w:position w:val="-14"/>
        </w:rPr>
        <w:object w:dxaOrig="260" w:dyaOrig="400" w14:anchorId="1389A59C">
          <v:shape id="_x0000_i1040" type="#_x0000_t75" style="width:11.85pt;height:20.85pt" o:ole="" o:preferrelative="f">
            <v:imagedata r:id="rId29" o:title=""/>
            <o:lock v:ext="edit" aspectratio="f"/>
          </v:shape>
          <o:OLEObject Type="Embed" ProgID="Equation.DSMT4" ShapeID="_x0000_i1040" DrawAspect="Content" ObjectID="_1734427237" r:id="rId50"/>
        </w:object>
      </w:r>
      <w:r w:rsidR="00FF7B8B">
        <w:t xml:space="preserve"> is </w:t>
      </w:r>
      <w:r w:rsidR="001D50D2">
        <w:t xml:space="preserve">an </w:t>
      </w:r>
      <w:r>
        <w:t xml:space="preserve">unobserved </w:t>
      </w:r>
      <w:r w:rsidR="002D2BD2">
        <w:t>underlying propensity</w:t>
      </w:r>
      <w:r>
        <w:t>. The</w:t>
      </w:r>
      <w:r w:rsidR="001D50D2">
        <w:t>n</w:t>
      </w:r>
      <w:r>
        <w:t xml:space="preserve">, the probability that a CBG is </w:t>
      </w:r>
      <w:r w:rsidR="00685B94" w:rsidRPr="00685B94">
        <w:rPr>
          <w:i/>
        </w:rPr>
        <w:t>MB</w:t>
      </w:r>
      <w:r w:rsidR="00685B94">
        <w:t xml:space="preserve"> </w:t>
      </w:r>
      <w:r>
        <w:t>can be written as:</w:t>
      </w:r>
    </w:p>
    <w:p w14:paraId="000001CB" w14:textId="25DA1B39" w:rsidR="00536120" w:rsidRDefault="00FC00AE" w:rsidP="00966F5E">
      <w:pPr>
        <w:tabs>
          <w:tab w:val="right" w:pos="9360"/>
        </w:tabs>
        <w:spacing w:before="60" w:after="60" w:line="360" w:lineRule="auto"/>
      </w:pPr>
      <w:r w:rsidRPr="00FF7B8B">
        <w:rPr>
          <w:noProof/>
          <w:position w:val="-16"/>
          <w:sz w:val="36"/>
          <w:szCs w:val="36"/>
          <w:vertAlign w:val="subscript"/>
        </w:rPr>
        <w:object w:dxaOrig="7920" w:dyaOrig="440" w14:anchorId="5ACF29B1">
          <v:shape id="_x0000_i1041" type="#_x0000_t75" style="width:396pt;height:22.75pt" o:ole="" o:preferrelative="f">
            <v:imagedata r:id="rId51" o:title=""/>
            <o:lock v:ext="edit" aspectratio="f"/>
          </v:shape>
          <o:OLEObject Type="Embed" ProgID="Equation.DSMT4" ShapeID="_x0000_i1041" DrawAspect="Content" ObjectID="_1734427238" r:id="rId52"/>
        </w:object>
      </w:r>
      <w:r w:rsidR="001B78B7">
        <w:tab/>
        <w:t>(3)</w:t>
      </w:r>
    </w:p>
    <w:p w14:paraId="000001D0" w14:textId="3D43AD74" w:rsidR="00536120" w:rsidRDefault="001B78B7" w:rsidP="00966F5E">
      <w:pPr>
        <w:spacing w:before="0" w:after="0" w:line="360" w:lineRule="auto"/>
      </w:pPr>
      <w:r>
        <w:t xml:space="preserve">where </w:t>
      </w:r>
      <w:r w:rsidR="00B52869" w:rsidRPr="00B42529">
        <w:rPr>
          <w:noProof/>
          <w:position w:val="-14"/>
        </w:rPr>
        <w:object w:dxaOrig="499" w:dyaOrig="400" w14:anchorId="25F84B65">
          <v:shape id="_x0000_i1042" type="#_x0000_t75" style="width:24.15pt;height:20.85pt" o:ole="" o:preferrelative="f">
            <v:imagedata r:id="rId53" o:title=""/>
            <o:lock v:ext="edit" aspectratio="f"/>
          </v:shape>
          <o:OLEObject Type="Embed" ProgID="Equation.DSMT4" ShapeID="_x0000_i1042" DrawAspect="Content" ObjectID="_1734427239" r:id="rId54"/>
        </w:object>
      </w:r>
      <w:r>
        <w:t xml:space="preserve"> is the cumulative standard normal distribution </w:t>
      </w:r>
      <w:proofErr w:type="gramStart"/>
      <w:r>
        <w:t>operator.</w:t>
      </w:r>
      <w:proofErr w:type="gramEnd"/>
      <w:r>
        <w:t xml:space="preserve"> </w:t>
      </w:r>
      <w:bookmarkStart w:id="39" w:name="_heading=h.1fob9te" w:colFirst="0" w:colLast="0"/>
      <w:bookmarkEnd w:id="39"/>
    </w:p>
    <w:p w14:paraId="70200E88" w14:textId="77777777" w:rsidR="00432BEC" w:rsidRDefault="00432BEC" w:rsidP="00966F5E">
      <w:pPr>
        <w:spacing w:before="0" w:after="0" w:line="360" w:lineRule="auto"/>
      </w:pPr>
    </w:p>
    <w:p w14:paraId="000001D1" w14:textId="58BBD8E6" w:rsidR="00536120" w:rsidRDefault="00FF7B8B" w:rsidP="00966F5E">
      <w:pPr>
        <w:pStyle w:val="Heading3"/>
        <w:spacing w:before="0" w:line="360" w:lineRule="auto"/>
      </w:pPr>
      <w:r>
        <w:t>Total Count Model</w:t>
      </w:r>
    </w:p>
    <w:p w14:paraId="682C0D0D" w14:textId="7960CD52" w:rsidR="00482E5C" w:rsidRPr="00482E5C" w:rsidRDefault="001B78B7" w:rsidP="007D5556">
      <w:pPr>
        <w:spacing w:before="0" w:after="0" w:line="360" w:lineRule="auto"/>
        <w:ind w:firstLine="720"/>
      </w:pPr>
      <w:r>
        <w:t>Model 2</w:t>
      </w:r>
      <w:r w:rsidR="00FF7B8B">
        <w:t>,</w:t>
      </w:r>
      <w:r>
        <w:t xml:space="preserve"> which </w:t>
      </w:r>
      <w:r w:rsidR="00FF7B8B">
        <w:t xml:space="preserve">examines </w:t>
      </w:r>
      <w:r>
        <w:t>the factors influencing the total number of crashes</w:t>
      </w:r>
      <w:r w:rsidR="00FF7B8B">
        <w:t>,</w:t>
      </w:r>
      <w:r>
        <w:t xml:space="preserve"> is estimated using a</w:t>
      </w:r>
      <w:r w:rsidR="002D2BD2">
        <w:t>n</w:t>
      </w:r>
      <w:r>
        <w:t xml:space="preserve"> </w:t>
      </w:r>
      <w:r w:rsidR="00FF7B8B">
        <w:t>o</w:t>
      </w:r>
      <w:r>
        <w:t xml:space="preserve">rdered </w:t>
      </w:r>
      <w:r w:rsidR="00FF7B8B">
        <w:t>p</w:t>
      </w:r>
      <w:r>
        <w:t>robit modeling framework</w:t>
      </w:r>
      <w:r w:rsidR="002D2BD2">
        <w:t xml:space="preserve"> (see</w:t>
      </w:r>
      <w:sdt>
        <w:sdtPr>
          <w:tag w:val="goog_rdk_99"/>
          <w:id w:val="-2085757551"/>
        </w:sdtPr>
        <w:sdtContent/>
      </w:sdt>
      <w:r>
        <w:t xml:space="preserve"> </w:t>
      </w:r>
      <w:r w:rsidRPr="00816D34">
        <w:t>Ferdous et al. (2010)</w:t>
      </w:r>
      <w:r>
        <w:t xml:space="preserve"> for a detailed discussion of the estimation methodology</w:t>
      </w:r>
      <w:r w:rsidR="002D2BD2">
        <w:t>)</w:t>
      </w:r>
      <w:r>
        <w:t xml:space="preserve">. </w:t>
      </w:r>
      <w:r w:rsidR="00FF7B8B">
        <w:t>Again, l</w:t>
      </w:r>
      <w:r>
        <w:t xml:space="preserve">et </w:t>
      </w:r>
      <w:r>
        <w:rPr>
          <w:i/>
        </w:rPr>
        <w:t>q</w:t>
      </w:r>
      <w:r>
        <w:t xml:space="preserve"> be an index for CBG (</w:t>
      </w:r>
      <w:r>
        <w:rPr>
          <w:i/>
        </w:rPr>
        <w:t>q</w:t>
      </w:r>
      <w:r>
        <w:t xml:space="preserve"> = 1, 2, …, </w:t>
      </w:r>
      <w:r>
        <w:rPr>
          <w:i/>
        </w:rPr>
        <w:t>Q</w:t>
      </w:r>
      <w:r>
        <w:t xml:space="preserve">; </w:t>
      </w:r>
      <w:r w:rsidRPr="00263EF9">
        <w:t xml:space="preserve">where </w:t>
      </w:r>
      <w:r w:rsidRPr="00263EF9">
        <w:rPr>
          <w:i/>
        </w:rPr>
        <w:t>Q</w:t>
      </w:r>
      <w:r w:rsidRPr="00263EF9">
        <w:t xml:space="preserve"> = 2,968) and </w:t>
      </w:r>
      <w:r w:rsidR="00685B94" w:rsidRPr="00685B94">
        <w:rPr>
          <w:i/>
        </w:rPr>
        <w:t>k</w:t>
      </w:r>
      <w:r w:rsidR="001028F4">
        <w:rPr>
          <w:i/>
        </w:rPr>
        <w:t xml:space="preserve"> </w:t>
      </w:r>
      <w:r w:rsidRPr="00263EF9">
        <w:t xml:space="preserve">be </w:t>
      </w:r>
      <w:r w:rsidR="00FF7B8B">
        <w:t xml:space="preserve">an index for the </w:t>
      </w:r>
      <w:r w:rsidRPr="00263EF9">
        <w:t>crash count categories (</w:t>
      </w:r>
      <w:r w:rsidR="00FF7B8B" w:rsidRPr="00685B94">
        <w:rPr>
          <w:i/>
        </w:rPr>
        <w:t>k</w:t>
      </w:r>
      <w:r w:rsidR="00685B94">
        <w:rPr>
          <w:i/>
        </w:rPr>
        <w:t xml:space="preserve"> </w:t>
      </w:r>
      <w:r w:rsidR="00FF7B8B">
        <w:t>=</w:t>
      </w:r>
      <w:r w:rsidR="00685B94">
        <w:t xml:space="preserve"> </w:t>
      </w:r>
      <w:r w:rsidRPr="00263EF9">
        <w:t xml:space="preserve">0, 1, 2, </w:t>
      </w:r>
      <w:r w:rsidR="005927FF">
        <w:t>…,</w:t>
      </w:r>
      <w:r w:rsidR="00B52869">
        <w:t xml:space="preserve"> </w:t>
      </w:r>
      <w:r w:rsidR="005927FF" w:rsidRPr="00685B94">
        <w:rPr>
          <w:i/>
        </w:rPr>
        <w:t>K</w:t>
      </w:r>
      <w:r w:rsidR="005927FF">
        <w:t xml:space="preserve">; </w:t>
      </w:r>
      <w:r w:rsidR="00FF7B8B" w:rsidRPr="00685B94">
        <w:rPr>
          <w:i/>
        </w:rPr>
        <w:t>K</w:t>
      </w:r>
      <w:r w:rsidR="00FF7B8B">
        <w:t>=6</w:t>
      </w:r>
      <w:r w:rsidR="005927FF">
        <w:t xml:space="preserve"> in our empirical analysis</w:t>
      </w:r>
      <w:r w:rsidRPr="00263EF9">
        <w:t>). The</w:t>
      </w:r>
      <w:r>
        <w:t xml:space="preserve"> latent propensity </w:t>
      </w:r>
      <w:r w:rsidR="00FC00AE" w:rsidRPr="00101AE7">
        <w:rPr>
          <w:noProof/>
          <w:position w:val="-14"/>
        </w:rPr>
        <w:object w:dxaOrig="279" w:dyaOrig="400" w14:anchorId="76C41E17">
          <v:shape id="_x0000_i1043" type="#_x0000_t75" style="width:13.75pt;height:20.85pt" o:ole="" o:preferrelative="f">
            <v:imagedata r:id="rId55" o:title=""/>
            <o:lock v:ext="edit" aspectratio="f"/>
          </v:shape>
          <o:OLEObject Type="Embed" ProgID="Equation.DSMT4" ShapeID="_x0000_i1043" DrawAspect="Content" ObjectID="_1734427240" r:id="rId56"/>
        </w:object>
      </w:r>
      <w:r>
        <w:t xml:space="preserve"> is a function that relates relevant exogenous variables to the </w:t>
      </w:r>
      <w:r>
        <w:lastRenderedPageBreak/>
        <w:t>observed total crash frequency outcome (</w:t>
      </w:r>
      <w:r w:rsidR="00FC00AE" w:rsidRPr="00895C33">
        <w:rPr>
          <w:noProof/>
          <w:position w:val="-14"/>
        </w:rPr>
        <w:object w:dxaOrig="279" w:dyaOrig="400" w14:anchorId="514E7364">
          <v:shape id="_x0000_i1044" type="#_x0000_t75" style="width:13.75pt;height:20.85pt" o:ole="" o:preferrelative="f">
            <v:imagedata r:id="rId57" o:title=""/>
            <o:lock v:ext="edit" aspectratio="f"/>
          </v:shape>
          <o:OLEObject Type="Embed" ProgID="Equation.DSMT4" ShapeID="_x0000_i1044" DrawAspect="Content" ObjectID="_1734427241" r:id="rId58"/>
        </w:object>
      </w:r>
      <w:r>
        <w:t>) through threshold bounds (</w:t>
      </w:r>
      <w:sdt>
        <w:sdtPr>
          <w:tag w:val="goog_rdk_100"/>
          <w:id w:val="-1101099274"/>
        </w:sdtPr>
        <w:sdtContent/>
      </w:sdt>
      <w:r>
        <w:t xml:space="preserve">see </w:t>
      </w:r>
      <w:r w:rsidRPr="00816D34">
        <w:t>McKelvey and Zavoina, 1975):</w:t>
      </w:r>
    </w:p>
    <w:p w14:paraId="2C9CA604" w14:textId="72553025" w:rsidR="002D2BD2" w:rsidRPr="00482E5C" w:rsidRDefault="00FC00AE" w:rsidP="00966F5E">
      <w:pPr>
        <w:tabs>
          <w:tab w:val="right" w:pos="9360"/>
        </w:tabs>
        <w:spacing w:before="0" w:after="60" w:line="360" w:lineRule="auto"/>
        <w:jc w:val="left"/>
        <w:rPr>
          <w:sz w:val="36"/>
          <w:szCs w:val="36"/>
          <w:vertAlign w:val="subscript"/>
        </w:rPr>
      </w:pPr>
      <w:r w:rsidRPr="002D2BD2">
        <w:rPr>
          <w:noProof/>
          <w:position w:val="-14"/>
          <w:sz w:val="36"/>
          <w:szCs w:val="36"/>
          <w:vertAlign w:val="subscript"/>
        </w:rPr>
        <w:object w:dxaOrig="2180" w:dyaOrig="400" w14:anchorId="27FDDDAF">
          <v:shape id="_x0000_i1045" type="#_x0000_t75" style="width:108pt;height:20.85pt" o:ole="" o:preferrelative="f">
            <v:imagedata r:id="rId59" o:title=""/>
            <o:lock v:ext="edit" aspectratio="f"/>
          </v:shape>
          <o:OLEObject Type="Embed" ProgID="Equation.DSMT4" ShapeID="_x0000_i1045" DrawAspect="Content" ObjectID="_1734427242" r:id="rId60"/>
        </w:object>
      </w:r>
      <w:r w:rsidR="00482E5C">
        <w:rPr>
          <w:sz w:val="36"/>
          <w:szCs w:val="36"/>
          <w:vertAlign w:val="subscript"/>
        </w:rPr>
        <w:t xml:space="preserve"> if  </w:t>
      </w:r>
      <w:r w:rsidR="00816D34" w:rsidRPr="00482E5C">
        <w:rPr>
          <w:noProof/>
          <w:position w:val="-18"/>
          <w:sz w:val="36"/>
          <w:szCs w:val="36"/>
          <w:vertAlign w:val="subscript"/>
        </w:rPr>
        <w:object w:dxaOrig="1380" w:dyaOrig="440" w14:anchorId="7E84F05D">
          <v:shape id="_x0000_i1046" type="#_x0000_t75" style="width:69.15pt;height:24.15pt" o:ole="" o:preferrelative="f">
            <v:imagedata r:id="rId61" o:title=""/>
            <o:lock v:ext="edit" aspectratio="f"/>
          </v:shape>
          <o:OLEObject Type="Embed" ProgID="Equation.DSMT4" ShapeID="_x0000_i1046" DrawAspect="Content" ObjectID="_1734427243" r:id="rId62"/>
        </w:object>
      </w:r>
      <w:r w:rsidR="00482E5C">
        <w:rPr>
          <w:sz w:val="36"/>
          <w:szCs w:val="36"/>
          <w:vertAlign w:val="subscript"/>
        </w:rPr>
        <w:t xml:space="preserve">   </w:t>
      </w:r>
      <w:r w:rsidR="00482E5C">
        <w:rPr>
          <w:sz w:val="36"/>
          <w:szCs w:val="36"/>
          <w:vertAlign w:val="subscript"/>
        </w:rPr>
        <w:tab/>
        <w:t xml:space="preserve"> (</w:t>
      </w:r>
      <w:r w:rsidR="007632A9">
        <w:rPr>
          <w:sz w:val="36"/>
          <w:szCs w:val="36"/>
          <w:vertAlign w:val="subscript"/>
        </w:rPr>
        <w:t>4)</w:t>
      </w:r>
    </w:p>
    <w:p w14:paraId="000001D4" w14:textId="68831887" w:rsidR="00536120" w:rsidRDefault="001B78B7" w:rsidP="00966F5E">
      <w:pPr>
        <w:tabs>
          <w:tab w:val="right" w:pos="9360"/>
        </w:tabs>
        <w:spacing w:before="0" w:after="0" w:line="360" w:lineRule="auto"/>
      </w:pPr>
      <w:r>
        <w:t xml:space="preserve">where </w:t>
      </w:r>
      <w:r w:rsidR="00FC00AE" w:rsidRPr="00B42529">
        <w:rPr>
          <w:noProof/>
          <w:position w:val="-14"/>
        </w:rPr>
        <w:object w:dxaOrig="360" w:dyaOrig="380" w14:anchorId="3DAAB453">
          <v:shape id="_x0000_i1047" type="#_x0000_t75" style="width:18pt;height:18pt" o:ole="" o:preferrelative="f">
            <v:imagedata r:id="rId63" o:title=""/>
            <o:lock v:ext="edit" aspectratio="f"/>
          </v:shape>
          <o:OLEObject Type="Embed" ProgID="Equation.DSMT4" ShapeID="_x0000_i1047" DrawAspect="Content" ObjectID="_1734427244" r:id="rId64"/>
        </w:object>
      </w:r>
      <w:r w:rsidR="00FC00AE">
        <w:rPr>
          <w:noProof/>
        </w:rPr>
        <w:t xml:space="preserve"> </w:t>
      </w:r>
      <w:r>
        <w:t>is a (</w:t>
      </w:r>
      <w:r>
        <w:rPr>
          <w:i/>
        </w:rPr>
        <w:t>L×</w:t>
      </w:r>
      <w:r>
        <w:t xml:space="preserve">1) vector of exogenous variables (not including a constant), </w:t>
      </w:r>
      <w:r w:rsidR="00B52869" w:rsidRPr="00B42529">
        <w:rPr>
          <w:noProof/>
          <w:position w:val="-10"/>
        </w:rPr>
        <w:object w:dxaOrig="260" w:dyaOrig="320" w14:anchorId="7BC158FF">
          <v:shape id="_x0000_i1048" type="#_x0000_t75" style="width:11.85pt;height:15.15pt" o:ole="" o:preferrelative="f">
            <v:imagedata r:id="rId65" o:title=""/>
            <o:lock v:ext="edit" aspectratio="f"/>
          </v:shape>
          <o:OLEObject Type="Embed" ProgID="Equation.DSMT4" ShapeID="_x0000_i1048" DrawAspect="Content" ObjectID="_1734427245" r:id="rId66"/>
        </w:object>
      </w:r>
      <w:r w:rsidR="002D2BD2">
        <w:t xml:space="preserve"> </w:t>
      </w:r>
      <w:r>
        <w:t>is a corresponding (</w:t>
      </w:r>
      <w:r>
        <w:rPr>
          <w:i/>
        </w:rPr>
        <w:t>L×</w:t>
      </w:r>
      <w:r>
        <w:t xml:space="preserve">1) vector of coefficients to be estimated, </w:t>
      </w:r>
      <w:r w:rsidR="00B52869" w:rsidRPr="00B42529">
        <w:rPr>
          <w:noProof/>
          <w:position w:val="-14"/>
        </w:rPr>
        <w:object w:dxaOrig="260" w:dyaOrig="380" w14:anchorId="36022E41">
          <v:shape id="_x0000_i1049" type="#_x0000_t75" style="width:11.85pt;height:18pt" o:ole="" o:preferrelative="f">
            <v:imagedata r:id="rId67" o:title=""/>
            <o:lock v:ext="edit" aspectratio="f"/>
          </v:shape>
          <o:OLEObject Type="Embed" ProgID="Equation.DSMT4" ShapeID="_x0000_i1049" DrawAspect="Content" ObjectID="_1734427246" r:id="rId68"/>
        </w:object>
      </w:r>
      <w:r w:rsidR="00CD3814">
        <w:rPr>
          <w:noProof/>
        </w:rPr>
        <w:t xml:space="preserve"> </w:t>
      </w:r>
      <w:r>
        <w:t xml:space="preserve">is a standard normal error term that is assumed to be independent and identical across CBGs, and </w:t>
      </w:r>
      <w:r w:rsidR="00510F3A" w:rsidRPr="00B42529">
        <w:rPr>
          <w:noProof/>
          <w:position w:val="-12"/>
        </w:rPr>
        <w:object w:dxaOrig="300" w:dyaOrig="380" w14:anchorId="376F115F">
          <v:shape id="_x0000_i1050" type="#_x0000_t75" style="width:18pt;height:18pt" o:ole="">
            <v:imagedata r:id="rId69" o:title=""/>
          </v:shape>
          <o:OLEObject Type="Embed" ProgID="Equation.DSMT4" ShapeID="_x0000_i1050" DrawAspect="Content" ObjectID="_1734427247" r:id="rId70"/>
        </w:object>
      </w:r>
      <w:r>
        <w:t xml:space="preserve">is the lower bound threshold for </w:t>
      </w:r>
      <w:r>
        <w:rPr>
          <w:i/>
        </w:rPr>
        <w:t>k</w:t>
      </w:r>
      <w:r>
        <w:t xml:space="preserve"> total number of crashes (</w:t>
      </w:r>
      <w:r w:rsidR="00B52869" w:rsidRPr="00B42529">
        <w:rPr>
          <w:noProof/>
          <w:position w:val="-12"/>
        </w:rPr>
        <w:object w:dxaOrig="2260" w:dyaOrig="380" w14:anchorId="6A662049">
          <v:shape id="_x0000_i1051" type="#_x0000_t75" style="width:114.15pt;height:18pt" o:ole="" o:preferrelative="f">
            <v:imagedata r:id="rId71" o:title=""/>
            <o:lock v:ext="edit" aspectratio="f"/>
          </v:shape>
          <o:OLEObject Type="Embed" ProgID="Equation.DSMT4" ShapeID="_x0000_i1051" DrawAspect="Content" ObjectID="_1734427248" r:id="rId72"/>
        </w:object>
      </w:r>
      <w:r w:rsidR="00B52869" w:rsidRPr="00B42529">
        <w:rPr>
          <w:noProof/>
          <w:position w:val="-12"/>
        </w:rPr>
        <w:object w:dxaOrig="2060" w:dyaOrig="380" w14:anchorId="6A9D2FBA">
          <v:shape id="_x0000_i1052" type="#_x0000_t75" style="width:101.85pt;height:18pt" o:ole="" o:preferrelative="f">
            <v:imagedata r:id="rId73" o:title=""/>
            <o:lock v:ext="edit" aspectratio="f"/>
          </v:shape>
          <o:OLEObject Type="Embed" ProgID="Equation.DSMT4" ShapeID="_x0000_i1052" DrawAspect="Content" ObjectID="_1734427249" r:id="rId74"/>
        </w:object>
      </w:r>
      <w:r>
        <w:t xml:space="preserve">). </w:t>
      </w:r>
      <w:r w:rsidR="004503C1" w:rsidRPr="006751D8">
        <w:t>The parameter vector of the</w:t>
      </w:r>
      <w:r w:rsidR="004503C1">
        <w:t xml:space="preserve"> ordered</w:t>
      </w:r>
      <w:r w:rsidR="004503C1" w:rsidRPr="006751D8">
        <w:t xml:space="preserve"> </w:t>
      </w:r>
      <w:proofErr w:type="spellStart"/>
      <w:r w:rsidR="004503C1" w:rsidRPr="006751D8">
        <w:t>probit</w:t>
      </w:r>
      <w:proofErr w:type="spellEnd"/>
      <w:r w:rsidR="004503C1" w:rsidRPr="006751D8">
        <w:t xml:space="preserve"> model is </w:t>
      </w:r>
      <w:r w:rsidR="00B52869" w:rsidRPr="004503C1">
        <w:rPr>
          <w:noProof/>
          <w:position w:val="-12"/>
        </w:rPr>
        <w:object w:dxaOrig="1280" w:dyaOrig="360" w14:anchorId="04334660">
          <v:shape id="_x0000_i1053" type="#_x0000_t75" style="width:63pt;height:18pt" o:ole="" o:preferrelative="f">
            <v:imagedata r:id="rId75" o:title=""/>
            <o:lock v:ext="edit" aspectratio="f"/>
          </v:shape>
          <o:OLEObject Type="Embed" ProgID="Equation.DSMT4" ShapeID="_x0000_i1053" DrawAspect="Content" ObjectID="_1734427250" r:id="rId76"/>
        </w:object>
      </w:r>
      <w:r w:rsidR="004503C1" w:rsidRPr="006751D8">
        <w:t xml:space="preserve"> where </w:t>
      </w:r>
      <w:r w:rsidR="00B52869" w:rsidRPr="006751D8">
        <w:rPr>
          <w:noProof/>
          <w:position w:val="-12"/>
        </w:rPr>
        <w:object w:dxaOrig="1880" w:dyaOrig="380" w14:anchorId="1BF592BC">
          <v:shape id="_x0000_i1054" type="#_x0000_t75" style="width:96.15pt;height:18pt" o:ole="" o:preferrelative="f">
            <v:imagedata r:id="rId77" o:title=""/>
            <o:lock v:ext="edit" aspectratio="f"/>
          </v:shape>
          <o:OLEObject Type="Embed" ProgID="Equation.DSMT4" ShapeID="_x0000_i1054" DrawAspect="Content" ObjectID="_1734427251" r:id="rId78"/>
        </w:object>
      </w:r>
      <w:r w:rsidR="004503C1" w:rsidRPr="006751D8">
        <w:t xml:space="preserve">. </w:t>
      </w:r>
      <w:r>
        <w:t xml:space="preserve">Then, let the actual observed number of crashes for </w:t>
      </w:r>
      <w:r w:rsidR="005927FF">
        <w:t xml:space="preserve">the </w:t>
      </w:r>
      <w:proofErr w:type="spellStart"/>
      <w:r w:rsidR="005927FF" w:rsidRPr="00F8308F">
        <w:rPr>
          <w:i/>
        </w:rPr>
        <w:t>q</w:t>
      </w:r>
      <w:r w:rsidR="005927FF" w:rsidRPr="00CD3814">
        <w:rPr>
          <w:vertAlign w:val="superscript"/>
        </w:rPr>
        <w:t>th</w:t>
      </w:r>
      <w:proofErr w:type="spellEnd"/>
      <w:r w:rsidR="005927FF">
        <w:t xml:space="preserve"> </w:t>
      </w:r>
      <w:r>
        <w:t>CBG</w:t>
      </w:r>
      <w:r w:rsidR="005927FF">
        <w:t xml:space="preserve"> </w:t>
      </w:r>
      <w:r>
        <w:t xml:space="preserve">be </w:t>
      </w:r>
      <w:r w:rsidR="00510F3A" w:rsidRPr="00A00118">
        <w:rPr>
          <w:noProof/>
          <w:position w:val="-14"/>
        </w:rPr>
        <w:object w:dxaOrig="320" w:dyaOrig="380" w14:anchorId="5B960709">
          <v:shape id="_x0000_i1055" type="#_x0000_t75" style="width:18pt;height:18pt" o:ole="">
            <v:imagedata r:id="rId79" o:title=""/>
          </v:shape>
          <o:OLEObject Type="Embed" ProgID="Equation.DSMT4" ShapeID="_x0000_i1055" DrawAspect="Content" ObjectID="_1734427252" r:id="rId80"/>
        </w:object>
      </w:r>
      <w:r>
        <w:t>.</w:t>
      </w:r>
      <w:r w:rsidR="005927FF">
        <w:t xml:space="preserve"> T</w:t>
      </w:r>
      <w:r>
        <w:t xml:space="preserve">he likelihood function for </w:t>
      </w:r>
      <w:r w:rsidR="005927FF">
        <w:t xml:space="preserve">the </w:t>
      </w:r>
      <w:r w:rsidR="005927FF" w:rsidRPr="00F8308F">
        <w:rPr>
          <w:i/>
        </w:rPr>
        <w:t>q</w:t>
      </w:r>
      <w:r w:rsidR="005927FF" w:rsidRPr="00CD3814">
        <w:rPr>
          <w:vertAlign w:val="superscript"/>
        </w:rPr>
        <w:t>th</w:t>
      </w:r>
      <w:r w:rsidR="005927FF">
        <w:t xml:space="preserve"> </w:t>
      </w:r>
      <w:r>
        <w:t>CBG can be written as follows:</w:t>
      </w:r>
      <w:r w:rsidR="002D2BD2" w:rsidRPr="002D2BD2">
        <w:rPr>
          <w:sz w:val="36"/>
          <w:szCs w:val="36"/>
          <w:vertAlign w:val="subscript"/>
        </w:rPr>
        <w:t xml:space="preserve"> </w:t>
      </w:r>
    </w:p>
    <w:p w14:paraId="000001D5" w14:textId="78918651" w:rsidR="00536120" w:rsidRDefault="00B52869" w:rsidP="00966F5E">
      <w:pPr>
        <w:tabs>
          <w:tab w:val="right" w:pos="9360"/>
        </w:tabs>
        <w:spacing w:before="60" w:after="0" w:line="360" w:lineRule="auto"/>
      </w:pPr>
      <w:r w:rsidRPr="0011118E">
        <w:rPr>
          <w:noProof/>
          <w:position w:val="-14"/>
          <w:sz w:val="36"/>
          <w:szCs w:val="36"/>
          <w:vertAlign w:val="subscript"/>
        </w:rPr>
        <w:object w:dxaOrig="4120" w:dyaOrig="420" w14:anchorId="36E500A0">
          <v:shape id="_x0000_i1056" type="#_x0000_t75" style="width:207pt;height:20.85pt" o:ole="" o:preferrelative="f">
            <v:imagedata r:id="rId81" o:title=""/>
            <o:lock v:ext="edit" aspectratio="f"/>
          </v:shape>
          <o:OLEObject Type="Embed" ProgID="Equation.DSMT4" ShapeID="_x0000_i1056" DrawAspect="Content" ObjectID="_1734427253" r:id="rId82"/>
        </w:object>
      </w:r>
      <w:r w:rsidR="001B78B7">
        <w:t xml:space="preserve"> </w:t>
      </w:r>
      <w:r w:rsidR="007632A9">
        <w:tab/>
        <w:t>(5)</w:t>
      </w:r>
    </w:p>
    <w:p w14:paraId="000001D6" w14:textId="0D8AF767" w:rsidR="00536120" w:rsidRDefault="00FC00AE" w:rsidP="00966F5E">
      <w:pPr>
        <w:tabs>
          <w:tab w:val="right" w:pos="9360"/>
        </w:tabs>
        <w:spacing w:before="0" w:after="60" w:line="360" w:lineRule="auto"/>
      </w:pPr>
      <w:r w:rsidRPr="00917AAA">
        <w:rPr>
          <w:noProof/>
          <w:position w:val="-40"/>
          <w:sz w:val="36"/>
          <w:szCs w:val="36"/>
          <w:vertAlign w:val="subscript"/>
        </w:rPr>
        <w:object w:dxaOrig="2540" w:dyaOrig="920" w14:anchorId="59FAB264">
          <v:shape id="_x0000_i1057" type="#_x0000_t75" style="width:126pt;height:45pt" o:ole="" o:preferrelative="f">
            <v:imagedata r:id="rId83" o:title=""/>
            <o:lock v:ext="edit" aspectratio="f"/>
          </v:shape>
          <o:OLEObject Type="Embed" ProgID="Equation.DSMT4" ShapeID="_x0000_i1057" DrawAspect="Content" ObjectID="_1734427254" r:id="rId84"/>
        </w:object>
      </w:r>
      <w:r w:rsidR="001B78B7">
        <w:tab/>
        <w:t>(6)</w:t>
      </w:r>
    </w:p>
    <w:p w14:paraId="4F6B20A7" w14:textId="789C20C5" w:rsidR="004503C1" w:rsidRDefault="004503C1" w:rsidP="00966F5E">
      <w:pPr>
        <w:tabs>
          <w:tab w:val="right" w:pos="9360"/>
        </w:tabs>
        <w:spacing w:before="0" w:after="0" w:line="360" w:lineRule="auto"/>
      </w:pPr>
      <w:r>
        <w:t xml:space="preserve">where </w:t>
      </w:r>
      <w:r w:rsidR="00FC00AE" w:rsidRPr="00101AE7">
        <w:rPr>
          <w:noProof/>
          <w:position w:val="-10"/>
        </w:rPr>
        <w:object w:dxaOrig="480" w:dyaOrig="320" w14:anchorId="5C76A730">
          <v:shape id="_x0000_i1058" type="#_x0000_t75" style="width:24.15pt;height:15.15pt" o:ole="" o:preferrelative="f">
            <v:imagedata r:id="rId85" o:title=""/>
            <o:lock v:ext="edit" aspectratio="f"/>
          </v:shape>
          <o:OLEObject Type="Embed" ProgID="Equation.DSMT4" ShapeID="_x0000_i1058" DrawAspect="Content" ObjectID="_1734427255" r:id="rId86"/>
        </w:object>
      </w:r>
      <w:r w:rsidRPr="004503C1">
        <w:t xml:space="preserve"> </w:t>
      </w:r>
      <w:r>
        <w:t>represents the normal density function.</w:t>
      </w:r>
    </w:p>
    <w:p w14:paraId="67D43126" w14:textId="77777777" w:rsidR="00432BEC" w:rsidRDefault="00432BEC" w:rsidP="00966F5E">
      <w:pPr>
        <w:tabs>
          <w:tab w:val="right" w:pos="9360"/>
        </w:tabs>
        <w:spacing w:before="0" w:after="0" w:line="360" w:lineRule="auto"/>
      </w:pPr>
    </w:p>
    <w:p w14:paraId="000001D8" w14:textId="66B8D56C" w:rsidR="00536120" w:rsidRDefault="00432BEC" w:rsidP="00966F5E">
      <w:pPr>
        <w:pStyle w:val="Heading3"/>
        <w:spacing w:before="0" w:line="360" w:lineRule="auto"/>
      </w:pPr>
      <w:r>
        <w:t>BP Crash model</w:t>
      </w:r>
    </w:p>
    <w:p w14:paraId="46361851" w14:textId="0213D659" w:rsidR="00327B56" w:rsidRDefault="00432BEC" w:rsidP="007D5556">
      <w:pPr>
        <w:spacing w:before="0" w:after="0" w:line="360" w:lineRule="auto"/>
        <w:ind w:firstLine="720"/>
      </w:pPr>
      <w:r>
        <w:t>This model</w:t>
      </w:r>
      <w:r w:rsidR="00714F90">
        <w:t>, which</w:t>
      </w:r>
      <w:r w:rsidR="00DD124B">
        <w:t xml:space="preserve"> </w:t>
      </w:r>
      <w:r w:rsidR="00714F90">
        <w:t>investigates</w:t>
      </w:r>
      <w:r w:rsidR="00DD124B">
        <w:t xml:space="preserve"> the factors influencing the fraction of Black pedestrian crashes </w:t>
      </w:r>
      <w:r w:rsidR="00714F90">
        <w:t xml:space="preserve">at any CBG, </w:t>
      </w:r>
      <w:r w:rsidR="00DD124B">
        <w:t>is estimated using a fractional split model (see</w:t>
      </w:r>
      <w:sdt>
        <w:sdtPr>
          <w:tag w:val="goog_rdk_99"/>
          <w:id w:val="1272741811"/>
        </w:sdtPr>
        <w:sdtContent/>
      </w:sdt>
      <w:r w:rsidR="00DD124B">
        <w:t xml:space="preserve"> </w:t>
      </w:r>
      <w:r w:rsidR="00DD124B" w:rsidRPr="0093232D">
        <w:t>Papke and Wooldridge</w:t>
      </w:r>
      <w:r w:rsidR="00DD124B">
        <w:t>, 1996 and</w:t>
      </w:r>
      <w:r w:rsidR="00DD124B" w:rsidRPr="0093232D">
        <w:t xml:space="preserve"> </w:t>
      </w:r>
      <w:r w:rsidR="00DD124B">
        <w:t xml:space="preserve">Sivakumar and Bhat, 2002 for a detailed discussion of the estimation methodology). Let </w:t>
      </w:r>
      <w:r w:rsidR="00B52869" w:rsidRPr="00327B56">
        <w:rPr>
          <w:noProof/>
          <w:position w:val="-14"/>
        </w:rPr>
        <w:object w:dxaOrig="300" w:dyaOrig="380" w14:anchorId="1F3FF338">
          <v:shape id="_x0000_i1059" type="#_x0000_t75" style="width:15.15pt;height:18pt" o:ole="" o:preferrelative="f">
            <v:imagedata r:id="rId87" o:title=""/>
            <o:lock v:ext="edit" aspectratio="f"/>
          </v:shape>
          <o:OLEObject Type="Embed" ProgID="Equation.DSMT4" ShapeID="_x0000_i1059" DrawAspect="Content" ObjectID="_1734427256" r:id="rId88"/>
        </w:object>
      </w:r>
      <w:r w:rsidR="00327B56">
        <w:t xml:space="preserve"> be the fraction of Black pedestrian crashes (between 0 and 1)</w:t>
      </w:r>
      <w:r w:rsidR="00714F90">
        <w:t xml:space="preserve"> in CBG </w:t>
      </w:r>
      <w:r w:rsidR="00714F90" w:rsidRPr="007632A9">
        <w:rPr>
          <w:i/>
        </w:rPr>
        <w:t>q</w:t>
      </w:r>
      <w:r w:rsidR="00327B56">
        <w:t xml:space="preserve">. </w:t>
      </w:r>
      <w:r w:rsidR="00B52869" w:rsidRPr="00327B56">
        <w:rPr>
          <w:noProof/>
          <w:position w:val="-14"/>
        </w:rPr>
        <w:object w:dxaOrig="300" w:dyaOrig="380" w14:anchorId="34F0EFF6">
          <v:shape id="_x0000_i1060" type="#_x0000_t75" style="width:15.15pt;height:18pt" o:ole="" o:preferrelative="f">
            <v:imagedata r:id="rId87" o:title=""/>
            <o:lock v:ext="edit" aspectratio="f"/>
          </v:shape>
          <o:OLEObject Type="Embed" ProgID="Equation.DSMT4" ShapeID="_x0000_i1060" DrawAspect="Content" ObjectID="_1734427257" r:id="rId89"/>
        </w:object>
      </w:r>
      <w:r w:rsidR="00327B56">
        <w:t xml:space="preserve"> is written as a function of a vector of exogenous variables</w:t>
      </w:r>
      <w:r w:rsidR="00B52869">
        <w:t xml:space="preserve"> </w:t>
      </w:r>
      <w:r w:rsidR="00B52869" w:rsidRPr="00FB7B19">
        <w:rPr>
          <w:noProof/>
          <w:position w:val="-14"/>
        </w:rPr>
        <w:object w:dxaOrig="360" w:dyaOrig="380" w14:anchorId="50758A5E">
          <v:shape id="_x0000_i1061" type="#_x0000_t75" style="width:18pt;height:18pt" o:ole="" o:preferrelative="f">
            <v:imagedata r:id="rId90" o:title=""/>
            <o:lock v:ext="edit" aspectratio="f"/>
          </v:shape>
          <o:OLEObject Type="Embed" ProgID="Equation.DSMT4" ShapeID="_x0000_i1061" DrawAspect="Content" ObjectID="_1734427258" r:id="rId91"/>
        </w:object>
      </w:r>
      <w:r w:rsidR="004503C1">
        <w:t>, a (</w:t>
      </w:r>
      <w:r w:rsidR="004503C1">
        <w:rPr>
          <w:i/>
        </w:rPr>
        <w:t>L×</w:t>
      </w:r>
      <w:r w:rsidR="004503C1">
        <w:t>1) vector</w:t>
      </w:r>
      <w:r w:rsidR="00327B56">
        <w:t>. The fractional split model used in this study is the one proposed by Papke and Wooldridge (1996):</w:t>
      </w:r>
    </w:p>
    <w:p w14:paraId="559E47A5" w14:textId="12492E62" w:rsidR="00263EF9" w:rsidRDefault="00FC00AE" w:rsidP="00966F5E">
      <w:pPr>
        <w:tabs>
          <w:tab w:val="right" w:pos="9360"/>
        </w:tabs>
        <w:spacing w:before="120" w:after="120" w:line="360" w:lineRule="auto"/>
      </w:pPr>
      <w:r w:rsidRPr="00327B56">
        <w:rPr>
          <w:noProof/>
          <w:position w:val="-14"/>
        </w:rPr>
        <w:object w:dxaOrig="3460" w:dyaOrig="380" w14:anchorId="10723014">
          <v:shape id="_x0000_i1062" type="#_x0000_t75" style="width:172.4pt;height:18pt" o:ole="" o:preferrelative="f">
            <v:imagedata r:id="rId92" o:title=""/>
            <o:lock v:ext="edit" aspectratio="f"/>
          </v:shape>
          <o:OLEObject Type="Embed" ProgID="Equation.DSMT4" ShapeID="_x0000_i1062" DrawAspect="Content" ObjectID="_1734427259" r:id="rId93"/>
        </w:object>
      </w:r>
      <w:r w:rsidR="00327B56">
        <w:tab/>
        <w:t>(7)</w:t>
      </w:r>
    </w:p>
    <w:p w14:paraId="3CEFD018" w14:textId="126C739C" w:rsidR="0020374B" w:rsidRDefault="00AE680E" w:rsidP="00966F5E">
      <w:pPr>
        <w:tabs>
          <w:tab w:val="right" w:pos="9360"/>
        </w:tabs>
        <w:spacing w:before="0" w:after="0" w:line="360" w:lineRule="auto"/>
      </w:pPr>
      <w:r>
        <w:t>w</w:t>
      </w:r>
      <w:r w:rsidR="00327B56">
        <w:t xml:space="preserve">here </w:t>
      </w:r>
      <w:r w:rsidRPr="00502E53">
        <w:rPr>
          <w:noProof/>
          <w:position w:val="-10"/>
        </w:rPr>
        <w:object w:dxaOrig="480" w:dyaOrig="320" w14:anchorId="355850DE">
          <v:shape id="_x0000_i1063" type="#_x0000_t75" style="width:24.15pt;height:15.15pt" o:ole="" o:preferrelative="f">
            <v:imagedata r:id="rId94" o:title=""/>
            <o:lock v:ext="edit" aspectratio="f"/>
          </v:shape>
          <o:OLEObject Type="Embed" ProgID="Equation.DSMT4" ShapeID="_x0000_i1063" DrawAspect="Content" ObjectID="_1734427260" r:id="rId95"/>
        </w:object>
      </w:r>
      <w:r>
        <w:rPr>
          <w:noProof/>
        </w:rPr>
        <w:t xml:space="preserve"> </w:t>
      </w:r>
      <w:r w:rsidR="00327B56">
        <w:t xml:space="preserve">is a pre-determined function whose properties ensure that the fraction of Black pedestrian crashes is between 0 and 1, and </w:t>
      </w:r>
      <w:r w:rsidR="00FC00AE" w:rsidRPr="00D841CF">
        <w:rPr>
          <w:noProof/>
          <w:position w:val="-10"/>
        </w:rPr>
        <w:object w:dxaOrig="240" w:dyaOrig="260" w14:anchorId="2DFFF3C1">
          <v:shape id="_x0000_i1064" type="#_x0000_t75" style="width:11.85pt;height:11.85pt" o:ole="" o:preferrelative="f">
            <v:imagedata r:id="rId96" o:title=""/>
            <o:lock v:ext="edit" aspectratio="f"/>
          </v:shape>
          <o:OLEObject Type="Embed" ProgID="Equation.DSMT4" ShapeID="_x0000_i1064" DrawAspect="Content" ObjectID="_1734427261" r:id="rId97"/>
        </w:object>
      </w:r>
      <w:r w:rsidR="00714F90">
        <w:t xml:space="preserve"> </w:t>
      </w:r>
      <w:r w:rsidR="00327B56">
        <w:t xml:space="preserve">is a </w:t>
      </w:r>
      <w:r w:rsidR="004503C1">
        <w:t>(</w:t>
      </w:r>
      <w:r w:rsidR="004503C1">
        <w:rPr>
          <w:i/>
        </w:rPr>
        <w:t>L×</w:t>
      </w:r>
      <w:r w:rsidR="004503C1">
        <w:t xml:space="preserve">1) </w:t>
      </w:r>
      <w:r w:rsidR="00327B56">
        <w:t>vector of coefficients to be estimated</w:t>
      </w:r>
      <w:r w:rsidR="0020374B">
        <w:t>.</w:t>
      </w:r>
      <w:r w:rsidR="0051421E">
        <w:t xml:space="preserve"> </w:t>
      </w:r>
      <w:r w:rsidR="0051421E">
        <w:lastRenderedPageBreak/>
        <w:t>Q</w:t>
      </w:r>
      <w:r w:rsidR="0020374B" w:rsidRPr="0020374B">
        <w:t xml:space="preserve">uasi-maximum likelihood methods based on </w:t>
      </w:r>
      <w:r w:rsidR="0051421E">
        <w:t>the multinomial logit</w:t>
      </w:r>
      <w:r w:rsidR="0020374B" w:rsidRPr="0020374B">
        <w:t xml:space="preserve"> function</w:t>
      </w:r>
      <w:r w:rsidR="0051421E">
        <w:t xml:space="preserve">al form for </w:t>
      </w:r>
      <w:r w:rsidRPr="00502E53">
        <w:rPr>
          <w:noProof/>
          <w:position w:val="-10"/>
        </w:rPr>
        <w:object w:dxaOrig="499" w:dyaOrig="340" w14:anchorId="2E4DF48F">
          <v:shape id="_x0000_i1065" type="#_x0000_t75" style="width:24.15pt;height:18pt" o:ole="" o:preferrelative="f">
            <v:imagedata r:id="rId98" o:title=""/>
            <o:lock v:ext="edit" aspectratio="f"/>
          </v:shape>
          <o:OLEObject Type="Embed" ProgID="Equation.DSMT4" ShapeID="_x0000_i1065" DrawAspect="Content" ObjectID="_1734427262" r:id="rId99"/>
        </w:object>
      </w:r>
      <w:r w:rsidR="0051421E">
        <w:t xml:space="preserve"> is used</w:t>
      </w:r>
      <w:r w:rsidR="0020374B" w:rsidRPr="0020374B">
        <w:t xml:space="preserve"> to estimate</w:t>
      </w:r>
      <w:r w:rsidR="00D841CF">
        <w:t xml:space="preserve"> </w:t>
      </w:r>
      <w:r w:rsidRPr="00D841CF">
        <w:rPr>
          <w:noProof/>
          <w:position w:val="-10"/>
        </w:rPr>
        <w:object w:dxaOrig="240" w:dyaOrig="260" w14:anchorId="5E742DA3">
          <v:shape id="_x0000_i1066" type="#_x0000_t75" style="width:11.85pt;height:11.85pt" o:ole="" o:preferrelative="f">
            <v:imagedata r:id="rId96" o:title=""/>
            <o:lock v:ext="edit" aspectratio="f"/>
          </v:shape>
          <o:OLEObject Type="Embed" ProgID="Equation.DSMT4" ShapeID="_x0000_i1066" DrawAspect="Content" ObjectID="_1734427263" r:id="rId100"/>
        </w:object>
      </w:r>
      <w:r w:rsidR="0020374B" w:rsidRPr="0020374B">
        <w:t>. The structure of the fractional regression model is</w:t>
      </w:r>
      <w:r w:rsidR="0051421E">
        <w:t xml:space="preserve"> written as:</w:t>
      </w:r>
    </w:p>
    <w:p w14:paraId="7E8D53FD" w14:textId="1462ADCF" w:rsidR="0051421E" w:rsidRDefault="00FC00AE" w:rsidP="00966F5E">
      <w:pPr>
        <w:tabs>
          <w:tab w:val="right" w:pos="9360"/>
        </w:tabs>
        <w:spacing w:before="60" w:after="60" w:line="360" w:lineRule="auto"/>
      </w:pPr>
      <w:r w:rsidRPr="004503C1">
        <w:rPr>
          <w:noProof/>
          <w:position w:val="-34"/>
        </w:rPr>
        <w:object w:dxaOrig="4020" w:dyaOrig="760" w14:anchorId="16480A41">
          <v:shape id="_x0000_i1067" type="#_x0000_t75" style="width:200.85pt;height:38.85pt" o:ole="" o:preferrelative="f">
            <v:imagedata r:id="rId101" o:title=""/>
            <o:lock v:ext="edit" aspectratio="f"/>
          </v:shape>
          <o:OLEObject Type="Embed" ProgID="Equation.DSMT4" ShapeID="_x0000_i1067" DrawAspect="Content" ObjectID="_1734427264" r:id="rId102"/>
        </w:object>
      </w:r>
      <w:r w:rsidR="0051421E">
        <w:tab/>
        <w:t>(8)</w:t>
      </w:r>
    </w:p>
    <w:p w14:paraId="46AD3663" w14:textId="7ECF25AE" w:rsidR="00327B56" w:rsidRDefault="0051421E" w:rsidP="00966F5E">
      <w:pPr>
        <w:tabs>
          <w:tab w:val="right" w:pos="9360"/>
        </w:tabs>
        <w:spacing w:before="0" w:after="0" w:line="360" w:lineRule="auto"/>
      </w:pPr>
      <w:r>
        <w:t>Finally, t</w:t>
      </w:r>
      <w:r w:rsidR="0020374B">
        <w:t xml:space="preserve">he log-likelihood function used to estimate the </w:t>
      </w:r>
      <w:r w:rsidR="00AE680E" w:rsidRPr="00685B94">
        <w:rPr>
          <w:noProof/>
          <w:position w:val="-6"/>
        </w:rPr>
        <w:object w:dxaOrig="220" w:dyaOrig="279" w14:anchorId="5AEC77B2">
          <v:shape id="_x0000_i1068" type="#_x0000_t75" style="width:11.85pt;height:11.85pt" o:ole="" o:preferrelative="f">
            <v:imagedata r:id="rId103" o:title=""/>
            <o:lock v:ext="edit" aspectratio="f"/>
          </v:shape>
          <o:OLEObject Type="Embed" ProgID="Equation.DSMT4" ShapeID="_x0000_i1068" DrawAspect="Content" ObjectID="_1734427265" r:id="rId104"/>
        </w:object>
      </w:r>
      <w:r w:rsidR="00714F90">
        <w:t xml:space="preserve"> </w:t>
      </w:r>
      <w:r w:rsidR="0020374B">
        <w:t xml:space="preserve">parameters </w:t>
      </w:r>
      <w:r w:rsidR="00714F90">
        <w:t>is</w:t>
      </w:r>
      <w:r w:rsidR="0020374B">
        <w:t>:</w:t>
      </w:r>
    </w:p>
    <w:p w14:paraId="08D3145C" w14:textId="3D6BAA77" w:rsidR="00FB3D52" w:rsidRDefault="00AE680E" w:rsidP="00966F5E">
      <w:pPr>
        <w:tabs>
          <w:tab w:val="right" w:pos="9360"/>
        </w:tabs>
        <w:spacing w:before="60" w:after="0" w:line="360" w:lineRule="auto"/>
      </w:pPr>
      <w:r w:rsidRPr="0020374B">
        <w:rPr>
          <w:noProof/>
          <w:position w:val="-18"/>
        </w:rPr>
        <w:object w:dxaOrig="2820" w:dyaOrig="440" w14:anchorId="06D4CF07">
          <v:shape id="_x0000_i1069" type="#_x0000_t75" style="width:141.15pt;height:24.15pt" o:ole="" o:preferrelative="f">
            <v:imagedata r:id="rId105" o:title=""/>
            <o:lock v:ext="edit" aspectratio="f"/>
          </v:shape>
          <o:OLEObject Type="Embed" ProgID="Equation.DSMT4" ShapeID="_x0000_i1069" DrawAspect="Content" ObjectID="_1734427266" r:id="rId106"/>
        </w:object>
      </w:r>
      <w:r w:rsidR="0020374B">
        <w:tab/>
        <w:t>(</w:t>
      </w:r>
      <w:r w:rsidR="0051421E">
        <w:t>9</w:t>
      </w:r>
      <w:r w:rsidR="0020374B">
        <w:t>)</w:t>
      </w:r>
    </w:p>
    <w:p w14:paraId="488F1989" w14:textId="77777777" w:rsidR="00432BEC" w:rsidRDefault="00432BEC" w:rsidP="00966F5E">
      <w:pPr>
        <w:tabs>
          <w:tab w:val="right" w:pos="9360"/>
        </w:tabs>
        <w:spacing w:before="0" w:after="0" w:line="360" w:lineRule="auto"/>
      </w:pPr>
    </w:p>
    <w:p w14:paraId="000001DE" w14:textId="2FBF0D3E" w:rsidR="00536120" w:rsidRPr="00432BEC" w:rsidRDefault="00432BEC" w:rsidP="00966F5E">
      <w:pPr>
        <w:pStyle w:val="Heading1"/>
        <w:spacing w:line="360" w:lineRule="auto"/>
      </w:pPr>
      <w:r w:rsidRPr="00432BEC">
        <w:t xml:space="preserve">MODEL ESTIMATION RESULTS </w:t>
      </w:r>
    </w:p>
    <w:p w14:paraId="328308F1" w14:textId="73B628C0" w:rsidR="00E334B8" w:rsidRDefault="00E334B8" w:rsidP="007D5556">
      <w:pPr>
        <w:shd w:val="clear" w:color="auto" w:fill="FFFFFF"/>
        <w:spacing w:before="0" w:after="0" w:line="360" w:lineRule="auto"/>
        <w:ind w:firstLine="720"/>
      </w:pPr>
      <w:bookmarkStart w:id="40" w:name="_Hlk65017383"/>
      <w:r w:rsidRPr="001234E5">
        <w:t xml:space="preserve">In the model specifications, we explored a range of alternative functional forms for the explanatory variables. The final specification </w:t>
      </w:r>
      <w:r w:rsidR="005927FF">
        <w:t xml:space="preserve">for each model </w:t>
      </w:r>
      <w:r w:rsidRPr="001234E5">
        <w:t xml:space="preserve">was obtained after a systematic process of testing alternative combinations (and interactions) of explanatory variables based on statistical fit and parsimony considerations. </w:t>
      </w:r>
      <w:r w:rsidRPr="001234E5">
        <w:rPr>
          <w:lang w:eastAsia="en-IN"/>
        </w:rPr>
        <w:t>I</w:t>
      </w:r>
      <w:r w:rsidRPr="001234E5">
        <w:t>n th</w:t>
      </w:r>
      <w:r w:rsidR="005927FF">
        <w:t>e</w:t>
      </w:r>
      <w:r w:rsidRPr="001234E5">
        <w:t xml:space="preserve"> final model specification</w:t>
      </w:r>
      <w:r w:rsidR="005927FF">
        <w:t>s</w:t>
      </w:r>
      <w:r w:rsidRPr="001234E5">
        <w:t xml:space="preserve">, </w:t>
      </w:r>
      <w:r w:rsidR="007853BC">
        <w:t xml:space="preserve">we did not impose specific a priori </w:t>
      </w:r>
      <w:r w:rsidR="007A2D0F">
        <w:t xml:space="preserve">statistical significance </w:t>
      </w:r>
      <w:r w:rsidR="007853BC">
        <w:t xml:space="preserve">thresholds to retain variables, but considered the sample size and dependent variable distribution, along with intuitive judgment and the value of retaining variables for the benefit of future research. For example, </w:t>
      </w:r>
      <w:r w:rsidRPr="001234E5">
        <w:t xml:space="preserve">a </w:t>
      </w:r>
      <w:r w:rsidR="00D95D01">
        <w:t xml:space="preserve">few </w:t>
      </w:r>
      <w:r w:rsidRPr="001234E5">
        <w:t xml:space="preserve">variables that were statistically significant </w:t>
      </w:r>
      <w:r w:rsidR="00FD2824">
        <w:t xml:space="preserve">only at the 80% confidence level </w:t>
      </w:r>
      <w:r w:rsidRPr="001234E5">
        <w:t>were retained</w:t>
      </w:r>
      <w:r w:rsidR="007853BC">
        <w:t xml:space="preserve"> </w:t>
      </w:r>
      <w:r>
        <w:t xml:space="preserve">in the third model </w:t>
      </w:r>
      <w:r w:rsidR="007853BC">
        <w:t>that</w:t>
      </w:r>
      <w:r>
        <w:t xml:space="preserve"> had few observations </w:t>
      </w:r>
      <w:r w:rsidR="00FD2824">
        <w:t>(631 CBGs</w:t>
      </w:r>
      <w:r w:rsidR="007853BC">
        <w:t xml:space="preserve">) </w:t>
      </w:r>
      <w:r>
        <w:t xml:space="preserve">and even fewer CBGs with the presence of a Black </w:t>
      </w:r>
      <w:r w:rsidR="00674B0F">
        <w:t>p</w:t>
      </w:r>
      <w:r>
        <w:t>edestrian crash</w:t>
      </w:r>
      <w:r w:rsidR="007853BC">
        <w:t xml:space="preserve"> (only 209 CBGs with one or more Black pedestrian crashes)</w:t>
      </w:r>
      <w:r w:rsidRPr="001234E5">
        <w:t xml:space="preserve">. </w:t>
      </w:r>
      <w:bookmarkEnd w:id="40"/>
      <w:r w:rsidR="007853BC">
        <w:t xml:space="preserve"> For the second model, which had 2</w:t>
      </w:r>
      <w:r w:rsidR="001028F4">
        <w:t>9</w:t>
      </w:r>
      <w:r w:rsidR="007853BC">
        <w:t xml:space="preserve">68 CBGs, but again with a high skew toward zero with 2337 CBGs (78.7%) having zero crashes, a couple of variables that showed up as being significant at only the 85% confidence level were retained. </w:t>
      </w:r>
      <w:r>
        <w:t>Further</w:t>
      </w:r>
      <w:r w:rsidR="007971B5">
        <w:t>more</w:t>
      </w:r>
      <w:r>
        <w:t xml:space="preserve">, we examined interaction effects, especially between the </w:t>
      </w:r>
      <w:r w:rsidRPr="00685B94">
        <w:rPr>
          <w:i/>
        </w:rPr>
        <w:t>MB</w:t>
      </w:r>
      <w:r>
        <w:t xml:space="preserve"> CBG dummy variable and other exogenous variables in the second and third models (to examine if the effects of the </w:t>
      </w:r>
      <w:r w:rsidR="00685B94">
        <w:t>CE</w:t>
      </w:r>
      <w:r>
        <w:t xml:space="preserve">, cultural, BE, and </w:t>
      </w:r>
      <w:r w:rsidR="0023300F">
        <w:t xml:space="preserve">SD variables differed based on the racial composition of the CBG, but </w:t>
      </w:r>
      <w:r w:rsidR="009B6574">
        <w:t>n</w:t>
      </w:r>
      <w:r w:rsidR="0023300F">
        <w:t xml:space="preserve">one of these interactions came out to be </w:t>
      </w:r>
      <w:r w:rsidR="009B6574">
        <w:t>of any consequence even at a 65% confidence level (corresponding to a t-statistic of 0.94)</w:t>
      </w:r>
      <w:r w:rsidR="0023300F">
        <w:t xml:space="preserve">). The implication is that </w:t>
      </w:r>
      <w:r w:rsidR="00D841CF">
        <w:t xml:space="preserve">the effects of the </w:t>
      </w:r>
      <w:r w:rsidR="0023300F">
        <w:t xml:space="preserve">crash determinants </w:t>
      </w:r>
      <w:r w:rsidR="00E9366E">
        <w:t xml:space="preserve">on crash risk </w:t>
      </w:r>
      <w:r w:rsidR="0023300F">
        <w:t xml:space="preserve">do not vary across CBGs with </w:t>
      </w:r>
      <w:r w:rsidR="00CD3814" w:rsidRPr="00CD3814">
        <w:rPr>
          <w:i/>
        </w:rPr>
        <w:t>MB</w:t>
      </w:r>
      <w:r w:rsidR="00CD3814">
        <w:t xml:space="preserve"> </w:t>
      </w:r>
      <w:r w:rsidR="0023300F">
        <w:t xml:space="preserve">and </w:t>
      </w:r>
      <w:r w:rsidR="00CD3814" w:rsidRPr="00CD3814">
        <w:rPr>
          <w:i/>
        </w:rPr>
        <w:t>NMB</w:t>
      </w:r>
      <w:r w:rsidR="00CD3814">
        <w:t xml:space="preserve"> </w:t>
      </w:r>
      <w:r w:rsidR="0023300F">
        <w:t xml:space="preserve">populations. However, </w:t>
      </w:r>
      <w:r w:rsidR="00983C24">
        <w:t>these crash reductions also are a function of the starting point for improvement. O</w:t>
      </w:r>
      <w:r w:rsidR="0023300F">
        <w:t xml:space="preserve">ur results below indicate that the state of the existing pedestrian infrastructure and travel environment in </w:t>
      </w:r>
      <w:r w:rsidR="0023300F" w:rsidRPr="00685B94">
        <w:rPr>
          <w:i/>
        </w:rPr>
        <w:t>MB</w:t>
      </w:r>
      <w:r w:rsidR="0023300F">
        <w:t xml:space="preserve"> CBGs is not as good as in </w:t>
      </w:r>
      <w:r w:rsidR="0023300F" w:rsidRPr="00685B94">
        <w:rPr>
          <w:i/>
        </w:rPr>
        <w:t>NMB</w:t>
      </w:r>
      <w:r w:rsidR="0023300F">
        <w:t xml:space="preserve"> CBGs. From this standpoint, improvements focused on </w:t>
      </w:r>
      <w:r w:rsidR="0023300F" w:rsidRPr="00685B94">
        <w:rPr>
          <w:i/>
        </w:rPr>
        <w:t>MB</w:t>
      </w:r>
      <w:r w:rsidR="0023300F">
        <w:t xml:space="preserve"> CBGs will have a higher impact on reducing total pedestrian crashes. </w:t>
      </w:r>
    </w:p>
    <w:p w14:paraId="6D6ADA78" w14:textId="79718489" w:rsidR="00443681" w:rsidRDefault="007632A9" w:rsidP="00966F5E">
      <w:pPr>
        <w:spacing w:before="0" w:after="0" w:line="360" w:lineRule="auto"/>
      </w:pPr>
      <w:r>
        <w:lastRenderedPageBreak/>
        <w:tab/>
      </w:r>
      <w:r w:rsidR="00983C24" w:rsidRPr="00FB1C57">
        <w:t>The estimation results are presented in Table 3</w:t>
      </w:r>
      <w:r w:rsidR="002178AB">
        <w:t xml:space="preserve"> </w:t>
      </w:r>
      <w:r w:rsidR="00983C24" w:rsidRPr="00FB1C57">
        <w:t xml:space="preserve">and are discussed in turn by variable category in the next few sections. </w:t>
      </w:r>
      <w:r w:rsidR="00C656F3">
        <w:t xml:space="preserve">The parameters in the table represent the elements of the </w:t>
      </w:r>
      <w:r w:rsidR="00674B0F" w:rsidRPr="00101AE7">
        <w:rPr>
          <w:noProof/>
          <w:position w:val="-10"/>
        </w:rPr>
        <w:object w:dxaOrig="200" w:dyaOrig="260" w14:anchorId="4C817361">
          <v:shape id="_x0000_i1070" type="#_x0000_t75" style="width:9pt;height:11.85pt" o:ole="" o:preferrelative="f">
            <v:imagedata r:id="rId36" o:title=""/>
            <o:lock v:ext="edit" aspectratio="f"/>
          </v:shape>
          <o:OLEObject Type="Embed" ProgID="Equation.DSMT4" ShapeID="_x0000_i1070" DrawAspect="Content" ObjectID="_1734427267" r:id="rId107"/>
        </w:object>
      </w:r>
      <w:r w:rsidR="00C656F3">
        <w:t xml:space="preserve">vector (for the </w:t>
      </w:r>
      <w:r w:rsidR="00C656F3" w:rsidRPr="00C37C8C">
        <w:rPr>
          <w:i/>
        </w:rPr>
        <w:t>MB</w:t>
      </w:r>
      <w:r w:rsidR="00C656F3">
        <w:t xml:space="preserve"> vs.</w:t>
      </w:r>
      <w:r w:rsidR="00C656F3" w:rsidRPr="00C37C8C">
        <w:rPr>
          <w:i/>
        </w:rPr>
        <w:t xml:space="preserve"> NMB</w:t>
      </w:r>
      <w:r w:rsidR="00C656F3">
        <w:t xml:space="preserve"> CBG model), the </w:t>
      </w:r>
      <w:r w:rsidR="00AE680E" w:rsidRPr="00B42529">
        <w:rPr>
          <w:noProof/>
          <w:position w:val="-10"/>
        </w:rPr>
        <w:object w:dxaOrig="260" w:dyaOrig="320" w14:anchorId="4C9C0CA1">
          <v:shape id="_x0000_i1071" type="#_x0000_t75" style="width:11.85pt;height:15.15pt" o:ole="" o:preferrelative="f">
            <v:imagedata r:id="rId65" o:title=""/>
            <o:lock v:ext="edit" aspectratio="f"/>
          </v:shape>
          <o:OLEObject Type="Embed" ProgID="Equation.DSMT4" ShapeID="_x0000_i1071" DrawAspect="Content" ObjectID="_1734427268" r:id="rId108"/>
        </w:object>
      </w:r>
      <w:r w:rsidR="00CD3814">
        <w:rPr>
          <w:noProof/>
        </w:rPr>
        <w:t xml:space="preserve"> </w:t>
      </w:r>
      <w:r w:rsidR="00C656F3">
        <w:t xml:space="preserve">vector (for the second total count model), and </w:t>
      </w:r>
      <w:r w:rsidR="00674B0F" w:rsidRPr="00D841CF">
        <w:rPr>
          <w:noProof/>
          <w:position w:val="-10"/>
        </w:rPr>
        <w:object w:dxaOrig="240" w:dyaOrig="260" w14:anchorId="4E9D5A33">
          <v:shape id="_x0000_i1072" type="#_x0000_t75" style="width:11.85pt;height:11.85pt" o:ole="" o:preferrelative="f">
            <v:imagedata r:id="rId96" o:title=""/>
            <o:lock v:ext="edit" aspectratio="f"/>
          </v:shape>
          <o:OLEObject Type="Embed" ProgID="Equation.DSMT4" ShapeID="_x0000_i1072" DrawAspect="Content" ObjectID="_1734427269" r:id="rId109"/>
        </w:object>
      </w:r>
      <w:r w:rsidR="00C656F3">
        <w:t>vector (for the third fractional BP model)</w:t>
      </w:r>
      <w:r w:rsidR="00DF30AB">
        <w:t>.</w:t>
      </w:r>
      <w:r w:rsidR="005B3E77">
        <w:t xml:space="preserve"> </w:t>
      </w:r>
    </w:p>
    <w:p w14:paraId="1057065C" w14:textId="77777777" w:rsidR="00432BEC" w:rsidRPr="00FB1C57" w:rsidRDefault="00432BEC" w:rsidP="00966F5E">
      <w:pPr>
        <w:spacing w:before="0" w:after="0" w:line="360" w:lineRule="auto"/>
      </w:pPr>
    </w:p>
    <w:p w14:paraId="4923E8F2" w14:textId="2EED7D64" w:rsidR="00A56856" w:rsidRPr="00FB1C57" w:rsidRDefault="003B46B5" w:rsidP="00966F5E">
      <w:pPr>
        <w:pStyle w:val="Heading2"/>
        <w:spacing w:before="0" w:line="360" w:lineRule="auto"/>
      </w:pPr>
      <w:r>
        <w:t xml:space="preserve"> </w:t>
      </w:r>
      <w:r w:rsidR="003D43A1" w:rsidRPr="00FB1C57">
        <w:t xml:space="preserve">Crash </w:t>
      </w:r>
      <w:r w:rsidR="00A56856" w:rsidRPr="00FB1C57">
        <w:t>Risk Exposure</w:t>
      </w:r>
      <w:r w:rsidR="003D43A1" w:rsidRPr="00FB1C57">
        <w:t xml:space="preserve"> Attributes</w:t>
      </w:r>
    </w:p>
    <w:p w14:paraId="2DCED85C" w14:textId="3DC75711" w:rsidR="00C53AF3" w:rsidRDefault="0023300F" w:rsidP="007D5556">
      <w:pPr>
        <w:spacing w:before="0" w:after="0" w:line="360" w:lineRule="auto"/>
        <w:ind w:firstLine="720"/>
      </w:pPr>
      <w:r>
        <w:t xml:space="preserve">Table </w:t>
      </w:r>
      <w:r w:rsidR="00FB1C57">
        <w:t>3</w:t>
      </w:r>
      <w:r>
        <w:t xml:space="preserve"> shows that</w:t>
      </w:r>
      <w:r w:rsidR="00BF6B9C">
        <w:t>, after controlling for the logarithm of population,</w:t>
      </w:r>
      <w:r w:rsidR="00AC3884">
        <w:t xml:space="preserve"> </w:t>
      </w:r>
      <w:r w:rsidR="00FC769B" w:rsidRPr="00FB1C57">
        <w:rPr>
          <w:i/>
        </w:rPr>
        <w:t xml:space="preserve">MB </w:t>
      </w:r>
      <w:r w:rsidR="00FC769B">
        <w:t xml:space="preserve">CBGs </w:t>
      </w:r>
      <w:r w:rsidR="00280EF4">
        <w:t>exhibit lower employment densities</w:t>
      </w:r>
      <w:r w:rsidR="00FC769B">
        <w:t xml:space="preserve"> and motorized vehicle ownership levels, </w:t>
      </w:r>
      <w:r w:rsidR="00E334B8">
        <w:t xml:space="preserve">and </w:t>
      </w:r>
      <w:r w:rsidR="00FC769B">
        <w:t xml:space="preserve">have higher shares of individuals commuting by public transportation. </w:t>
      </w:r>
      <w:r w:rsidR="00E334B8">
        <w:t xml:space="preserve">These characteristics indicate </w:t>
      </w:r>
      <w:r w:rsidR="00280EF4">
        <w:t>disproportionate</w:t>
      </w:r>
      <w:r w:rsidR="00E334B8">
        <w:t>ly</w:t>
      </w:r>
      <w:r w:rsidR="00280EF4">
        <w:t xml:space="preserve"> </w:t>
      </w:r>
      <w:r w:rsidR="00E334B8">
        <w:t xml:space="preserve">lower </w:t>
      </w:r>
      <w:r w:rsidR="00280EF4">
        <w:t>access to jobs</w:t>
      </w:r>
      <w:r w:rsidR="00E334B8">
        <w:t xml:space="preserve"> in </w:t>
      </w:r>
      <w:r w:rsidR="00E334B8" w:rsidRPr="00FB1C57">
        <w:rPr>
          <w:i/>
        </w:rPr>
        <w:t>MB</w:t>
      </w:r>
      <w:r w:rsidR="00E334B8">
        <w:t xml:space="preserve"> CBGs</w:t>
      </w:r>
      <w:r w:rsidR="00280EF4">
        <w:t xml:space="preserve">, </w:t>
      </w:r>
      <w:r w:rsidR="00FC769B">
        <w:t xml:space="preserve">as </w:t>
      </w:r>
      <w:r w:rsidR="00280EF4">
        <w:t xml:space="preserve">corroborated by earlier studies </w:t>
      </w:r>
      <w:r w:rsidR="00280EF4">
        <w:fldChar w:fldCharType="begin"/>
      </w:r>
      <w:r w:rsidR="00280EF4">
        <w:instrText xml:space="preserve"> ADDIN ZOTERO_ITEM CSL_CITATION {"citationID":"JelQB4vk","properties":{"formattedCitation":"(Agan &amp; Starr, 2020)","plainCitation":"(Agan &amp; Starr, 2020)","dontUpdate":true,"noteIndex":0},"citationItems":[{"id":723,"uris":["http://zotero.org/users/9292995/items/4FHBC4YR"],"itemData":{"id":723,"type":"report","publisher":"National Bureau of Economic Research","title":"Employer neighborhoods and racial discrimination","author":[{"family":"Agan","given":"Amanda Y"},{"family":"Starr","given":"Sonja B"}],"issued":{"date-parts":[["2020"]]}}}],"schema":"https://github.com/citation-style-language/schema/raw/master/csl-citation.json"} </w:instrText>
      </w:r>
      <w:r w:rsidR="00280EF4">
        <w:fldChar w:fldCharType="separate"/>
      </w:r>
      <w:r w:rsidR="00280EF4" w:rsidRPr="00092174">
        <w:t>(</w:t>
      </w:r>
      <w:r w:rsidR="00280EF4">
        <w:t xml:space="preserve">for example, </w:t>
      </w:r>
      <w:r w:rsidR="00280EF4" w:rsidRPr="00092174">
        <w:t xml:space="preserve">Agan </w:t>
      </w:r>
      <w:r w:rsidR="00280EF4">
        <w:t>and</w:t>
      </w:r>
      <w:r w:rsidR="00280EF4" w:rsidRPr="00092174">
        <w:t xml:space="preserve"> Starr, 2020)</w:t>
      </w:r>
      <w:r w:rsidR="00280EF4">
        <w:fldChar w:fldCharType="end"/>
      </w:r>
      <w:r w:rsidR="00E334B8">
        <w:t>.</w:t>
      </w:r>
      <w:r w:rsidR="00280EF4">
        <w:t xml:space="preserve"> </w:t>
      </w:r>
      <w:r w:rsidR="00E334B8">
        <w:t xml:space="preserve">The results related to motorized vehicle ownership and commuting </w:t>
      </w:r>
      <w:r w:rsidR="00C53AF3">
        <w:t xml:space="preserve">suggest </w:t>
      </w:r>
      <w:r w:rsidR="00E334B8">
        <w:t>race-based disparity in vehicle ownership and public transportation usage (Anderson, 2016</w:t>
      </w:r>
      <w:r w:rsidR="00674B0F">
        <w:t>;</w:t>
      </w:r>
      <w:r w:rsidR="00E334B8">
        <w:t xml:space="preserve"> Karner et al., 20</w:t>
      </w:r>
      <w:r w:rsidR="004F37F6">
        <w:t>17</w:t>
      </w:r>
      <w:r w:rsidR="00674B0F">
        <w:t>;</w:t>
      </w:r>
      <w:r w:rsidR="00E334B8">
        <w:t xml:space="preserve"> The National Equity Atlas, 2019). In 2016</w:t>
      </w:r>
      <w:r w:rsidR="00C53AF3">
        <w:t>,</w:t>
      </w:r>
      <w:r w:rsidR="00E334B8">
        <w:t xml:space="preserve"> the Consumer Expenditure Survey indicated that Black individuals spend up to 100% more than </w:t>
      </w:r>
      <w:r w:rsidR="00C53AF3">
        <w:t>w</w:t>
      </w:r>
      <w:r w:rsidR="00E334B8">
        <w:t>hite</w:t>
      </w:r>
      <w:r w:rsidR="00C53AF3">
        <w:t xml:space="preserve"> individuals</w:t>
      </w:r>
      <w:r w:rsidR="00E334B8">
        <w:t xml:space="preserve"> on insurance costs per </w:t>
      </w:r>
      <w:r w:rsidR="00C53AF3">
        <w:t xml:space="preserve">motorized </w:t>
      </w:r>
      <w:r w:rsidR="00E334B8">
        <w:t xml:space="preserve">vehicle (Consumer Federation of America, 2017). Similar disparities are also observed in the automobile loan market where racial minorities have lower loan approval rates even after controlling for creditworthiness (Butler et al., 2021). </w:t>
      </w:r>
      <w:r w:rsidR="00C53AF3">
        <w:t xml:space="preserve">The consequent lower motorized vehicle ownership </w:t>
      </w:r>
      <w:r w:rsidR="00983C24">
        <w:t xml:space="preserve">among residents of </w:t>
      </w:r>
      <w:r w:rsidR="00983C24" w:rsidRPr="00FB1C57">
        <w:rPr>
          <w:i/>
        </w:rPr>
        <w:t xml:space="preserve">MB </w:t>
      </w:r>
      <w:r w:rsidR="00983C24">
        <w:t xml:space="preserve">CBGs </w:t>
      </w:r>
      <w:r w:rsidR="00C53AF3">
        <w:t xml:space="preserve">then increases </w:t>
      </w:r>
      <w:r w:rsidR="00E334B8">
        <w:t xml:space="preserve">public transit </w:t>
      </w:r>
      <w:r w:rsidR="00C53AF3">
        <w:t>use</w:t>
      </w:r>
      <w:r w:rsidR="00E334B8">
        <w:t xml:space="preserve">. </w:t>
      </w:r>
    </w:p>
    <w:p w14:paraId="2FA94E54" w14:textId="6578C5AF" w:rsidR="002B24E4" w:rsidRDefault="002B24E4" w:rsidP="00966F5E">
      <w:pPr>
        <w:spacing w:before="0" w:after="0" w:line="360" w:lineRule="auto"/>
      </w:pPr>
      <w:r>
        <w:tab/>
        <w:t>In the total count model, the logarithm of residential population is positively correlated with pedestrian crashes, which is a scale effect as a higher population will be associated with more pedestrians and crash risk exposure. Employment density is associated with a higher crash propensity. Typically, areas with high employment density experience higher daily vehicular traffic and pedestrian activity, which increases the risk of exposure to vehicle-pedestrian crashes (</w:t>
      </w:r>
      <w:r w:rsidRPr="00901A0A">
        <w:t>Guerra et al., 2019</w:t>
      </w:r>
      <w:r>
        <w:t>; Siddiqui et al., 2012</w:t>
      </w:r>
      <w:r w:rsidRPr="00901A0A">
        <w:t>).</w:t>
      </w:r>
      <w:r>
        <w:t xml:space="preserve"> This result, along with the result that employment density is lower in </w:t>
      </w:r>
      <w:r w:rsidRPr="00FB1C57">
        <w:rPr>
          <w:i/>
        </w:rPr>
        <w:t xml:space="preserve">MB </w:t>
      </w:r>
      <w:r>
        <w:t>CBGs, suggests that any efforts to increase access to jobs in traditionally employment-sparse</w:t>
      </w:r>
      <w:r w:rsidRPr="00FB1C57">
        <w:rPr>
          <w:i/>
        </w:rPr>
        <w:t xml:space="preserve"> MB</w:t>
      </w:r>
      <w:r>
        <w:t xml:space="preserve"> CBG locations should be carefully choreographed to reduce vehicle-pedestrian conflict areas due to the additional risk. Regarding other risk exposure variables, as expected, areas with a high share of public transit- and walking-based commuting are locations of high crash propensity. In combination with the first model results, it is clear that, at least some of the difference in total crashes between </w:t>
      </w:r>
      <w:r w:rsidRPr="00FB1C57">
        <w:rPr>
          <w:i/>
        </w:rPr>
        <w:t>MB</w:t>
      </w:r>
      <w:r>
        <w:t xml:space="preserve"> CBGs and </w:t>
      </w:r>
      <w:r w:rsidRPr="00FB1C57">
        <w:rPr>
          <w:i/>
        </w:rPr>
        <w:t>NMB</w:t>
      </w:r>
      <w:r>
        <w:t xml:space="preserve"> CBGs is due to higher risk exposure at </w:t>
      </w:r>
      <w:r w:rsidRPr="00FB1C57">
        <w:rPr>
          <w:i/>
        </w:rPr>
        <w:t>MB</w:t>
      </w:r>
      <w:r>
        <w:t xml:space="preserve"> CBGs. In addition, the effect of the share of individuals commuting by public transit is </w:t>
      </w:r>
    </w:p>
    <w:p w14:paraId="26FA63A4" w14:textId="3424619D" w:rsidR="00AE680E" w:rsidRPr="00D909B5" w:rsidRDefault="00AE680E" w:rsidP="00966F5E">
      <w:pPr>
        <w:tabs>
          <w:tab w:val="left" w:pos="720"/>
        </w:tabs>
        <w:spacing w:before="0" w:after="0"/>
        <w:rPr>
          <w:b/>
        </w:rPr>
      </w:pPr>
      <w:r w:rsidRPr="00D909B5">
        <w:rPr>
          <w:b/>
        </w:rPr>
        <w:lastRenderedPageBreak/>
        <w:t xml:space="preserve">Table 3. Estimation </w:t>
      </w:r>
      <w:r w:rsidR="00F5200B">
        <w:rPr>
          <w:b/>
        </w:rPr>
        <w:t>R</w:t>
      </w:r>
      <w:r w:rsidRPr="00D909B5">
        <w:rPr>
          <w:b/>
        </w:rPr>
        <w:t>esults</w:t>
      </w:r>
    </w:p>
    <w:tbl>
      <w:tblPr>
        <w:tblW w:w="9175" w:type="dxa"/>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3945"/>
        <w:gridCol w:w="990"/>
        <w:gridCol w:w="720"/>
        <w:gridCol w:w="810"/>
        <w:gridCol w:w="900"/>
        <w:gridCol w:w="900"/>
        <w:gridCol w:w="910"/>
      </w:tblGrid>
      <w:tr w:rsidR="00AE680E" w:rsidRPr="002D25BB" w14:paraId="32032B62" w14:textId="77777777" w:rsidTr="00396352">
        <w:trPr>
          <w:trHeight w:val="43"/>
          <w:tblHeader/>
        </w:trPr>
        <w:tc>
          <w:tcPr>
            <w:tcW w:w="3945" w:type="dxa"/>
            <w:vMerge w:val="restart"/>
            <w:tcBorders>
              <w:top w:val="double" w:sz="4" w:space="0" w:color="auto"/>
              <w:bottom w:val="nil"/>
              <w:right w:val="single" w:sz="4" w:space="0" w:color="auto"/>
            </w:tcBorders>
            <w:shd w:val="clear" w:color="auto" w:fill="FFFFFF" w:themeFill="background1"/>
            <w:vAlign w:val="center"/>
          </w:tcPr>
          <w:p w14:paraId="6ECD4E50" w14:textId="77777777" w:rsidR="00AE680E" w:rsidRPr="002D25BB" w:rsidRDefault="00AE680E" w:rsidP="00396352">
            <w:pPr>
              <w:spacing w:before="0" w:after="0" w:line="240" w:lineRule="auto"/>
              <w:jc w:val="left"/>
              <w:rPr>
                <w:b/>
                <w:bCs/>
                <w:sz w:val="20"/>
                <w:szCs w:val="20"/>
              </w:rPr>
            </w:pPr>
            <w:bookmarkStart w:id="41" w:name="_Hlk110170238"/>
            <w:r w:rsidRPr="002D25BB">
              <w:rPr>
                <w:b/>
                <w:bCs/>
                <w:sz w:val="20"/>
                <w:szCs w:val="20"/>
              </w:rPr>
              <w:t>Variables</w:t>
            </w:r>
          </w:p>
        </w:tc>
        <w:tc>
          <w:tcPr>
            <w:tcW w:w="1710"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55424BB2" w14:textId="77777777" w:rsidR="00AE680E" w:rsidRPr="002D25BB" w:rsidRDefault="00AE680E" w:rsidP="00396352">
            <w:pPr>
              <w:spacing w:before="0" w:after="0" w:line="240" w:lineRule="auto"/>
              <w:jc w:val="center"/>
              <w:rPr>
                <w:b/>
                <w:bCs/>
                <w:sz w:val="20"/>
                <w:szCs w:val="20"/>
              </w:rPr>
            </w:pPr>
            <w:r w:rsidRPr="00C37C8C">
              <w:rPr>
                <w:b/>
                <w:bCs/>
                <w:i/>
                <w:sz w:val="20"/>
                <w:szCs w:val="20"/>
              </w:rPr>
              <w:t>MB</w:t>
            </w:r>
            <w:r w:rsidRPr="00432BEC">
              <w:rPr>
                <w:b/>
                <w:bCs/>
                <w:sz w:val="20"/>
                <w:szCs w:val="20"/>
              </w:rPr>
              <w:t xml:space="preserve"> versus </w:t>
            </w:r>
            <w:r w:rsidRPr="00C37C8C">
              <w:rPr>
                <w:b/>
                <w:bCs/>
                <w:i/>
                <w:sz w:val="20"/>
                <w:szCs w:val="20"/>
              </w:rPr>
              <w:t>NMB</w:t>
            </w:r>
            <w:r w:rsidRPr="00432BEC">
              <w:rPr>
                <w:b/>
                <w:bCs/>
                <w:sz w:val="20"/>
                <w:szCs w:val="20"/>
              </w:rPr>
              <w:t xml:space="preserve"> </w:t>
            </w:r>
          </w:p>
        </w:tc>
        <w:tc>
          <w:tcPr>
            <w:tcW w:w="1710" w:type="dxa"/>
            <w:gridSpan w:val="2"/>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6B5ED696" w14:textId="77777777" w:rsidR="00AE680E" w:rsidRPr="002D25BB" w:rsidRDefault="00AE680E" w:rsidP="00396352">
            <w:pPr>
              <w:spacing w:before="0" w:after="0" w:line="240" w:lineRule="auto"/>
              <w:jc w:val="center"/>
              <w:rPr>
                <w:b/>
                <w:bCs/>
                <w:sz w:val="20"/>
                <w:szCs w:val="20"/>
              </w:rPr>
            </w:pPr>
            <w:r>
              <w:rPr>
                <w:b/>
                <w:bCs/>
                <w:sz w:val="20"/>
                <w:szCs w:val="20"/>
              </w:rPr>
              <w:t xml:space="preserve">Total Count </w:t>
            </w:r>
          </w:p>
        </w:tc>
        <w:tc>
          <w:tcPr>
            <w:tcW w:w="1810" w:type="dxa"/>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05B1A0D" w14:textId="77777777" w:rsidR="00AE680E" w:rsidRPr="002D25BB" w:rsidRDefault="00AE680E" w:rsidP="00396352">
            <w:pPr>
              <w:spacing w:before="0" w:after="0" w:line="240" w:lineRule="auto"/>
              <w:jc w:val="center"/>
              <w:rPr>
                <w:b/>
                <w:bCs/>
                <w:sz w:val="20"/>
                <w:szCs w:val="20"/>
              </w:rPr>
            </w:pPr>
            <w:r w:rsidRPr="00432BEC">
              <w:rPr>
                <w:b/>
                <w:bCs/>
                <w:sz w:val="20"/>
                <w:szCs w:val="20"/>
              </w:rPr>
              <w:t xml:space="preserve">BP Crash </w:t>
            </w:r>
            <w:r>
              <w:rPr>
                <w:b/>
                <w:bCs/>
                <w:sz w:val="20"/>
                <w:szCs w:val="20"/>
              </w:rPr>
              <w:t>M</w:t>
            </w:r>
            <w:r w:rsidRPr="00432BEC">
              <w:rPr>
                <w:b/>
                <w:bCs/>
                <w:sz w:val="20"/>
                <w:szCs w:val="20"/>
              </w:rPr>
              <w:t>odel</w:t>
            </w:r>
          </w:p>
        </w:tc>
      </w:tr>
      <w:tr w:rsidR="00AE680E" w:rsidRPr="002D25BB" w14:paraId="7208D0BD" w14:textId="77777777" w:rsidTr="00396352">
        <w:trPr>
          <w:trHeight w:val="63"/>
          <w:tblHeader/>
        </w:trPr>
        <w:tc>
          <w:tcPr>
            <w:tcW w:w="3945" w:type="dxa"/>
            <w:vMerge/>
            <w:tcBorders>
              <w:top w:val="nil"/>
              <w:bottom w:val="double" w:sz="4" w:space="0" w:color="auto"/>
              <w:right w:val="single" w:sz="4" w:space="0" w:color="auto"/>
            </w:tcBorders>
            <w:shd w:val="clear" w:color="auto" w:fill="FFFFFF" w:themeFill="background1"/>
            <w:vAlign w:val="center"/>
          </w:tcPr>
          <w:p w14:paraId="3EA40D18" w14:textId="77777777" w:rsidR="00AE680E" w:rsidRPr="002D25BB" w:rsidRDefault="00AE680E" w:rsidP="00396352">
            <w:pPr>
              <w:spacing w:before="0" w:after="0" w:line="240" w:lineRule="auto"/>
              <w:jc w:val="left"/>
              <w:rPr>
                <w:b/>
                <w:bCs/>
                <w:sz w:val="20"/>
                <w:szCs w:val="20"/>
              </w:rPr>
            </w:pPr>
          </w:p>
        </w:tc>
        <w:tc>
          <w:tcPr>
            <w:tcW w:w="99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69717ED" w14:textId="77777777" w:rsidR="00AE680E" w:rsidRPr="002D25BB" w:rsidRDefault="00AE680E" w:rsidP="00396352">
            <w:pPr>
              <w:spacing w:before="0" w:after="0" w:line="240" w:lineRule="auto"/>
              <w:jc w:val="center"/>
              <w:rPr>
                <w:b/>
                <w:bCs/>
                <w:sz w:val="20"/>
                <w:szCs w:val="20"/>
              </w:rPr>
            </w:pPr>
            <w:r w:rsidRPr="002D25BB">
              <w:rPr>
                <w:b/>
                <w:bCs/>
                <w:sz w:val="20"/>
                <w:szCs w:val="20"/>
              </w:rPr>
              <w:t>Coef.</w:t>
            </w:r>
          </w:p>
        </w:tc>
        <w:tc>
          <w:tcPr>
            <w:tcW w:w="72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D7DC081" w14:textId="77777777" w:rsidR="00AE680E" w:rsidRPr="002D25BB" w:rsidRDefault="00AE680E" w:rsidP="00396352">
            <w:pPr>
              <w:spacing w:before="0" w:after="0" w:line="240" w:lineRule="auto"/>
              <w:jc w:val="center"/>
              <w:rPr>
                <w:b/>
                <w:bCs/>
                <w:sz w:val="20"/>
                <w:szCs w:val="20"/>
              </w:rPr>
            </w:pPr>
            <w:r w:rsidRPr="002D25BB">
              <w:rPr>
                <w:b/>
                <w:bCs/>
                <w:sz w:val="20"/>
                <w:szCs w:val="20"/>
              </w:rPr>
              <w:t>t-stat</w:t>
            </w:r>
          </w:p>
        </w:tc>
        <w:tc>
          <w:tcPr>
            <w:tcW w:w="81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C4EF3CC" w14:textId="77777777" w:rsidR="00AE680E" w:rsidRPr="002D25BB" w:rsidRDefault="00AE680E" w:rsidP="00396352">
            <w:pPr>
              <w:spacing w:before="0" w:after="0" w:line="240" w:lineRule="auto"/>
              <w:jc w:val="center"/>
              <w:rPr>
                <w:b/>
                <w:bCs/>
                <w:sz w:val="20"/>
                <w:szCs w:val="20"/>
              </w:rPr>
            </w:pPr>
            <w:r w:rsidRPr="002D25BB">
              <w:rPr>
                <w:b/>
                <w:bCs/>
                <w:sz w:val="20"/>
                <w:szCs w:val="20"/>
              </w:rPr>
              <w:t>Coef.</w:t>
            </w:r>
          </w:p>
        </w:tc>
        <w:tc>
          <w:tcPr>
            <w:tcW w:w="90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BEBB845" w14:textId="77777777" w:rsidR="00AE680E" w:rsidRPr="002D25BB" w:rsidRDefault="00AE680E" w:rsidP="00396352">
            <w:pPr>
              <w:spacing w:before="0" w:after="0" w:line="240" w:lineRule="auto"/>
              <w:jc w:val="center"/>
              <w:rPr>
                <w:b/>
                <w:bCs/>
                <w:sz w:val="20"/>
                <w:szCs w:val="20"/>
              </w:rPr>
            </w:pPr>
            <w:r w:rsidRPr="002D25BB">
              <w:rPr>
                <w:b/>
                <w:bCs/>
                <w:sz w:val="20"/>
                <w:szCs w:val="20"/>
              </w:rPr>
              <w:t>t-stat</w:t>
            </w:r>
          </w:p>
        </w:tc>
        <w:tc>
          <w:tcPr>
            <w:tcW w:w="900"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5D08FCC4" w14:textId="77777777" w:rsidR="00AE680E" w:rsidRPr="002D25BB" w:rsidRDefault="00AE680E" w:rsidP="00396352">
            <w:pPr>
              <w:spacing w:before="0" w:after="0" w:line="240" w:lineRule="auto"/>
              <w:jc w:val="center"/>
              <w:rPr>
                <w:b/>
                <w:bCs/>
                <w:sz w:val="20"/>
                <w:szCs w:val="20"/>
              </w:rPr>
            </w:pPr>
            <w:r w:rsidRPr="002D25BB">
              <w:rPr>
                <w:b/>
                <w:bCs/>
                <w:sz w:val="20"/>
                <w:szCs w:val="20"/>
              </w:rPr>
              <w:t>Coef.</w:t>
            </w:r>
          </w:p>
        </w:tc>
        <w:tc>
          <w:tcPr>
            <w:tcW w:w="910" w:type="dxa"/>
            <w:tcBorders>
              <w:top w:val="single" w:sz="4" w:space="0" w:color="auto"/>
              <w:left w:val="single" w:sz="4" w:space="0" w:color="auto"/>
              <w:bottom w:val="double" w:sz="4" w:space="0" w:color="auto"/>
              <w:right w:val="double" w:sz="4" w:space="0" w:color="auto"/>
            </w:tcBorders>
            <w:shd w:val="clear" w:color="auto" w:fill="FFFFFF" w:themeFill="background1"/>
            <w:vAlign w:val="center"/>
          </w:tcPr>
          <w:p w14:paraId="3CD5D2E8" w14:textId="77777777" w:rsidR="00AE680E" w:rsidRPr="002D25BB" w:rsidRDefault="00AE680E" w:rsidP="00396352">
            <w:pPr>
              <w:spacing w:before="0" w:after="0" w:line="240" w:lineRule="auto"/>
              <w:jc w:val="center"/>
              <w:rPr>
                <w:b/>
                <w:bCs/>
                <w:sz w:val="20"/>
                <w:szCs w:val="20"/>
              </w:rPr>
            </w:pPr>
            <w:r w:rsidRPr="002D25BB">
              <w:rPr>
                <w:b/>
                <w:bCs/>
                <w:sz w:val="20"/>
                <w:szCs w:val="20"/>
              </w:rPr>
              <w:t>t-stat</w:t>
            </w:r>
          </w:p>
        </w:tc>
      </w:tr>
      <w:tr w:rsidR="00AE680E" w:rsidRPr="002D25BB" w14:paraId="5681A27A" w14:textId="77777777" w:rsidTr="00396352">
        <w:trPr>
          <w:trHeight w:val="20"/>
        </w:trPr>
        <w:tc>
          <w:tcPr>
            <w:tcW w:w="9175" w:type="dxa"/>
            <w:gridSpan w:val="7"/>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14:paraId="573CE748" w14:textId="77777777" w:rsidR="00AE680E" w:rsidRPr="002D25BB" w:rsidRDefault="00AE680E" w:rsidP="00396352">
            <w:pPr>
              <w:spacing w:before="0" w:after="0" w:line="240" w:lineRule="auto"/>
              <w:jc w:val="left"/>
              <w:rPr>
                <w:b/>
                <w:bCs/>
                <w:sz w:val="20"/>
                <w:szCs w:val="20"/>
              </w:rPr>
            </w:pPr>
            <w:r w:rsidRPr="002D25BB">
              <w:rPr>
                <w:b/>
                <w:bCs/>
                <w:sz w:val="20"/>
                <w:szCs w:val="20"/>
              </w:rPr>
              <w:t>Crash Exposure</w:t>
            </w:r>
          </w:p>
        </w:tc>
      </w:tr>
      <w:tr w:rsidR="00AE680E" w:rsidRPr="002D25BB" w14:paraId="7C2D3E3A" w14:textId="77777777" w:rsidTr="00396352">
        <w:trPr>
          <w:trHeight w:val="20"/>
        </w:trPr>
        <w:tc>
          <w:tcPr>
            <w:tcW w:w="3945" w:type="dxa"/>
            <w:tcBorders>
              <w:top w:val="single" w:sz="4" w:space="0" w:color="auto"/>
              <w:right w:val="double" w:sz="4" w:space="0" w:color="auto"/>
            </w:tcBorders>
            <w:shd w:val="clear" w:color="auto" w:fill="FFFFFF" w:themeFill="background1"/>
            <w:vAlign w:val="center"/>
            <w:hideMark/>
          </w:tcPr>
          <w:p w14:paraId="4642FCAF" w14:textId="77777777" w:rsidR="00AE680E" w:rsidRPr="002D25BB" w:rsidRDefault="00AE680E" w:rsidP="00396352">
            <w:pPr>
              <w:spacing w:before="0" w:after="0" w:line="240" w:lineRule="auto"/>
              <w:ind w:left="240"/>
              <w:jc w:val="left"/>
              <w:rPr>
                <w:sz w:val="20"/>
                <w:szCs w:val="20"/>
              </w:rPr>
            </w:pPr>
            <w:r w:rsidRPr="002D25BB">
              <w:rPr>
                <w:sz w:val="20"/>
                <w:szCs w:val="20"/>
              </w:rPr>
              <w:t>Ln(Population)</w:t>
            </w:r>
          </w:p>
        </w:tc>
        <w:tc>
          <w:tcPr>
            <w:tcW w:w="990" w:type="dxa"/>
            <w:tcBorders>
              <w:top w:val="single" w:sz="4" w:space="0" w:color="auto"/>
              <w:left w:val="double" w:sz="4" w:space="0" w:color="auto"/>
              <w:bottom w:val="nil"/>
            </w:tcBorders>
            <w:shd w:val="clear" w:color="auto" w:fill="FFFFFF" w:themeFill="background1"/>
            <w:vAlign w:val="center"/>
          </w:tcPr>
          <w:p w14:paraId="12E4A1AA" w14:textId="77777777" w:rsidR="00AE680E" w:rsidRPr="002D25BB" w:rsidRDefault="00AE680E" w:rsidP="00396352">
            <w:pPr>
              <w:spacing w:before="0" w:after="0" w:line="240" w:lineRule="auto"/>
              <w:jc w:val="right"/>
              <w:rPr>
                <w:sz w:val="20"/>
                <w:szCs w:val="20"/>
              </w:rPr>
            </w:pPr>
            <w:r w:rsidRPr="002D25BB">
              <w:rPr>
                <w:sz w:val="20"/>
                <w:szCs w:val="20"/>
              </w:rPr>
              <w:t>0.150</w:t>
            </w:r>
          </w:p>
        </w:tc>
        <w:tc>
          <w:tcPr>
            <w:tcW w:w="720" w:type="dxa"/>
            <w:tcBorders>
              <w:top w:val="single" w:sz="4" w:space="0" w:color="auto"/>
              <w:bottom w:val="nil"/>
              <w:right w:val="double" w:sz="4" w:space="0" w:color="auto"/>
            </w:tcBorders>
            <w:shd w:val="clear" w:color="auto" w:fill="FFFFFF" w:themeFill="background1"/>
            <w:vAlign w:val="center"/>
          </w:tcPr>
          <w:p w14:paraId="681AB34C" w14:textId="77777777" w:rsidR="00AE680E" w:rsidRPr="002D25BB" w:rsidRDefault="00AE680E" w:rsidP="00396352">
            <w:pPr>
              <w:spacing w:before="0" w:after="0" w:line="240" w:lineRule="auto"/>
              <w:jc w:val="right"/>
              <w:rPr>
                <w:sz w:val="20"/>
                <w:szCs w:val="20"/>
              </w:rPr>
            </w:pPr>
            <w:r w:rsidRPr="002D25BB">
              <w:rPr>
                <w:sz w:val="20"/>
                <w:szCs w:val="20"/>
              </w:rPr>
              <w:t>2.86</w:t>
            </w:r>
          </w:p>
        </w:tc>
        <w:tc>
          <w:tcPr>
            <w:tcW w:w="810" w:type="dxa"/>
            <w:tcBorders>
              <w:top w:val="single" w:sz="4" w:space="0" w:color="auto"/>
              <w:left w:val="double" w:sz="4" w:space="0" w:color="auto"/>
              <w:bottom w:val="nil"/>
            </w:tcBorders>
            <w:shd w:val="clear" w:color="auto" w:fill="FFFFFF" w:themeFill="background1"/>
            <w:vAlign w:val="center"/>
          </w:tcPr>
          <w:p w14:paraId="635D61D2" w14:textId="77777777" w:rsidR="00AE680E" w:rsidRPr="002D25BB" w:rsidRDefault="00AE680E" w:rsidP="00396352">
            <w:pPr>
              <w:spacing w:before="0" w:after="0" w:line="240" w:lineRule="auto"/>
              <w:jc w:val="right"/>
              <w:rPr>
                <w:sz w:val="20"/>
                <w:szCs w:val="20"/>
              </w:rPr>
            </w:pPr>
            <w:r w:rsidRPr="002D25BB">
              <w:rPr>
                <w:sz w:val="20"/>
                <w:szCs w:val="20"/>
              </w:rPr>
              <w:t>0.254</w:t>
            </w:r>
          </w:p>
        </w:tc>
        <w:tc>
          <w:tcPr>
            <w:tcW w:w="900" w:type="dxa"/>
            <w:tcBorders>
              <w:top w:val="single" w:sz="4" w:space="0" w:color="auto"/>
              <w:bottom w:val="nil"/>
              <w:right w:val="double" w:sz="4" w:space="0" w:color="auto"/>
            </w:tcBorders>
            <w:shd w:val="clear" w:color="auto" w:fill="FFFFFF" w:themeFill="background1"/>
            <w:vAlign w:val="center"/>
          </w:tcPr>
          <w:p w14:paraId="107E8EC2" w14:textId="77777777" w:rsidR="00AE680E" w:rsidRPr="002D25BB" w:rsidRDefault="00AE680E" w:rsidP="00396352">
            <w:pPr>
              <w:spacing w:before="0" w:after="0" w:line="240" w:lineRule="auto"/>
              <w:jc w:val="right"/>
              <w:rPr>
                <w:sz w:val="20"/>
                <w:szCs w:val="20"/>
              </w:rPr>
            </w:pPr>
            <w:r w:rsidRPr="002D25BB">
              <w:rPr>
                <w:sz w:val="20"/>
                <w:szCs w:val="20"/>
              </w:rPr>
              <w:t>5.930</w:t>
            </w:r>
          </w:p>
        </w:tc>
        <w:tc>
          <w:tcPr>
            <w:tcW w:w="900" w:type="dxa"/>
            <w:tcBorders>
              <w:top w:val="single" w:sz="4" w:space="0" w:color="auto"/>
              <w:left w:val="double" w:sz="4" w:space="0" w:color="auto"/>
            </w:tcBorders>
            <w:shd w:val="clear" w:color="auto" w:fill="FFFFFF" w:themeFill="background1"/>
            <w:vAlign w:val="center"/>
            <w:hideMark/>
          </w:tcPr>
          <w:p w14:paraId="6237574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tcBorders>
            <w:shd w:val="clear" w:color="auto" w:fill="FFFFFF" w:themeFill="background1"/>
            <w:vAlign w:val="center"/>
            <w:hideMark/>
          </w:tcPr>
          <w:p w14:paraId="001D3956"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50077019" w14:textId="77777777" w:rsidTr="00396352">
        <w:trPr>
          <w:trHeight w:val="20"/>
        </w:trPr>
        <w:tc>
          <w:tcPr>
            <w:tcW w:w="3945" w:type="dxa"/>
            <w:tcBorders>
              <w:right w:val="double" w:sz="4" w:space="0" w:color="auto"/>
            </w:tcBorders>
            <w:shd w:val="clear" w:color="auto" w:fill="FFFFFF" w:themeFill="background1"/>
            <w:vAlign w:val="center"/>
            <w:hideMark/>
          </w:tcPr>
          <w:p w14:paraId="6EB93ACB" w14:textId="77777777" w:rsidR="00AE680E" w:rsidRPr="002D25BB" w:rsidRDefault="00AE680E" w:rsidP="00396352">
            <w:pPr>
              <w:spacing w:before="0" w:after="0" w:line="240" w:lineRule="auto"/>
              <w:ind w:left="240"/>
              <w:jc w:val="left"/>
              <w:rPr>
                <w:sz w:val="20"/>
                <w:szCs w:val="20"/>
              </w:rPr>
            </w:pPr>
            <w:r w:rsidRPr="002D25BB">
              <w:rPr>
                <w:sz w:val="20"/>
                <w:szCs w:val="20"/>
              </w:rPr>
              <w:t xml:space="preserve">Employment </w:t>
            </w:r>
            <w:r>
              <w:rPr>
                <w:sz w:val="20"/>
                <w:szCs w:val="20"/>
              </w:rPr>
              <w:t>d</w:t>
            </w:r>
            <w:r w:rsidRPr="002D25BB">
              <w:rPr>
                <w:sz w:val="20"/>
                <w:szCs w:val="20"/>
              </w:rPr>
              <w:t>ensity (jobs</w:t>
            </w:r>
            <w:r>
              <w:rPr>
                <w:sz w:val="20"/>
                <w:szCs w:val="20"/>
              </w:rPr>
              <w:t xml:space="preserve">/ 0.1 </w:t>
            </w:r>
            <w:r w:rsidRPr="002D25BB">
              <w:rPr>
                <w:sz w:val="20"/>
                <w:szCs w:val="20"/>
              </w:rPr>
              <w:t>acre</w:t>
            </w:r>
            <w:r>
              <w:rPr>
                <w:sz w:val="20"/>
                <w:szCs w:val="20"/>
              </w:rPr>
              <w:t>s</w:t>
            </w:r>
            <w:r w:rsidRPr="002D25BB">
              <w:rPr>
                <w:sz w:val="20"/>
                <w:szCs w:val="20"/>
              </w:rPr>
              <w:t>)</w:t>
            </w:r>
          </w:p>
        </w:tc>
        <w:tc>
          <w:tcPr>
            <w:tcW w:w="990" w:type="dxa"/>
            <w:tcBorders>
              <w:top w:val="nil"/>
              <w:left w:val="double" w:sz="4" w:space="0" w:color="auto"/>
              <w:bottom w:val="nil"/>
            </w:tcBorders>
            <w:shd w:val="clear" w:color="auto" w:fill="FFFFFF" w:themeFill="background1"/>
            <w:vAlign w:val="center"/>
          </w:tcPr>
          <w:p w14:paraId="53117269" w14:textId="77777777" w:rsidR="00AE680E" w:rsidRPr="002D25BB" w:rsidRDefault="00AE680E" w:rsidP="00396352">
            <w:pPr>
              <w:spacing w:before="0" w:after="0" w:line="240" w:lineRule="auto"/>
              <w:jc w:val="right"/>
              <w:rPr>
                <w:sz w:val="20"/>
                <w:szCs w:val="20"/>
              </w:rPr>
            </w:pPr>
            <w:r>
              <w:rPr>
                <w:sz w:val="20"/>
                <w:szCs w:val="20"/>
              </w:rPr>
              <w:t>-</w:t>
            </w:r>
            <w:r w:rsidRPr="002D25BB">
              <w:rPr>
                <w:sz w:val="20"/>
                <w:szCs w:val="20"/>
              </w:rPr>
              <w:t>0.316</w:t>
            </w:r>
          </w:p>
        </w:tc>
        <w:tc>
          <w:tcPr>
            <w:tcW w:w="720" w:type="dxa"/>
            <w:tcBorders>
              <w:top w:val="nil"/>
              <w:bottom w:val="nil"/>
              <w:right w:val="double" w:sz="4" w:space="0" w:color="auto"/>
            </w:tcBorders>
            <w:shd w:val="clear" w:color="auto" w:fill="FFFFFF" w:themeFill="background1"/>
            <w:vAlign w:val="center"/>
          </w:tcPr>
          <w:p w14:paraId="5F5EF8F0" w14:textId="77777777" w:rsidR="00AE680E" w:rsidRPr="002D25BB" w:rsidRDefault="00AE680E" w:rsidP="00396352">
            <w:pPr>
              <w:spacing w:before="0" w:after="0" w:line="240" w:lineRule="auto"/>
              <w:jc w:val="right"/>
              <w:rPr>
                <w:sz w:val="20"/>
                <w:szCs w:val="20"/>
              </w:rPr>
            </w:pPr>
            <w:r w:rsidRPr="002D25BB">
              <w:rPr>
                <w:sz w:val="20"/>
                <w:szCs w:val="20"/>
              </w:rPr>
              <w:t>4.43</w:t>
            </w:r>
          </w:p>
        </w:tc>
        <w:tc>
          <w:tcPr>
            <w:tcW w:w="810" w:type="dxa"/>
            <w:tcBorders>
              <w:top w:val="nil"/>
              <w:left w:val="double" w:sz="4" w:space="0" w:color="auto"/>
              <w:bottom w:val="nil"/>
            </w:tcBorders>
            <w:shd w:val="clear" w:color="auto" w:fill="FFFFFF" w:themeFill="background1"/>
            <w:vAlign w:val="center"/>
          </w:tcPr>
          <w:p w14:paraId="59810460" w14:textId="77777777" w:rsidR="00AE680E" w:rsidRPr="002D25BB" w:rsidRDefault="00AE680E" w:rsidP="00396352">
            <w:pPr>
              <w:spacing w:before="0" w:after="0" w:line="240" w:lineRule="auto"/>
              <w:jc w:val="right"/>
              <w:rPr>
                <w:sz w:val="20"/>
                <w:szCs w:val="20"/>
              </w:rPr>
            </w:pPr>
            <w:r w:rsidRPr="002D25BB">
              <w:rPr>
                <w:sz w:val="20"/>
                <w:szCs w:val="20"/>
              </w:rPr>
              <w:t>0.056</w:t>
            </w:r>
          </w:p>
        </w:tc>
        <w:tc>
          <w:tcPr>
            <w:tcW w:w="900" w:type="dxa"/>
            <w:tcBorders>
              <w:top w:val="nil"/>
              <w:bottom w:val="nil"/>
              <w:right w:val="double" w:sz="4" w:space="0" w:color="auto"/>
            </w:tcBorders>
            <w:shd w:val="clear" w:color="auto" w:fill="FFFFFF" w:themeFill="background1"/>
            <w:vAlign w:val="center"/>
          </w:tcPr>
          <w:p w14:paraId="4591B403" w14:textId="77777777" w:rsidR="00AE680E" w:rsidRPr="002D25BB" w:rsidRDefault="00AE680E" w:rsidP="00396352">
            <w:pPr>
              <w:spacing w:before="0" w:after="0" w:line="240" w:lineRule="auto"/>
              <w:jc w:val="right"/>
              <w:rPr>
                <w:sz w:val="20"/>
                <w:szCs w:val="20"/>
              </w:rPr>
            </w:pPr>
            <w:r w:rsidRPr="002D25BB">
              <w:rPr>
                <w:sz w:val="20"/>
                <w:szCs w:val="20"/>
              </w:rPr>
              <w:t>2.65</w:t>
            </w:r>
          </w:p>
        </w:tc>
        <w:tc>
          <w:tcPr>
            <w:tcW w:w="900" w:type="dxa"/>
            <w:tcBorders>
              <w:left w:val="double" w:sz="4" w:space="0" w:color="auto"/>
            </w:tcBorders>
            <w:shd w:val="clear" w:color="auto" w:fill="FFFFFF" w:themeFill="background1"/>
            <w:vAlign w:val="center"/>
            <w:hideMark/>
          </w:tcPr>
          <w:p w14:paraId="01B3A877"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64529ABF"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05BADC28" w14:textId="77777777" w:rsidTr="00396352">
        <w:trPr>
          <w:trHeight w:val="20"/>
        </w:trPr>
        <w:tc>
          <w:tcPr>
            <w:tcW w:w="3945" w:type="dxa"/>
            <w:tcBorders>
              <w:right w:val="double" w:sz="4" w:space="0" w:color="auto"/>
            </w:tcBorders>
            <w:shd w:val="clear" w:color="auto" w:fill="FFFFFF" w:themeFill="background1"/>
            <w:vAlign w:val="center"/>
            <w:hideMark/>
          </w:tcPr>
          <w:p w14:paraId="48645057" w14:textId="77777777" w:rsidR="00AE680E" w:rsidRPr="002D25BB" w:rsidRDefault="00AE680E" w:rsidP="00396352">
            <w:pPr>
              <w:spacing w:before="0" w:after="0" w:line="240" w:lineRule="auto"/>
              <w:ind w:left="240"/>
              <w:jc w:val="left"/>
              <w:rPr>
                <w:sz w:val="20"/>
                <w:szCs w:val="20"/>
              </w:rPr>
            </w:pPr>
            <w:r w:rsidRPr="002D25BB">
              <w:rPr>
                <w:sz w:val="20"/>
                <w:szCs w:val="20"/>
              </w:rPr>
              <w:t>% HH owning zero vehicles</w:t>
            </w:r>
          </w:p>
        </w:tc>
        <w:tc>
          <w:tcPr>
            <w:tcW w:w="990" w:type="dxa"/>
            <w:tcBorders>
              <w:top w:val="nil"/>
              <w:left w:val="double" w:sz="4" w:space="0" w:color="auto"/>
              <w:bottom w:val="nil"/>
            </w:tcBorders>
            <w:shd w:val="clear" w:color="auto" w:fill="FFFFFF" w:themeFill="background1"/>
            <w:vAlign w:val="center"/>
          </w:tcPr>
          <w:p w14:paraId="4B6AEA9A" w14:textId="77777777" w:rsidR="00AE680E" w:rsidRPr="002D25BB" w:rsidRDefault="00AE680E" w:rsidP="00396352">
            <w:pPr>
              <w:spacing w:before="0" w:after="0" w:line="240" w:lineRule="auto"/>
              <w:jc w:val="right"/>
              <w:rPr>
                <w:sz w:val="20"/>
                <w:szCs w:val="20"/>
              </w:rPr>
            </w:pPr>
            <w:r w:rsidRPr="002D25BB">
              <w:rPr>
                <w:sz w:val="20"/>
                <w:szCs w:val="20"/>
              </w:rPr>
              <w:t>1.181</w:t>
            </w:r>
          </w:p>
        </w:tc>
        <w:tc>
          <w:tcPr>
            <w:tcW w:w="720" w:type="dxa"/>
            <w:tcBorders>
              <w:top w:val="nil"/>
              <w:bottom w:val="nil"/>
              <w:right w:val="double" w:sz="4" w:space="0" w:color="auto"/>
            </w:tcBorders>
            <w:shd w:val="clear" w:color="auto" w:fill="FFFFFF" w:themeFill="background1"/>
            <w:vAlign w:val="center"/>
          </w:tcPr>
          <w:p w14:paraId="5FB6FD58" w14:textId="77777777" w:rsidR="00AE680E" w:rsidRPr="002D25BB" w:rsidRDefault="00AE680E" w:rsidP="00396352">
            <w:pPr>
              <w:spacing w:before="0" w:after="0" w:line="240" w:lineRule="auto"/>
              <w:jc w:val="right"/>
              <w:rPr>
                <w:sz w:val="20"/>
                <w:szCs w:val="20"/>
              </w:rPr>
            </w:pPr>
            <w:r w:rsidRPr="002D25BB">
              <w:rPr>
                <w:sz w:val="20"/>
                <w:szCs w:val="20"/>
              </w:rPr>
              <w:t>3.26</w:t>
            </w:r>
          </w:p>
        </w:tc>
        <w:tc>
          <w:tcPr>
            <w:tcW w:w="810" w:type="dxa"/>
            <w:tcBorders>
              <w:top w:val="nil"/>
              <w:left w:val="double" w:sz="4" w:space="0" w:color="auto"/>
              <w:bottom w:val="nil"/>
            </w:tcBorders>
            <w:shd w:val="clear" w:color="auto" w:fill="FFFFFF" w:themeFill="background1"/>
            <w:vAlign w:val="center"/>
            <w:hideMark/>
          </w:tcPr>
          <w:p w14:paraId="0A220C49"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nil"/>
              <w:right w:val="double" w:sz="4" w:space="0" w:color="auto"/>
            </w:tcBorders>
            <w:shd w:val="clear" w:color="auto" w:fill="FFFFFF" w:themeFill="background1"/>
            <w:vAlign w:val="center"/>
            <w:hideMark/>
          </w:tcPr>
          <w:p w14:paraId="573E14E6"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left w:val="double" w:sz="4" w:space="0" w:color="auto"/>
            </w:tcBorders>
            <w:shd w:val="clear" w:color="auto" w:fill="FFFFFF" w:themeFill="background1"/>
            <w:vAlign w:val="center"/>
            <w:hideMark/>
          </w:tcPr>
          <w:p w14:paraId="03B4A73B"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44803695"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6CA43272" w14:textId="77777777" w:rsidTr="00396352">
        <w:trPr>
          <w:trHeight w:val="20"/>
        </w:trPr>
        <w:tc>
          <w:tcPr>
            <w:tcW w:w="3945" w:type="dxa"/>
            <w:tcBorders>
              <w:bottom w:val="nil"/>
              <w:right w:val="double" w:sz="4" w:space="0" w:color="auto"/>
            </w:tcBorders>
            <w:shd w:val="clear" w:color="auto" w:fill="FFFFFF" w:themeFill="background1"/>
            <w:vAlign w:val="center"/>
            <w:hideMark/>
          </w:tcPr>
          <w:p w14:paraId="6C9C9ED4" w14:textId="77777777" w:rsidR="00AE680E" w:rsidRPr="002D25BB" w:rsidRDefault="00AE680E" w:rsidP="00396352">
            <w:pPr>
              <w:spacing w:before="0" w:after="0" w:line="240" w:lineRule="auto"/>
              <w:ind w:left="240"/>
              <w:jc w:val="left"/>
              <w:rPr>
                <w:sz w:val="20"/>
                <w:szCs w:val="20"/>
              </w:rPr>
            </w:pPr>
            <w:r w:rsidRPr="002D25BB">
              <w:rPr>
                <w:sz w:val="20"/>
                <w:szCs w:val="20"/>
              </w:rPr>
              <w:t>% individuals commuting by public transit</w:t>
            </w:r>
          </w:p>
        </w:tc>
        <w:tc>
          <w:tcPr>
            <w:tcW w:w="990" w:type="dxa"/>
            <w:tcBorders>
              <w:top w:val="nil"/>
              <w:left w:val="double" w:sz="4" w:space="0" w:color="auto"/>
              <w:bottom w:val="nil"/>
            </w:tcBorders>
            <w:shd w:val="clear" w:color="auto" w:fill="FFFFFF" w:themeFill="background1"/>
            <w:vAlign w:val="center"/>
          </w:tcPr>
          <w:p w14:paraId="4F8622FA" w14:textId="77777777" w:rsidR="00AE680E" w:rsidRPr="002D25BB" w:rsidRDefault="00AE680E" w:rsidP="00396352">
            <w:pPr>
              <w:spacing w:before="0" w:after="0" w:line="240" w:lineRule="auto"/>
              <w:jc w:val="right"/>
              <w:rPr>
                <w:sz w:val="20"/>
                <w:szCs w:val="20"/>
              </w:rPr>
            </w:pPr>
            <w:r w:rsidRPr="002D25BB">
              <w:rPr>
                <w:sz w:val="20"/>
                <w:szCs w:val="20"/>
              </w:rPr>
              <w:t>3.</w:t>
            </w:r>
            <w:r>
              <w:rPr>
                <w:sz w:val="20"/>
                <w:szCs w:val="20"/>
              </w:rPr>
              <w:t>362</w:t>
            </w:r>
          </w:p>
        </w:tc>
        <w:tc>
          <w:tcPr>
            <w:tcW w:w="720" w:type="dxa"/>
            <w:tcBorders>
              <w:top w:val="nil"/>
              <w:bottom w:val="nil"/>
              <w:right w:val="double" w:sz="4" w:space="0" w:color="auto"/>
            </w:tcBorders>
            <w:shd w:val="clear" w:color="auto" w:fill="FFFFFF" w:themeFill="background1"/>
            <w:vAlign w:val="center"/>
          </w:tcPr>
          <w:p w14:paraId="67F8A350" w14:textId="77777777" w:rsidR="00AE680E" w:rsidRPr="002D25BB" w:rsidRDefault="00AE680E" w:rsidP="00396352">
            <w:pPr>
              <w:spacing w:before="0" w:after="0" w:line="240" w:lineRule="auto"/>
              <w:jc w:val="right"/>
              <w:rPr>
                <w:sz w:val="20"/>
                <w:szCs w:val="20"/>
              </w:rPr>
            </w:pPr>
            <w:r w:rsidRPr="002D25BB">
              <w:rPr>
                <w:sz w:val="20"/>
                <w:szCs w:val="20"/>
              </w:rPr>
              <w:t>4.97</w:t>
            </w:r>
          </w:p>
        </w:tc>
        <w:tc>
          <w:tcPr>
            <w:tcW w:w="810" w:type="dxa"/>
            <w:tcBorders>
              <w:top w:val="nil"/>
              <w:left w:val="double" w:sz="4" w:space="0" w:color="auto"/>
              <w:bottom w:val="nil"/>
            </w:tcBorders>
            <w:shd w:val="clear" w:color="auto" w:fill="FFFFFF" w:themeFill="background1"/>
            <w:vAlign w:val="center"/>
          </w:tcPr>
          <w:p w14:paraId="489E33BD" w14:textId="77777777" w:rsidR="00AE680E" w:rsidRPr="002D25BB" w:rsidRDefault="00AE680E" w:rsidP="00396352">
            <w:pPr>
              <w:spacing w:before="0" w:after="0" w:line="240" w:lineRule="auto"/>
              <w:jc w:val="right"/>
              <w:rPr>
                <w:sz w:val="20"/>
                <w:szCs w:val="20"/>
              </w:rPr>
            </w:pPr>
            <w:r w:rsidRPr="002D25BB">
              <w:rPr>
                <w:sz w:val="20"/>
                <w:szCs w:val="20"/>
              </w:rPr>
              <w:t>1.888</w:t>
            </w:r>
          </w:p>
        </w:tc>
        <w:tc>
          <w:tcPr>
            <w:tcW w:w="900" w:type="dxa"/>
            <w:tcBorders>
              <w:top w:val="nil"/>
              <w:bottom w:val="nil"/>
              <w:right w:val="double" w:sz="4" w:space="0" w:color="auto"/>
            </w:tcBorders>
            <w:shd w:val="clear" w:color="auto" w:fill="FFFFFF" w:themeFill="background1"/>
            <w:vAlign w:val="center"/>
          </w:tcPr>
          <w:p w14:paraId="7833C747" w14:textId="77777777" w:rsidR="00AE680E" w:rsidRPr="002D25BB" w:rsidRDefault="00AE680E" w:rsidP="00396352">
            <w:pPr>
              <w:spacing w:before="0" w:after="0" w:line="240" w:lineRule="auto"/>
              <w:jc w:val="right"/>
              <w:rPr>
                <w:sz w:val="20"/>
                <w:szCs w:val="20"/>
              </w:rPr>
            </w:pPr>
            <w:r w:rsidRPr="002D25BB">
              <w:rPr>
                <w:sz w:val="20"/>
                <w:szCs w:val="20"/>
              </w:rPr>
              <w:t>3.20</w:t>
            </w:r>
          </w:p>
        </w:tc>
        <w:tc>
          <w:tcPr>
            <w:tcW w:w="900" w:type="dxa"/>
            <w:tcBorders>
              <w:left w:val="double" w:sz="4" w:space="0" w:color="auto"/>
              <w:bottom w:val="nil"/>
            </w:tcBorders>
            <w:shd w:val="clear" w:color="auto" w:fill="FFFFFF" w:themeFill="background1"/>
            <w:vAlign w:val="center"/>
            <w:hideMark/>
          </w:tcPr>
          <w:p w14:paraId="7570E507" w14:textId="77777777" w:rsidR="00AE680E" w:rsidRPr="002D25BB" w:rsidRDefault="00AE680E" w:rsidP="00396352">
            <w:pPr>
              <w:spacing w:before="0" w:after="0" w:line="240" w:lineRule="auto"/>
              <w:jc w:val="right"/>
              <w:rPr>
                <w:sz w:val="20"/>
                <w:szCs w:val="20"/>
              </w:rPr>
            </w:pPr>
            <w:r>
              <w:rPr>
                <w:sz w:val="20"/>
                <w:szCs w:val="20"/>
              </w:rPr>
              <w:t>1.460</w:t>
            </w:r>
          </w:p>
        </w:tc>
        <w:tc>
          <w:tcPr>
            <w:tcW w:w="910" w:type="dxa"/>
            <w:tcBorders>
              <w:bottom w:val="nil"/>
            </w:tcBorders>
            <w:shd w:val="clear" w:color="auto" w:fill="FFFFFF" w:themeFill="background1"/>
            <w:vAlign w:val="center"/>
            <w:hideMark/>
          </w:tcPr>
          <w:p w14:paraId="070F2FAA" w14:textId="77777777" w:rsidR="00AE680E" w:rsidRPr="002D25BB" w:rsidRDefault="00AE680E" w:rsidP="00396352">
            <w:pPr>
              <w:spacing w:before="0" w:after="0" w:line="240" w:lineRule="auto"/>
              <w:jc w:val="right"/>
              <w:rPr>
                <w:sz w:val="20"/>
                <w:szCs w:val="20"/>
              </w:rPr>
            </w:pPr>
            <w:r>
              <w:rPr>
                <w:sz w:val="20"/>
                <w:szCs w:val="20"/>
              </w:rPr>
              <w:t>1.64</w:t>
            </w:r>
          </w:p>
        </w:tc>
      </w:tr>
      <w:tr w:rsidR="00AE680E" w:rsidRPr="002D25BB" w14:paraId="2C306293" w14:textId="77777777" w:rsidTr="00396352">
        <w:trPr>
          <w:trHeight w:val="20"/>
        </w:trPr>
        <w:tc>
          <w:tcPr>
            <w:tcW w:w="3945" w:type="dxa"/>
            <w:tcBorders>
              <w:top w:val="nil"/>
              <w:bottom w:val="single" w:sz="4" w:space="0" w:color="auto"/>
              <w:right w:val="double" w:sz="4" w:space="0" w:color="auto"/>
            </w:tcBorders>
            <w:shd w:val="clear" w:color="auto" w:fill="FFFFFF" w:themeFill="background1"/>
            <w:vAlign w:val="center"/>
            <w:hideMark/>
          </w:tcPr>
          <w:p w14:paraId="72302743" w14:textId="77777777" w:rsidR="00AE680E" w:rsidRPr="002D25BB" w:rsidRDefault="00AE680E" w:rsidP="00396352">
            <w:pPr>
              <w:spacing w:before="0" w:after="0" w:line="240" w:lineRule="auto"/>
              <w:ind w:left="240"/>
              <w:jc w:val="left"/>
              <w:rPr>
                <w:sz w:val="20"/>
                <w:szCs w:val="20"/>
              </w:rPr>
            </w:pPr>
            <w:r w:rsidRPr="002D25BB">
              <w:rPr>
                <w:sz w:val="20"/>
                <w:szCs w:val="20"/>
              </w:rPr>
              <w:t>% individuals commuting by walking</w:t>
            </w:r>
          </w:p>
        </w:tc>
        <w:tc>
          <w:tcPr>
            <w:tcW w:w="990" w:type="dxa"/>
            <w:tcBorders>
              <w:top w:val="nil"/>
              <w:left w:val="double" w:sz="4" w:space="0" w:color="auto"/>
              <w:bottom w:val="single" w:sz="4" w:space="0" w:color="auto"/>
            </w:tcBorders>
            <w:shd w:val="clear" w:color="auto" w:fill="FFFFFF" w:themeFill="background1"/>
            <w:vAlign w:val="center"/>
            <w:hideMark/>
          </w:tcPr>
          <w:p w14:paraId="3C5F2C40"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tcBorders>
              <w:top w:val="nil"/>
              <w:bottom w:val="single" w:sz="4" w:space="0" w:color="auto"/>
              <w:right w:val="double" w:sz="4" w:space="0" w:color="auto"/>
            </w:tcBorders>
            <w:shd w:val="clear" w:color="auto" w:fill="FFFFFF" w:themeFill="background1"/>
            <w:vAlign w:val="center"/>
            <w:hideMark/>
          </w:tcPr>
          <w:p w14:paraId="2A317748"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nil"/>
              <w:left w:val="double" w:sz="4" w:space="0" w:color="auto"/>
              <w:bottom w:val="single" w:sz="4" w:space="0" w:color="auto"/>
            </w:tcBorders>
            <w:shd w:val="clear" w:color="auto" w:fill="FFFFFF" w:themeFill="background1"/>
            <w:vAlign w:val="center"/>
          </w:tcPr>
          <w:p w14:paraId="46B9CB70" w14:textId="77777777" w:rsidR="00AE680E" w:rsidRPr="002D25BB" w:rsidRDefault="00AE680E" w:rsidP="00396352">
            <w:pPr>
              <w:spacing w:before="0" w:after="0" w:line="240" w:lineRule="auto"/>
              <w:jc w:val="right"/>
              <w:rPr>
                <w:sz w:val="20"/>
                <w:szCs w:val="20"/>
              </w:rPr>
            </w:pPr>
            <w:r w:rsidRPr="002D25BB">
              <w:rPr>
                <w:sz w:val="20"/>
                <w:szCs w:val="20"/>
              </w:rPr>
              <w:t>1.563</w:t>
            </w:r>
          </w:p>
        </w:tc>
        <w:tc>
          <w:tcPr>
            <w:tcW w:w="900" w:type="dxa"/>
            <w:tcBorders>
              <w:top w:val="nil"/>
              <w:bottom w:val="single" w:sz="4" w:space="0" w:color="auto"/>
              <w:right w:val="double" w:sz="4" w:space="0" w:color="auto"/>
            </w:tcBorders>
            <w:shd w:val="clear" w:color="auto" w:fill="FFFFFF" w:themeFill="background1"/>
            <w:vAlign w:val="center"/>
          </w:tcPr>
          <w:p w14:paraId="60BE7010" w14:textId="77777777" w:rsidR="00AE680E" w:rsidRPr="002D25BB" w:rsidRDefault="00AE680E" w:rsidP="00396352">
            <w:pPr>
              <w:spacing w:before="0" w:after="0" w:line="240" w:lineRule="auto"/>
              <w:jc w:val="right"/>
              <w:rPr>
                <w:sz w:val="20"/>
                <w:szCs w:val="20"/>
              </w:rPr>
            </w:pPr>
            <w:r w:rsidRPr="002D25BB">
              <w:rPr>
                <w:sz w:val="20"/>
                <w:szCs w:val="20"/>
              </w:rPr>
              <w:t>2.87</w:t>
            </w:r>
          </w:p>
        </w:tc>
        <w:tc>
          <w:tcPr>
            <w:tcW w:w="900" w:type="dxa"/>
            <w:tcBorders>
              <w:top w:val="nil"/>
              <w:left w:val="double" w:sz="4" w:space="0" w:color="auto"/>
              <w:bottom w:val="single" w:sz="4" w:space="0" w:color="auto"/>
            </w:tcBorders>
            <w:shd w:val="clear" w:color="auto" w:fill="FFFFFF" w:themeFill="background1"/>
            <w:vAlign w:val="center"/>
            <w:hideMark/>
          </w:tcPr>
          <w:p w14:paraId="04DDF0A1"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nil"/>
              <w:bottom w:val="single" w:sz="4" w:space="0" w:color="auto"/>
            </w:tcBorders>
            <w:shd w:val="clear" w:color="auto" w:fill="FFFFFF" w:themeFill="background1"/>
            <w:vAlign w:val="center"/>
            <w:hideMark/>
          </w:tcPr>
          <w:p w14:paraId="516509A8"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2B7C16D6"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hideMark/>
          </w:tcPr>
          <w:p w14:paraId="5742747F" w14:textId="77777777" w:rsidR="00AE680E" w:rsidRPr="002D25BB" w:rsidRDefault="00AE680E" w:rsidP="00396352">
            <w:pPr>
              <w:spacing w:before="0" w:after="0" w:line="240" w:lineRule="auto"/>
              <w:jc w:val="left"/>
              <w:rPr>
                <w:b/>
                <w:bCs/>
                <w:sz w:val="20"/>
                <w:szCs w:val="20"/>
              </w:rPr>
            </w:pPr>
            <w:r w:rsidRPr="002D25BB">
              <w:rPr>
                <w:b/>
                <w:bCs/>
                <w:sz w:val="20"/>
                <w:szCs w:val="20"/>
              </w:rPr>
              <w:t>Cultural</w:t>
            </w:r>
          </w:p>
        </w:tc>
      </w:tr>
      <w:tr w:rsidR="00AE680E" w:rsidRPr="002D25BB" w14:paraId="2FA56F2A" w14:textId="77777777" w:rsidTr="00396352">
        <w:trPr>
          <w:trHeight w:val="20"/>
        </w:trPr>
        <w:tc>
          <w:tcPr>
            <w:tcW w:w="3945" w:type="dxa"/>
            <w:tcBorders>
              <w:top w:val="single" w:sz="4" w:space="0" w:color="auto"/>
              <w:right w:val="double" w:sz="4" w:space="0" w:color="auto"/>
            </w:tcBorders>
            <w:shd w:val="clear" w:color="auto" w:fill="FFFFFF" w:themeFill="background1"/>
            <w:vAlign w:val="center"/>
            <w:hideMark/>
          </w:tcPr>
          <w:p w14:paraId="5284DC65"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population with </w:t>
            </w:r>
            <w:r>
              <w:rPr>
                <w:sz w:val="20"/>
                <w:szCs w:val="20"/>
              </w:rPr>
              <w:t>less than</w:t>
            </w:r>
            <w:r w:rsidRPr="002D25BB">
              <w:rPr>
                <w:sz w:val="20"/>
                <w:szCs w:val="20"/>
              </w:rPr>
              <w:t xml:space="preserve"> </w:t>
            </w:r>
            <w:r>
              <w:rPr>
                <w:sz w:val="20"/>
                <w:szCs w:val="20"/>
              </w:rPr>
              <w:t>a h</w:t>
            </w:r>
            <w:r w:rsidRPr="002D25BB">
              <w:rPr>
                <w:sz w:val="20"/>
                <w:szCs w:val="20"/>
              </w:rPr>
              <w:t>igh school diploma</w:t>
            </w:r>
          </w:p>
        </w:tc>
        <w:tc>
          <w:tcPr>
            <w:tcW w:w="990" w:type="dxa"/>
            <w:tcBorders>
              <w:top w:val="single" w:sz="4" w:space="0" w:color="auto"/>
              <w:left w:val="double" w:sz="4" w:space="0" w:color="auto"/>
              <w:bottom w:val="nil"/>
            </w:tcBorders>
            <w:shd w:val="clear" w:color="auto" w:fill="FFFFFF" w:themeFill="background1"/>
            <w:vAlign w:val="center"/>
            <w:hideMark/>
          </w:tcPr>
          <w:p w14:paraId="4E07E190"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tcBorders>
              <w:top w:val="single" w:sz="4" w:space="0" w:color="auto"/>
              <w:bottom w:val="nil"/>
              <w:right w:val="double" w:sz="4" w:space="0" w:color="auto"/>
            </w:tcBorders>
            <w:shd w:val="clear" w:color="auto" w:fill="FFFFFF" w:themeFill="background1"/>
            <w:vAlign w:val="center"/>
            <w:hideMark/>
          </w:tcPr>
          <w:p w14:paraId="1F65271C"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single" w:sz="4" w:space="0" w:color="auto"/>
              <w:left w:val="double" w:sz="4" w:space="0" w:color="auto"/>
              <w:bottom w:val="nil"/>
            </w:tcBorders>
            <w:shd w:val="clear" w:color="auto" w:fill="FFFFFF" w:themeFill="background1"/>
            <w:vAlign w:val="center"/>
          </w:tcPr>
          <w:p w14:paraId="069A0FD4" w14:textId="77777777" w:rsidR="00AE680E" w:rsidRPr="002D25BB" w:rsidRDefault="00AE680E" w:rsidP="00396352">
            <w:pPr>
              <w:spacing w:before="0" w:after="0" w:line="240" w:lineRule="auto"/>
              <w:jc w:val="right"/>
              <w:rPr>
                <w:sz w:val="20"/>
                <w:szCs w:val="20"/>
              </w:rPr>
            </w:pPr>
            <w:r w:rsidRPr="002D25BB">
              <w:rPr>
                <w:sz w:val="20"/>
                <w:szCs w:val="20"/>
              </w:rPr>
              <w:t>0.877</w:t>
            </w:r>
          </w:p>
        </w:tc>
        <w:tc>
          <w:tcPr>
            <w:tcW w:w="900" w:type="dxa"/>
            <w:tcBorders>
              <w:top w:val="single" w:sz="4" w:space="0" w:color="auto"/>
              <w:bottom w:val="nil"/>
              <w:right w:val="double" w:sz="4" w:space="0" w:color="auto"/>
            </w:tcBorders>
            <w:shd w:val="clear" w:color="auto" w:fill="FFFFFF" w:themeFill="background1"/>
            <w:vAlign w:val="center"/>
          </w:tcPr>
          <w:p w14:paraId="5F5DE366" w14:textId="77777777" w:rsidR="00AE680E" w:rsidRPr="002D25BB" w:rsidRDefault="00AE680E" w:rsidP="00396352">
            <w:pPr>
              <w:spacing w:before="0" w:after="0" w:line="240" w:lineRule="auto"/>
              <w:jc w:val="right"/>
              <w:rPr>
                <w:sz w:val="20"/>
                <w:szCs w:val="20"/>
              </w:rPr>
            </w:pPr>
            <w:r w:rsidRPr="002D25BB">
              <w:rPr>
                <w:sz w:val="20"/>
                <w:szCs w:val="20"/>
              </w:rPr>
              <w:t>5.60</w:t>
            </w:r>
          </w:p>
        </w:tc>
        <w:tc>
          <w:tcPr>
            <w:tcW w:w="900" w:type="dxa"/>
            <w:tcBorders>
              <w:top w:val="single" w:sz="4" w:space="0" w:color="auto"/>
              <w:left w:val="double" w:sz="4" w:space="0" w:color="auto"/>
            </w:tcBorders>
            <w:shd w:val="clear" w:color="auto" w:fill="FFFFFF" w:themeFill="background1"/>
            <w:vAlign w:val="center"/>
            <w:hideMark/>
          </w:tcPr>
          <w:p w14:paraId="2FE9A06A"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tcBorders>
            <w:shd w:val="clear" w:color="auto" w:fill="FFFFFF" w:themeFill="background1"/>
            <w:vAlign w:val="center"/>
            <w:hideMark/>
          </w:tcPr>
          <w:p w14:paraId="30BBCC9D"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36BF8E1C" w14:textId="77777777" w:rsidTr="00396352">
        <w:trPr>
          <w:trHeight w:val="20"/>
        </w:trPr>
        <w:tc>
          <w:tcPr>
            <w:tcW w:w="3945" w:type="dxa"/>
            <w:tcBorders>
              <w:bottom w:val="single" w:sz="4" w:space="0" w:color="auto"/>
              <w:right w:val="double" w:sz="4" w:space="0" w:color="auto"/>
            </w:tcBorders>
            <w:shd w:val="clear" w:color="auto" w:fill="FFFFFF" w:themeFill="background1"/>
            <w:vAlign w:val="center"/>
            <w:hideMark/>
          </w:tcPr>
          <w:p w14:paraId="78A666B6"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Crime </w:t>
            </w:r>
            <w:r>
              <w:rPr>
                <w:sz w:val="20"/>
                <w:szCs w:val="20"/>
              </w:rPr>
              <w:t>r</w:t>
            </w:r>
            <w:r w:rsidRPr="002D25BB">
              <w:rPr>
                <w:sz w:val="20"/>
                <w:szCs w:val="20"/>
              </w:rPr>
              <w:t>ate (crimes/</w:t>
            </w:r>
            <w:r>
              <w:rPr>
                <w:sz w:val="20"/>
                <w:szCs w:val="20"/>
              </w:rPr>
              <w:t xml:space="preserve"> 0.1 </w:t>
            </w:r>
            <w:r w:rsidRPr="002D25BB">
              <w:rPr>
                <w:sz w:val="20"/>
                <w:szCs w:val="20"/>
              </w:rPr>
              <w:t xml:space="preserve">capita) </w:t>
            </w:r>
          </w:p>
        </w:tc>
        <w:tc>
          <w:tcPr>
            <w:tcW w:w="990" w:type="dxa"/>
            <w:tcBorders>
              <w:top w:val="nil"/>
              <w:left w:val="double" w:sz="4" w:space="0" w:color="auto"/>
              <w:bottom w:val="single" w:sz="4" w:space="0" w:color="auto"/>
            </w:tcBorders>
            <w:shd w:val="clear" w:color="auto" w:fill="FFFFFF" w:themeFill="background1"/>
            <w:vAlign w:val="center"/>
          </w:tcPr>
          <w:p w14:paraId="22BF46C2" w14:textId="77777777" w:rsidR="00AE680E" w:rsidRPr="002D25BB" w:rsidRDefault="00AE680E" w:rsidP="00396352">
            <w:pPr>
              <w:spacing w:before="0" w:after="0" w:line="240" w:lineRule="auto"/>
              <w:jc w:val="right"/>
              <w:rPr>
                <w:sz w:val="20"/>
                <w:szCs w:val="20"/>
              </w:rPr>
            </w:pPr>
            <w:r>
              <w:rPr>
                <w:sz w:val="20"/>
                <w:szCs w:val="20"/>
              </w:rPr>
              <w:t>0</w:t>
            </w:r>
            <w:r w:rsidRPr="002D25BB">
              <w:rPr>
                <w:sz w:val="20"/>
                <w:szCs w:val="20"/>
              </w:rPr>
              <w:t>.</w:t>
            </w:r>
            <w:r>
              <w:rPr>
                <w:sz w:val="20"/>
                <w:szCs w:val="20"/>
              </w:rPr>
              <w:t>1</w:t>
            </w:r>
            <w:r w:rsidRPr="002D25BB">
              <w:rPr>
                <w:sz w:val="20"/>
                <w:szCs w:val="20"/>
              </w:rPr>
              <w:t>78</w:t>
            </w:r>
          </w:p>
        </w:tc>
        <w:tc>
          <w:tcPr>
            <w:tcW w:w="720" w:type="dxa"/>
            <w:tcBorders>
              <w:top w:val="nil"/>
              <w:bottom w:val="single" w:sz="4" w:space="0" w:color="auto"/>
              <w:right w:val="double" w:sz="4" w:space="0" w:color="auto"/>
            </w:tcBorders>
            <w:shd w:val="clear" w:color="auto" w:fill="FFFFFF" w:themeFill="background1"/>
            <w:vAlign w:val="center"/>
          </w:tcPr>
          <w:p w14:paraId="1F0A5705" w14:textId="77777777" w:rsidR="00AE680E" w:rsidRPr="002D25BB" w:rsidRDefault="00AE680E" w:rsidP="00396352">
            <w:pPr>
              <w:spacing w:before="0" w:after="0" w:line="240" w:lineRule="auto"/>
              <w:jc w:val="right"/>
              <w:rPr>
                <w:sz w:val="20"/>
                <w:szCs w:val="20"/>
              </w:rPr>
            </w:pPr>
            <w:r w:rsidRPr="002D25BB">
              <w:rPr>
                <w:sz w:val="20"/>
                <w:szCs w:val="20"/>
              </w:rPr>
              <w:t>1.64</w:t>
            </w:r>
          </w:p>
        </w:tc>
        <w:tc>
          <w:tcPr>
            <w:tcW w:w="810" w:type="dxa"/>
            <w:tcBorders>
              <w:top w:val="nil"/>
              <w:left w:val="double" w:sz="4" w:space="0" w:color="auto"/>
              <w:bottom w:val="single" w:sz="4" w:space="0" w:color="auto"/>
            </w:tcBorders>
            <w:shd w:val="clear" w:color="auto" w:fill="FFFFFF" w:themeFill="background1"/>
            <w:vAlign w:val="center"/>
          </w:tcPr>
          <w:p w14:paraId="6AB92CC9" w14:textId="77777777" w:rsidR="00AE680E" w:rsidRPr="002D25BB" w:rsidRDefault="00AE680E" w:rsidP="00396352">
            <w:pPr>
              <w:spacing w:before="0" w:after="0" w:line="240" w:lineRule="auto"/>
              <w:jc w:val="right"/>
              <w:rPr>
                <w:sz w:val="20"/>
                <w:szCs w:val="20"/>
              </w:rPr>
            </w:pPr>
            <w:r w:rsidRPr="002D25BB">
              <w:rPr>
                <w:sz w:val="20"/>
                <w:szCs w:val="20"/>
              </w:rPr>
              <w:t>0.3</w:t>
            </w:r>
            <w:r>
              <w:rPr>
                <w:sz w:val="20"/>
                <w:szCs w:val="20"/>
              </w:rPr>
              <w:t>8</w:t>
            </w:r>
            <w:r w:rsidRPr="002D25BB">
              <w:rPr>
                <w:sz w:val="20"/>
                <w:szCs w:val="20"/>
              </w:rPr>
              <w:t>7</w:t>
            </w:r>
          </w:p>
        </w:tc>
        <w:tc>
          <w:tcPr>
            <w:tcW w:w="900" w:type="dxa"/>
            <w:tcBorders>
              <w:top w:val="nil"/>
              <w:bottom w:val="single" w:sz="4" w:space="0" w:color="auto"/>
              <w:right w:val="double" w:sz="4" w:space="0" w:color="auto"/>
            </w:tcBorders>
            <w:shd w:val="clear" w:color="auto" w:fill="FFFFFF" w:themeFill="background1"/>
            <w:vAlign w:val="center"/>
          </w:tcPr>
          <w:p w14:paraId="5CF81048" w14:textId="77777777" w:rsidR="00AE680E" w:rsidRPr="002D25BB" w:rsidRDefault="00AE680E" w:rsidP="00396352">
            <w:pPr>
              <w:spacing w:before="0" w:after="0" w:line="240" w:lineRule="auto"/>
              <w:jc w:val="right"/>
              <w:rPr>
                <w:sz w:val="20"/>
                <w:szCs w:val="20"/>
              </w:rPr>
            </w:pPr>
            <w:r w:rsidRPr="002D25BB">
              <w:rPr>
                <w:sz w:val="20"/>
                <w:szCs w:val="20"/>
              </w:rPr>
              <w:t>4.15</w:t>
            </w:r>
          </w:p>
        </w:tc>
        <w:tc>
          <w:tcPr>
            <w:tcW w:w="900" w:type="dxa"/>
            <w:tcBorders>
              <w:left w:val="double" w:sz="4" w:space="0" w:color="auto"/>
              <w:bottom w:val="single" w:sz="4" w:space="0" w:color="auto"/>
            </w:tcBorders>
            <w:shd w:val="clear" w:color="auto" w:fill="FFFFFF" w:themeFill="background1"/>
            <w:vAlign w:val="center"/>
            <w:hideMark/>
          </w:tcPr>
          <w:p w14:paraId="33957E43" w14:textId="77777777" w:rsidR="00AE680E" w:rsidRPr="002D25BB" w:rsidRDefault="00AE680E" w:rsidP="00396352">
            <w:pPr>
              <w:spacing w:before="0" w:after="0" w:line="240" w:lineRule="auto"/>
              <w:jc w:val="right"/>
              <w:rPr>
                <w:sz w:val="20"/>
                <w:szCs w:val="20"/>
              </w:rPr>
            </w:pPr>
            <w:r w:rsidRPr="002D25BB">
              <w:rPr>
                <w:sz w:val="20"/>
                <w:szCs w:val="20"/>
              </w:rPr>
              <w:t>0.8</w:t>
            </w:r>
            <w:r>
              <w:rPr>
                <w:sz w:val="20"/>
                <w:szCs w:val="20"/>
              </w:rPr>
              <w:t>86</w:t>
            </w:r>
          </w:p>
        </w:tc>
        <w:tc>
          <w:tcPr>
            <w:tcW w:w="910" w:type="dxa"/>
            <w:tcBorders>
              <w:bottom w:val="single" w:sz="4" w:space="0" w:color="auto"/>
            </w:tcBorders>
            <w:shd w:val="clear" w:color="auto" w:fill="FFFFFF" w:themeFill="background1"/>
            <w:vAlign w:val="center"/>
            <w:hideMark/>
          </w:tcPr>
          <w:p w14:paraId="09199D98" w14:textId="77777777" w:rsidR="00AE680E" w:rsidRPr="002D25BB" w:rsidRDefault="00AE680E" w:rsidP="00396352">
            <w:pPr>
              <w:spacing w:before="0" w:after="0" w:line="240" w:lineRule="auto"/>
              <w:jc w:val="right"/>
              <w:rPr>
                <w:sz w:val="20"/>
                <w:szCs w:val="20"/>
              </w:rPr>
            </w:pPr>
            <w:r w:rsidRPr="002D25BB">
              <w:rPr>
                <w:sz w:val="20"/>
                <w:szCs w:val="20"/>
              </w:rPr>
              <w:t>2.</w:t>
            </w:r>
            <w:r>
              <w:rPr>
                <w:sz w:val="20"/>
                <w:szCs w:val="20"/>
              </w:rPr>
              <w:t>50</w:t>
            </w:r>
          </w:p>
        </w:tc>
      </w:tr>
      <w:tr w:rsidR="00AE680E" w:rsidRPr="002D25BB" w14:paraId="5276DC6F"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hideMark/>
          </w:tcPr>
          <w:p w14:paraId="6DBBA35B" w14:textId="77777777" w:rsidR="00AE680E" w:rsidRPr="002D25BB" w:rsidRDefault="00AE680E" w:rsidP="00396352">
            <w:pPr>
              <w:spacing w:before="0" w:after="0" w:line="240" w:lineRule="auto"/>
              <w:jc w:val="left"/>
              <w:rPr>
                <w:b/>
                <w:bCs/>
                <w:sz w:val="20"/>
                <w:szCs w:val="20"/>
              </w:rPr>
            </w:pPr>
            <w:r w:rsidRPr="002D25BB">
              <w:rPr>
                <w:b/>
                <w:bCs/>
                <w:sz w:val="20"/>
                <w:szCs w:val="20"/>
              </w:rPr>
              <w:t>Built Environment</w:t>
            </w:r>
          </w:p>
        </w:tc>
      </w:tr>
      <w:tr w:rsidR="00AE680E" w:rsidRPr="002D25BB" w14:paraId="7940614E"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tcPr>
          <w:p w14:paraId="34F36A43" w14:textId="77777777" w:rsidR="00AE680E" w:rsidRPr="002D25BB" w:rsidRDefault="00AE680E" w:rsidP="00396352">
            <w:pPr>
              <w:spacing w:before="0" w:after="0" w:line="240" w:lineRule="auto"/>
              <w:jc w:val="left"/>
              <w:rPr>
                <w:b/>
                <w:bCs/>
                <w:sz w:val="20"/>
                <w:szCs w:val="20"/>
              </w:rPr>
            </w:pPr>
            <w:r w:rsidRPr="00210977">
              <w:rPr>
                <w:b/>
                <w:bCs/>
                <w:i/>
                <w:sz w:val="20"/>
                <w:szCs w:val="20"/>
              </w:rPr>
              <w:t>Active Transportation Facilities</w:t>
            </w:r>
          </w:p>
        </w:tc>
      </w:tr>
      <w:tr w:rsidR="00AE680E" w:rsidRPr="002D25BB" w14:paraId="45CB126E" w14:textId="77777777" w:rsidTr="00396352">
        <w:trPr>
          <w:trHeight w:val="20"/>
        </w:trPr>
        <w:tc>
          <w:tcPr>
            <w:tcW w:w="3945" w:type="dxa"/>
            <w:tcBorders>
              <w:top w:val="single" w:sz="4" w:space="0" w:color="auto"/>
              <w:bottom w:val="single" w:sz="4" w:space="0" w:color="auto"/>
              <w:right w:val="double" w:sz="4" w:space="0" w:color="auto"/>
            </w:tcBorders>
            <w:shd w:val="clear" w:color="auto" w:fill="FFFFFF" w:themeFill="background1"/>
            <w:vAlign w:val="center"/>
          </w:tcPr>
          <w:p w14:paraId="35E1ECCA" w14:textId="77777777" w:rsidR="00AE680E" w:rsidRPr="002D25BB" w:rsidRDefault="00AE680E" w:rsidP="00396352">
            <w:pPr>
              <w:spacing w:before="0" w:after="0" w:line="240" w:lineRule="auto"/>
              <w:ind w:left="150"/>
              <w:jc w:val="left"/>
              <w:rPr>
                <w:sz w:val="20"/>
                <w:szCs w:val="20"/>
              </w:rPr>
            </w:pPr>
            <w:r w:rsidRPr="002D25BB">
              <w:rPr>
                <w:sz w:val="20"/>
                <w:szCs w:val="20"/>
              </w:rPr>
              <w:t>Ratio of sidewalks to total road miles</w:t>
            </w:r>
          </w:p>
        </w:tc>
        <w:tc>
          <w:tcPr>
            <w:tcW w:w="990" w:type="dxa"/>
            <w:tcBorders>
              <w:top w:val="single" w:sz="4" w:space="0" w:color="auto"/>
              <w:left w:val="double" w:sz="4" w:space="0" w:color="auto"/>
              <w:bottom w:val="single" w:sz="4" w:space="0" w:color="auto"/>
            </w:tcBorders>
            <w:shd w:val="clear" w:color="auto" w:fill="FFFFFF" w:themeFill="background1"/>
            <w:vAlign w:val="center"/>
          </w:tcPr>
          <w:p w14:paraId="3745DA2C" w14:textId="77777777" w:rsidR="00AE680E" w:rsidRPr="002D25BB" w:rsidRDefault="00AE680E" w:rsidP="00396352">
            <w:pPr>
              <w:spacing w:before="0" w:after="0" w:line="240" w:lineRule="auto"/>
              <w:jc w:val="right"/>
              <w:rPr>
                <w:b/>
                <w:bCs/>
                <w:sz w:val="20"/>
                <w:szCs w:val="20"/>
              </w:rPr>
            </w:pPr>
            <w:r w:rsidRPr="002D25BB">
              <w:rPr>
                <w:sz w:val="20"/>
                <w:szCs w:val="20"/>
              </w:rPr>
              <w:t>-0.011</w:t>
            </w:r>
          </w:p>
        </w:tc>
        <w:tc>
          <w:tcPr>
            <w:tcW w:w="720" w:type="dxa"/>
            <w:tcBorders>
              <w:top w:val="single" w:sz="4" w:space="0" w:color="auto"/>
              <w:bottom w:val="single" w:sz="4" w:space="0" w:color="auto"/>
              <w:right w:val="double" w:sz="4" w:space="0" w:color="auto"/>
            </w:tcBorders>
            <w:shd w:val="clear" w:color="auto" w:fill="FFFFFF" w:themeFill="background1"/>
            <w:vAlign w:val="center"/>
          </w:tcPr>
          <w:p w14:paraId="0DCFAD31" w14:textId="77777777" w:rsidR="00AE680E" w:rsidRPr="002D25BB" w:rsidRDefault="00AE680E" w:rsidP="00396352">
            <w:pPr>
              <w:spacing w:before="0" w:after="0" w:line="240" w:lineRule="auto"/>
              <w:jc w:val="right"/>
              <w:rPr>
                <w:b/>
                <w:bCs/>
                <w:sz w:val="20"/>
                <w:szCs w:val="20"/>
              </w:rPr>
            </w:pPr>
            <w:r w:rsidRPr="002D25BB">
              <w:rPr>
                <w:sz w:val="20"/>
                <w:szCs w:val="20"/>
              </w:rPr>
              <w:t>-2.15</w:t>
            </w:r>
          </w:p>
        </w:tc>
        <w:tc>
          <w:tcPr>
            <w:tcW w:w="810" w:type="dxa"/>
            <w:tcBorders>
              <w:top w:val="single" w:sz="4" w:space="0" w:color="auto"/>
              <w:left w:val="double" w:sz="4" w:space="0" w:color="auto"/>
              <w:bottom w:val="single" w:sz="4" w:space="0" w:color="auto"/>
            </w:tcBorders>
            <w:shd w:val="clear" w:color="auto" w:fill="FFFFFF" w:themeFill="background1"/>
            <w:vAlign w:val="center"/>
          </w:tcPr>
          <w:p w14:paraId="7333F728"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900" w:type="dxa"/>
            <w:tcBorders>
              <w:top w:val="single" w:sz="4" w:space="0" w:color="auto"/>
              <w:bottom w:val="single" w:sz="4" w:space="0" w:color="auto"/>
              <w:right w:val="double" w:sz="4" w:space="0" w:color="auto"/>
            </w:tcBorders>
            <w:shd w:val="clear" w:color="auto" w:fill="FFFFFF" w:themeFill="background1"/>
            <w:vAlign w:val="center"/>
          </w:tcPr>
          <w:p w14:paraId="2B9DA8E0"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900" w:type="dxa"/>
            <w:tcBorders>
              <w:top w:val="single" w:sz="4" w:space="0" w:color="auto"/>
              <w:left w:val="double" w:sz="4" w:space="0" w:color="auto"/>
              <w:bottom w:val="single" w:sz="4" w:space="0" w:color="auto"/>
            </w:tcBorders>
            <w:shd w:val="clear" w:color="auto" w:fill="FFFFFF" w:themeFill="background1"/>
            <w:vAlign w:val="center"/>
          </w:tcPr>
          <w:p w14:paraId="5A647037"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bottom w:val="single" w:sz="4" w:space="0" w:color="auto"/>
            </w:tcBorders>
            <w:shd w:val="clear" w:color="auto" w:fill="FFFFFF" w:themeFill="background1"/>
            <w:vAlign w:val="center"/>
          </w:tcPr>
          <w:p w14:paraId="5A31DBD3"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77EFD8D6"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tcPr>
          <w:p w14:paraId="1A8EEB91" w14:textId="77777777" w:rsidR="00AE680E" w:rsidRPr="002D25BB" w:rsidRDefault="00AE680E" w:rsidP="00396352">
            <w:pPr>
              <w:spacing w:before="0" w:after="0" w:line="240" w:lineRule="auto"/>
              <w:jc w:val="left"/>
              <w:rPr>
                <w:b/>
                <w:bCs/>
                <w:sz w:val="20"/>
                <w:szCs w:val="20"/>
              </w:rPr>
            </w:pPr>
            <w:r w:rsidRPr="006C5803">
              <w:rPr>
                <w:b/>
                <w:i/>
                <w:sz w:val="20"/>
                <w:szCs w:val="20"/>
              </w:rPr>
              <w:t>School Availability</w:t>
            </w:r>
          </w:p>
        </w:tc>
      </w:tr>
      <w:tr w:rsidR="00AE680E" w:rsidRPr="002D25BB" w14:paraId="0E948B01" w14:textId="77777777" w:rsidTr="00396352">
        <w:trPr>
          <w:trHeight w:val="20"/>
        </w:trPr>
        <w:tc>
          <w:tcPr>
            <w:tcW w:w="3945" w:type="dxa"/>
            <w:tcBorders>
              <w:top w:val="single" w:sz="4" w:space="0" w:color="auto"/>
              <w:bottom w:val="single" w:sz="4" w:space="0" w:color="auto"/>
              <w:right w:val="double" w:sz="4" w:space="0" w:color="auto"/>
            </w:tcBorders>
            <w:shd w:val="clear" w:color="auto" w:fill="FFFFFF" w:themeFill="background1"/>
            <w:vAlign w:val="center"/>
          </w:tcPr>
          <w:p w14:paraId="475E8EAA"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schools per </w:t>
            </w:r>
            <w:r>
              <w:rPr>
                <w:sz w:val="20"/>
                <w:szCs w:val="20"/>
              </w:rPr>
              <w:t>in 10 acres</w:t>
            </w:r>
          </w:p>
        </w:tc>
        <w:tc>
          <w:tcPr>
            <w:tcW w:w="990" w:type="dxa"/>
            <w:tcBorders>
              <w:top w:val="single" w:sz="4" w:space="0" w:color="auto"/>
              <w:left w:val="double" w:sz="4" w:space="0" w:color="auto"/>
              <w:bottom w:val="single" w:sz="4" w:space="0" w:color="auto"/>
            </w:tcBorders>
            <w:shd w:val="clear" w:color="auto" w:fill="FFFFFF" w:themeFill="background1"/>
            <w:vAlign w:val="center"/>
          </w:tcPr>
          <w:p w14:paraId="1193F297"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720" w:type="dxa"/>
            <w:tcBorders>
              <w:top w:val="single" w:sz="4" w:space="0" w:color="auto"/>
              <w:bottom w:val="single" w:sz="4" w:space="0" w:color="auto"/>
              <w:right w:val="double" w:sz="4" w:space="0" w:color="auto"/>
            </w:tcBorders>
            <w:shd w:val="clear" w:color="auto" w:fill="FFFFFF" w:themeFill="background1"/>
            <w:vAlign w:val="center"/>
          </w:tcPr>
          <w:p w14:paraId="73CE54BB"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810" w:type="dxa"/>
            <w:tcBorders>
              <w:top w:val="single" w:sz="4" w:space="0" w:color="auto"/>
              <w:left w:val="double" w:sz="4" w:space="0" w:color="auto"/>
              <w:bottom w:val="single" w:sz="4" w:space="0" w:color="auto"/>
            </w:tcBorders>
            <w:shd w:val="clear" w:color="auto" w:fill="FFFFFF" w:themeFill="background1"/>
            <w:vAlign w:val="center"/>
          </w:tcPr>
          <w:p w14:paraId="4D958DE2" w14:textId="77777777" w:rsidR="00AE680E" w:rsidRPr="002D25BB" w:rsidRDefault="00AE680E" w:rsidP="00396352">
            <w:pPr>
              <w:spacing w:before="0" w:after="0" w:line="240" w:lineRule="auto"/>
              <w:jc w:val="right"/>
              <w:rPr>
                <w:b/>
                <w:bCs/>
                <w:sz w:val="20"/>
                <w:szCs w:val="20"/>
              </w:rPr>
            </w:pPr>
            <w:r w:rsidRPr="002D25BB">
              <w:rPr>
                <w:sz w:val="20"/>
                <w:szCs w:val="20"/>
              </w:rPr>
              <w:t>1.072</w:t>
            </w:r>
          </w:p>
        </w:tc>
        <w:tc>
          <w:tcPr>
            <w:tcW w:w="900" w:type="dxa"/>
            <w:tcBorders>
              <w:top w:val="single" w:sz="4" w:space="0" w:color="auto"/>
              <w:bottom w:val="single" w:sz="4" w:space="0" w:color="auto"/>
              <w:right w:val="double" w:sz="4" w:space="0" w:color="auto"/>
            </w:tcBorders>
            <w:shd w:val="clear" w:color="auto" w:fill="FFFFFF" w:themeFill="background1"/>
            <w:vAlign w:val="center"/>
          </w:tcPr>
          <w:p w14:paraId="7D70EBFE" w14:textId="77777777" w:rsidR="00AE680E" w:rsidRPr="002D25BB" w:rsidRDefault="00AE680E" w:rsidP="00396352">
            <w:pPr>
              <w:spacing w:before="0" w:after="0" w:line="240" w:lineRule="auto"/>
              <w:jc w:val="right"/>
              <w:rPr>
                <w:b/>
                <w:bCs/>
                <w:sz w:val="20"/>
                <w:szCs w:val="20"/>
              </w:rPr>
            </w:pPr>
            <w:r w:rsidRPr="002D25BB">
              <w:rPr>
                <w:sz w:val="20"/>
                <w:szCs w:val="20"/>
              </w:rPr>
              <w:t>1.97</w:t>
            </w:r>
          </w:p>
        </w:tc>
        <w:tc>
          <w:tcPr>
            <w:tcW w:w="900" w:type="dxa"/>
            <w:tcBorders>
              <w:top w:val="single" w:sz="4" w:space="0" w:color="auto"/>
              <w:left w:val="double" w:sz="4" w:space="0" w:color="auto"/>
              <w:bottom w:val="single" w:sz="4" w:space="0" w:color="auto"/>
            </w:tcBorders>
            <w:shd w:val="clear" w:color="auto" w:fill="FFFFFF" w:themeFill="background1"/>
            <w:vAlign w:val="center"/>
          </w:tcPr>
          <w:p w14:paraId="701A67C1"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bottom w:val="single" w:sz="4" w:space="0" w:color="auto"/>
            </w:tcBorders>
            <w:shd w:val="clear" w:color="auto" w:fill="FFFFFF" w:themeFill="background1"/>
            <w:vAlign w:val="center"/>
          </w:tcPr>
          <w:p w14:paraId="400B5A50"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28932A2F"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tcPr>
          <w:p w14:paraId="73A553F7" w14:textId="77777777" w:rsidR="00AE680E" w:rsidRPr="002D25BB" w:rsidRDefault="00AE680E" w:rsidP="00396352">
            <w:pPr>
              <w:spacing w:before="0" w:after="0" w:line="240" w:lineRule="auto"/>
              <w:jc w:val="left"/>
              <w:rPr>
                <w:b/>
                <w:bCs/>
                <w:sz w:val="20"/>
                <w:szCs w:val="20"/>
              </w:rPr>
            </w:pPr>
            <w:r>
              <w:rPr>
                <w:b/>
                <w:i/>
                <w:sz w:val="20"/>
                <w:szCs w:val="20"/>
              </w:rPr>
              <w:t>Transit</w:t>
            </w:r>
            <w:r w:rsidRPr="006C5803">
              <w:rPr>
                <w:b/>
                <w:i/>
                <w:sz w:val="20"/>
                <w:szCs w:val="20"/>
              </w:rPr>
              <w:t xml:space="preserve"> Availability</w:t>
            </w:r>
          </w:p>
        </w:tc>
      </w:tr>
      <w:tr w:rsidR="00AE680E" w:rsidRPr="002D25BB" w14:paraId="49372A20" w14:textId="77777777" w:rsidTr="00396352">
        <w:trPr>
          <w:trHeight w:val="20"/>
        </w:trPr>
        <w:tc>
          <w:tcPr>
            <w:tcW w:w="3945" w:type="dxa"/>
            <w:tcBorders>
              <w:top w:val="single" w:sz="4" w:space="0" w:color="auto"/>
              <w:bottom w:val="single" w:sz="4" w:space="0" w:color="auto"/>
              <w:right w:val="double" w:sz="4" w:space="0" w:color="auto"/>
            </w:tcBorders>
            <w:shd w:val="clear" w:color="auto" w:fill="FFFFFF" w:themeFill="background1"/>
            <w:vAlign w:val="center"/>
            <w:hideMark/>
          </w:tcPr>
          <w:p w14:paraId="30C625DE"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of bus stops per </w:t>
            </w:r>
            <w:r>
              <w:rPr>
                <w:sz w:val="20"/>
                <w:szCs w:val="20"/>
              </w:rPr>
              <w:t xml:space="preserve">10 </w:t>
            </w:r>
            <w:r w:rsidRPr="002D25BB">
              <w:rPr>
                <w:sz w:val="20"/>
                <w:szCs w:val="20"/>
              </w:rPr>
              <w:t>acre</w:t>
            </w:r>
            <w:r>
              <w:rPr>
                <w:sz w:val="20"/>
                <w:szCs w:val="20"/>
              </w:rPr>
              <w:t>s</w:t>
            </w:r>
          </w:p>
        </w:tc>
        <w:tc>
          <w:tcPr>
            <w:tcW w:w="990" w:type="dxa"/>
            <w:tcBorders>
              <w:top w:val="single" w:sz="4" w:space="0" w:color="auto"/>
              <w:left w:val="double" w:sz="4" w:space="0" w:color="auto"/>
              <w:bottom w:val="single" w:sz="4" w:space="0" w:color="auto"/>
            </w:tcBorders>
            <w:shd w:val="clear" w:color="auto" w:fill="FFFFFF" w:themeFill="background1"/>
            <w:vAlign w:val="center"/>
          </w:tcPr>
          <w:p w14:paraId="3CA7727E" w14:textId="77777777" w:rsidR="00AE680E" w:rsidRPr="002D25BB" w:rsidRDefault="00AE680E" w:rsidP="00396352">
            <w:pPr>
              <w:spacing w:before="0" w:after="0" w:line="240" w:lineRule="auto"/>
              <w:jc w:val="right"/>
              <w:rPr>
                <w:sz w:val="20"/>
                <w:szCs w:val="20"/>
              </w:rPr>
            </w:pPr>
            <w:r>
              <w:rPr>
                <w:sz w:val="20"/>
                <w:szCs w:val="20"/>
              </w:rPr>
              <w:t>0.</w:t>
            </w:r>
            <w:r w:rsidRPr="002D25BB">
              <w:rPr>
                <w:sz w:val="20"/>
                <w:szCs w:val="20"/>
              </w:rPr>
              <w:t>5</w:t>
            </w:r>
            <w:r>
              <w:rPr>
                <w:sz w:val="20"/>
                <w:szCs w:val="20"/>
              </w:rPr>
              <w:t>50</w:t>
            </w:r>
          </w:p>
        </w:tc>
        <w:tc>
          <w:tcPr>
            <w:tcW w:w="720" w:type="dxa"/>
            <w:tcBorders>
              <w:top w:val="single" w:sz="4" w:space="0" w:color="auto"/>
              <w:bottom w:val="single" w:sz="4" w:space="0" w:color="auto"/>
              <w:right w:val="double" w:sz="4" w:space="0" w:color="auto"/>
            </w:tcBorders>
            <w:shd w:val="clear" w:color="auto" w:fill="FFFFFF" w:themeFill="background1"/>
            <w:vAlign w:val="center"/>
          </w:tcPr>
          <w:p w14:paraId="7EE01221" w14:textId="77777777" w:rsidR="00AE680E" w:rsidRPr="002D25BB" w:rsidRDefault="00AE680E" w:rsidP="00396352">
            <w:pPr>
              <w:spacing w:before="0" w:after="0" w:line="240" w:lineRule="auto"/>
              <w:jc w:val="right"/>
              <w:rPr>
                <w:sz w:val="20"/>
                <w:szCs w:val="20"/>
              </w:rPr>
            </w:pPr>
            <w:r w:rsidRPr="002D25BB">
              <w:rPr>
                <w:sz w:val="20"/>
                <w:szCs w:val="20"/>
              </w:rPr>
              <w:t>4.47</w:t>
            </w:r>
          </w:p>
        </w:tc>
        <w:tc>
          <w:tcPr>
            <w:tcW w:w="810" w:type="dxa"/>
            <w:tcBorders>
              <w:top w:val="single" w:sz="4" w:space="0" w:color="auto"/>
              <w:left w:val="double" w:sz="4" w:space="0" w:color="auto"/>
              <w:bottom w:val="single" w:sz="4" w:space="0" w:color="auto"/>
            </w:tcBorders>
            <w:shd w:val="clear" w:color="auto" w:fill="FFFFFF" w:themeFill="background1"/>
            <w:vAlign w:val="center"/>
          </w:tcPr>
          <w:p w14:paraId="75246B54" w14:textId="77777777" w:rsidR="00AE680E" w:rsidRPr="002D25BB" w:rsidRDefault="00AE680E" w:rsidP="00396352">
            <w:pPr>
              <w:spacing w:before="0" w:after="0" w:line="240" w:lineRule="auto"/>
              <w:jc w:val="right"/>
              <w:rPr>
                <w:sz w:val="20"/>
                <w:szCs w:val="20"/>
              </w:rPr>
            </w:pPr>
            <w:r w:rsidRPr="002D25BB">
              <w:rPr>
                <w:sz w:val="20"/>
                <w:szCs w:val="20"/>
              </w:rPr>
              <w:t>0.671</w:t>
            </w:r>
          </w:p>
        </w:tc>
        <w:tc>
          <w:tcPr>
            <w:tcW w:w="900" w:type="dxa"/>
            <w:tcBorders>
              <w:top w:val="single" w:sz="4" w:space="0" w:color="auto"/>
              <w:bottom w:val="single" w:sz="4" w:space="0" w:color="auto"/>
              <w:right w:val="double" w:sz="4" w:space="0" w:color="auto"/>
            </w:tcBorders>
            <w:shd w:val="clear" w:color="auto" w:fill="FFFFFF" w:themeFill="background1"/>
            <w:vAlign w:val="center"/>
          </w:tcPr>
          <w:p w14:paraId="113672B9" w14:textId="77777777" w:rsidR="00AE680E" w:rsidRPr="002D25BB" w:rsidRDefault="00AE680E" w:rsidP="00396352">
            <w:pPr>
              <w:spacing w:before="0" w:after="0" w:line="240" w:lineRule="auto"/>
              <w:jc w:val="right"/>
              <w:rPr>
                <w:sz w:val="20"/>
                <w:szCs w:val="20"/>
              </w:rPr>
            </w:pPr>
            <w:r w:rsidRPr="002D25BB">
              <w:rPr>
                <w:sz w:val="20"/>
                <w:szCs w:val="20"/>
              </w:rPr>
              <w:t>6.46</w:t>
            </w:r>
          </w:p>
        </w:tc>
        <w:tc>
          <w:tcPr>
            <w:tcW w:w="900" w:type="dxa"/>
            <w:tcBorders>
              <w:top w:val="single" w:sz="4" w:space="0" w:color="auto"/>
              <w:left w:val="double" w:sz="4" w:space="0" w:color="auto"/>
              <w:bottom w:val="single" w:sz="4" w:space="0" w:color="auto"/>
            </w:tcBorders>
            <w:shd w:val="clear" w:color="auto" w:fill="FFFFFF" w:themeFill="background1"/>
            <w:vAlign w:val="center"/>
            <w:hideMark/>
          </w:tcPr>
          <w:p w14:paraId="70DBEAC3"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bottom w:val="single" w:sz="4" w:space="0" w:color="auto"/>
            </w:tcBorders>
            <w:shd w:val="clear" w:color="auto" w:fill="FFFFFF" w:themeFill="background1"/>
            <w:vAlign w:val="center"/>
            <w:hideMark/>
          </w:tcPr>
          <w:p w14:paraId="3FCA2696"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197D473E"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tcPr>
          <w:p w14:paraId="6457DB19" w14:textId="77777777" w:rsidR="00AE680E" w:rsidRPr="002D25BB" w:rsidRDefault="00AE680E" w:rsidP="00396352">
            <w:pPr>
              <w:spacing w:before="0" w:after="0" w:line="240" w:lineRule="auto"/>
              <w:jc w:val="left"/>
              <w:rPr>
                <w:b/>
                <w:bCs/>
                <w:sz w:val="20"/>
                <w:szCs w:val="20"/>
              </w:rPr>
            </w:pPr>
            <w:r>
              <w:rPr>
                <w:b/>
                <w:i/>
                <w:sz w:val="20"/>
                <w:szCs w:val="20"/>
              </w:rPr>
              <w:t>Road Design</w:t>
            </w:r>
          </w:p>
        </w:tc>
      </w:tr>
      <w:tr w:rsidR="00AE680E" w:rsidRPr="002D25BB" w14:paraId="1B2A1AA7" w14:textId="77777777" w:rsidTr="00396352">
        <w:trPr>
          <w:trHeight w:val="20"/>
        </w:trPr>
        <w:tc>
          <w:tcPr>
            <w:tcW w:w="3945" w:type="dxa"/>
            <w:tcBorders>
              <w:top w:val="single" w:sz="4" w:space="0" w:color="auto"/>
              <w:right w:val="double" w:sz="4" w:space="0" w:color="auto"/>
            </w:tcBorders>
            <w:shd w:val="clear" w:color="auto" w:fill="FFFFFF" w:themeFill="background1"/>
            <w:vAlign w:val="center"/>
            <w:hideMark/>
          </w:tcPr>
          <w:p w14:paraId="7622E458" w14:textId="77777777" w:rsidR="00AE680E" w:rsidRPr="002D25BB" w:rsidRDefault="00AE680E" w:rsidP="00396352">
            <w:pPr>
              <w:spacing w:before="0" w:after="0" w:line="240" w:lineRule="auto"/>
              <w:ind w:left="150"/>
              <w:jc w:val="left"/>
              <w:rPr>
                <w:sz w:val="20"/>
                <w:szCs w:val="20"/>
              </w:rPr>
            </w:pPr>
            <w:r w:rsidRPr="002D25BB">
              <w:rPr>
                <w:sz w:val="20"/>
                <w:szCs w:val="20"/>
              </w:rPr>
              <w:t># intersections per acre</w:t>
            </w:r>
          </w:p>
        </w:tc>
        <w:tc>
          <w:tcPr>
            <w:tcW w:w="990" w:type="dxa"/>
            <w:tcBorders>
              <w:top w:val="single" w:sz="4" w:space="0" w:color="auto"/>
              <w:left w:val="double" w:sz="4" w:space="0" w:color="auto"/>
              <w:bottom w:val="nil"/>
            </w:tcBorders>
            <w:shd w:val="clear" w:color="auto" w:fill="FFFFFF" w:themeFill="background1"/>
            <w:vAlign w:val="center"/>
            <w:hideMark/>
          </w:tcPr>
          <w:p w14:paraId="339F0778"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tcBorders>
              <w:top w:val="single" w:sz="4" w:space="0" w:color="auto"/>
              <w:bottom w:val="nil"/>
              <w:right w:val="double" w:sz="4" w:space="0" w:color="auto"/>
            </w:tcBorders>
            <w:shd w:val="clear" w:color="auto" w:fill="FFFFFF" w:themeFill="background1"/>
            <w:vAlign w:val="center"/>
            <w:hideMark/>
          </w:tcPr>
          <w:p w14:paraId="76EE580A"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single" w:sz="4" w:space="0" w:color="auto"/>
              <w:left w:val="double" w:sz="4" w:space="0" w:color="auto"/>
              <w:bottom w:val="nil"/>
            </w:tcBorders>
            <w:shd w:val="clear" w:color="auto" w:fill="FFFFFF" w:themeFill="background1"/>
            <w:vAlign w:val="center"/>
          </w:tcPr>
          <w:p w14:paraId="30B4627B" w14:textId="77777777" w:rsidR="00AE680E" w:rsidRPr="002D25BB" w:rsidRDefault="00AE680E" w:rsidP="00396352">
            <w:pPr>
              <w:spacing w:before="0" w:after="0" w:line="240" w:lineRule="auto"/>
              <w:jc w:val="right"/>
              <w:rPr>
                <w:sz w:val="20"/>
                <w:szCs w:val="20"/>
              </w:rPr>
            </w:pPr>
            <w:r w:rsidRPr="002D25BB">
              <w:rPr>
                <w:sz w:val="20"/>
                <w:szCs w:val="20"/>
              </w:rPr>
              <w:t>-1.474</w:t>
            </w:r>
          </w:p>
        </w:tc>
        <w:tc>
          <w:tcPr>
            <w:tcW w:w="900" w:type="dxa"/>
            <w:tcBorders>
              <w:top w:val="single" w:sz="4" w:space="0" w:color="auto"/>
              <w:bottom w:val="nil"/>
              <w:right w:val="double" w:sz="4" w:space="0" w:color="auto"/>
            </w:tcBorders>
            <w:shd w:val="clear" w:color="auto" w:fill="FFFFFF" w:themeFill="background1"/>
            <w:vAlign w:val="center"/>
          </w:tcPr>
          <w:p w14:paraId="1332E36D" w14:textId="77777777" w:rsidR="00AE680E" w:rsidRPr="002D25BB" w:rsidRDefault="00AE680E" w:rsidP="00396352">
            <w:pPr>
              <w:spacing w:before="0" w:after="0" w:line="240" w:lineRule="auto"/>
              <w:jc w:val="right"/>
              <w:rPr>
                <w:sz w:val="20"/>
                <w:szCs w:val="20"/>
              </w:rPr>
            </w:pPr>
            <w:r w:rsidRPr="002D25BB">
              <w:rPr>
                <w:sz w:val="20"/>
                <w:szCs w:val="20"/>
              </w:rPr>
              <w:t>-2.13</w:t>
            </w:r>
          </w:p>
        </w:tc>
        <w:tc>
          <w:tcPr>
            <w:tcW w:w="900" w:type="dxa"/>
            <w:tcBorders>
              <w:top w:val="single" w:sz="4" w:space="0" w:color="auto"/>
              <w:left w:val="double" w:sz="4" w:space="0" w:color="auto"/>
            </w:tcBorders>
            <w:shd w:val="clear" w:color="auto" w:fill="FFFFFF" w:themeFill="background1"/>
            <w:vAlign w:val="center"/>
            <w:hideMark/>
          </w:tcPr>
          <w:p w14:paraId="224B7ECD" w14:textId="77777777" w:rsidR="00AE680E" w:rsidRPr="002D25BB" w:rsidRDefault="00AE680E" w:rsidP="00396352">
            <w:pPr>
              <w:spacing w:before="0" w:after="0" w:line="240" w:lineRule="auto"/>
              <w:jc w:val="right"/>
              <w:rPr>
                <w:sz w:val="20"/>
                <w:szCs w:val="20"/>
              </w:rPr>
            </w:pPr>
            <w:r>
              <w:rPr>
                <w:sz w:val="20"/>
                <w:szCs w:val="20"/>
              </w:rPr>
              <w:t>0.901</w:t>
            </w:r>
          </w:p>
        </w:tc>
        <w:tc>
          <w:tcPr>
            <w:tcW w:w="910" w:type="dxa"/>
            <w:tcBorders>
              <w:top w:val="single" w:sz="4" w:space="0" w:color="auto"/>
            </w:tcBorders>
            <w:shd w:val="clear" w:color="auto" w:fill="FFFFFF" w:themeFill="background1"/>
            <w:vAlign w:val="center"/>
            <w:hideMark/>
          </w:tcPr>
          <w:p w14:paraId="454C4CC6" w14:textId="77777777" w:rsidR="00AE680E" w:rsidRPr="002D25BB" w:rsidRDefault="00AE680E" w:rsidP="00396352">
            <w:pPr>
              <w:spacing w:before="0" w:after="0" w:line="240" w:lineRule="auto"/>
              <w:jc w:val="right"/>
              <w:rPr>
                <w:sz w:val="20"/>
                <w:szCs w:val="20"/>
              </w:rPr>
            </w:pPr>
            <w:r w:rsidRPr="002D25BB">
              <w:rPr>
                <w:sz w:val="20"/>
                <w:szCs w:val="20"/>
              </w:rPr>
              <w:t>1.</w:t>
            </w:r>
            <w:r>
              <w:rPr>
                <w:sz w:val="20"/>
                <w:szCs w:val="20"/>
              </w:rPr>
              <w:t>21</w:t>
            </w:r>
          </w:p>
        </w:tc>
      </w:tr>
      <w:tr w:rsidR="00AE680E" w:rsidRPr="002D25BB" w14:paraId="1E0BF287" w14:textId="77777777" w:rsidTr="00396352">
        <w:trPr>
          <w:trHeight w:val="20"/>
        </w:trPr>
        <w:tc>
          <w:tcPr>
            <w:tcW w:w="3945" w:type="dxa"/>
            <w:tcBorders>
              <w:right w:val="double" w:sz="4" w:space="0" w:color="auto"/>
            </w:tcBorders>
            <w:shd w:val="clear" w:color="auto" w:fill="FFFFFF" w:themeFill="background1"/>
            <w:vAlign w:val="center"/>
            <w:hideMark/>
          </w:tcPr>
          <w:p w14:paraId="394D4086" w14:textId="77777777" w:rsidR="00AE680E" w:rsidRPr="002D25BB" w:rsidRDefault="00AE680E" w:rsidP="00396352">
            <w:pPr>
              <w:spacing w:before="0" w:after="0" w:line="240" w:lineRule="auto"/>
              <w:ind w:left="150"/>
              <w:jc w:val="left"/>
              <w:rPr>
                <w:sz w:val="20"/>
                <w:szCs w:val="20"/>
              </w:rPr>
            </w:pPr>
            <w:r w:rsidRPr="002D25BB">
              <w:rPr>
                <w:sz w:val="20"/>
                <w:szCs w:val="20"/>
              </w:rPr>
              <w:t>% four or more–leg intersections</w:t>
            </w:r>
          </w:p>
        </w:tc>
        <w:tc>
          <w:tcPr>
            <w:tcW w:w="990" w:type="dxa"/>
            <w:tcBorders>
              <w:top w:val="nil"/>
              <w:left w:val="double" w:sz="4" w:space="0" w:color="auto"/>
              <w:bottom w:val="nil"/>
            </w:tcBorders>
            <w:shd w:val="clear" w:color="auto" w:fill="FFFFFF" w:themeFill="background1"/>
            <w:vAlign w:val="center"/>
          </w:tcPr>
          <w:p w14:paraId="63B135EF" w14:textId="77777777" w:rsidR="00AE680E" w:rsidRPr="002D25BB" w:rsidRDefault="00AE680E" w:rsidP="00396352">
            <w:pPr>
              <w:spacing w:before="0" w:after="0" w:line="240" w:lineRule="auto"/>
              <w:jc w:val="right"/>
              <w:rPr>
                <w:sz w:val="20"/>
                <w:szCs w:val="20"/>
              </w:rPr>
            </w:pPr>
            <w:r w:rsidRPr="002D25BB">
              <w:rPr>
                <w:sz w:val="20"/>
                <w:szCs w:val="20"/>
              </w:rPr>
              <w:t>0.375</w:t>
            </w:r>
          </w:p>
        </w:tc>
        <w:tc>
          <w:tcPr>
            <w:tcW w:w="720" w:type="dxa"/>
            <w:tcBorders>
              <w:top w:val="nil"/>
              <w:bottom w:val="nil"/>
              <w:right w:val="double" w:sz="4" w:space="0" w:color="auto"/>
            </w:tcBorders>
            <w:shd w:val="clear" w:color="auto" w:fill="FFFFFF" w:themeFill="background1"/>
            <w:vAlign w:val="center"/>
          </w:tcPr>
          <w:p w14:paraId="206F0930" w14:textId="77777777" w:rsidR="00AE680E" w:rsidRPr="002D25BB" w:rsidRDefault="00AE680E" w:rsidP="00396352">
            <w:pPr>
              <w:spacing w:before="0" w:after="0" w:line="240" w:lineRule="auto"/>
              <w:jc w:val="right"/>
              <w:rPr>
                <w:sz w:val="20"/>
                <w:szCs w:val="20"/>
              </w:rPr>
            </w:pPr>
            <w:r w:rsidRPr="002D25BB">
              <w:rPr>
                <w:sz w:val="20"/>
                <w:szCs w:val="20"/>
              </w:rPr>
              <w:t>2.28</w:t>
            </w:r>
          </w:p>
        </w:tc>
        <w:tc>
          <w:tcPr>
            <w:tcW w:w="810" w:type="dxa"/>
            <w:tcBorders>
              <w:top w:val="nil"/>
              <w:left w:val="double" w:sz="4" w:space="0" w:color="auto"/>
              <w:bottom w:val="nil"/>
            </w:tcBorders>
            <w:shd w:val="clear" w:color="auto" w:fill="FFFFFF" w:themeFill="background1"/>
            <w:vAlign w:val="center"/>
          </w:tcPr>
          <w:p w14:paraId="5EC03779" w14:textId="77777777" w:rsidR="00AE680E" w:rsidRPr="002D25BB" w:rsidRDefault="00AE680E" w:rsidP="00396352">
            <w:pPr>
              <w:spacing w:before="0" w:after="0" w:line="240" w:lineRule="auto"/>
              <w:jc w:val="right"/>
              <w:rPr>
                <w:sz w:val="20"/>
                <w:szCs w:val="20"/>
              </w:rPr>
            </w:pPr>
            <w:r w:rsidRPr="002D25BB">
              <w:rPr>
                <w:sz w:val="20"/>
                <w:szCs w:val="20"/>
              </w:rPr>
              <w:t>0.507</w:t>
            </w:r>
          </w:p>
        </w:tc>
        <w:tc>
          <w:tcPr>
            <w:tcW w:w="900" w:type="dxa"/>
            <w:tcBorders>
              <w:top w:val="nil"/>
              <w:bottom w:val="nil"/>
              <w:right w:val="double" w:sz="4" w:space="0" w:color="auto"/>
            </w:tcBorders>
            <w:shd w:val="clear" w:color="auto" w:fill="FFFFFF" w:themeFill="background1"/>
            <w:vAlign w:val="center"/>
          </w:tcPr>
          <w:p w14:paraId="0F1D1046" w14:textId="77777777" w:rsidR="00AE680E" w:rsidRPr="002D25BB" w:rsidRDefault="00AE680E" w:rsidP="00396352">
            <w:pPr>
              <w:spacing w:before="0" w:after="0" w:line="240" w:lineRule="auto"/>
              <w:jc w:val="right"/>
              <w:rPr>
                <w:sz w:val="20"/>
                <w:szCs w:val="20"/>
              </w:rPr>
            </w:pPr>
            <w:r w:rsidRPr="002D25BB">
              <w:rPr>
                <w:sz w:val="20"/>
                <w:szCs w:val="20"/>
              </w:rPr>
              <w:t>3.19</w:t>
            </w:r>
          </w:p>
        </w:tc>
        <w:tc>
          <w:tcPr>
            <w:tcW w:w="900" w:type="dxa"/>
            <w:tcBorders>
              <w:left w:val="double" w:sz="4" w:space="0" w:color="auto"/>
            </w:tcBorders>
            <w:shd w:val="clear" w:color="auto" w:fill="FFFFFF" w:themeFill="background1"/>
            <w:vAlign w:val="center"/>
            <w:hideMark/>
          </w:tcPr>
          <w:p w14:paraId="690615CF"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297F91DF"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3DABE2B5" w14:textId="77777777" w:rsidTr="00396352">
        <w:trPr>
          <w:trHeight w:val="20"/>
        </w:trPr>
        <w:tc>
          <w:tcPr>
            <w:tcW w:w="3945" w:type="dxa"/>
            <w:tcBorders>
              <w:right w:val="double" w:sz="4" w:space="0" w:color="auto"/>
            </w:tcBorders>
            <w:shd w:val="clear" w:color="auto" w:fill="FFFFFF" w:themeFill="background1"/>
            <w:vAlign w:val="center"/>
            <w:hideMark/>
          </w:tcPr>
          <w:p w14:paraId="4B63E8B4" w14:textId="77777777" w:rsidR="00AE680E" w:rsidRPr="002D25BB" w:rsidRDefault="00AE680E" w:rsidP="00396352">
            <w:pPr>
              <w:spacing w:before="0" w:after="0" w:line="240" w:lineRule="auto"/>
              <w:ind w:left="150"/>
              <w:jc w:val="left"/>
              <w:rPr>
                <w:sz w:val="20"/>
                <w:szCs w:val="20"/>
              </w:rPr>
            </w:pPr>
            <w:r w:rsidRPr="002D25BB">
              <w:rPr>
                <w:sz w:val="20"/>
                <w:szCs w:val="20"/>
              </w:rPr>
              <w:t># traffic signals relative to # of intersections</w:t>
            </w:r>
          </w:p>
        </w:tc>
        <w:tc>
          <w:tcPr>
            <w:tcW w:w="990" w:type="dxa"/>
            <w:tcBorders>
              <w:top w:val="nil"/>
              <w:left w:val="double" w:sz="4" w:space="0" w:color="auto"/>
              <w:bottom w:val="nil"/>
            </w:tcBorders>
            <w:shd w:val="clear" w:color="auto" w:fill="FFFFFF" w:themeFill="background1"/>
            <w:vAlign w:val="center"/>
          </w:tcPr>
          <w:p w14:paraId="52E31C0E" w14:textId="08A33D4D" w:rsidR="00AE680E" w:rsidRPr="002D25BB" w:rsidRDefault="00AE680E" w:rsidP="00396352">
            <w:pPr>
              <w:spacing w:before="0" w:after="0" w:line="240" w:lineRule="auto"/>
              <w:jc w:val="right"/>
              <w:rPr>
                <w:sz w:val="20"/>
                <w:szCs w:val="20"/>
              </w:rPr>
            </w:pPr>
            <w:r w:rsidRPr="002D25BB">
              <w:rPr>
                <w:sz w:val="20"/>
                <w:szCs w:val="20"/>
              </w:rPr>
              <w:t>-0</w:t>
            </w:r>
            <w:r w:rsidR="000465C2">
              <w:rPr>
                <w:sz w:val="20"/>
                <w:szCs w:val="20"/>
              </w:rPr>
              <w:t>.</w:t>
            </w:r>
            <w:r w:rsidRPr="002D25BB">
              <w:rPr>
                <w:sz w:val="20"/>
                <w:szCs w:val="20"/>
              </w:rPr>
              <w:t>263</w:t>
            </w:r>
          </w:p>
        </w:tc>
        <w:tc>
          <w:tcPr>
            <w:tcW w:w="720" w:type="dxa"/>
            <w:tcBorders>
              <w:top w:val="nil"/>
              <w:bottom w:val="nil"/>
              <w:right w:val="double" w:sz="4" w:space="0" w:color="auto"/>
            </w:tcBorders>
            <w:shd w:val="clear" w:color="auto" w:fill="FFFFFF" w:themeFill="background1"/>
            <w:vAlign w:val="center"/>
          </w:tcPr>
          <w:p w14:paraId="6DB816AE" w14:textId="77777777" w:rsidR="00AE680E" w:rsidRPr="002D25BB" w:rsidRDefault="00AE680E" w:rsidP="00396352">
            <w:pPr>
              <w:spacing w:before="0" w:after="0" w:line="240" w:lineRule="auto"/>
              <w:jc w:val="right"/>
              <w:rPr>
                <w:sz w:val="20"/>
                <w:szCs w:val="20"/>
              </w:rPr>
            </w:pPr>
            <w:r w:rsidRPr="002D25BB">
              <w:rPr>
                <w:sz w:val="20"/>
                <w:szCs w:val="20"/>
              </w:rPr>
              <w:t>-2.72</w:t>
            </w:r>
          </w:p>
        </w:tc>
        <w:tc>
          <w:tcPr>
            <w:tcW w:w="810" w:type="dxa"/>
            <w:tcBorders>
              <w:top w:val="nil"/>
              <w:left w:val="double" w:sz="4" w:space="0" w:color="auto"/>
              <w:bottom w:val="nil"/>
            </w:tcBorders>
            <w:shd w:val="clear" w:color="auto" w:fill="FFFFFF" w:themeFill="background1"/>
            <w:vAlign w:val="center"/>
          </w:tcPr>
          <w:p w14:paraId="4A4B09FF" w14:textId="77777777" w:rsidR="00AE680E" w:rsidRPr="002D25BB" w:rsidRDefault="00AE680E" w:rsidP="00396352">
            <w:pPr>
              <w:spacing w:before="0" w:after="0" w:line="240" w:lineRule="auto"/>
              <w:jc w:val="right"/>
              <w:rPr>
                <w:sz w:val="20"/>
                <w:szCs w:val="20"/>
              </w:rPr>
            </w:pPr>
            <w:r w:rsidRPr="002D25BB">
              <w:rPr>
                <w:sz w:val="20"/>
                <w:szCs w:val="20"/>
              </w:rPr>
              <w:t>0.130</w:t>
            </w:r>
          </w:p>
        </w:tc>
        <w:tc>
          <w:tcPr>
            <w:tcW w:w="900" w:type="dxa"/>
            <w:tcBorders>
              <w:top w:val="nil"/>
              <w:bottom w:val="nil"/>
              <w:right w:val="double" w:sz="4" w:space="0" w:color="auto"/>
            </w:tcBorders>
            <w:shd w:val="clear" w:color="auto" w:fill="FFFFFF" w:themeFill="background1"/>
            <w:vAlign w:val="center"/>
          </w:tcPr>
          <w:p w14:paraId="3BCB4DFC" w14:textId="77777777" w:rsidR="00AE680E" w:rsidRPr="002D25BB" w:rsidRDefault="00AE680E" w:rsidP="00396352">
            <w:pPr>
              <w:spacing w:before="0" w:after="0" w:line="240" w:lineRule="auto"/>
              <w:jc w:val="right"/>
              <w:rPr>
                <w:sz w:val="20"/>
                <w:szCs w:val="20"/>
              </w:rPr>
            </w:pPr>
            <w:r w:rsidRPr="002D25BB">
              <w:rPr>
                <w:sz w:val="20"/>
                <w:szCs w:val="20"/>
              </w:rPr>
              <w:t>2.08</w:t>
            </w:r>
          </w:p>
        </w:tc>
        <w:tc>
          <w:tcPr>
            <w:tcW w:w="900" w:type="dxa"/>
            <w:tcBorders>
              <w:left w:val="double" w:sz="4" w:space="0" w:color="auto"/>
            </w:tcBorders>
            <w:shd w:val="clear" w:color="auto" w:fill="FFFFFF" w:themeFill="background1"/>
            <w:vAlign w:val="center"/>
            <w:hideMark/>
          </w:tcPr>
          <w:p w14:paraId="017B87E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7B1A5E98"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5FDA484E" w14:textId="77777777" w:rsidTr="00396352">
        <w:trPr>
          <w:trHeight w:val="20"/>
        </w:trPr>
        <w:tc>
          <w:tcPr>
            <w:tcW w:w="3945" w:type="dxa"/>
            <w:tcBorders>
              <w:right w:val="double" w:sz="4" w:space="0" w:color="auto"/>
            </w:tcBorders>
            <w:shd w:val="clear" w:color="auto" w:fill="FFFFFF" w:themeFill="background1"/>
            <w:vAlign w:val="center"/>
            <w:hideMark/>
          </w:tcPr>
          <w:p w14:paraId="062517F1"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Road </w:t>
            </w:r>
            <w:r>
              <w:rPr>
                <w:sz w:val="20"/>
                <w:szCs w:val="20"/>
              </w:rPr>
              <w:t>d</w:t>
            </w:r>
            <w:r w:rsidRPr="002D25BB">
              <w:rPr>
                <w:sz w:val="20"/>
                <w:szCs w:val="20"/>
              </w:rPr>
              <w:t>ensity (miles/</w:t>
            </w:r>
            <w:r>
              <w:rPr>
                <w:sz w:val="20"/>
                <w:szCs w:val="20"/>
              </w:rPr>
              <w:t xml:space="preserve">10 </w:t>
            </w:r>
            <w:r w:rsidRPr="002D25BB">
              <w:rPr>
                <w:sz w:val="20"/>
                <w:szCs w:val="20"/>
              </w:rPr>
              <w:t xml:space="preserve">acres) </w:t>
            </w:r>
          </w:p>
        </w:tc>
        <w:tc>
          <w:tcPr>
            <w:tcW w:w="990" w:type="dxa"/>
            <w:tcBorders>
              <w:top w:val="nil"/>
              <w:left w:val="double" w:sz="4" w:space="0" w:color="auto"/>
              <w:bottom w:val="nil"/>
            </w:tcBorders>
            <w:shd w:val="clear" w:color="auto" w:fill="FFFFFF" w:themeFill="background1"/>
            <w:vAlign w:val="center"/>
          </w:tcPr>
          <w:p w14:paraId="58143863" w14:textId="77777777" w:rsidR="00AE680E" w:rsidRPr="002D25BB" w:rsidRDefault="00AE680E" w:rsidP="00396352">
            <w:pPr>
              <w:spacing w:before="0" w:after="0" w:line="240" w:lineRule="auto"/>
              <w:jc w:val="right"/>
              <w:rPr>
                <w:sz w:val="20"/>
                <w:szCs w:val="20"/>
              </w:rPr>
            </w:pPr>
            <w:r w:rsidRPr="002D25BB">
              <w:rPr>
                <w:sz w:val="20"/>
                <w:szCs w:val="20"/>
              </w:rPr>
              <w:t>-0.405</w:t>
            </w:r>
          </w:p>
        </w:tc>
        <w:tc>
          <w:tcPr>
            <w:tcW w:w="720" w:type="dxa"/>
            <w:tcBorders>
              <w:top w:val="nil"/>
              <w:bottom w:val="nil"/>
              <w:right w:val="double" w:sz="4" w:space="0" w:color="auto"/>
            </w:tcBorders>
            <w:shd w:val="clear" w:color="auto" w:fill="FFFFFF" w:themeFill="background1"/>
            <w:vAlign w:val="center"/>
          </w:tcPr>
          <w:p w14:paraId="1AC424E1" w14:textId="77777777" w:rsidR="00AE680E" w:rsidRPr="002D25BB" w:rsidRDefault="00AE680E" w:rsidP="00396352">
            <w:pPr>
              <w:spacing w:before="0" w:after="0" w:line="240" w:lineRule="auto"/>
              <w:jc w:val="right"/>
              <w:rPr>
                <w:sz w:val="20"/>
                <w:szCs w:val="20"/>
              </w:rPr>
            </w:pPr>
            <w:r w:rsidRPr="002D25BB">
              <w:rPr>
                <w:sz w:val="20"/>
                <w:szCs w:val="20"/>
              </w:rPr>
              <w:t>-3.19</w:t>
            </w:r>
          </w:p>
        </w:tc>
        <w:tc>
          <w:tcPr>
            <w:tcW w:w="810" w:type="dxa"/>
            <w:tcBorders>
              <w:top w:val="nil"/>
              <w:left w:val="double" w:sz="4" w:space="0" w:color="auto"/>
              <w:bottom w:val="nil"/>
            </w:tcBorders>
            <w:shd w:val="clear" w:color="auto" w:fill="FFFFFF" w:themeFill="background1"/>
            <w:vAlign w:val="center"/>
            <w:hideMark/>
          </w:tcPr>
          <w:p w14:paraId="71C78954"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nil"/>
              <w:right w:val="double" w:sz="4" w:space="0" w:color="auto"/>
            </w:tcBorders>
            <w:shd w:val="clear" w:color="auto" w:fill="FFFFFF" w:themeFill="background1"/>
            <w:vAlign w:val="center"/>
            <w:hideMark/>
          </w:tcPr>
          <w:p w14:paraId="0EEC4132"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left w:val="double" w:sz="4" w:space="0" w:color="auto"/>
            </w:tcBorders>
            <w:shd w:val="clear" w:color="auto" w:fill="FFFFFF" w:themeFill="background1"/>
            <w:vAlign w:val="center"/>
            <w:hideMark/>
          </w:tcPr>
          <w:p w14:paraId="188DE160"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160BDAEC"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3F77A3A4" w14:textId="77777777" w:rsidTr="00396352">
        <w:trPr>
          <w:trHeight w:val="20"/>
        </w:trPr>
        <w:tc>
          <w:tcPr>
            <w:tcW w:w="3945" w:type="dxa"/>
            <w:tcBorders>
              <w:right w:val="double" w:sz="4" w:space="0" w:color="auto"/>
            </w:tcBorders>
            <w:shd w:val="clear" w:color="auto" w:fill="FFFFFF" w:themeFill="background1"/>
            <w:vAlign w:val="center"/>
            <w:hideMark/>
          </w:tcPr>
          <w:p w14:paraId="5414B77E" w14:textId="77777777" w:rsidR="00AE680E" w:rsidRPr="002D25BB" w:rsidRDefault="00AE680E" w:rsidP="00396352">
            <w:pPr>
              <w:spacing w:before="0" w:after="0" w:line="240" w:lineRule="auto"/>
              <w:ind w:left="150"/>
              <w:jc w:val="left"/>
              <w:rPr>
                <w:sz w:val="20"/>
                <w:szCs w:val="20"/>
              </w:rPr>
            </w:pPr>
            <w:r w:rsidRPr="002D25BB">
              <w:rPr>
                <w:sz w:val="20"/>
                <w:szCs w:val="20"/>
              </w:rPr>
              <w:t>% Freeway</w:t>
            </w:r>
            <w:r>
              <w:rPr>
                <w:sz w:val="20"/>
                <w:szCs w:val="20"/>
              </w:rPr>
              <w:t xml:space="preserve"> miles</w:t>
            </w:r>
          </w:p>
        </w:tc>
        <w:tc>
          <w:tcPr>
            <w:tcW w:w="990" w:type="dxa"/>
            <w:tcBorders>
              <w:top w:val="nil"/>
              <w:left w:val="double" w:sz="4" w:space="0" w:color="auto"/>
              <w:bottom w:val="nil"/>
            </w:tcBorders>
            <w:shd w:val="clear" w:color="auto" w:fill="FFFFFF" w:themeFill="background1"/>
            <w:vAlign w:val="center"/>
          </w:tcPr>
          <w:p w14:paraId="39D050D7" w14:textId="77777777" w:rsidR="00AE680E" w:rsidRPr="002D25BB" w:rsidRDefault="00AE680E" w:rsidP="00396352">
            <w:pPr>
              <w:spacing w:before="0" w:after="0" w:line="240" w:lineRule="auto"/>
              <w:jc w:val="right"/>
              <w:rPr>
                <w:bCs/>
                <w:sz w:val="20"/>
                <w:szCs w:val="20"/>
              </w:rPr>
            </w:pPr>
            <w:r w:rsidRPr="002D25BB">
              <w:rPr>
                <w:bCs/>
                <w:sz w:val="20"/>
                <w:szCs w:val="20"/>
              </w:rPr>
              <w:t>1.134</w:t>
            </w:r>
          </w:p>
        </w:tc>
        <w:tc>
          <w:tcPr>
            <w:tcW w:w="720" w:type="dxa"/>
            <w:tcBorders>
              <w:top w:val="nil"/>
              <w:bottom w:val="nil"/>
              <w:right w:val="double" w:sz="4" w:space="0" w:color="auto"/>
            </w:tcBorders>
            <w:shd w:val="clear" w:color="auto" w:fill="FFFFFF" w:themeFill="background1"/>
            <w:vAlign w:val="center"/>
          </w:tcPr>
          <w:p w14:paraId="07BA0972" w14:textId="77777777" w:rsidR="00AE680E" w:rsidRPr="002D25BB" w:rsidRDefault="00AE680E" w:rsidP="00396352">
            <w:pPr>
              <w:spacing w:before="0" w:after="0" w:line="240" w:lineRule="auto"/>
              <w:jc w:val="right"/>
              <w:rPr>
                <w:bCs/>
                <w:sz w:val="20"/>
                <w:szCs w:val="20"/>
              </w:rPr>
            </w:pPr>
            <w:r w:rsidRPr="002D25BB">
              <w:rPr>
                <w:bCs/>
                <w:sz w:val="20"/>
                <w:szCs w:val="20"/>
              </w:rPr>
              <w:t>3.42</w:t>
            </w:r>
          </w:p>
        </w:tc>
        <w:tc>
          <w:tcPr>
            <w:tcW w:w="810" w:type="dxa"/>
            <w:tcBorders>
              <w:top w:val="nil"/>
              <w:left w:val="double" w:sz="4" w:space="0" w:color="auto"/>
              <w:bottom w:val="nil"/>
            </w:tcBorders>
            <w:shd w:val="clear" w:color="auto" w:fill="FFFFFF" w:themeFill="background1"/>
            <w:vAlign w:val="center"/>
          </w:tcPr>
          <w:p w14:paraId="07091CE1" w14:textId="77777777" w:rsidR="00AE680E" w:rsidRPr="002D25BB" w:rsidRDefault="00AE680E" w:rsidP="00396352">
            <w:pPr>
              <w:spacing w:before="0" w:after="0" w:line="240" w:lineRule="auto"/>
              <w:jc w:val="right"/>
              <w:rPr>
                <w:sz w:val="20"/>
                <w:szCs w:val="20"/>
              </w:rPr>
            </w:pPr>
            <w:r w:rsidRPr="002D25BB">
              <w:rPr>
                <w:sz w:val="20"/>
                <w:szCs w:val="20"/>
              </w:rPr>
              <w:t>0.793</w:t>
            </w:r>
          </w:p>
        </w:tc>
        <w:tc>
          <w:tcPr>
            <w:tcW w:w="900" w:type="dxa"/>
            <w:tcBorders>
              <w:top w:val="nil"/>
              <w:bottom w:val="nil"/>
              <w:right w:val="double" w:sz="4" w:space="0" w:color="auto"/>
            </w:tcBorders>
            <w:shd w:val="clear" w:color="auto" w:fill="FFFFFF" w:themeFill="background1"/>
            <w:vAlign w:val="center"/>
          </w:tcPr>
          <w:p w14:paraId="03A59BA4" w14:textId="77777777" w:rsidR="00AE680E" w:rsidRPr="002D25BB" w:rsidRDefault="00AE680E" w:rsidP="00396352">
            <w:pPr>
              <w:spacing w:before="0" w:after="0" w:line="240" w:lineRule="auto"/>
              <w:jc w:val="right"/>
              <w:rPr>
                <w:sz w:val="20"/>
                <w:szCs w:val="20"/>
              </w:rPr>
            </w:pPr>
            <w:r w:rsidRPr="002D25BB">
              <w:rPr>
                <w:sz w:val="20"/>
                <w:szCs w:val="20"/>
              </w:rPr>
              <w:t>2.72</w:t>
            </w:r>
          </w:p>
        </w:tc>
        <w:tc>
          <w:tcPr>
            <w:tcW w:w="900" w:type="dxa"/>
            <w:tcBorders>
              <w:left w:val="double" w:sz="4" w:space="0" w:color="auto"/>
            </w:tcBorders>
            <w:shd w:val="clear" w:color="auto" w:fill="FFFFFF" w:themeFill="background1"/>
            <w:vAlign w:val="center"/>
            <w:hideMark/>
          </w:tcPr>
          <w:p w14:paraId="03508307"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42BF499B"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5E909A4D" w14:textId="77777777" w:rsidTr="00396352">
        <w:trPr>
          <w:trHeight w:val="20"/>
        </w:trPr>
        <w:tc>
          <w:tcPr>
            <w:tcW w:w="3945" w:type="dxa"/>
            <w:tcBorders>
              <w:right w:val="double" w:sz="4" w:space="0" w:color="auto"/>
            </w:tcBorders>
            <w:shd w:val="clear" w:color="auto" w:fill="FFFFFF" w:themeFill="background1"/>
            <w:vAlign w:val="center"/>
            <w:hideMark/>
          </w:tcPr>
          <w:p w14:paraId="6BCD9D5F" w14:textId="77777777" w:rsidR="00AE680E" w:rsidRPr="002D25BB" w:rsidRDefault="00AE680E" w:rsidP="00396352">
            <w:pPr>
              <w:spacing w:before="0" w:after="0" w:line="240" w:lineRule="auto"/>
              <w:ind w:left="150"/>
              <w:jc w:val="left"/>
              <w:rPr>
                <w:sz w:val="20"/>
                <w:szCs w:val="20"/>
              </w:rPr>
            </w:pPr>
            <w:r w:rsidRPr="002D25BB">
              <w:rPr>
                <w:sz w:val="20"/>
                <w:szCs w:val="20"/>
              </w:rPr>
              <w:t>% Local road</w:t>
            </w:r>
            <w:r>
              <w:rPr>
                <w:sz w:val="20"/>
                <w:szCs w:val="20"/>
              </w:rPr>
              <w:t xml:space="preserve"> miles</w:t>
            </w:r>
          </w:p>
        </w:tc>
        <w:tc>
          <w:tcPr>
            <w:tcW w:w="990" w:type="dxa"/>
            <w:tcBorders>
              <w:top w:val="nil"/>
              <w:left w:val="double" w:sz="4" w:space="0" w:color="auto"/>
              <w:bottom w:val="nil"/>
            </w:tcBorders>
            <w:shd w:val="clear" w:color="auto" w:fill="FFFFFF" w:themeFill="background1"/>
            <w:vAlign w:val="center"/>
            <w:hideMark/>
          </w:tcPr>
          <w:p w14:paraId="4A1B3AB3"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tcBorders>
              <w:top w:val="nil"/>
              <w:bottom w:val="nil"/>
              <w:right w:val="double" w:sz="4" w:space="0" w:color="auto"/>
            </w:tcBorders>
            <w:shd w:val="clear" w:color="auto" w:fill="FFFFFF" w:themeFill="background1"/>
            <w:vAlign w:val="center"/>
            <w:hideMark/>
          </w:tcPr>
          <w:p w14:paraId="11A7C22B"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nil"/>
              <w:left w:val="double" w:sz="4" w:space="0" w:color="auto"/>
              <w:bottom w:val="nil"/>
            </w:tcBorders>
            <w:shd w:val="clear" w:color="auto" w:fill="FFFFFF" w:themeFill="background1"/>
            <w:vAlign w:val="center"/>
            <w:hideMark/>
          </w:tcPr>
          <w:p w14:paraId="6BD096A1"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nil"/>
              <w:right w:val="double" w:sz="4" w:space="0" w:color="auto"/>
            </w:tcBorders>
            <w:shd w:val="clear" w:color="auto" w:fill="FFFFFF" w:themeFill="background1"/>
            <w:vAlign w:val="center"/>
            <w:hideMark/>
          </w:tcPr>
          <w:p w14:paraId="3C2F825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left w:val="double" w:sz="4" w:space="0" w:color="auto"/>
            </w:tcBorders>
            <w:shd w:val="clear" w:color="auto" w:fill="FFFFFF" w:themeFill="background1"/>
            <w:vAlign w:val="center"/>
            <w:hideMark/>
          </w:tcPr>
          <w:p w14:paraId="05A92EF0" w14:textId="77777777" w:rsidR="00AE680E" w:rsidRPr="002D25BB" w:rsidRDefault="00AE680E" w:rsidP="00396352">
            <w:pPr>
              <w:spacing w:before="0" w:after="0" w:line="240" w:lineRule="auto"/>
              <w:jc w:val="right"/>
              <w:rPr>
                <w:sz w:val="20"/>
                <w:szCs w:val="20"/>
              </w:rPr>
            </w:pPr>
            <w:r w:rsidRPr="002D25BB">
              <w:rPr>
                <w:sz w:val="20"/>
                <w:szCs w:val="20"/>
              </w:rPr>
              <w:t>0.2</w:t>
            </w:r>
            <w:r>
              <w:rPr>
                <w:sz w:val="20"/>
                <w:szCs w:val="20"/>
              </w:rPr>
              <w:t>51</w:t>
            </w:r>
          </w:p>
        </w:tc>
        <w:tc>
          <w:tcPr>
            <w:tcW w:w="910" w:type="dxa"/>
            <w:shd w:val="clear" w:color="auto" w:fill="FFFFFF" w:themeFill="background1"/>
            <w:vAlign w:val="center"/>
            <w:hideMark/>
          </w:tcPr>
          <w:p w14:paraId="467A580C" w14:textId="77777777" w:rsidR="00AE680E" w:rsidRPr="002D25BB" w:rsidRDefault="00AE680E" w:rsidP="00396352">
            <w:pPr>
              <w:spacing w:before="0" w:after="0" w:line="240" w:lineRule="auto"/>
              <w:jc w:val="right"/>
              <w:rPr>
                <w:sz w:val="20"/>
                <w:szCs w:val="20"/>
              </w:rPr>
            </w:pPr>
            <w:r w:rsidRPr="002D25BB">
              <w:rPr>
                <w:sz w:val="20"/>
                <w:szCs w:val="20"/>
              </w:rPr>
              <w:t>1.3</w:t>
            </w:r>
            <w:r>
              <w:rPr>
                <w:sz w:val="20"/>
                <w:szCs w:val="20"/>
              </w:rPr>
              <w:t>1</w:t>
            </w:r>
          </w:p>
        </w:tc>
      </w:tr>
      <w:tr w:rsidR="00AE680E" w:rsidRPr="002D25BB" w14:paraId="755CB749" w14:textId="77777777" w:rsidTr="00396352">
        <w:trPr>
          <w:trHeight w:val="20"/>
        </w:trPr>
        <w:tc>
          <w:tcPr>
            <w:tcW w:w="3945" w:type="dxa"/>
            <w:tcBorders>
              <w:right w:val="double" w:sz="4" w:space="0" w:color="auto"/>
            </w:tcBorders>
            <w:shd w:val="clear" w:color="auto" w:fill="FFFFFF" w:themeFill="background1"/>
            <w:vAlign w:val="center"/>
            <w:hideMark/>
          </w:tcPr>
          <w:p w14:paraId="6C7C62EC"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Principal </w:t>
            </w:r>
            <w:r>
              <w:rPr>
                <w:sz w:val="20"/>
                <w:szCs w:val="20"/>
              </w:rPr>
              <w:t>a</w:t>
            </w:r>
            <w:r w:rsidRPr="002D25BB">
              <w:rPr>
                <w:sz w:val="20"/>
                <w:szCs w:val="20"/>
              </w:rPr>
              <w:t>rterial</w:t>
            </w:r>
            <w:r>
              <w:rPr>
                <w:sz w:val="20"/>
                <w:szCs w:val="20"/>
              </w:rPr>
              <w:t xml:space="preserve"> miles</w:t>
            </w:r>
          </w:p>
        </w:tc>
        <w:tc>
          <w:tcPr>
            <w:tcW w:w="990" w:type="dxa"/>
            <w:tcBorders>
              <w:top w:val="nil"/>
              <w:left w:val="double" w:sz="4" w:space="0" w:color="auto"/>
              <w:bottom w:val="nil"/>
            </w:tcBorders>
            <w:shd w:val="clear" w:color="auto" w:fill="FFFFFF" w:themeFill="background1"/>
            <w:vAlign w:val="center"/>
            <w:hideMark/>
          </w:tcPr>
          <w:p w14:paraId="7AEBE799"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tcBorders>
              <w:top w:val="nil"/>
              <w:bottom w:val="nil"/>
              <w:right w:val="double" w:sz="4" w:space="0" w:color="auto"/>
            </w:tcBorders>
            <w:shd w:val="clear" w:color="auto" w:fill="FFFFFF" w:themeFill="background1"/>
            <w:vAlign w:val="center"/>
            <w:hideMark/>
          </w:tcPr>
          <w:p w14:paraId="4720E021"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nil"/>
              <w:left w:val="double" w:sz="4" w:space="0" w:color="auto"/>
              <w:bottom w:val="nil"/>
            </w:tcBorders>
            <w:shd w:val="clear" w:color="auto" w:fill="FFFFFF" w:themeFill="background1"/>
            <w:vAlign w:val="center"/>
          </w:tcPr>
          <w:p w14:paraId="53431C17" w14:textId="77777777" w:rsidR="00AE680E" w:rsidRPr="002D25BB" w:rsidRDefault="00AE680E" w:rsidP="00396352">
            <w:pPr>
              <w:spacing w:before="0" w:after="0" w:line="240" w:lineRule="auto"/>
              <w:jc w:val="right"/>
              <w:rPr>
                <w:sz w:val="20"/>
                <w:szCs w:val="20"/>
              </w:rPr>
            </w:pPr>
            <w:r w:rsidRPr="002D25BB">
              <w:rPr>
                <w:sz w:val="20"/>
                <w:szCs w:val="20"/>
              </w:rPr>
              <w:t>0.291</w:t>
            </w:r>
          </w:p>
        </w:tc>
        <w:tc>
          <w:tcPr>
            <w:tcW w:w="900" w:type="dxa"/>
            <w:tcBorders>
              <w:top w:val="nil"/>
              <w:bottom w:val="nil"/>
              <w:right w:val="double" w:sz="4" w:space="0" w:color="auto"/>
            </w:tcBorders>
            <w:shd w:val="clear" w:color="auto" w:fill="FFFFFF" w:themeFill="background1"/>
            <w:vAlign w:val="center"/>
          </w:tcPr>
          <w:p w14:paraId="509990D8" w14:textId="77777777" w:rsidR="00AE680E" w:rsidRPr="002D25BB" w:rsidRDefault="00AE680E" w:rsidP="00396352">
            <w:pPr>
              <w:spacing w:before="0" w:after="0" w:line="240" w:lineRule="auto"/>
              <w:jc w:val="right"/>
              <w:rPr>
                <w:sz w:val="20"/>
                <w:szCs w:val="20"/>
              </w:rPr>
            </w:pPr>
            <w:r w:rsidRPr="002D25BB">
              <w:rPr>
                <w:sz w:val="20"/>
                <w:szCs w:val="20"/>
              </w:rPr>
              <w:t>1.40</w:t>
            </w:r>
          </w:p>
        </w:tc>
        <w:tc>
          <w:tcPr>
            <w:tcW w:w="900" w:type="dxa"/>
            <w:tcBorders>
              <w:left w:val="double" w:sz="4" w:space="0" w:color="auto"/>
            </w:tcBorders>
            <w:shd w:val="clear" w:color="auto" w:fill="FFFFFF" w:themeFill="background1"/>
            <w:vAlign w:val="center"/>
            <w:hideMark/>
          </w:tcPr>
          <w:p w14:paraId="2E569D4A"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4BDCEC29"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0BE37828" w14:textId="77777777" w:rsidTr="00396352">
        <w:trPr>
          <w:trHeight w:val="20"/>
        </w:trPr>
        <w:tc>
          <w:tcPr>
            <w:tcW w:w="3945" w:type="dxa"/>
            <w:tcBorders>
              <w:bottom w:val="nil"/>
              <w:right w:val="double" w:sz="4" w:space="0" w:color="auto"/>
            </w:tcBorders>
            <w:shd w:val="clear" w:color="auto" w:fill="FFFFFF" w:themeFill="background1"/>
            <w:vAlign w:val="center"/>
            <w:hideMark/>
          </w:tcPr>
          <w:p w14:paraId="00F055EC" w14:textId="77777777" w:rsidR="00AE680E" w:rsidRPr="002D25BB" w:rsidRDefault="00AE680E" w:rsidP="00396352">
            <w:pPr>
              <w:spacing w:before="0" w:after="0" w:line="240" w:lineRule="auto"/>
              <w:ind w:left="150"/>
              <w:jc w:val="left"/>
              <w:rPr>
                <w:sz w:val="20"/>
                <w:szCs w:val="20"/>
              </w:rPr>
            </w:pPr>
            <w:r w:rsidRPr="002D25BB">
              <w:rPr>
                <w:sz w:val="20"/>
                <w:szCs w:val="20"/>
              </w:rPr>
              <w:t>% Four or more lane road</w:t>
            </w:r>
            <w:r>
              <w:rPr>
                <w:sz w:val="20"/>
                <w:szCs w:val="20"/>
              </w:rPr>
              <w:t xml:space="preserve"> miles</w:t>
            </w:r>
          </w:p>
        </w:tc>
        <w:tc>
          <w:tcPr>
            <w:tcW w:w="990" w:type="dxa"/>
            <w:tcBorders>
              <w:top w:val="nil"/>
              <w:left w:val="double" w:sz="4" w:space="0" w:color="auto"/>
              <w:bottom w:val="nil"/>
            </w:tcBorders>
            <w:shd w:val="clear" w:color="auto" w:fill="FFFFFF" w:themeFill="background1"/>
            <w:vAlign w:val="center"/>
          </w:tcPr>
          <w:p w14:paraId="1F1CEF84" w14:textId="77777777" w:rsidR="00AE680E" w:rsidRPr="002D25BB" w:rsidRDefault="00AE680E" w:rsidP="00396352">
            <w:pPr>
              <w:spacing w:before="0" w:after="0" w:line="240" w:lineRule="auto"/>
              <w:jc w:val="right"/>
              <w:rPr>
                <w:sz w:val="20"/>
                <w:szCs w:val="20"/>
              </w:rPr>
            </w:pPr>
            <w:r w:rsidRPr="002D25BB">
              <w:rPr>
                <w:sz w:val="20"/>
                <w:szCs w:val="20"/>
              </w:rPr>
              <w:t>0.344</w:t>
            </w:r>
          </w:p>
        </w:tc>
        <w:tc>
          <w:tcPr>
            <w:tcW w:w="720" w:type="dxa"/>
            <w:tcBorders>
              <w:top w:val="nil"/>
              <w:bottom w:val="nil"/>
              <w:right w:val="double" w:sz="4" w:space="0" w:color="auto"/>
            </w:tcBorders>
            <w:shd w:val="clear" w:color="auto" w:fill="FFFFFF" w:themeFill="background1"/>
            <w:vAlign w:val="center"/>
          </w:tcPr>
          <w:p w14:paraId="341D57F2" w14:textId="77777777" w:rsidR="00AE680E" w:rsidRPr="002D25BB" w:rsidRDefault="00AE680E" w:rsidP="00396352">
            <w:pPr>
              <w:spacing w:before="0" w:after="0" w:line="240" w:lineRule="auto"/>
              <w:jc w:val="right"/>
              <w:rPr>
                <w:sz w:val="20"/>
                <w:szCs w:val="20"/>
              </w:rPr>
            </w:pPr>
            <w:r w:rsidRPr="002D25BB">
              <w:rPr>
                <w:sz w:val="20"/>
                <w:szCs w:val="20"/>
              </w:rPr>
              <w:t>1.92</w:t>
            </w:r>
          </w:p>
        </w:tc>
        <w:tc>
          <w:tcPr>
            <w:tcW w:w="810" w:type="dxa"/>
            <w:tcBorders>
              <w:top w:val="nil"/>
              <w:left w:val="double" w:sz="4" w:space="0" w:color="auto"/>
              <w:bottom w:val="nil"/>
            </w:tcBorders>
            <w:shd w:val="clear" w:color="auto" w:fill="FFFFFF" w:themeFill="background1"/>
            <w:vAlign w:val="center"/>
          </w:tcPr>
          <w:p w14:paraId="64C3BEB5" w14:textId="77777777" w:rsidR="00AE680E" w:rsidRPr="002D25BB" w:rsidRDefault="00AE680E" w:rsidP="00396352">
            <w:pPr>
              <w:spacing w:before="0" w:after="0" w:line="240" w:lineRule="auto"/>
              <w:jc w:val="right"/>
              <w:rPr>
                <w:bCs/>
                <w:sz w:val="20"/>
                <w:szCs w:val="20"/>
              </w:rPr>
            </w:pPr>
            <w:r w:rsidRPr="002D25BB">
              <w:rPr>
                <w:bCs/>
                <w:sz w:val="20"/>
                <w:szCs w:val="20"/>
              </w:rPr>
              <w:t>0.268</w:t>
            </w:r>
          </w:p>
        </w:tc>
        <w:tc>
          <w:tcPr>
            <w:tcW w:w="900" w:type="dxa"/>
            <w:tcBorders>
              <w:top w:val="nil"/>
              <w:bottom w:val="nil"/>
              <w:right w:val="double" w:sz="4" w:space="0" w:color="auto"/>
            </w:tcBorders>
            <w:shd w:val="clear" w:color="auto" w:fill="FFFFFF" w:themeFill="background1"/>
            <w:vAlign w:val="center"/>
          </w:tcPr>
          <w:p w14:paraId="44781B81" w14:textId="77777777" w:rsidR="00AE680E" w:rsidRPr="002D25BB" w:rsidRDefault="00AE680E" w:rsidP="00396352">
            <w:pPr>
              <w:spacing w:before="0" w:after="0" w:line="240" w:lineRule="auto"/>
              <w:jc w:val="right"/>
              <w:rPr>
                <w:bCs/>
                <w:sz w:val="20"/>
                <w:szCs w:val="20"/>
              </w:rPr>
            </w:pPr>
            <w:r w:rsidRPr="002D25BB">
              <w:rPr>
                <w:bCs/>
                <w:sz w:val="20"/>
                <w:szCs w:val="20"/>
              </w:rPr>
              <w:t>1.74</w:t>
            </w:r>
          </w:p>
        </w:tc>
        <w:tc>
          <w:tcPr>
            <w:tcW w:w="900" w:type="dxa"/>
            <w:tcBorders>
              <w:left w:val="double" w:sz="4" w:space="0" w:color="auto"/>
              <w:bottom w:val="nil"/>
            </w:tcBorders>
            <w:shd w:val="clear" w:color="auto" w:fill="FFFFFF" w:themeFill="background1"/>
            <w:vAlign w:val="center"/>
            <w:hideMark/>
          </w:tcPr>
          <w:p w14:paraId="4EC3FBA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bottom w:val="nil"/>
            </w:tcBorders>
            <w:shd w:val="clear" w:color="auto" w:fill="FFFFFF" w:themeFill="background1"/>
            <w:vAlign w:val="center"/>
            <w:hideMark/>
          </w:tcPr>
          <w:p w14:paraId="4F9B178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614DD27F" w14:textId="77777777" w:rsidTr="00396352">
        <w:trPr>
          <w:trHeight w:val="20"/>
        </w:trPr>
        <w:tc>
          <w:tcPr>
            <w:tcW w:w="3945" w:type="dxa"/>
            <w:tcBorders>
              <w:top w:val="nil"/>
              <w:bottom w:val="single" w:sz="4" w:space="0" w:color="auto"/>
              <w:right w:val="double" w:sz="4" w:space="0" w:color="auto"/>
            </w:tcBorders>
            <w:shd w:val="clear" w:color="auto" w:fill="FFFFFF" w:themeFill="background1"/>
            <w:vAlign w:val="center"/>
            <w:hideMark/>
          </w:tcPr>
          <w:p w14:paraId="30855AA4" w14:textId="77777777" w:rsidR="00AE680E" w:rsidRPr="002D25BB" w:rsidRDefault="00AE680E" w:rsidP="00396352">
            <w:pPr>
              <w:spacing w:before="0" w:after="0" w:line="240" w:lineRule="auto"/>
              <w:ind w:left="150"/>
              <w:jc w:val="left"/>
              <w:rPr>
                <w:sz w:val="20"/>
                <w:szCs w:val="20"/>
              </w:rPr>
            </w:pPr>
            <w:r w:rsidRPr="002D25BB">
              <w:rPr>
                <w:sz w:val="20"/>
                <w:szCs w:val="20"/>
              </w:rPr>
              <w:t>Land-use diversity index</w:t>
            </w:r>
          </w:p>
        </w:tc>
        <w:tc>
          <w:tcPr>
            <w:tcW w:w="990" w:type="dxa"/>
            <w:tcBorders>
              <w:top w:val="nil"/>
              <w:left w:val="double" w:sz="4" w:space="0" w:color="auto"/>
              <w:bottom w:val="single" w:sz="4" w:space="0" w:color="auto"/>
            </w:tcBorders>
            <w:shd w:val="clear" w:color="auto" w:fill="FFFFFF" w:themeFill="background1"/>
            <w:vAlign w:val="center"/>
          </w:tcPr>
          <w:p w14:paraId="06F323B1" w14:textId="77777777" w:rsidR="00AE680E" w:rsidRPr="002D25BB" w:rsidRDefault="00AE680E" w:rsidP="00396352">
            <w:pPr>
              <w:spacing w:before="0" w:after="0" w:line="240" w:lineRule="auto"/>
              <w:jc w:val="right"/>
              <w:rPr>
                <w:sz w:val="20"/>
                <w:szCs w:val="20"/>
              </w:rPr>
            </w:pPr>
            <w:r w:rsidRPr="002D25BB">
              <w:rPr>
                <w:sz w:val="20"/>
                <w:szCs w:val="20"/>
              </w:rPr>
              <w:t>-0.819</w:t>
            </w:r>
          </w:p>
        </w:tc>
        <w:tc>
          <w:tcPr>
            <w:tcW w:w="720" w:type="dxa"/>
            <w:tcBorders>
              <w:top w:val="nil"/>
              <w:bottom w:val="single" w:sz="4" w:space="0" w:color="auto"/>
              <w:right w:val="double" w:sz="4" w:space="0" w:color="auto"/>
            </w:tcBorders>
            <w:shd w:val="clear" w:color="auto" w:fill="FFFFFF" w:themeFill="background1"/>
            <w:vAlign w:val="center"/>
          </w:tcPr>
          <w:p w14:paraId="38ACF62C" w14:textId="77777777" w:rsidR="00AE680E" w:rsidRPr="002D25BB" w:rsidRDefault="00AE680E" w:rsidP="00396352">
            <w:pPr>
              <w:spacing w:before="0" w:after="0" w:line="240" w:lineRule="auto"/>
              <w:jc w:val="right"/>
              <w:rPr>
                <w:sz w:val="20"/>
                <w:szCs w:val="20"/>
              </w:rPr>
            </w:pPr>
            <w:r w:rsidRPr="002D25BB">
              <w:rPr>
                <w:sz w:val="20"/>
                <w:szCs w:val="20"/>
              </w:rPr>
              <w:t>-5.18</w:t>
            </w:r>
          </w:p>
        </w:tc>
        <w:tc>
          <w:tcPr>
            <w:tcW w:w="810" w:type="dxa"/>
            <w:tcBorders>
              <w:top w:val="nil"/>
              <w:left w:val="double" w:sz="4" w:space="0" w:color="auto"/>
              <w:bottom w:val="single" w:sz="4" w:space="0" w:color="auto"/>
            </w:tcBorders>
            <w:shd w:val="clear" w:color="auto" w:fill="FFFFFF" w:themeFill="background1"/>
            <w:vAlign w:val="center"/>
          </w:tcPr>
          <w:p w14:paraId="5E6CCAA7" w14:textId="77777777" w:rsidR="00AE680E" w:rsidRPr="002D25BB" w:rsidRDefault="00AE680E" w:rsidP="00396352">
            <w:pPr>
              <w:spacing w:before="0" w:after="0" w:line="240" w:lineRule="auto"/>
              <w:jc w:val="right"/>
              <w:rPr>
                <w:sz w:val="20"/>
                <w:szCs w:val="20"/>
              </w:rPr>
            </w:pPr>
            <w:r w:rsidRPr="002D25BB">
              <w:rPr>
                <w:sz w:val="20"/>
                <w:szCs w:val="20"/>
              </w:rPr>
              <w:t>0.710</w:t>
            </w:r>
          </w:p>
        </w:tc>
        <w:tc>
          <w:tcPr>
            <w:tcW w:w="900" w:type="dxa"/>
            <w:tcBorders>
              <w:top w:val="nil"/>
              <w:bottom w:val="single" w:sz="4" w:space="0" w:color="auto"/>
              <w:right w:val="double" w:sz="4" w:space="0" w:color="auto"/>
            </w:tcBorders>
            <w:shd w:val="clear" w:color="auto" w:fill="FFFFFF" w:themeFill="background1"/>
            <w:vAlign w:val="center"/>
          </w:tcPr>
          <w:p w14:paraId="0EA74C40" w14:textId="77777777" w:rsidR="00AE680E" w:rsidRPr="002D25BB" w:rsidRDefault="00AE680E" w:rsidP="00396352">
            <w:pPr>
              <w:spacing w:before="0" w:after="0" w:line="240" w:lineRule="auto"/>
              <w:jc w:val="right"/>
              <w:rPr>
                <w:sz w:val="20"/>
                <w:szCs w:val="20"/>
              </w:rPr>
            </w:pPr>
            <w:r w:rsidRPr="002D25BB">
              <w:rPr>
                <w:sz w:val="20"/>
                <w:szCs w:val="20"/>
              </w:rPr>
              <w:t>5.17</w:t>
            </w:r>
          </w:p>
        </w:tc>
        <w:tc>
          <w:tcPr>
            <w:tcW w:w="900" w:type="dxa"/>
            <w:tcBorders>
              <w:top w:val="nil"/>
              <w:left w:val="double" w:sz="4" w:space="0" w:color="auto"/>
              <w:bottom w:val="single" w:sz="4" w:space="0" w:color="auto"/>
            </w:tcBorders>
            <w:shd w:val="clear" w:color="auto" w:fill="FFFFFF" w:themeFill="background1"/>
            <w:vAlign w:val="center"/>
            <w:hideMark/>
          </w:tcPr>
          <w:p w14:paraId="4324F616"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nil"/>
              <w:bottom w:val="single" w:sz="4" w:space="0" w:color="auto"/>
            </w:tcBorders>
            <w:shd w:val="clear" w:color="auto" w:fill="FFFFFF" w:themeFill="background1"/>
            <w:vAlign w:val="center"/>
            <w:hideMark/>
          </w:tcPr>
          <w:p w14:paraId="7C0184BA"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3D5BB8EF"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hideMark/>
          </w:tcPr>
          <w:p w14:paraId="019146F4" w14:textId="77777777" w:rsidR="00AE680E" w:rsidRPr="002D25BB" w:rsidRDefault="00AE680E" w:rsidP="00396352">
            <w:pPr>
              <w:spacing w:before="0" w:after="0" w:line="240" w:lineRule="auto"/>
              <w:jc w:val="left"/>
              <w:rPr>
                <w:b/>
                <w:bCs/>
                <w:sz w:val="20"/>
                <w:szCs w:val="20"/>
              </w:rPr>
            </w:pPr>
            <w:r w:rsidRPr="002D25BB">
              <w:rPr>
                <w:b/>
                <w:bCs/>
                <w:sz w:val="20"/>
                <w:szCs w:val="20"/>
              </w:rPr>
              <w:t>Sociodemographic</w:t>
            </w:r>
          </w:p>
        </w:tc>
      </w:tr>
      <w:tr w:rsidR="00AE680E" w:rsidRPr="002D25BB" w14:paraId="202E5F1B" w14:textId="77777777" w:rsidTr="00396352">
        <w:trPr>
          <w:trHeight w:val="20"/>
        </w:trPr>
        <w:tc>
          <w:tcPr>
            <w:tcW w:w="3945" w:type="dxa"/>
            <w:tcBorders>
              <w:top w:val="single" w:sz="4" w:space="0" w:color="auto"/>
              <w:right w:val="double" w:sz="4" w:space="0" w:color="auto"/>
            </w:tcBorders>
            <w:shd w:val="clear" w:color="auto" w:fill="FFFFFF" w:themeFill="background1"/>
            <w:vAlign w:val="center"/>
            <w:hideMark/>
          </w:tcPr>
          <w:p w14:paraId="02D28ECF"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Young </w:t>
            </w:r>
            <w:r>
              <w:rPr>
                <w:sz w:val="20"/>
                <w:szCs w:val="20"/>
              </w:rPr>
              <w:t>a</w:t>
            </w:r>
            <w:r w:rsidRPr="002D25BB">
              <w:rPr>
                <w:sz w:val="20"/>
                <w:szCs w:val="20"/>
              </w:rPr>
              <w:t>dults</w:t>
            </w:r>
          </w:p>
        </w:tc>
        <w:tc>
          <w:tcPr>
            <w:tcW w:w="990" w:type="dxa"/>
            <w:tcBorders>
              <w:top w:val="single" w:sz="4" w:space="0" w:color="auto"/>
              <w:left w:val="double" w:sz="4" w:space="0" w:color="auto"/>
              <w:bottom w:val="nil"/>
            </w:tcBorders>
            <w:shd w:val="clear" w:color="auto" w:fill="FFFFFF" w:themeFill="background1"/>
            <w:vAlign w:val="center"/>
          </w:tcPr>
          <w:p w14:paraId="62BD3BF1" w14:textId="77777777" w:rsidR="00AE680E" w:rsidRPr="002D25BB" w:rsidRDefault="00AE680E" w:rsidP="00396352">
            <w:pPr>
              <w:spacing w:before="0" w:after="0" w:line="240" w:lineRule="auto"/>
              <w:jc w:val="right"/>
              <w:rPr>
                <w:sz w:val="20"/>
                <w:szCs w:val="20"/>
              </w:rPr>
            </w:pPr>
            <w:r w:rsidRPr="002D25BB">
              <w:rPr>
                <w:sz w:val="20"/>
                <w:szCs w:val="20"/>
              </w:rPr>
              <w:t>2.223</w:t>
            </w:r>
          </w:p>
        </w:tc>
        <w:tc>
          <w:tcPr>
            <w:tcW w:w="720" w:type="dxa"/>
            <w:tcBorders>
              <w:top w:val="single" w:sz="4" w:space="0" w:color="auto"/>
              <w:bottom w:val="nil"/>
              <w:right w:val="double" w:sz="4" w:space="0" w:color="auto"/>
            </w:tcBorders>
            <w:shd w:val="clear" w:color="auto" w:fill="FFFFFF" w:themeFill="background1"/>
            <w:vAlign w:val="center"/>
          </w:tcPr>
          <w:p w14:paraId="10B174DB" w14:textId="77777777" w:rsidR="00AE680E" w:rsidRPr="002D25BB" w:rsidRDefault="00AE680E" w:rsidP="00396352">
            <w:pPr>
              <w:spacing w:before="0" w:after="0" w:line="240" w:lineRule="auto"/>
              <w:jc w:val="right"/>
              <w:rPr>
                <w:sz w:val="20"/>
                <w:szCs w:val="20"/>
              </w:rPr>
            </w:pPr>
            <w:r w:rsidRPr="002D25BB">
              <w:rPr>
                <w:sz w:val="20"/>
                <w:szCs w:val="20"/>
              </w:rPr>
              <w:t>5.53</w:t>
            </w:r>
          </w:p>
        </w:tc>
        <w:tc>
          <w:tcPr>
            <w:tcW w:w="810" w:type="dxa"/>
            <w:tcBorders>
              <w:top w:val="single" w:sz="4" w:space="0" w:color="auto"/>
              <w:left w:val="double" w:sz="4" w:space="0" w:color="auto"/>
              <w:bottom w:val="nil"/>
            </w:tcBorders>
            <w:shd w:val="clear" w:color="auto" w:fill="FFFFFF" w:themeFill="background1"/>
            <w:vAlign w:val="center"/>
          </w:tcPr>
          <w:p w14:paraId="02DCBA0C" w14:textId="77777777" w:rsidR="00AE680E" w:rsidRPr="002D25BB" w:rsidRDefault="00AE680E" w:rsidP="00396352">
            <w:pPr>
              <w:spacing w:before="0" w:after="0" w:line="240" w:lineRule="auto"/>
              <w:jc w:val="right"/>
              <w:rPr>
                <w:sz w:val="20"/>
                <w:szCs w:val="20"/>
              </w:rPr>
            </w:pPr>
            <w:r w:rsidRPr="002D25BB">
              <w:rPr>
                <w:sz w:val="20"/>
                <w:szCs w:val="20"/>
              </w:rPr>
              <w:t>0.494</w:t>
            </w:r>
          </w:p>
        </w:tc>
        <w:tc>
          <w:tcPr>
            <w:tcW w:w="900" w:type="dxa"/>
            <w:tcBorders>
              <w:top w:val="single" w:sz="4" w:space="0" w:color="auto"/>
              <w:bottom w:val="nil"/>
              <w:right w:val="double" w:sz="4" w:space="0" w:color="auto"/>
            </w:tcBorders>
            <w:shd w:val="clear" w:color="auto" w:fill="FFFFFF" w:themeFill="background1"/>
            <w:vAlign w:val="center"/>
          </w:tcPr>
          <w:p w14:paraId="68DA1295" w14:textId="77777777" w:rsidR="00AE680E" w:rsidRPr="002D25BB" w:rsidRDefault="00AE680E" w:rsidP="00396352">
            <w:pPr>
              <w:spacing w:before="0" w:after="0" w:line="240" w:lineRule="auto"/>
              <w:jc w:val="right"/>
              <w:rPr>
                <w:sz w:val="20"/>
                <w:szCs w:val="20"/>
              </w:rPr>
            </w:pPr>
            <w:r w:rsidRPr="002D25BB">
              <w:rPr>
                <w:sz w:val="20"/>
                <w:szCs w:val="20"/>
              </w:rPr>
              <w:t>1.43</w:t>
            </w:r>
          </w:p>
        </w:tc>
        <w:tc>
          <w:tcPr>
            <w:tcW w:w="900" w:type="dxa"/>
            <w:tcBorders>
              <w:top w:val="single" w:sz="4" w:space="0" w:color="auto"/>
              <w:left w:val="double" w:sz="4" w:space="0" w:color="auto"/>
            </w:tcBorders>
            <w:shd w:val="clear" w:color="auto" w:fill="FFFFFF" w:themeFill="background1"/>
            <w:vAlign w:val="center"/>
            <w:hideMark/>
          </w:tcPr>
          <w:p w14:paraId="1107CF20"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tcBorders>
              <w:top w:val="single" w:sz="4" w:space="0" w:color="auto"/>
            </w:tcBorders>
            <w:shd w:val="clear" w:color="auto" w:fill="FFFFFF" w:themeFill="background1"/>
            <w:vAlign w:val="center"/>
            <w:hideMark/>
          </w:tcPr>
          <w:p w14:paraId="73A1C5C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4C4E7954" w14:textId="77777777" w:rsidTr="00396352">
        <w:trPr>
          <w:trHeight w:val="20"/>
        </w:trPr>
        <w:tc>
          <w:tcPr>
            <w:tcW w:w="3945" w:type="dxa"/>
            <w:tcBorders>
              <w:right w:val="double" w:sz="4" w:space="0" w:color="auto"/>
            </w:tcBorders>
            <w:shd w:val="clear" w:color="auto" w:fill="FFFFFF" w:themeFill="background1"/>
            <w:vAlign w:val="center"/>
            <w:hideMark/>
          </w:tcPr>
          <w:p w14:paraId="2E035E9C"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Low </w:t>
            </w:r>
            <w:r>
              <w:rPr>
                <w:sz w:val="20"/>
                <w:szCs w:val="20"/>
              </w:rPr>
              <w:t>i</w:t>
            </w:r>
            <w:r w:rsidRPr="002D25BB">
              <w:rPr>
                <w:sz w:val="20"/>
                <w:szCs w:val="20"/>
              </w:rPr>
              <w:t>ncome</w:t>
            </w:r>
          </w:p>
        </w:tc>
        <w:tc>
          <w:tcPr>
            <w:tcW w:w="990" w:type="dxa"/>
            <w:tcBorders>
              <w:top w:val="nil"/>
              <w:left w:val="double" w:sz="4" w:space="0" w:color="auto"/>
              <w:bottom w:val="nil"/>
            </w:tcBorders>
            <w:shd w:val="clear" w:color="auto" w:fill="FFFFFF" w:themeFill="background1"/>
            <w:vAlign w:val="center"/>
          </w:tcPr>
          <w:p w14:paraId="52514B4E" w14:textId="77777777" w:rsidR="00AE680E" w:rsidRPr="002D25BB" w:rsidRDefault="00AE680E" w:rsidP="00396352">
            <w:pPr>
              <w:spacing w:before="0" w:after="0" w:line="240" w:lineRule="auto"/>
              <w:jc w:val="right"/>
              <w:rPr>
                <w:sz w:val="20"/>
                <w:szCs w:val="20"/>
              </w:rPr>
            </w:pPr>
            <w:r w:rsidRPr="002D25BB">
              <w:rPr>
                <w:sz w:val="20"/>
                <w:szCs w:val="20"/>
              </w:rPr>
              <w:t>1.239</w:t>
            </w:r>
          </w:p>
        </w:tc>
        <w:tc>
          <w:tcPr>
            <w:tcW w:w="720" w:type="dxa"/>
            <w:tcBorders>
              <w:top w:val="nil"/>
              <w:bottom w:val="nil"/>
              <w:right w:val="double" w:sz="4" w:space="0" w:color="auto"/>
            </w:tcBorders>
            <w:shd w:val="clear" w:color="auto" w:fill="FFFFFF" w:themeFill="background1"/>
            <w:vAlign w:val="center"/>
          </w:tcPr>
          <w:p w14:paraId="13C2D7DD" w14:textId="77777777" w:rsidR="00AE680E" w:rsidRPr="002D25BB" w:rsidRDefault="00AE680E" w:rsidP="00396352">
            <w:pPr>
              <w:spacing w:before="0" w:after="0" w:line="240" w:lineRule="auto"/>
              <w:jc w:val="right"/>
              <w:rPr>
                <w:sz w:val="20"/>
                <w:szCs w:val="20"/>
              </w:rPr>
            </w:pPr>
            <w:r w:rsidRPr="002D25BB">
              <w:rPr>
                <w:sz w:val="20"/>
                <w:szCs w:val="20"/>
              </w:rPr>
              <w:t>6.74</w:t>
            </w:r>
          </w:p>
        </w:tc>
        <w:tc>
          <w:tcPr>
            <w:tcW w:w="810" w:type="dxa"/>
            <w:tcBorders>
              <w:top w:val="nil"/>
              <w:left w:val="double" w:sz="4" w:space="0" w:color="auto"/>
              <w:bottom w:val="nil"/>
            </w:tcBorders>
            <w:shd w:val="clear" w:color="auto" w:fill="FFFFFF" w:themeFill="background1"/>
            <w:vAlign w:val="center"/>
            <w:hideMark/>
          </w:tcPr>
          <w:p w14:paraId="34DFFBAC"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nil"/>
              <w:right w:val="double" w:sz="4" w:space="0" w:color="auto"/>
            </w:tcBorders>
            <w:shd w:val="clear" w:color="auto" w:fill="FFFFFF" w:themeFill="background1"/>
            <w:vAlign w:val="center"/>
            <w:hideMark/>
          </w:tcPr>
          <w:p w14:paraId="0FC6CCC7"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left w:val="double" w:sz="4" w:space="0" w:color="auto"/>
            </w:tcBorders>
            <w:shd w:val="clear" w:color="auto" w:fill="FFFFFF" w:themeFill="background1"/>
            <w:vAlign w:val="center"/>
            <w:hideMark/>
          </w:tcPr>
          <w:p w14:paraId="58AAB938"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shd w:val="clear" w:color="auto" w:fill="FFFFFF" w:themeFill="background1"/>
            <w:vAlign w:val="center"/>
            <w:hideMark/>
          </w:tcPr>
          <w:p w14:paraId="28908BC3"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6E36C052" w14:textId="77777777" w:rsidTr="00396352">
        <w:trPr>
          <w:trHeight w:val="20"/>
        </w:trPr>
        <w:tc>
          <w:tcPr>
            <w:tcW w:w="3945" w:type="dxa"/>
            <w:tcBorders>
              <w:right w:val="double" w:sz="4" w:space="0" w:color="auto"/>
            </w:tcBorders>
            <w:shd w:val="clear" w:color="auto" w:fill="FFFFFF" w:themeFill="background1"/>
            <w:vAlign w:val="center"/>
          </w:tcPr>
          <w:p w14:paraId="79915BE9" w14:textId="77777777" w:rsidR="00AE680E" w:rsidRPr="002D25BB" w:rsidRDefault="00AE680E" w:rsidP="00396352">
            <w:pPr>
              <w:spacing w:before="0" w:after="0" w:line="240" w:lineRule="auto"/>
              <w:ind w:left="150"/>
              <w:jc w:val="left"/>
              <w:rPr>
                <w:sz w:val="20"/>
                <w:szCs w:val="20"/>
              </w:rPr>
            </w:pPr>
            <w:r w:rsidRPr="002D25BB">
              <w:rPr>
                <w:sz w:val="20"/>
                <w:szCs w:val="20"/>
              </w:rPr>
              <w:t xml:space="preserve">% Black population in an </w:t>
            </w:r>
            <w:r w:rsidRPr="00432BEC">
              <w:rPr>
                <w:sz w:val="20"/>
                <w:szCs w:val="20"/>
              </w:rPr>
              <w:t>NMB</w:t>
            </w:r>
            <w:r w:rsidRPr="002D25BB">
              <w:rPr>
                <w:sz w:val="20"/>
                <w:szCs w:val="20"/>
              </w:rPr>
              <w:t xml:space="preserve"> CBG</w:t>
            </w:r>
          </w:p>
        </w:tc>
        <w:tc>
          <w:tcPr>
            <w:tcW w:w="990" w:type="dxa"/>
            <w:tcBorders>
              <w:top w:val="nil"/>
              <w:left w:val="double" w:sz="4" w:space="0" w:color="auto"/>
              <w:bottom w:val="nil"/>
            </w:tcBorders>
            <w:shd w:val="clear" w:color="auto" w:fill="FFFFFF" w:themeFill="background1"/>
            <w:vAlign w:val="center"/>
          </w:tcPr>
          <w:p w14:paraId="587FF606"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720" w:type="dxa"/>
            <w:tcBorders>
              <w:top w:val="nil"/>
              <w:bottom w:val="nil"/>
              <w:right w:val="double" w:sz="4" w:space="0" w:color="auto"/>
            </w:tcBorders>
            <w:shd w:val="clear" w:color="auto" w:fill="FFFFFF" w:themeFill="background1"/>
            <w:vAlign w:val="center"/>
          </w:tcPr>
          <w:p w14:paraId="400E321A" w14:textId="77777777" w:rsidR="00AE680E" w:rsidRPr="002D25BB" w:rsidRDefault="00AE680E" w:rsidP="00396352">
            <w:pPr>
              <w:spacing w:before="0" w:after="0" w:line="240" w:lineRule="auto"/>
              <w:jc w:val="right"/>
              <w:rPr>
                <w:sz w:val="20"/>
                <w:szCs w:val="20"/>
              </w:rPr>
            </w:pPr>
            <w:r w:rsidRPr="002D25BB">
              <w:rPr>
                <w:b/>
                <w:bCs/>
                <w:sz w:val="20"/>
                <w:szCs w:val="20"/>
              </w:rPr>
              <w:t>--</w:t>
            </w:r>
          </w:p>
        </w:tc>
        <w:tc>
          <w:tcPr>
            <w:tcW w:w="810" w:type="dxa"/>
            <w:tcBorders>
              <w:top w:val="nil"/>
              <w:left w:val="double" w:sz="4" w:space="0" w:color="auto"/>
              <w:bottom w:val="nil"/>
            </w:tcBorders>
            <w:shd w:val="clear" w:color="auto" w:fill="FFFFFF" w:themeFill="background1"/>
            <w:vAlign w:val="center"/>
          </w:tcPr>
          <w:p w14:paraId="7BA4D4D3"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nil"/>
              <w:right w:val="double" w:sz="4" w:space="0" w:color="auto"/>
            </w:tcBorders>
            <w:shd w:val="clear" w:color="auto" w:fill="FFFFFF" w:themeFill="background1"/>
            <w:vAlign w:val="center"/>
          </w:tcPr>
          <w:p w14:paraId="7D85AA7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left w:val="double" w:sz="4" w:space="0" w:color="auto"/>
            </w:tcBorders>
            <w:shd w:val="clear" w:color="auto" w:fill="FFFFFF" w:themeFill="background1"/>
            <w:vAlign w:val="center"/>
          </w:tcPr>
          <w:p w14:paraId="0BEAB01E" w14:textId="77777777" w:rsidR="00AE680E" w:rsidRPr="002D25BB" w:rsidRDefault="00AE680E" w:rsidP="00396352">
            <w:pPr>
              <w:spacing w:before="0" w:after="0" w:line="240" w:lineRule="auto"/>
              <w:jc w:val="right"/>
              <w:rPr>
                <w:b/>
                <w:bCs/>
                <w:sz w:val="20"/>
                <w:szCs w:val="20"/>
              </w:rPr>
            </w:pPr>
            <w:r w:rsidRPr="002D25BB">
              <w:rPr>
                <w:sz w:val="20"/>
                <w:szCs w:val="20"/>
              </w:rPr>
              <w:t>3.</w:t>
            </w:r>
            <w:r>
              <w:rPr>
                <w:sz w:val="20"/>
                <w:szCs w:val="20"/>
              </w:rPr>
              <w:t>269</w:t>
            </w:r>
          </w:p>
        </w:tc>
        <w:tc>
          <w:tcPr>
            <w:tcW w:w="910" w:type="dxa"/>
            <w:shd w:val="clear" w:color="auto" w:fill="FFFFFF" w:themeFill="background1"/>
            <w:vAlign w:val="center"/>
          </w:tcPr>
          <w:p w14:paraId="45732A9E" w14:textId="77777777" w:rsidR="00AE680E" w:rsidRPr="002D25BB" w:rsidRDefault="00AE680E" w:rsidP="00396352">
            <w:pPr>
              <w:spacing w:before="0" w:after="0" w:line="240" w:lineRule="auto"/>
              <w:jc w:val="right"/>
              <w:rPr>
                <w:b/>
                <w:bCs/>
                <w:sz w:val="20"/>
                <w:szCs w:val="20"/>
              </w:rPr>
            </w:pPr>
            <w:r w:rsidRPr="002D25BB">
              <w:rPr>
                <w:sz w:val="20"/>
                <w:szCs w:val="20"/>
              </w:rPr>
              <w:t>5.</w:t>
            </w:r>
            <w:r>
              <w:rPr>
                <w:sz w:val="20"/>
                <w:szCs w:val="20"/>
              </w:rPr>
              <w:t>90</w:t>
            </w:r>
          </w:p>
        </w:tc>
      </w:tr>
      <w:tr w:rsidR="00AE680E" w:rsidRPr="002D25BB" w14:paraId="6AF87417" w14:textId="77777777" w:rsidTr="00396352">
        <w:trPr>
          <w:trHeight w:val="20"/>
        </w:trPr>
        <w:tc>
          <w:tcPr>
            <w:tcW w:w="3945" w:type="dxa"/>
            <w:tcBorders>
              <w:bottom w:val="nil"/>
              <w:right w:val="double" w:sz="4" w:space="0" w:color="auto"/>
            </w:tcBorders>
            <w:shd w:val="clear" w:color="auto" w:fill="FFFFFF" w:themeFill="background1"/>
            <w:vAlign w:val="center"/>
          </w:tcPr>
          <w:p w14:paraId="457CEA39" w14:textId="77777777" w:rsidR="00AE680E" w:rsidRPr="002D25BB" w:rsidRDefault="00AE680E" w:rsidP="00396352">
            <w:pPr>
              <w:spacing w:before="0" w:after="0" w:line="240" w:lineRule="auto"/>
              <w:ind w:left="150"/>
              <w:jc w:val="left"/>
              <w:rPr>
                <w:sz w:val="20"/>
                <w:szCs w:val="20"/>
              </w:rPr>
            </w:pPr>
            <w:r w:rsidRPr="00432BEC">
              <w:rPr>
                <w:sz w:val="20"/>
                <w:szCs w:val="20"/>
              </w:rPr>
              <w:t>MB</w:t>
            </w:r>
            <w:r w:rsidRPr="002D25BB">
              <w:rPr>
                <w:sz w:val="20"/>
                <w:szCs w:val="20"/>
              </w:rPr>
              <w:t xml:space="preserve"> CBG</w:t>
            </w:r>
          </w:p>
        </w:tc>
        <w:tc>
          <w:tcPr>
            <w:tcW w:w="990" w:type="dxa"/>
            <w:tcBorders>
              <w:top w:val="nil"/>
              <w:left w:val="double" w:sz="4" w:space="0" w:color="auto"/>
              <w:bottom w:val="nil"/>
            </w:tcBorders>
            <w:shd w:val="clear" w:color="auto" w:fill="FFFFFF" w:themeFill="background1"/>
            <w:vAlign w:val="center"/>
          </w:tcPr>
          <w:p w14:paraId="64325DDA" w14:textId="77777777" w:rsidR="00AE680E" w:rsidRPr="002D25BB" w:rsidRDefault="00AE680E" w:rsidP="00396352">
            <w:pPr>
              <w:spacing w:before="0" w:after="0" w:line="240" w:lineRule="auto"/>
              <w:jc w:val="center"/>
              <w:rPr>
                <w:b/>
                <w:bCs/>
                <w:sz w:val="20"/>
                <w:szCs w:val="20"/>
              </w:rPr>
            </w:pPr>
          </w:p>
        </w:tc>
        <w:tc>
          <w:tcPr>
            <w:tcW w:w="720" w:type="dxa"/>
            <w:tcBorders>
              <w:top w:val="nil"/>
              <w:bottom w:val="nil"/>
              <w:right w:val="double" w:sz="4" w:space="0" w:color="auto"/>
            </w:tcBorders>
            <w:shd w:val="clear" w:color="auto" w:fill="FFFFFF" w:themeFill="background1"/>
            <w:vAlign w:val="center"/>
          </w:tcPr>
          <w:p w14:paraId="7B476988" w14:textId="77777777" w:rsidR="00AE680E" w:rsidRPr="002D25BB" w:rsidRDefault="00AE680E" w:rsidP="00396352">
            <w:pPr>
              <w:spacing w:before="0" w:after="0" w:line="240" w:lineRule="auto"/>
              <w:jc w:val="center"/>
              <w:rPr>
                <w:b/>
                <w:bCs/>
                <w:sz w:val="20"/>
                <w:szCs w:val="20"/>
              </w:rPr>
            </w:pPr>
          </w:p>
        </w:tc>
        <w:tc>
          <w:tcPr>
            <w:tcW w:w="810" w:type="dxa"/>
            <w:tcBorders>
              <w:top w:val="nil"/>
              <w:left w:val="double" w:sz="4" w:space="0" w:color="auto"/>
              <w:bottom w:val="nil"/>
            </w:tcBorders>
            <w:shd w:val="clear" w:color="auto" w:fill="FFFFFF" w:themeFill="background1"/>
            <w:vAlign w:val="center"/>
          </w:tcPr>
          <w:p w14:paraId="7DA8717A" w14:textId="77777777" w:rsidR="00AE680E" w:rsidRPr="002D25BB" w:rsidRDefault="00AE680E" w:rsidP="00396352">
            <w:pPr>
              <w:spacing w:before="0" w:after="0" w:line="240" w:lineRule="auto"/>
              <w:jc w:val="right"/>
              <w:rPr>
                <w:bCs/>
                <w:sz w:val="20"/>
                <w:szCs w:val="20"/>
              </w:rPr>
            </w:pPr>
            <w:r w:rsidRPr="002D25BB">
              <w:rPr>
                <w:bCs/>
                <w:sz w:val="20"/>
                <w:szCs w:val="20"/>
              </w:rPr>
              <w:t>0.107</w:t>
            </w:r>
          </w:p>
        </w:tc>
        <w:tc>
          <w:tcPr>
            <w:tcW w:w="900" w:type="dxa"/>
            <w:tcBorders>
              <w:top w:val="nil"/>
              <w:bottom w:val="nil"/>
              <w:right w:val="double" w:sz="4" w:space="0" w:color="auto"/>
            </w:tcBorders>
            <w:shd w:val="clear" w:color="auto" w:fill="FFFFFF" w:themeFill="background1"/>
            <w:vAlign w:val="center"/>
          </w:tcPr>
          <w:p w14:paraId="421644E4" w14:textId="77777777" w:rsidR="00AE680E" w:rsidRPr="002D25BB" w:rsidRDefault="00AE680E" w:rsidP="00396352">
            <w:pPr>
              <w:spacing w:before="0" w:after="0" w:line="240" w:lineRule="auto"/>
              <w:jc w:val="right"/>
              <w:rPr>
                <w:bCs/>
                <w:sz w:val="20"/>
                <w:szCs w:val="20"/>
              </w:rPr>
            </w:pPr>
            <w:r w:rsidRPr="002D25BB">
              <w:rPr>
                <w:bCs/>
                <w:sz w:val="20"/>
                <w:szCs w:val="20"/>
              </w:rPr>
              <w:t>1.47</w:t>
            </w:r>
          </w:p>
        </w:tc>
        <w:tc>
          <w:tcPr>
            <w:tcW w:w="900" w:type="dxa"/>
            <w:tcBorders>
              <w:left w:val="double" w:sz="4" w:space="0" w:color="auto"/>
              <w:bottom w:val="nil"/>
            </w:tcBorders>
            <w:shd w:val="clear" w:color="auto" w:fill="FFFFFF" w:themeFill="background1"/>
            <w:vAlign w:val="center"/>
          </w:tcPr>
          <w:p w14:paraId="6B5DA422" w14:textId="77777777" w:rsidR="00AE680E" w:rsidRPr="002D25BB" w:rsidRDefault="00AE680E" w:rsidP="00396352">
            <w:pPr>
              <w:spacing w:before="0" w:after="0" w:line="240" w:lineRule="auto"/>
              <w:jc w:val="right"/>
              <w:rPr>
                <w:sz w:val="20"/>
                <w:szCs w:val="20"/>
              </w:rPr>
            </w:pPr>
            <w:r w:rsidRPr="00662874">
              <w:rPr>
                <w:sz w:val="20"/>
                <w:szCs w:val="20"/>
              </w:rPr>
              <w:t>1.</w:t>
            </w:r>
            <w:r>
              <w:rPr>
                <w:sz w:val="20"/>
                <w:szCs w:val="20"/>
              </w:rPr>
              <w:t>394</w:t>
            </w:r>
          </w:p>
        </w:tc>
        <w:tc>
          <w:tcPr>
            <w:tcW w:w="910" w:type="dxa"/>
            <w:tcBorders>
              <w:bottom w:val="nil"/>
            </w:tcBorders>
            <w:shd w:val="clear" w:color="auto" w:fill="FFFFFF" w:themeFill="background1"/>
            <w:vAlign w:val="center"/>
          </w:tcPr>
          <w:p w14:paraId="026EAD3B" w14:textId="77777777" w:rsidR="00AE680E" w:rsidRPr="002D25BB" w:rsidRDefault="00AE680E" w:rsidP="00396352">
            <w:pPr>
              <w:spacing w:before="0" w:after="0" w:line="240" w:lineRule="auto"/>
              <w:jc w:val="right"/>
              <w:rPr>
                <w:sz w:val="20"/>
                <w:szCs w:val="20"/>
              </w:rPr>
            </w:pPr>
            <w:r w:rsidRPr="00662874">
              <w:rPr>
                <w:sz w:val="20"/>
                <w:szCs w:val="20"/>
              </w:rPr>
              <w:t>9.</w:t>
            </w:r>
            <w:r>
              <w:rPr>
                <w:sz w:val="20"/>
                <w:szCs w:val="20"/>
              </w:rPr>
              <w:t>64</w:t>
            </w:r>
          </w:p>
        </w:tc>
      </w:tr>
      <w:tr w:rsidR="00AE680E" w:rsidRPr="002D25BB" w14:paraId="3B77F984" w14:textId="77777777" w:rsidTr="00396352">
        <w:trPr>
          <w:trHeight w:val="20"/>
        </w:trPr>
        <w:tc>
          <w:tcPr>
            <w:tcW w:w="3945" w:type="dxa"/>
            <w:tcBorders>
              <w:top w:val="nil"/>
              <w:bottom w:val="single" w:sz="4" w:space="0" w:color="auto"/>
              <w:right w:val="double" w:sz="4" w:space="0" w:color="auto"/>
            </w:tcBorders>
            <w:shd w:val="clear" w:color="auto" w:fill="FFFFFF" w:themeFill="background1"/>
            <w:vAlign w:val="center"/>
            <w:hideMark/>
          </w:tcPr>
          <w:p w14:paraId="588A9762" w14:textId="77777777" w:rsidR="00AE680E" w:rsidRPr="002D25BB" w:rsidRDefault="00AE680E" w:rsidP="00396352">
            <w:pPr>
              <w:spacing w:before="0" w:after="0" w:line="240" w:lineRule="auto"/>
              <w:jc w:val="left"/>
              <w:rPr>
                <w:b/>
                <w:bCs/>
                <w:sz w:val="20"/>
                <w:szCs w:val="20"/>
              </w:rPr>
            </w:pPr>
            <w:r w:rsidRPr="002D25BB">
              <w:rPr>
                <w:b/>
                <w:bCs/>
                <w:sz w:val="20"/>
                <w:szCs w:val="20"/>
              </w:rPr>
              <w:t>Constant</w:t>
            </w:r>
          </w:p>
        </w:tc>
        <w:tc>
          <w:tcPr>
            <w:tcW w:w="990" w:type="dxa"/>
            <w:tcBorders>
              <w:top w:val="nil"/>
              <w:left w:val="double" w:sz="4" w:space="0" w:color="auto"/>
              <w:bottom w:val="single" w:sz="4" w:space="0" w:color="auto"/>
            </w:tcBorders>
            <w:shd w:val="clear" w:color="auto" w:fill="FFFFFF" w:themeFill="background1"/>
            <w:vAlign w:val="center"/>
          </w:tcPr>
          <w:p w14:paraId="57DE7346" w14:textId="77777777" w:rsidR="00AE680E" w:rsidRPr="002D25BB" w:rsidRDefault="00AE680E" w:rsidP="00396352">
            <w:pPr>
              <w:spacing w:before="0" w:after="0" w:line="240" w:lineRule="auto"/>
              <w:jc w:val="right"/>
              <w:rPr>
                <w:sz w:val="20"/>
                <w:szCs w:val="20"/>
              </w:rPr>
            </w:pPr>
            <w:r w:rsidRPr="002D25BB">
              <w:rPr>
                <w:sz w:val="20"/>
                <w:szCs w:val="20"/>
              </w:rPr>
              <w:t>-3.025</w:t>
            </w:r>
          </w:p>
        </w:tc>
        <w:tc>
          <w:tcPr>
            <w:tcW w:w="720" w:type="dxa"/>
            <w:tcBorders>
              <w:top w:val="nil"/>
              <w:bottom w:val="single" w:sz="4" w:space="0" w:color="auto"/>
              <w:right w:val="double" w:sz="4" w:space="0" w:color="auto"/>
            </w:tcBorders>
            <w:shd w:val="clear" w:color="auto" w:fill="FFFFFF" w:themeFill="background1"/>
            <w:vAlign w:val="center"/>
          </w:tcPr>
          <w:p w14:paraId="0BF93B1F" w14:textId="77777777" w:rsidR="00AE680E" w:rsidRPr="002D25BB" w:rsidRDefault="00AE680E" w:rsidP="00396352">
            <w:pPr>
              <w:spacing w:before="0" w:after="0" w:line="240" w:lineRule="auto"/>
              <w:jc w:val="right"/>
              <w:rPr>
                <w:sz w:val="20"/>
                <w:szCs w:val="20"/>
              </w:rPr>
            </w:pPr>
            <w:r w:rsidRPr="002D25BB">
              <w:rPr>
                <w:sz w:val="20"/>
                <w:szCs w:val="20"/>
              </w:rPr>
              <w:t>-7.00</w:t>
            </w:r>
          </w:p>
        </w:tc>
        <w:tc>
          <w:tcPr>
            <w:tcW w:w="810" w:type="dxa"/>
            <w:tcBorders>
              <w:top w:val="nil"/>
              <w:left w:val="double" w:sz="4" w:space="0" w:color="auto"/>
              <w:bottom w:val="single" w:sz="4" w:space="0" w:color="auto"/>
            </w:tcBorders>
            <w:shd w:val="clear" w:color="auto" w:fill="FFFFFF" w:themeFill="background1"/>
            <w:vAlign w:val="center"/>
            <w:hideMark/>
          </w:tcPr>
          <w:p w14:paraId="735DBCF2"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bottom w:val="single" w:sz="4" w:space="0" w:color="auto"/>
              <w:right w:val="double" w:sz="4" w:space="0" w:color="auto"/>
            </w:tcBorders>
            <w:shd w:val="clear" w:color="auto" w:fill="FFFFFF" w:themeFill="background1"/>
            <w:vAlign w:val="center"/>
            <w:hideMark/>
          </w:tcPr>
          <w:p w14:paraId="6E2681F4"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00" w:type="dxa"/>
            <w:tcBorders>
              <w:top w:val="nil"/>
              <w:left w:val="double" w:sz="4" w:space="0" w:color="auto"/>
              <w:bottom w:val="single" w:sz="4" w:space="0" w:color="auto"/>
            </w:tcBorders>
            <w:shd w:val="clear" w:color="auto" w:fill="FFFFFF" w:themeFill="background1"/>
            <w:vAlign w:val="center"/>
            <w:hideMark/>
          </w:tcPr>
          <w:p w14:paraId="56545929" w14:textId="77777777" w:rsidR="00AE680E" w:rsidRPr="002D25BB" w:rsidRDefault="00AE680E" w:rsidP="00396352">
            <w:pPr>
              <w:spacing w:before="0" w:after="0" w:line="240" w:lineRule="auto"/>
              <w:jc w:val="right"/>
              <w:rPr>
                <w:sz w:val="20"/>
                <w:szCs w:val="20"/>
              </w:rPr>
            </w:pPr>
            <w:r w:rsidRPr="002D25BB">
              <w:rPr>
                <w:sz w:val="20"/>
                <w:szCs w:val="20"/>
              </w:rPr>
              <w:t>-1.</w:t>
            </w:r>
            <w:r>
              <w:rPr>
                <w:sz w:val="20"/>
                <w:szCs w:val="20"/>
              </w:rPr>
              <w:t>584</w:t>
            </w:r>
          </w:p>
        </w:tc>
        <w:tc>
          <w:tcPr>
            <w:tcW w:w="910" w:type="dxa"/>
            <w:tcBorders>
              <w:top w:val="nil"/>
              <w:bottom w:val="single" w:sz="4" w:space="0" w:color="auto"/>
            </w:tcBorders>
            <w:shd w:val="clear" w:color="auto" w:fill="FFFFFF" w:themeFill="background1"/>
            <w:vAlign w:val="center"/>
            <w:hideMark/>
          </w:tcPr>
          <w:p w14:paraId="7CED6CE8" w14:textId="77777777" w:rsidR="00AE680E" w:rsidRPr="002D25BB" w:rsidRDefault="00AE680E" w:rsidP="00396352">
            <w:pPr>
              <w:spacing w:before="0" w:after="0" w:line="240" w:lineRule="auto"/>
              <w:jc w:val="right"/>
              <w:rPr>
                <w:sz w:val="20"/>
                <w:szCs w:val="20"/>
              </w:rPr>
            </w:pPr>
            <w:r w:rsidRPr="002D25BB">
              <w:rPr>
                <w:sz w:val="20"/>
                <w:szCs w:val="20"/>
              </w:rPr>
              <w:t>-</w:t>
            </w:r>
            <w:r>
              <w:rPr>
                <w:sz w:val="20"/>
                <w:szCs w:val="20"/>
              </w:rPr>
              <w:t>8.67</w:t>
            </w:r>
          </w:p>
        </w:tc>
      </w:tr>
      <w:tr w:rsidR="00AE680E" w:rsidRPr="002D25BB" w14:paraId="585DC224"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hideMark/>
          </w:tcPr>
          <w:p w14:paraId="04AC12E6" w14:textId="77777777" w:rsidR="00AE680E" w:rsidRPr="002D25BB" w:rsidRDefault="00AE680E" w:rsidP="00396352">
            <w:pPr>
              <w:spacing w:before="0" w:after="0" w:line="240" w:lineRule="auto"/>
              <w:jc w:val="left"/>
              <w:rPr>
                <w:b/>
                <w:bCs/>
                <w:sz w:val="20"/>
                <w:szCs w:val="20"/>
              </w:rPr>
            </w:pPr>
            <w:r w:rsidRPr="002D25BB">
              <w:rPr>
                <w:b/>
                <w:bCs/>
                <w:sz w:val="20"/>
                <w:szCs w:val="20"/>
              </w:rPr>
              <w:t>Thresholds</w:t>
            </w:r>
          </w:p>
        </w:tc>
      </w:tr>
      <w:tr w:rsidR="00AE680E" w:rsidRPr="002D25BB" w14:paraId="1266C127" w14:textId="77777777" w:rsidTr="00396352">
        <w:trPr>
          <w:trHeight w:val="20"/>
        </w:trPr>
        <w:tc>
          <w:tcPr>
            <w:tcW w:w="3945" w:type="dxa"/>
            <w:tcBorders>
              <w:top w:val="single" w:sz="4" w:space="0" w:color="auto"/>
              <w:bottom w:val="nil"/>
              <w:right w:val="double" w:sz="4" w:space="0" w:color="auto"/>
            </w:tcBorders>
            <w:shd w:val="clear" w:color="auto" w:fill="FFFFFF" w:themeFill="background1"/>
            <w:vAlign w:val="center"/>
            <w:hideMark/>
          </w:tcPr>
          <w:p w14:paraId="1FEDCEF3" w14:textId="77777777" w:rsidR="00AE680E" w:rsidRPr="002D25BB" w:rsidRDefault="00AE680E" w:rsidP="00396352">
            <w:pPr>
              <w:spacing w:before="0" w:after="0" w:line="240" w:lineRule="auto"/>
              <w:ind w:left="150"/>
              <w:jc w:val="left"/>
              <w:rPr>
                <w:sz w:val="20"/>
                <w:szCs w:val="20"/>
              </w:rPr>
            </w:pPr>
            <w:r w:rsidRPr="002D25BB">
              <w:rPr>
                <w:sz w:val="20"/>
                <w:szCs w:val="20"/>
              </w:rPr>
              <w:t>Threshold 1</w:t>
            </w:r>
          </w:p>
        </w:tc>
        <w:tc>
          <w:tcPr>
            <w:tcW w:w="990" w:type="dxa"/>
            <w:vMerge w:val="restart"/>
            <w:tcBorders>
              <w:top w:val="single" w:sz="4" w:space="0" w:color="auto"/>
              <w:left w:val="double" w:sz="4" w:space="0" w:color="auto"/>
              <w:bottom w:val="nil"/>
            </w:tcBorders>
            <w:shd w:val="clear" w:color="auto" w:fill="FFFFFF" w:themeFill="background1"/>
            <w:vAlign w:val="center"/>
            <w:hideMark/>
          </w:tcPr>
          <w:p w14:paraId="0128FB06"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720" w:type="dxa"/>
            <w:vMerge w:val="restart"/>
            <w:tcBorders>
              <w:top w:val="single" w:sz="4" w:space="0" w:color="auto"/>
              <w:bottom w:val="nil"/>
              <w:right w:val="double" w:sz="4" w:space="0" w:color="auto"/>
            </w:tcBorders>
            <w:shd w:val="clear" w:color="auto" w:fill="FFFFFF" w:themeFill="background1"/>
            <w:vAlign w:val="center"/>
            <w:hideMark/>
          </w:tcPr>
          <w:p w14:paraId="1C32D83E"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810" w:type="dxa"/>
            <w:tcBorders>
              <w:top w:val="single" w:sz="4" w:space="0" w:color="auto"/>
              <w:left w:val="double" w:sz="4" w:space="0" w:color="auto"/>
              <w:bottom w:val="nil"/>
            </w:tcBorders>
            <w:shd w:val="clear" w:color="auto" w:fill="FFFFFF" w:themeFill="background1"/>
            <w:vAlign w:val="center"/>
          </w:tcPr>
          <w:p w14:paraId="659E8BCD" w14:textId="77777777" w:rsidR="00AE680E" w:rsidRPr="002D25BB" w:rsidRDefault="00AE680E" w:rsidP="00396352">
            <w:pPr>
              <w:spacing w:before="0" w:after="0" w:line="240" w:lineRule="auto"/>
              <w:jc w:val="right"/>
              <w:rPr>
                <w:sz w:val="20"/>
                <w:szCs w:val="20"/>
              </w:rPr>
            </w:pPr>
            <w:r w:rsidRPr="002D25BB">
              <w:rPr>
                <w:sz w:val="20"/>
                <w:szCs w:val="20"/>
              </w:rPr>
              <w:t>3.879</w:t>
            </w:r>
          </w:p>
        </w:tc>
        <w:tc>
          <w:tcPr>
            <w:tcW w:w="900" w:type="dxa"/>
            <w:tcBorders>
              <w:top w:val="single" w:sz="4" w:space="0" w:color="auto"/>
              <w:bottom w:val="nil"/>
              <w:right w:val="double" w:sz="4" w:space="0" w:color="auto"/>
            </w:tcBorders>
            <w:shd w:val="clear" w:color="auto" w:fill="FFFFFF" w:themeFill="background1"/>
            <w:vAlign w:val="center"/>
          </w:tcPr>
          <w:p w14:paraId="0E66358B" w14:textId="77777777" w:rsidR="00AE680E" w:rsidRPr="002D25BB" w:rsidRDefault="00AE680E" w:rsidP="00396352">
            <w:pPr>
              <w:spacing w:before="0" w:after="0" w:line="240" w:lineRule="auto"/>
              <w:jc w:val="right"/>
              <w:rPr>
                <w:sz w:val="20"/>
                <w:szCs w:val="20"/>
              </w:rPr>
            </w:pPr>
            <w:r w:rsidRPr="002D25BB">
              <w:rPr>
                <w:sz w:val="20"/>
                <w:szCs w:val="20"/>
              </w:rPr>
              <w:t>10.91</w:t>
            </w:r>
          </w:p>
        </w:tc>
        <w:tc>
          <w:tcPr>
            <w:tcW w:w="900" w:type="dxa"/>
            <w:vMerge w:val="restart"/>
            <w:tcBorders>
              <w:top w:val="single" w:sz="4" w:space="0" w:color="auto"/>
              <w:left w:val="double" w:sz="4" w:space="0" w:color="auto"/>
              <w:bottom w:val="nil"/>
            </w:tcBorders>
            <w:shd w:val="clear" w:color="auto" w:fill="FFFFFF" w:themeFill="background1"/>
            <w:vAlign w:val="center"/>
            <w:hideMark/>
          </w:tcPr>
          <w:p w14:paraId="0220CD3F"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c>
          <w:tcPr>
            <w:tcW w:w="910" w:type="dxa"/>
            <w:vMerge w:val="restart"/>
            <w:tcBorders>
              <w:top w:val="single" w:sz="4" w:space="0" w:color="auto"/>
              <w:bottom w:val="nil"/>
            </w:tcBorders>
            <w:shd w:val="clear" w:color="auto" w:fill="FFFFFF" w:themeFill="background1"/>
            <w:vAlign w:val="center"/>
            <w:hideMark/>
          </w:tcPr>
          <w:p w14:paraId="3F6EA2C2" w14:textId="77777777" w:rsidR="00AE680E" w:rsidRPr="002D25BB" w:rsidRDefault="00AE680E" w:rsidP="00396352">
            <w:pPr>
              <w:spacing w:before="0" w:after="0" w:line="240" w:lineRule="auto"/>
              <w:jc w:val="right"/>
              <w:rPr>
                <w:b/>
                <w:bCs/>
                <w:sz w:val="20"/>
                <w:szCs w:val="20"/>
              </w:rPr>
            </w:pPr>
            <w:r w:rsidRPr="002D25BB">
              <w:rPr>
                <w:b/>
                <w:bCs/>
                <w:sz w:val="20"/>
                <w:szCs w:val="20"/>
              </w:rPr>
              <w:t>--</w:t>
            </w:r>
          </w:p>
        </w:tc>
      </w:tr>
      <w:tr w:rsidR="00AE680E" w:rsidRPr="002D25BB" w14:paraId="792EF371" w14:textId="77777777" w:rsidTr="00396352">
        <w:trPr>
          <w:trHeight w:val="20"/>
        </w:trPr>
        <w:tc>
          <w:tcPr>
            <w:tcW w:w="3945" w:type="dxa"/>
            <w:tcBorders>
              <w:top w:val="nil"/>
              <w:bottom w:val="nil"/>
              <w:right w:val="double" w:sz="4" w:space="0" w:color="auto"/>
            </w:tcBorders>
            <w:shd w:val="clear" w:color="auto" w:fill="FFFFFF" w:themeFill="background1"/>
            <w:vAlign w:val="center"/>
            <w:hideMark/>
          </w:tcPr>
          <w:p w14:paraId="0B0CA307" w14:textId="77777777" w:rsidR="00AE680E" w:rsidRPr="002D25BB" w:rsidRDefault="00AE680E" w:rsidP="00396352">
            <w:pPr>
              <w:spacing w:before="0" w:after="0" w:line="240" w:lineRule="auto"/>
              <w:ind w:left="150"/>
              <w:jc w:val="left"/>
              <w:rPr>
                <w:sz w:val="20"/>
                <w:szCs w:val="20"/>
              </w:rPr>
            </w:pPr>
            <w:r w:rsidRPr="002D25BB">
              <w:rPr>
                <w:sz w:val="20"/>
                <w:szCs w:val="20"/>
              </w:rPr>
              <w:t>Threshold 2</w:t>
            </w:r>
          </w:p>
        </w:tc>
        <w:tc>
          <w:tcPr>
            <w:tcW w:w="990" w:type="dxa"/>
            <w:vMerge/>
            <w:tcBorders>
              <w:top w:val="nil"/>
              <w:left w:val="double" w:sz="4" w:space="0" w:color="auto"/>
              <w:bottom w:val="nil"/>
            </w:tcBorders>
            <w:shd w:val="clear" w:color="auto" w:fill="FFFFFF" w:themeFill="background1"/>
            <w:vAlign w:val="center"/>
            <w:hideMark/>
          </w:tcPr>
          <w:p w14:paraId="7ED6FD4F" w14:textId="77777777" w:rsidR="00AE680E" w:rsidRPr="002D25BB" w:rsidRDefault="00AE680E" w:rsidP="00396352">
            <w:pPr>
              <w:spacing w:before="0" w:after="0" w:line="240" w:lineRule="auto"/>
              <w:rPr>
                <w:b/>
                <w:bCs/>
                <w:sz w:val="20"/>
                <w:szCs w:val="20"/>
              </w:rPr>
            </w:pPr>
          </w:p>
        </w:tc>
        <w:tc>
          <w:tcPr>
            <w:tcW w:w="720" w:type="dxa"/>
            <w:vMerge/>
            <w:tcBorders>
              <w:top w:val="nil"/>
              <w:bottom w:val="nil"/>
              <w:right w:val="double" w:sz="4" w:space="0" w:color="auto"/>
            </w:tcBorders>
            <w:shd w:val="clear" w:color="auto" w:fill="FFFFFF" w:themeFill="background1"/>
            <w:vAlign w:val="center"/>
            <w:hideMark/>
          </w:tcPr>
          <w:p w14:paraId="18C0C1A1" w14:textId="77777777" w:rsidR="00AE680E" w:rsidRPr="002D25BB" w:rsidRDefault="00AE680E" w:rsidP="00396352">
            <w:pPr>
              <w:spacing w:before="0" w:after="0" w:line="240" w:lineRule="auto"/>
              <w:rPr>
                <w:b/>
                <w:bCs/>
                <w:sz w:val="20"/>
                <w:szCs w:val="20"/>
              </w:rPr>
            </w:pPr>
          </w:p>
        </w:tc>
        <w:tc>
          <w:tcPr>
            <w:tcW w:w="810" w:type="dxa"/>
            <w:tcBorders>
              <w:top w:val="nil"/>
              <w:left w:val="double" w:sz="4" w:space="0" w:color="auto"/>
              <w:bottom w:val="nil"/>
            </w:tcBorders>
            <w:shd w:val="clear" w:color="auto" w:fill="FFFFFF" w:themeFill="background1"/>
            <w:vAlign w:val="center"/>
          </w:tcPr>
          <w:p w14:paraId="35D0EFC4" w14:textId="77777777" w:rsidR="00AE680E" w:rsidRPr="002D25BB" w:rsidRDefault="00AE680E" w:rsidP="00396352">
            <w:pPr>
              <w:spacing w:before="0" w:after="0" w:line="240" w:lineRule="auto"/>
              <w:jc w:val="right"/>
              <w:rPr>
                <w:sz w:val="20"/>
                <w:szCs w:val="20"/>
              </w:rPr>
            </w:pPr>
            <w:r w:rsidRPr="002D25BB">
              <w:rPr>
                <w:sz w:val="20"/>
                <w:szCs w:val="20"/>
              </w:rPr>
              <w:t>4.735</w:t>
            </w:r>
          </w:p>
        </w:tc>
        <w:tc>
          <w:tcPr>
            <w:tcW w:w="900" w:type="dxa"/>
            <w:tcBorders>
              <w:top w:val="nil"/>
              <w:bottom w:val="nil"/>
              <w:right w:val="double" w:sz="4" w:space="0" w:color="auto"/>
            </w:tcBorders>
            <w:shd w:val="clear" w:color="auto" w:fill="FFFFFF" w:themeFill="background1"/>
            <w:vAlign w:val="center"/>
          </w:tcPr>
          <w:p w14:paraId="2B8B0779" w14:textId="77777777" w:rsidR="00AE680E" w:rsidRPr="002D25BB" w:rsidRDefault="00AE680E" w:rsidP="00396352">
            <w:pPr>
              <w:spacing w:before="0" w:after="0" w:line="240" w:lineRule="auto"/>
              <w:jc w:val="right"/>
              <w:rPr>
                <w:sz w:val="20"/>
                <w:szCs w:val="20"/>
              </w:rPr>
            </w:pPr>
            <w:r w:rsidRPr="002D25BB">
              <w:rPr>
                <w:sz w:val="20"/>
                <w:szCs w:val="20"/>
              </w:rPr>
              <w:t>13.19</w:t>
            </w:r>
          </w:p>
        </w:tc>
        <w:tc>
          <w:tcPr>
            <w:tcW w:w="900" w:type="dxa"/>
            <w:vMerge/>
            <w:tcBorders>
              <w:top w:val="nil"/>
              <w:left w:val="double" w:sz="4" w:space="0" w:color="auto"/>
              <w:bottom w:val="nil"/>
            </w:tcBorders>
            <w:shd w:val="clear" w:color="auto" w:fill="FFFFFF" w:themeFill="background1"/>
            <w:vAlign w:val="center"/>
            <w:hideMark/>
          </w:tcPr>
          <w:p w14:paraId="0FAA7B8F" w14:textId="77777777" w:rsidR="00AE680E" w:rsidRPr="002D25BB" w:rsidRDefault="00AE680E" w:rsidP="00396352">
            <w:pPr>
              <w:spacing w:before="0" w:after="0" w:line="240" w:lineRule="auto"/>
              <w:rPr>
                <w:b/>
                <w:bCs/>
                <w:sz w:val="20"/>
                <w:szCs w:val="20"/>
              </w:rPr>
            </w:pPr>
          </w:p>
        </w:tc>
        <w:tc>
          <w:tcPr>
            <w:tcW w:w="910" w:type="dxa"/>
            <w:vMerge/>
            <w:tcBorders>
              <w:top w:val="nil"/>
              <w:bottom w:val="nil"/>
            </w:tcBorders>
            <w:shd w:val="clear" w:color="auto" w:fill="FFFFFF" w:themeFill="background1"/>
            <w:vAlign w:val="center"/>
            <w:hideMark/>
          </w:tcPr>
          <w:p w14:paraId="1A52E52F" w14:textId="77777777" w:rsidR="00AE680E" w:rsidRPr="002D25BB" w:rsidRDefault="00AE680E" w:rsidP="00396352">
            <w:pPr>
              <w:spacing w:before="0" w:after="0" w:line="240" w:lineRule="auto"/>
              <w:rPr>
                <w:b/>
                <w:bCs/>
                <w:sz w:val="20"/>
                <w:szCs w:val="20"/>
              </w:rPr>
            </w:pPr>
          </w:p>
        </w:tc>
      </w:tr>
      <w:tr w:rsidR="00AE680E" w:rsidRPr="002D25BB" w14:paraId="02BB91E7" w14:textId="77777777" w:rsidTr="00396352">
        <w:trPr>
          <w:trHeight w:val="20"/>
        </w:trPr>
        <w:tc>
          <w:tcPr>
            <w:tcW w:w="3945" w:type="dxa"/>
            <w:tcBorders>
              <w:top w:val="nil"/>
              <w:bottom w:val="nil"/>
              <w:right w:val="double" w:sz="4" w:space="0" w:color="auto"/>
            </w:tcBorders>
            <w:shd w:val="clear" w:color="auto" w:fill="FFFFFF" w:themeFill="background1"/>
            <w:vAlign w:val="center"/>
            <w:hideMark/>
          </w:tcPr>
          <w:p w14:paraId="193E3F2C" w14:textId="77777777" w:rsidR="00AE680E" w:rsidRPr="002D25BB" w:rsidRDefault="00AE680E" w:rsidP="00396352">
            <w:pPr>
              <w:spacing w:before="0" w:after="0" w:line="240" w:lineRule="auto"/>
              <w:ind w:left="150"/>
              <w:jc w:val="left"/>
              <w:rPr>
                <w:sz w:val="20"/>
                <w:szCs w:val="20"/>
              </w:rPr>
            </w:pPr>
            <w:r w:rsidRPr="002D25BB">
              <w:rPr>
                <w:sz w:val="20"/>
                <w:szCs w:val="20"/>
              </w:rPr>
              <w:t>Threshold 3</w:t>
            </w:r>
          </w:p>
        </w:tc>
        <w:tc>
          <w:tcPr>
            <w:tcW w:w="990" w:type="dxa"/>
            <w:vMerge/>
            <w:tcBorders>
              <w:top w:val="nil"/>
              <w:left w:val="double" w:sz="4" w:space="0" w:color="auto"/>
              <w:bottom w:val="nil"/>
            </w:tcBorders>
            <w:shd w:val="clear" w:color="auto" w:fill="FFFFFF" w:themeFill="background1"/>
            <w:vAlign w:val="center"/>
            <w:hideMark/>
          </w:tcPr>
          <w:p w14:paraId="040A3E0D" w14:textId="77777777" w:rsidR="00AE680E" w:rsidRPr="002D25BB" w:rsidRDefault="00AE680E" w:rsidP="00396352">
            <w:pPr>
              <w:spacing w:before="0" w:after="0" w:line="240" w:lineRule="auto"/>
              <w:rPr>
                <w:b/>
                <w:bCs/>
                <w:sz w:val="20"/>
                <w:szCs w:val="20"/>
              </w:rPr>
            </w:pPr>
          </w:p>
        </w:tc>
        <w:tc>
          <w:tcPr>
            <w:tcW w:w="720" w:type="dxa"/>
            <w:vMerge/>
            <w:tcBorders>
              <w:top w:val="nil"/>
              <w:bottom w:val="nil"/>
              <w:right w:val="double" w:sz="4" w:space="0" w:color="auto"/>
            </w:tcBorders>
            <w:shd w:val="clear" w:color="auto" w:fill="FFFFFF" w:themeFill="background1"/>
            <w:vAlign w:val="center"/>
            <w:hideMark/>
          </w:tcPr>
          <w:p w14:paraId="17FB1BA4" w14:textId="77777777" w:rsidR="00AE680E" w:rsidRPr="002D25BB" w:rsidRDefault="00AE680E" w:rsidP="00396352">
            <w:pPr>
              <w:spacing w:before="0" w:after="0" w:line="240" w:lineRule="auto"/>
              <w:rPr>
                <w:b/>
                <w:bCs/>
                <w:sz w:val="20"/>
                <w:szCs w:val="20"/>
              </w:rPr>
            </w:pPr>
          </w:p>
        </w:tc>
        <w:tc>
          <w:tcPr>
            <w:tcW w:w="810" w:type="dxa"/>
            <w:tcBorders>
              <w:top w:val="nil"/>
              <w:left w:val="double" w:sz="4" w:space="0" w:color="auto"/>
              <w:bottom w:val="nil"/>
            </w:tcBorders>
            <w:shd w:val="clear" w:color="auto" w:fill="FFFFFF" w:themeFill="background1"/>
            <w:vAlign w:val="center"/>
          </w:tcPr>
          <w:p w14:paraId="17602EC8" w14:textId="77777777" w:rsidR="00AE680E" w:rsidRPr="002D25BB" w:rsidRDefault="00AE680E" w:rsidP="00396352">
            <w:pPr>
              <w:spacing w:before="0" w:after="0" w:line="240" w:lineRule="auto"/>
              <w:jc w:val="right"/>
              <w:rPr>
                <w:sz w:val="20"/>
                <w:szCs w:val="20"/>
              </w:rPr>
            </w:pPr>
            <w:r w:rsidRPr="002D25BB">
              <w:rPr>
                <w:sz w:val="20"/>
                <w:szCs w:val="20"/>
              </w:rPr>
              <w:t>5.173</w:t>
            </w:r>
          </w:p>
        </w:tc>
        <w:tc>
          <w:tcPr>
            <w:tcW w:w="900" w:type="dxa"/>
            <w:tcBorders>
              <w:top w:val="nil"/>
              <w:bottom w:val="nil"/>
              <w:right w:val="double" w:sz="4" w:space="0" w:color="auto"/>
            </w:tcBorders>
            <w:shd w:val="clear" w:color="auto" w:fill="FFFFFF" w:themeFill="background1"/>
            <w:vAlign w:val="center"/>
          </w:tcPr>
          <w:p w14:paraId="5FEF7E14" w14:textId="77777777" w:rsidR="00AE680E" w:rsidRPr="002D25BB" w:rsidRDefault="00AE680E" w:rsidP="00396352">
            <w:pPr>
              <w:spacing w:before="0" w:after="0" w:line="240" w:lineRule="auto"/>
              <w:jc w:val="right"/>
              <w:rPr>
                <w:sz w:val="20"/>
                <w:szCs w:val="20"/>
              </w:rPr>
            </w:pPr>
            <w:r w:rsidRPr="002D25BB">
              <w:rPr>
                <w:sz w:val="20"/>
                <w:szCs w:val="20"/>
              </w:rPr>
              <w:t>14.31</w:t>
            </w:r>
          </w:p>
        </w:tc>
        <w:tc>
          <w:tcPr>
            <w:tcW w:w="900" w:type="dxa"/>
            <w:vMerge/>
            <w:tcBorders>
              <w:top w:val="nil"/>
              <w:left w:val="double" w:sz="4" w:space="0" w:color="auto"/>
              <w:bottom w:val="nil"/>
            </w:tcBorders>
            <w:shd w:val="clear" w:color="auto" w:fill="FFFFFF" w:themeFill="background1"/>
            <w:vAlign w:val="center"/>
            <w:hideMark/>
          </w:tcPr>
          <w:p w14:paraId="01C4B3CA" w14:textId="77777777" w:rsidR="00AE680E" w:rsidRPr="002D25BB" w:rsidRDefault="00AE680E" w:rsidP="00396352">
            <w:pPr>
              <w:spacing w:before="0" w:after="0" w:line="240" w:lineRule="auto"/>
              <w:rPr>
                <w:b/>
                <w:bCs/>
                <w:sz w:val="20"/>
                <w:szCs w:val="20"/>
              </w:rPr>
            </w:pPr>
          </w:p>
        </w:tc>
        <w:tc>
          <w:tcPr>
            <w:tcW w:w="910" w:type="dxa"/>
            <w:vMerge/>
            <w:tcBorders>
              <w:top w:val="nil"/>
              <w:bottom w:val="nil"/>
            </w:tcBorders>
            <w:shd w:val="clear" w:color="auto" w:fill="FFFFFF" w:themeFill="background1"/>
            <w:vAlign w:val="center"/>
            <w:hideMark/>
          </w:tcPr>
          <w:p w14:paraId="7231FCC9" w14:textId="77777777" w:rsidR="00AE680E" w:rsidRPr="002D25BB" w:rsidRDefault="00AE680E" w:rsidP="00396352">
            <w:pPr>
              <w:spacing w:before="0" w:after="0" w:line="240" w:lineRule="auto"/>
              <w:rPr>
                <w:b/>
                <w:bCs/>
                <w:sz w:val="20"/>
                <w:szCs w:val="20"/>
              </w:rPr>
            </w:pPr>
          </w:p>
        </w:tc>
      </w:tr>
      <w:tr w:rsidR="00AE680E" w:rsidRPr="002D25BB" w14:paraId="4ECE6C13" w14:textId="77777777" w:rsidTr="00396352">
        <w:trPr>
          <w:trHeight w:val="20"/>
        </w:trPr>
        <w:tc>
          <w:tcPr>
            <w:tcW w:w="3945" w:type="dxa"/>
            <w:tcBorders>
              <w:top w:val="nil"/>
              <w:bottom w:val="nil"/>
              <w:right w:val="double" w:sz="4" w:space="0" w:color="auto"/>
            </w:tcBorders>
            <w:shd w:val="clear" w:color="auto" w:fill="FFFFFF" w:themeFill="background1"/>
            <w:vAlign w:val="center"/>
            <w:hideMark/>
          </w:tcPr>
          <w:p w14:paraId="70D8FE17" w14:textId="77777777" w:rsidR="00AE680E" w:rsidRPr="002D25BB" w:rsidRDefault="00AE680E" w:rsidP="00396352">
            <w:pPr>
              <w:spacing w:before="0" w:after="0" w:line="240" w:lineRule="auto"/>
              <w:ind w:left="150"/>
              <w:jc w:val="left"/>
              <w:rPr>
                <w:sz w:val="20"/>
                <w:szCs w:val="20"/>
              </w:rPr>
            </w:pPr>
            <w:r w:rsidRPr="002D25BB">
              <w:rPr>
                <w:sz w:val="20"/>
                <w:szCs w:val="20"/>
              </w:rPr>
              <w:t>Threshold 4</w:t>
            </w:r>
          </w:p>
        </w:tc>
        <w:tc>
          <w:tcPr>
            <w:tcW w:w="990" w:type="dxa"/>
            <w:vMerge/>
            <w:tcBorders>
              <w:top w:val="nil"/>
              <w:left w:val="double" w:sz="4" w:space="0" w:color="auto"/>
              <w:bottom w:val="nil"/>
            </w:tcBorders>
            <w:shd w:val="clear" w:color="auto" w:fill="FFFFFF" w:themeFill="background1"/>
            <w:vAlign w:val="center"/>
            <w:hideMark/>
          </w:tcPr>
          <w:p w14:paraId="4F98BAE2" w14:textId="77777777" w:rsidR="00AE680E" w:rsidRPr="002D25BB" w:rsidRDefault="00AE680E" w:rsidP="00396352">
            <w:pPr>
              <w:spacing w:before="0" w:after="0" w:line="240" w:lineRule="auto"/>
              <w:rPr>
                <w:b/>
                <w:bCs/>
                <w:sz w:val="20"/>
                <w:szCs w:val="20"/>
              </w:rPr>
            </w:pPr>
          </w:p>
        </w:tc>
        <w:tc>
          <w:tcPr>
            <w:tcW w:w="720" w:type="dxa"/>
            <w:vMerge/>
            <w:tcBorders>
              <w:top w:val="nil"/>
              <w:bottom w:val="nil"/>
              <w:right w:val="double" w:sz="4" w:space="0" w:color="auto"/>
            </w:tcBorders>
            <w:shd w:val="clear" w:color="auto" w:fill="FFFFFF" w:themeFill="background1"/>
            <w:vAlign w:val="center"/>
            <w:hideMark/>
          </w:tcPr>
          <w:p w14:paraId="31464AB1" w14:textId="77777777" w:rsidR="00AE680E" w:rsidRPr="002D25BB" w:rsidRDefault="00AE680E" w:rsidP="00396352">
            <w:pPr>
              <w:spacing w:before="0" w:after="0" w:line="240" w:lineRule="auto"/>
              <w:rPr>
                <w:b/>
                <w:bCs/>
                <w:sz w:val="20"/>
                <w:szCs w:val="20"/>
              </w:rPr>
            </w:pPr>
          </w:p>
        </w:tc>
        <w:tc>
          <w:tcPr>
            <w:tcW w:w="810" w:type="dxa"/>
            <w:tcBorders>
              <w:top w:val="nil"/>
              <w:left w:val="double" w:sz="4" w:space="0" w:color="auto"/>
              <w:bottom w:val="nil"/>
            </w:tcBorders>
            <w:shd w:val="clear" w:color="auto" w:fill="FFFFFF" w:themeFill="background1"/>
            <w:vAlign w:val="center"/>
          </w:tcPr>
          <w:p w14:paraId="70AC32ED" w14:textId="77777777" w:rsidR="00AE680E" w:rsidRPr="002D25BB" w:rsidRDefault="00AE680E" w:rsidP="00396352">
            <w:pPr>
              <w:spacing w:before="0" w:after="0" w:line="240" w:lineRule="auto"/>
              <w:jc w:val="right"/>
              <w:rPr>
                <w:sz w:val="20"/>
                <w:szCs w:val="20"/>
              </w:rPr>
            </w:pPr>
            <w:r w:rsidRPr="002D25BB">
              <w:rPr>
                <w:sz w:val="20"/>
                <w:szCs w:val="20"/>
              </w:rPr>
              <w:t>5.475</w:t>
            </w:r>
          </w:p>
        </w:tc>
        <w:tc>
          <w:tcPr>
            <w:tcW w:w="900" w:type="dxa"/>
            <w:tcBorders>
              <w:top w:val="nil"/>
              <w:bottom w:val="nil"/>
              <w:right w:val="double" w:sz="4" w:space="0" w:color="auto"/>
            </w:tcBorders>
            <w:shd w:val="clear" w:color="auto" w:fill="FFFFFF" w:themeFill="background1"/>
            <w:vAlign w:val="center"/>
          </w:tcPr>
          <w:p w14:paraId="192AAB01" w14:textId="77777777" w:rsidR="00AE680E" w:rsidRPr="002D25BB" w:rsidRDefault="00AE680E" w:rsidP="00396352">
            <w:pPr>
              <w:spacing w:before="0" w:after="0" w:line="240" w:lineRule="auto"/>
              <w:jc w:val="right"/>
              <w:rPr>
                <w:sz w:val="20"/>
                <w:szCs w:val="20"/>
              </w:rPr>
            </w:pPr>
            <w:r w:rsidRPr="002D25BB">
              <w:rPr>
                <w:sz w:val="20"/>
                <w:szCs w:val="20"/>
              </w:rPr>
              <w:t>14.03</w:t>
            </w:r>
          </w:p>
        </w:tc>
        <w:tc>
          <w:tcPr>
            <w:tcW w:w="900" w:type="dxa"/>
            <w:vMerge/>
            <w:tcBorders>
              <w:top w:val="nil"/>
              <w:left w:val="double" w:sz="4" w:space="0" w:color="auto"/>
              <w:bottom w:val="nil"/>
            </w:tcBorders>
            <w:shd w:val="clear" w:color="auto" w:fill="FFFFFF" w:themeFill="background1"/>
            <w:vAlign w:val="center"/>
            <w:hideMark/>
          </w:tcPr>
          <w:p w14:paraId="14EF176A" w14:textId="77777777" w:rsidR="00AE680E" w:rsidRPr="002D25BB" w:rsidRDefault="00AE680E" w:rsidP="00396352">
            <w:pPr>
              <w:spacing w:before="0" w:after="0" w:line="240" w:lineRule="auto"/>
              <w:rPr>
                <w:b/>
                <w:bCs/>
                <w:sz w:val="20"/>
                <w:szCs w:val="20"/>
              </w:rPr>
            </w:pPr>
          </w:p>
        </w:tc>
        <w:tc>
          <w:tcPr>
            <w:tcW w:w="910" w:type="dxa"/>
            <w:vMerge/>
            <w:tcBorders>
              <w:top w:val="nil"/>
              <w:bottom w:val="nil"/>
            </w:tcBorders>
            <w:shd w:val="clear" w:color="auto" w:fill="FFFFFF" w:themeFill="background1"/>
            <w:vAlign w:val="center"/>
            <w:hideMark/>
          </w:tcPr>
          <w:p w14:paraId="3361ED03" w14:textId="77777777" w:rsidR="00AE680E" w:rsidRPr="002D25BB" w:rsidRDefault="00AE680E" w:rsidP="00396352">
            <w:pPr>
              <w:spacing w:before="0" w:after="0" w:line="240" w:lineRule="auto"/>
              <w:rPr>
                <w:b/>
                <w:bCs/>
                <w:sz w:val="20"/>
                <w:szCs w:val="20"/>
              </w:rPr>
            </w:pPr>
          </w:p>
        </w:tc>
      </w:tr>
      <w:tr w:rsidR="00AE680E" w:rsidRPr="002D25BB" w14:paraId="33594A87" w14:textId="77777777" w:rsidTr="00396352">
        <w:trPr>
          <w:trHeight w:val="20"/>
        </w:trPr>
        <w:tc>
          <w:tcPr>
            <w:tcW w:w="3945" w:type="dxa"/>
            <w:tcBorders>
              <w:top w:val="nil"/>
              <w:bottom w:val="nil"/>
              <w:right w:val="double" w:sz="4" w:space="0" w:color="auto"/>
            </w:tcBorders>
            <w:shd w:val="clear" w:color="auto" w:fill="FFFFFF" w:themeFill="background1"/>
            <w:vAlign w:val="center"/>
            <w:hideMark/>
          </w:tcPr>
          <w:p w14:paraId="6014E287" w14:textId="77777777" w:rsidR="00AE680E" w:rsidRPr="002D25BB" w:rsidRDefault="00AE680E" w:rsidP="00396352">
            <w:pPr>
              <w:spacing w:before="0" w:after="0" w:line="240" w:lineRule="auto"/>
              <w:ind w:left="150"/>
              <w:jc w:val="left"/>
              <w:rPr>
                <w:sz w:val="20"/>
                <w:szCs w:val="20"/>
              </w:rPr>
            </w:pPr>
            <w:r w:rsidRPr="002D25BB">
              <w:rPr>
                <w:sz w:val="20"/>
                <w:szCs w:val="20"/>
              </w:rPr>
              <w:t>Threshold 5</w:t>
            </w:r>
          </w:p>
        </w:tc>
        <w:tc>
          <w:tcPr>
            <w:tcW w:w="990" w:type="dxa"/>
            <w:vMerge/>
            <w:tcBorders>
              <w:top w:val="nil"/>
              <w:left w:val="double" w:sz="4" w:space="0" w:color="auto"/>
              <w:bottom w:val="nil"/>
            </w:tcBorders>
            <w:shd w:val="clear" w:color="auto" w:fill="FFFFFF" w:themeFill="background1"/>
            <w:vAlign w:val="center"/>
            <w:hideMark/>
          </w:tcPr>
          <w:p w14:paraId="1C4335C7" w14:textId="77777777" w:rsidR="00AE680E" w:rsidRPr="002D25BB" w:rsidRDefault="00AE680E" w:rsidP="00396352">
            <w:pPr>
              <w:spacing w:before="0" w:after="0" w:line="240" w:lineRule="auto"/>
              <w:rPr>
                <w:b/>
                <w:bCs/>
                <w:sz w:val="20"/>
                <w:szCs w:val="20"/>
              </w:rPr>
            </w:pPr>
          </w:p>
        </w:tc>
        <w:tc>
          <w:tcPr>
            <w:tcW w:w="720" w:type="dxa"/>
            <w:vMerge/>
            <w:tcBorders>
              <w:top w:val="nil"/>
              <w:bottom w:val="nil"/>
              <w:right w:val="double" w:sz="4" w:space="0" w:color="auto"/>
            </w:tcBorders>
            <w:shd w:val="clear" w:color="auto" w:fill="FFFFFF" w:themeFill="background1"/>
            <w:vAlign w:val="center"/>
            <w:hideMark/>
          </w:tcPr>
          <w:p w14:paraId="5972D9E0" w14:textId="77777777" w:rsidR="00AE680E" w:rsidRPr="002D25BB" w:rsidRDefault="00AE680E" w:rsidP="00396352">
            <w:pPr>
              <w:spacing w:before="0" w:after="0" w:line="240" w:lineRule="auto"/>
              <w:rPr>
                <w:b/>
                <w:bCs/>
                <w:sz w:val="20"/>
                <w:szCs w:val="20"/>
              </w:rPr>
            </w:pPr>
          </w:p>
        </w:tc>
        <w:tc>
          <w:tcPr>
            <w:tcW w:w="810" w:type="dxa"/>
            <w:tcBorders>
              <w:top w:val="nil"/>
              <w:left w:val="double" w:sz="4" w:space="0" w:color="auto"/>
              <w:bottom w:val="nil"/>
            </w:tcBorders>
            <w:shd w:val="clear" w:color="auto" w:fill="FFFFFF" w:themeFill="background1"/>
            <w:vAlign w:val="center"/>
          </w:tcPr>
          <w:p w14:paraId="261D4443" w14:textId="77777777" w:rsidR="00AE680E" w:rsidRPr="002D25BB" w:rsidRDefault="00AE680E" w:rsidP="00396352">
            <w:pPr>
              <w:spacing w:before="0" w:after="0" w:line="240" w:lineRule="auto"/>
              <w:jc w:val="right"/>
              <w:rPr>
                <w:sz w:val="20"/>
                <w:szCs w:val="20"/>
              </w:rPr>
            </w:pPr>
            <w:r w:rsidRPr="002D25BB">
              <w:rPr>
                <w:sz w:val="20"/>
                <w:szCs w:val="20"/>
              </w:rPr>
              <w:t>5.752</w:t>
            </w:r>
          </w:p>
        </w:tc>
        <w:tc>
          <w:tcPr>
            <w:tcW w:w="900" w:type="dxa"/>
            <w:tcBorders>
              <w:top w:val="nil"/>
              <w:bottom w:val="nil"/>
              <w:right w:val="double" w:sz="4" w:space="0" w:color="auto"/>
            </w:tcBorders>
            <w:shd w:val="clear" w:color="auto" w:fill="FFFFFF" w:themeFill="background1"/>
            <w:vAlign w:val="center"/>
          </w:tcPr>
          <w:p w14:paraId="4BD088AB" w14:textId="77777777" w:rsidR="00AE680E" w:rsidRPr="002D25BB" w:rsidRDefault="00AE680E" w:rsidP="00396352">
            <w:pPr>
              <w:spacing w:before="0" w:after="0" w:line="240" w:lineRule="auto"/>
              <w:jc w:val="right"/>
              <w:rPr>
                <w:sz w:val="20"/>
                <w:szCs w:val="20"/>
              </w:rPr>
            </w:pPr>
            <w:r w:rsidRPr="002D25BB">
              <w:rPr>
                <w:sz w:val="20"/>
                <w:szCs w:val="20"/>
              </w:rPr>
              <w:t>15.62</w:t>
            </w:r>
          </w:p>
        </w:tc>
        <w:tc>
          <w:tcPr>
            <w:tcW w:w="900" w:type="dxa"/>
            <w:vMerge/>
            <w:tcBorders>
              <w:top w:val="nil"/>
              <w:left w:val="double" w:sz="4" w:space="0" w:color="auto"/>
              <w:bottom w:val="nil"/>
            </w:tcBorders>
            <w:shd w:val="clear" w:color="auto" w:fill="FFFFFF" w:themeFill="background1"/>
            <w:vAlign w:val="center"/>
            <w:hideMark/>
          </w:tcPr>
          <w:p w14:paraId="1A17E928" w14:textId="77777777" w:rsidR="00AE680E" w:rsidRPr="002D25BB" w:rsidRDefault="00AE680E" w:rsidP="00396352">
            <w:pPr>
              <w:spacing w:before="0" w:after="0" w:line="240" w:lineRule="auto"/>
              <w:rPr>
                <w:b/>
                <w:bCs/>
                <w:sz w:val="20"/>
                <w:szCs w:val="20"/>
              </w:rPr>
            </w:pPr>
          </w:p>
        </w:tc>
        <w:tc>
          <w:tcPr>
            <w:tcW w:w="910" w:type="dxa"/>
            <w:vMerge/>
            <w:tcBorders>
              <w:top w:val="nil"/>
              <w:bottom w:val="nil"/>
            </w:tcBorders>
            <w:shd w:val="clear" w:color="auto" w:fill="FFFFFF" w:themeFill="background1"/>
            <w:vAlign w:val="center"/>
            <w:hideMark/>
          </w:tcPr>
          <w:p w14:paraId="22585FA0" w14:textId="77777777" w:rsidR="00AE680E" w:rsidRPr="002D25BB" w:rsidRDefault="00AE680E" w:rsidP="00396352">
            <w:pPr>
              <w:spacing w:before="0" w:after="0" w:line="240" w:lineRule="auto"/>
              <w:rPr>
                <w:b/>
                <w:bCs/>
                <w:sz w:val="20"/>
                <w:szCs w:val="20"/>
              </w:rPr>
            </w:pPr>
          </w:p>
        </w:tc>
      </w:tr>
      <w:tr w:rsidR="00AE680E" w:rsidRPr="002D25BB" w14:paraId="733CDB79" w14:textId="77777777" w:rsidTr="00396352">
        <w:trPr>
          <w:trHeight w:val="20"/>
        </w:trPr>
        <w:tc>
          <w:tcPr>
            <w:tcW w:w="3945" w:type="dxa"/>
            <w:tcBorders>
              <w:top w:val="nil"/>
              <w:bottom w:val="single" w:sz="4" w:space="0" w:color="auto"/>
              <w:right w:val="double" w:sz="4" w:space="0" w:color="auto"/>
            </w:tcBorders>
            <w:shd w:val="clear" w:color="auto" w:fill="FFFFFF" w:themeFill="background1"/>
            <w:vAlign w:val="center"/>
            <w:hideMark/>
          </w:tcPr>
          <w:p w14:paraId="038CE8E0" w14:textId="77777777" w:rsidR="00AE680E" w:rsidRPr="002D25BB" w:rsidRDefault="00AE680E" w:rsidP="00396352">
            <w:pPr>
              <w:spacing w:before="0" w:after="0" w:line="240" w:lineRule="auto"/>
              <w:ind w:left="150"/>
              <w:jc w:val="left"/>
              <w:rPr>
                <w:sz w:val="20"/>
                <w:szCs w:val="20"/>
              </w:rPr>
            </w:pPr>
            <w:r w:rsidRPr="002D25BB">
              <w:rPr>
                <w:sz w:val="20"/>
                <w:szCs w:val="20"/>
              </w:rPr>
              <w:t>Threshold 6</w:t>
            </w:r>
          </w:p>
        </w:tc>
        <w:tc>
          <w:tcPr>
            <w:tcW w:w="990" w:type="dxa"/>
            <w:vMerge/>
            <w:tcBorders>
              <w:top w:val="nil"/>
              <w:left w:val="double" w:sz="4" w:space="0" w:color="auto"/>
              <w:bottom w:val="single" w:sz="4" w:space="0" w:color="auto"/>
            </w:tcBorders>
            <w:shd w:val="clear" w:color="auto" w:fill="FFFFFF" w:themeFill="background1"/>
            <w:vAlign w:val="center"/>
            <w:hideMark/>
          </w:tcPr>
          <w:p w14:paraId="4FCE85F5" w14:textId="77777777" w:rsidR="00AE680E" w:rsidRPr="002D25BB" w:rsidRDefault="00AE680E" w:rsidP="00396352">
            <w:pPr>
              <w:spacing w:before="0" w:after="0" w:line="240" w:lineRule="auto"/>
              <w:rPr>
                <w:b/>
                <w:bCs/>
                <w:sz w:val="20"/>
                <w:szCs w:val="20"/>
              </w:rPr>
            </w:pPr>
          </w:p>
        </w:tc>
        <w:tc>
          <w:tcPr>
            <w:tcW w:w="720" w:type="dxa"/>
            <w:vMerge/>
            <w:tcBorders>
              <w:top w:val="nil"/>
              <w:bottom w:val="single" w:sz="4" w:space="0" w:color="auto"/>
              <w:right w:val="double" w:sz="4" w:space="0" w:color="auto"/>
            </w:tcBorders>
            <w:shd w:val="clear" w:color="auto" w:fill="FFFFFF" w:themeFill="background1"/>
            <w:vAlign w:val="center"/>
            <w:hideMark/>
          </w:tcPr>
          <w:p w14:paraId="40F5E4C4" w14:textId="77777777" w:rsidR="00AE680E" w:rsidRPr="002D25BB" w:rsidRDefault="00AE680E" w:rsidP="00396352">
            <w:pPr>
              <w:spacing w:before="0" w:after="0" w:line="240" w:lineRule="auto"/>
              <w:rPr>
                <w:b/>
                <w:bCs/>
                <w:sz w:val="20"/>
                <w:szCs w:val="20"/>
              </w:rPr>
            </w:pPr>
          </w:p>
        </w:tc>
        <w:tc>
          <w:tcPr>
            <w:tcW w:w="810" w:type="dxa"/>
            <w:tcBorders>
              <w:top w:val="nil"/>
              <w:left w:val="double" w:sz="4" w:space="0" w:color="auto"/>
              <w:bottom w:val="single" w:sz="4" w:space="0" w:color="auto"/>
            </w:tcBorders>
            <w:shd w:val="clear" w:color="auto" w:fill="FFFFFF" w:themeFill="background1"/>
            <w:vAlign w:val="center"/>
          </w:tcPr>
          <w:p w14:paraId="34560819" w14:textId="77777777" w:rsidR="00AE680E" w:rsidRPr="002D25BB" w:rsidRDefault="00AE680E" w:rsidP="00396352">
            <w:pPr>
              <w:spacing w:before="0" w:after="0" w:line="240" w:lineRule="auto"/>
              <w:jc w:val="right"/>
              <w:rPr>
                <w:sz w:val="20"/>
                <w:szCs w:val="20"/>
              </w:rPr>
            </w:pPr>
            <w:r w:rsidRPr="002D25BB">
              <w:rPr>
                <w:sz w:val="20"/>
                <w:szCs w:val="20"/>
              </w:rPr>
              <w:t>6.111</w:t>
            </w:r>
          </w:p>
        </w:tc>
        <w:tc>
          <w:tcPr>
            <w:tcW w:w="900" w:type="dxa"/>
            <w:tcBorders>
              <w:top w:val="nil"/>
              <w:bottom w:val="single" w:sz="4" w:space="0" w:color="auto"/>
              <w:right w:val="double" w:sz="4" w:space="0" w:color="auto"/>
            </w:tcBorders>
            <w:shd w:val="clear" w:color="auto" w:fill="FFFFFF" w:themeFill="background1"/>
            <w:vAlign w:val="center"/>
          </w:tcPr>
          <w:p w14:paraId="63817934" w14:textId="77777777" w:rsidR="00AE680E" w:rsidRPr="002D25BB" w:rsidRDefault="00AE680E" w:rsidP="00396352">
            <w:pPr>
              <w:spacing w:before="0" w:after="0" w:line="240" w:lineRule="auto"/>
              <w:jc w:val="right"/>
              <w:rPr>
                <w:sz w:val="20"/>
                <w:szCs w:val="20"/>
              </w:rPr>
            </w:pPr>
            <w:r w:rsidRPr="002D25BB">
              <w:rPr>
                <w:sz w:val="20"/>
                <w:szCs w:val="20"/>
              </w:rPr>
              <w:t>16.15</w:t>
            </w:r>
          </w:p>
        </w:tc>
        <w:tc>
          <w:tcPr>
            <w:tcW w:w="900" w:type="dxa"/>
            <w:vMerge/>
            <w:tcBorders>
              <w:top w:val="nil"/>
              <w:left w:val="double" w:sz="4" w:space="0" w:color="auto"/>
              <w:bottom w:val="single" w:sz="4" w:space="0" w:color="auto"/>
            </w:tcBorders>
            <w:shd w:val="clear" w:color="auto" w:fill="FFFFFF" w:themeFill="background1"/>
            <w:vAlign w:val="center"/>
            <w:hideMark/>
          </w:tcPr>
          <w:p w14:paraId="79139CB9" w14:textId="77777777" w:rsidR="00AE680E" w:rsidRPr="002D25BB" w:rsidRDefault="00AE680E" w:rsidP="00396352">
            <w:pPr>
              <w:spacing w:before="0" w:after="0" w:line="240" w:lineRule="auto"/>
              <w:rPr>
                <w:b/>
                <w:bCs/>
                <w:sz w:val="20"/>
                <w:szCs w:val="20"/>
              </w:rPr>
            </w:pPr>
          </w:p>
        </w:tc>
        <w:tc>
          <w:tcPr>
            <w:tcW w:w="910" w:type="dxa"/>
            <w:vMerge/>
            <w:tcBorders>
              <w:top w:val="nil"/>
              <w:bottom w:val="single" w:sz="4" w:space="0" w:color="auto"/>
            </w:tcBorders>
            <w:shd w:val="clear" w:color="auto" w:fill="FFFFFF" w:themeFill="background1"/>
            <w:vAlign w:val="center"/>
            <w:hideMark/>
          </w:tcPr>
          <w:p w14:paraId="00706770" w14:textId="77777777" w:rsidR="00AE680E" w:rsidRPr="002D25BB" w:rsidRDefault="00AE680E" w:rsidP="00396352">
            <w:pPr>
              <w:spacing w:before="0" w:after="0" w:line="240" w:lineRule="auto"/>
              <w:rPr>
                <w:b/>
                <w:bCs/>
                <w:sz w:val="20"/>
                <w:szCs w:val="20"/>
              </w:rPr>
            </w:pPr>
          </w:p>
        </w:tc>
      </w:tr>
      <w:tr w:rsidR="00AE680E" w:rsidRPr="002D25BB" w14:paraId="6E5C14EB" w14:textId="77777777" w:rsidTr="00396352">
        <w:trPr>
          <w:trHeight w:val="20"/>
        </w:trPr>
        <w:tc>
          <w:tcPr>
            <w:tcW w:w="3945" w:type="dxa"/>
            <w:tcBorders>
              <w:top w:val="single" w:sz="4" w:space="0" w:color="auto"/>
              <w:bottom w:val="single" w:sz="4" w:space="0" w:color="auto"/>
              <w:right w:val="double" w:sz="4" w:space="0" w:color="auto"/>
            </w:tcBorders>
            <w:shd w:val="clear" w:color="auto" w:fill="FFFFFF" w:themeFill="background1"/>
            <w:vAlign w:val="center"/>
          </w:tcPr>
          <w:p w14:paraId="00BC9C1C" w14:textId="77777777" w:rsidR="00AE680E" w:rsidRPr="002D25BB" w:rsidRDefault="00AE680E" w:rsidP="00396352">
            <w:pPr>
              <w:spacing w:before="0" w:after="0" w:line="240" w:lineRule="auto"/>
              <w:jc w:val="left"/>
              <w:rPr>
                <w:sz w:val="20"/>
                <w:szCs w:val="20"/>
              </w:rPr>
            </w:pPr>
            <w:r w:rsidRPr="002D25BB">
              <w:rPr>
                <w:b/>
                <w:bCs/>
                <w:sz w:val="20"/>
                <w:szCs w:val="20"/>
              </w:rPr>
              <w:t>Model Type</w:t>
            </w:r>
          </w:p>
        </w:tc>
        <w:tc>
          <w:tcPr>
            <w:tcW w:w="1710" w:type="dxa"/>
            <w:gridSpan w:val="2"/>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5EBD9372" w14:textId="77777777" w:rsidR="00AE680E" w:rsidRPr="002D25BB" w:rsidRDefault="00AE680E" w:rsidP="00396352">
            <w:pPr>
              <w:spacing w:before="0" w:after="0" w:line="240" w:lineRule="auto"/>
              <w:jc w:val="center"/>
              <w:rPr>
                <w:b/>
                <w:bCs/>
                <w:sz w:val="20"/>
                <w:szCs w:val="20"/>
              </w:rPr>
            </w:pPr>
            <w:r w:rsidRPr="002D25BB">
              <w:rPr>
                <w:sz w:val="20"/>
                <w:szCs w:val="20"/>
              </w:rPr>
              <w:t xml:space="preserve">Probit </w:t>
            </w:r>
          </w:p>
        </w:tc>
        <w:tc>
          <w:tcPr>
            <w:tcW w:w="1710" w:type="dxa"/>
            <w:gridSpan w:val="2"/>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29CE5BE0" w14:textId="77777777" w:rsidR="00AE680E" w:rsidRPr="002D25BB" w:rsidRDefault="00AE680E" w:rsidP="00396352">
            <w:pPr>
              <w:spacing w:before="0" w:after="0" w:line="240" w:lineRule="auto"/>
              <w:jc w:val="center"/>
              <w:rPr>
                <w:sz w:val="20"/>
                <w:szCs w:val="20"/>
              </w:rPr>
            </w:pPr>
            <w:r w:rsidRPr="002D25BB">
              <w:rPr>
                <w:sz w:val="20"/>
                <w:szCs w:val="20"/>
              </w:rPr>
              <w:t xml:space="preserve">Ordered probit </w:t>
            </w:r>
          </w:p>
        </w:tc>
        <w:tc>
          <w:tcPr>
            <w:tcW w:w="1810" w:type="dxa"/>
            <w:gridSpan w:val="2"/>
            <w:tcBorders>
              <w:top w:val="single" w:sz="4" w:space="0" w:color="auto"/>
              <w:left w:val="double" w:sz="4" w:space="0" w:color="auto"/>
              <w:bottom w:val="single" w:sz="4" w:space="0" w:color="auto"/>
            </w:tcBorders>
            <w:shd w:val="clear" w:color="auto" w:fill="FFFFFF" w:themeFill="background1"/>
            <w:vAlign w:val="center"/>
          </w:tcPr>
          <w:p w14:paraId="6CA76F0C" w14:textId="77777777" w:rsidR="00AE680E" w:rsidRPr="002D25BB" w:rsidRDefault="00AE680E" w:rsidP="00396352">
            <w:pPr>
              <w:spacing w:before="0" w:after="0" w:line="240" w:lineRule="auto"/>
              <w:jc w:val="center"/>
              <w:rPr>
                <w:b/>
                <w:bCs/>
                <w:sz w:val="20"/>
                <w:szCs w:val="20"/>
              </w:rPr>
            </w:pPr>
            <w:r w:rsidRPr="002D25BB">
              <w:rPr>
                <w:sz w:val="20"/>
                <w:szCs w:val="20"/>
              </w:rPr>
              <w:t xml:space="preserve">Fractional response </w:t>
            </w:r>
          </w:p>
        </w:tc>
      </w:tr>
      <w:tr w:rsidR="00AE680E" w:rsidRPr="002D25BB" w14:paraId="14E6F82D" w14:textId="77777777" w:rsidTr="00396352">
        <w:trPr>
          <w:trHeight w:val="20"/>
        </w:trPr>
        <w:tc>
          <w:tcPr>
            <w:tcW w:w="3945" w:type="dxa"/>
            <w:tcBorders>
              <w:top w:val="single" w:sz="4" w:space="0" w:color="auto"/>
              <w:bottom w:val="single" w:sz="4" w:space="0" w:color="auto"/>
              <w:right w:val="double" w:sz="4" w:space="0" w:color="auto"/>
            </w:tcBorders>
            <w:shd w:val="clear" w:color="auto" w:fill="FFFFFF" w:themeFill="background1"/>
            <w:vAlign w:val="center"/>
          </w:tcPr>
          <w:p w14:paraId="5D9B7B6C" w14:textId="77777777" w:rsidR="00AE680E" w:rsidRPr="002D25BB" w:rsidRDefault="00AE680E" w:rsidP="00396352">
            <w:pPr>
              <w:spacing w:before="0" w:after="0" w:line="240" w:lineRule="auto"/>
              <w:jc w:val="left"/>
              <w:rPr>
                <w:b/>
                <w:bCs/>
                <w:sz w:val="20"/>
                <w:szCs w:val="20"/>
              </w:rPr>
            </w:pPr>
            <w:r w:rsidRPr="002D25BB">
              <w:rPr>
                <w:b/>
                <w:bCs/>
                <w:sz w:val="20"/>
                <w:szCs w:val="20"/>
              </w:rPr>
              <w:t>Number of ob</w:t>
            </w:r>
            <w:r>
              <w:rPr>
                <w:b/>
                <w:bCs/>
                <w:sz w:val="20"/>
                <w:szCs w:val="20"/>
              </w:rPr>
              <w:t>servations</w:t>
            </w:r>
          </w:p>
        </w:tc>
        <w:tc>
          <w:tcPr>
            <w:tcW w:w="1710" w:type="dxa"/>
            <w:gridSpan w:val="2"/>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30DAC869" w14:textId="77777777" w:rsidR="00AE680E" w:rsidRPr="002D25BB" w:rsidRDefault="00AE680E" w:rsidP="00396352">
            <w:pPr>
              <w:spacing w:before="0" w:after="0" w:line="240" w:lineRule="auto"/>
              <w:jc w:val="center"/>
              <w:rPr>
                <w:b/>
                <w:bCs/>
                <w:sz w:val="20"/>
                <w:szCs w:val="20"/>
              </w:rPr>
            </w:pPr>
            <w:r w:rsidRPr="002D25BB">
              <w:rPr>
                <w:sz w:val="20"/>
                <w:szCs w:val="20"/>
              </w:rPr>
              <w:t>2,968</w:t>
            </w:r>
          </w:p>
        </w:tc>
        <w:tc>
          <w:tcPr>
            <w:tcW w:w="1710" w:type="dxa"/>
            <w:gridSpan w:val="2"/>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54472661" w14:textId="77777777" w:rsidR="00AE680E" w:rsidRPr="002D25BB" w:rsidRDefault="00AE680E" w:rsidP="00396352">
            <w:pPr>
              <w:spacing w:before="0" w:after="0" w:line="240" w:lineRule="auto"/>
              <w:jc w:val="center"/>
              <w:rPr>
                <w:sz w:val="20"/>
                <w:szCs w:val="20"/>
              </w:rPr>
            </w:pPr>
            <w:r w:rsidRPr="002D25BB">
              <w:rPr>
                <w:sz w:val="20"/>
                <w:szCs w:val="20"/>
              </w:rPr>
              <w:t>2,968</w:t>
            </w:r>
          </w:p>
        </w:tc>
        <w:tc>
          <w:tcPr>
            <w:tcW w:w="1810" w:type="dxa"/>
            <w:gridSpan w:val="2"/>
            <w:tcBorders>
              <w:top w:val="single" w:sz="4" w:space="0" w:color="auto"/>
              <w:left w:val="double" w:sz="4" w:space="0" w:color="auto"/>
              <w:bottom w:val="single" w:sz="4" w:space="0" w:color="auto"/>
            </w:tcBorders>
            <w:shd w:val="clear" w:color="auto" w:fill="FFFFFF" w:themeFill="background1"/>
            <w:vAlign w:val="center"/>
          </w:tcPr>
          <w:p w14:paraId="489846F5" w14:textId="77777777" w:rsidR="00AE680E" w:rsidRPr="002D25BB" w:rsidRDefault="00AE680E" w:rsidP="00396352">
            <w:pPr>
              <w:spacing w:before="0" w:after="0" w:line="240" w:lineRule="auto"/>
              <w:jc w:val="center"/>
              <w:rPr>
                <w:b/>
                <w:bCs/>
                <w:sz w:val="20"/>
                <w:szCs w:val="20"/>
              </w:rPr>
            </w:pPr>
            <w:r w:rsidRPr="002D25BB">
              <w:rPr>
                <w:sz w:val="20"/>
                <w:szCs w:val="20"/>
              </w:rPr>
              <w:t>631</w:t>
            </w:r>
          </w:p>
        </w:tc>
      </w:tr>
      <w:tr w:rsidR="00AE680E" w:rsidRPr="002D25BB" w14:paraId="4E054C33" w14:textId="77777777" w:rsidTr="00396352">
        <w:trPr>
          <w:trHeight w:val="20"/>
        </w:trPr>
        <w:tc>
          <w:tcPr>
            <w:tcW w:w="9175" w:type="dxa"/>
            <w:gridSpan w:val="7"/>
            <w:tcBorders>
              <w:top w:val="single" w:sz="4" w:space="0" w:color="auto"/>
              <w:bottom w:val="single" w:sz="4" w:space="0" w:color="auto"/>
            </w:tcBorders>
            <w:shd w:val="clear" w:color="auto" w:fill="FFFFFF" w:themeFill="background1"/>
            <w:vAlign w:val="center"/>
          </w:tcPr>
          <w:p w14:paraId="7BCBA1A6" w14:textId="77777777" w:rsidR="00AE680E" w:rsidRPr="002D25BB" w:rsidRDefault="00AE680E" w:rsidP="00396352">
            <w:pPr>
              <w:spacing w:before="0" w:after="0" w:line="240" w:lineRule="auto"/>
              <w:jc w:val="left"/>
              <w:rPr>
                <w:b/>
                <w:bCs/>
                <w:sz w:val="20"/>
                <w:szCs w:val="20"/>
              </w:rPr>
            </w:pPr>
            <w:r w:rsidRPr="002D25BB">
              <w:rPr>
                <w:b/>
                <w:bCs/>
                <w:sz w:val="20"/>
                <w:szCs w:val="20"/>
              </w:rPr>
              <w:t>Goodness-of-fit</w:t>
            </w:r>
          </w:p>
        </w:tc>
      </w:tr>
      <w:tr w:rsidR="00AE680E" w:rsidRPr="002D25BB" w14:paraId="45149EF8" w14:textId="77777777" w:rsidTr="00396352">
        <w:trPr>
          <w:trHeight w:val="20"/>
        </w:trPr>
        <w:tc>
          <w:tcPr>
            <w:tcW w:w="3945" w:type="dxa"/>
            <w:tcBorders>
              <w:top w:val="single" w:sz="4" w:space="0" w:color="auto"/>
              <w:right w:val="double" w:sz="4" w:space="0" w:color="auto"/>
            </w:tcBorders>
            <w:shd w:val="clear" w:color="auto" w:fill="FFFFFF" w:themeFill="background1"/>
            <w:vAlign w:val="center"/>
          </w:tcPr>
          <w:p w14:paraId="3C4913C6" w14:textId="77777777" w:rsidR="00AE680E" w:rsidRPr="002D25BB" w:rsidRDefault="00AE680E" w:rsidP="00396352">
            <w:pPr>
              <w:spacing w:before="0" w:after="0" w:line="240" w:lineRule="auto"/>
              <w:jc w:val="left"/>
              <w:rPr>
                <w:b/>
                <w:bCs/>
                <w:sz w:val="20"/>
                <w:szCs w:val="20"/>
              </w:rPr>
            </w:pPr>
            <w:r>
              <w:rPr>
                <w:sz w:val="20"/>
                <w:szCs w:val="20"/>
              </w:rPr>
              <w:t>L</w:t>
            </w:r>
            <w:r w:rsidRPr="00EB34BD">
              <w:rPr>
                <w:sz w:val="20"/>
                <w:szCs w:val="20"/>
              </w:rPr>
              <w:t>og-likelihood</w:t>
            </w:r>
            <w:r>
              <w:rPr>
                <w:sz w:val="20"/>
                <w:szCs w:val="20"/>
              </w:rPr>
              <w:t xml:space="preserve"> </w:t>
            </w:r>
            <w:r w:rsidRPr="00EB34BD">
              <w:rPr>
                <w:sz w:val="20"/>
                <w:szCs w:val="20"/>
              </w:rPr>
              <w:t>at convergence</w:t>
            </w:r>
          </w:p>
        </w:tc>
        <w:tc>
          <w:tcPr>
            <w:tcW w:w="1710" w:type="dxa"/>
            <w:gridSpan w:val="2"/>
            <w:tcBorders>
              <w:top w:val="single" w:sz="4" w:space="0" w:color="auto"/>
              <w:left w:val="double" w:sz="4" w:space="0" w:color="auto"/>
              <w:bottom w:val="nil"/>
              <w:right w:val="double" w:sz="4" w:space="0" w:color="auto"/>
            </w:tcBorders>
            <w:shd w:val="clear" w:color="auto" w:fill="FFFFFF" w:themeFill="background1"/>
            <w:vAlign w:val="center"/>
          </w:tcPr>
          <w:p w14:paraId="5A886533" w14:textId="77777777" w:rsidR="00AE680E" w:rsidRPr="002D25BB" w:rsidRDefault="00AE680E" w:rsidP="00396352">
            <w:pPr>
              <w:spacing w:before="0" w:after="0" w:line="240" w:lineRule="auto"/>
              <w:jc w:val="center"/>
              <w:rPr>
                <w:b/>
                <w:bCs/>
                <w:sz w:val="20"/>
                <w:szCs w:val="20"/>
              </w:rPr>
            </w:pPr>
            <w:r w:rsidRPr="002D25BB">
              <w:rPr>
                <w:sz w:val="20"/>
                <w:szCs w:val="20"/>
              </w:rPr>
              <w:t>-1057.848</w:t>
            </w:r>
          </w:p>
        </w:tc>
        <w:tc>
          <w:tcPr>
            <w:tcW w:w="1710" w:type="dxa"/>
            <w:gridSpan w:val="2"/>
            <w:tcBorders>
              <w:top w:val="single" w:sz="4" w:space="0" w:color="auto"/>
              <w:left w:val="double" w:sz="4" w:space="0" w:color="auto"/>
              <w:bottom w:val="nil"/>
              <w:right w:val="double" w:sz="4" w:space="0" w:color="auto"/>
            </w:tcBorders>
            <w:shd w:val="clear" w:color="auto" w:fill="FFFFFF" w:themeFill="background1"/>
            <w:vAlign w:val="center"/>
          </w:tcPr>
          <w:p w14:paraId="3D9F404D" w14:textId="77777777" w:rsidR="00AE680E" w:rsidRPr="002D25BB" w:rsidRDefault="00AE680E" w:rsidP="00396352">
            <w:pPr>
              <w:spacing w:before="0" w:after="0" w:line="240" w:lineRule="auto"/>
              <w:jc w:val="center"/>
              <w:rPr>
                <w:sz w:val="20"/>
                <w:szCs w:val="20"/>
              </w:rPr>
            </w:pPr>
            <w:r w:rsidRPr="002D25BB">
              <w:rPr>
                <w:sz w:val="20"/>
                <w:szCs w:val="20"/>
              </w:rPr>
              <w:t>-1949.663</w:t>
            </w:r>
          </w:p>
        </w:tc>
        <w:tc>
          <w:tcPr>
            <w:tcW w:w="1810" w:type="dxa"/>
            <w:gridSpan w:val="2"/>
            <w:tcBorders>
              <w:top w:val="single" w:sz="4" w:space="0" w:color="auto"/>
              <w:left w:val="double" w:sz="4" w:space="0" w:color="auto"/>
            </w:tcBorders>
            <w:shd w:val="clear" w:color="auto" w:fill="FFFFFF" w:themeFill="background1"/>
            <w:vAlign w:val="center"/>
          </w:tcPr>
          <w:p w14:paraId="21729D98" w14:textId="77777777" w:rsidR="00AE680E" w:rsidRPr="002D25BB" w:rsidRDefault="00AE680E" w:rsidP="00396352">
            <w:pPr>
              <w:spacing w:before="0" w:after="0" w:line="240" w:lineRule="auto"/>
              <w:jc w:val="center"/>
              <w:rPr>
                <w:b/>
                <w:bCs/>
                <w:sz w:val="20"/>
                <w:szCs w:val="20"/>
              </w:rPr>
            </w:pPr>
            <w:r w:rsidRPr="002D25BB">
              <w:rPr>
                <w:sz w:val="20"/>
                <w:szCs w:val="20"/>
              </w:rPr>
              <w:t>-31</w:t>
            </w:r>
            <w:r>
              <w:rPr>
                <w:sz w:val="20"/>
                <w:szCs w:val="20"/>
              </w:rPr>
              <w:t>4</w:t>
            </w:r>
            <w:r w:rsidRPr="002D25BB">
              <w:rPr>
                <w:sz w:val="20"/>
                <w:szCs w:val="20"/>
              </w:rPr>
              <w:t>.</w:t>
            </w:r>
            <w:r>
              <w:rPr>
                <w:sz w:val="20"/>
                <w:szCs w:val="20"/>
              </w:rPr>
              <w:t>513</w:t>
            </w:r>
          </w:p>
        </w:tc>
      </w:tr>
      <w:tr w:rsidR="00AE680E" w:rsidRPr="002D25BB" w14:paraId="0873BABE" w14:textId="77777777" w:rsidTr="00396352">
        <w:trPr>
          <w:trHeight w:val="20"/>
        </w:trPr>
        <w:tc>
          <w:tcPr>
            <w:tcW w:w="3945" w:type="dxa"/>
            <w:tcBorders>
              <w:right w:val="double" w:sz="4" w:space="0" w:color="auto"/>
            </w:tcBorders>
            <w:shd w:val="clear" w:color="auto" w:fill="FFFFFF" w:themeFill="background1"/>
            <w:vAlign w:val="center"/>
          </w:tcPr>
          <w:p w14:paraId="43236643" w14:textId="77777777" w:rsidR="00AE680E" w:rsidRPr="00EB34BD" w:rsidRDefault="00AE680E" w:rsidP="00396352">
            <w:pPr>
              <w:spacing w:before="0" w:after="0" w:line="240" w:lineRule="auto"/>
              <w:jc w:val="left"/>
              <w:rPr>
                <w:sz w:val="20"/>
                <w:szCs w:val="20"/>
              </w:rPr>
            </w:pPr>
            <w:r>
              <w:rPr>
                <w:sz w:val="20"/>
                <w:szCs w:val="20"/>
              </w:rPr>
              <w:t>Number of parameters</w: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4016EDD5" w14:textId="77777777" w:rsidR="00AE680E" w:rsidRPr="002D25BB" w:rsidRDefault="00AE680E" w:rsidP="00396352">
            <w:pPr>
              <w:spacing w:before="0" w:after="0" w:line="240" w:lineRule="auto"/>
              <w:jc w:val="center"/>
              <w:rPr>
                <w:sz w:val="20"/>
                <w:szCs w:val="20"/>
              </w:rPr>
            </w:pPr>
            <w:r>
              <w:rPr>
                <w:sz w:val="20"/>
                <w:szCs w:val="20"/>
              </w:rPr>
              <w:t>15</w: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4AAEE7E2" w14:textId="77777777" w:rsidR="00AE680E" w:rsidRPr="002D25BB" w:rsidRDefault="00AE680E" w:rsidP="00396352">
            <w:pPr>
              <w:spacing w:before="0" w:after="0" w:line="240" w:lineRule="auto"/>
              <w:jc w:val="center"/>
              <w:rPr>
                <w:sz w:val="20"/>
                <w:szCs w:val="20"/>
              </w:rPr>
            </w:pPr>
            <w:r>
              <w:rPr>
                <w:sz w:val="20"/>
                <w:szCs w:val="20"/>
              </w:rPr>
              <w:t>17</w:t>
            </w:r>
          </w:p>
        </w:tc>
        <w:tc>
          <w:tcPr>
            <w:tcW w:w="1810" w:type="dxa"/>
            <w:gridSpan w:val="2"/>
            <w:tcBorders>
              <w:left w:val="double" w:sz="4" w:space="0" w:color="auto"/>
            </w:tcBorders>
            <w:shd w:val="clear" w:color="auto" w:fill="FFFFFF" w:themeFill="background1"/>
            <w:vAlign w:val="center"/>
          </w:tcPr>
          <w:p w14:paraId="3302AB55" w14:textId="77777777" w:rsidR="00AE680E" w:rsidRPr="002D25BB" w:rsidRDefault="00AE680E" w:rsidP="00396352">
            <w:pPr>
              <w:spacing w:before="0" w:after="0" w:line="240" w:lineRule="auto"/>
              <w:jc w:val="center"/>
              <w:rPr>
                <w:sz w:val="20"/>
                <w:szCs w:val="20"/>
              </w:rPr>
            </w:pPr>
            <w:r>
              <w:rPr>
                <w:sz w:val="20"/>
                <w:szCs w:val="20"/>
              </w:rPr>
              <w:t>6</w:t>
            </w:r>
          </w:p>
        </w:tc>
      </w:tr>
      <w:tr w:rsidR="00AE680E" w:rsidRPr="002D25BB" w14:paraId="57C4B2F3" w14:textId="77777777" w:rsidTr="00396352">
        <w:trPr>
          <w:trHeight w:val="20"/>
        </w:trPr>
        <w:tc>
          <w:tcPr>
            <w:tcW w:w="3945" w:type="dxa"/>
            <w:tcBorders>
              <w:right w:val="double" w:sz="4" w:space="0" w:color="auto"/>
            </w:tcBorders>
            <w:shd w:val="clear" w:color="auto" w:fill="FFFFFF" w:themeFill="background1"/>
            <w:vAlign w:val="center"/>
          </w:tcPr>
          <w:p w14:paraId="5ACFBCD9" w14:textId="77777777" w:rsidR="00AE680E" w:rsidRDefault="00AE680E" w:rsidP="00396352">
            <w:pPr>
              <w:spacing w:before="0" w:after="0" w:line="240" w:lineRule="auto"/>
              <w:jc w:val="left"/>
              <w:rPr>
                <w:sz w:val="20"/>
                <w:szCs w:val="20"/>
              </w:rPr>
            </w:pPr>
            <w:r w:rsidRPr="00EB34BD">
              <w:rPr>
                <w:sz w:val="20"/>
                <w:szCs w:val="20"/>
              </w:rPr>
              <w:t>Constants-only</w:t>
            </w:r>
            <w:r>
              <w:rPr>
                <w:sz w:val="20"/>
                <w:szCs w:val="20"/>
              </w:rPr>
              <w:t xml:space="preserve"> </w:t>
            </w:r>
            <w:r w:rsidRPr="00EB34BD">
              <w:rPr>
                <w:sz w:val="20"/>
                <w:szCs w:val="20"/>
              </w:rPr>
              <w:t>log-likelihood</w: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6E8CC904" w14:textId="77777777" w:rsidR="00AE680E" w:rsidRDefault="00AE680E" w:rsidP="00396352">
            <w:pPr>
              <w:spacing w:before="0" w:after="0" w:line="240" w:lineRule="auto"/>
              <w:jc w:val="center"/>
              <w:rPr>
                <w:sz w:val="20"/>
                <w:szCs w:val="20"/>
              </w:rPr>
            </w:pPr>
            <w:r w:rsidRPr="00356BD8">
              <w:rPr>
                <w:sz w:val="20"/>
                <w:szCs w:val="20"/>
              </w:rPr>
              <w:t>-1245.5448</w: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2A0885C8" w14:textId="77777777" w:rsidR="00AE680E" w:rsidRDefault="00AE680E" w:rsidP="00396352">
            <w:pPr>
              <w:spacing w:before="0" w:after="0" w:line="240" w:lineRule="auto"/>
              <w:jc w:val="center"/>
              <w:rPr>
                <w:sz w:val="20"/>
                <w:szCs w:val="20"/>
              </w:rPr>
            </w:pPr>
            <w:r w:rsidRPr="00356BD8">
              <w:rPr>
                <w:sz w:val="20"/>
                <w:szCs w:val="20"/>
              </w:rPr>
              <w:t>-2129.9873</w:t>
            </w:r>
          </w:p>
        </w:tc>
        <w:tc>
          <w:tcPr>
            <w:tcW w:w="1810" w:type="dxa"/>
            <w:gridSpan w:val="2"/>
            <w:tcBorders>
              <w:left w:val="double" w:sz="4" w:space="0" w:color="auto"/>
            </w:tcBorders>
            <w:shd w:val="clear" w:color="auto" w:fill="FFFFFF" w:themeFill="background1"/>
            <w:vAlign w:val="center"/>
          </w:tcPr>
          <w:p w14:paraId="24010FB7" w14:textId="77777777" w:rsidR="00AE680E" w:rsidRDefault="00AE680E" w:rsidP="00396352">
            <w:pPr>
              <w:spacing w:before="0" w:after="0" w:line="240" w:lineRule="auto"/>
              <w:jc w:val="center"/>
              <w:rPr>
                <w:sz w:val="20"/>
                <w:szCs w:val="20"/>
              </w:rPr>
            </w:pPr>
            <w:r w:rsidRPr="00356BD8">
              <w:rPr>
                <w:sz w:val="20"/>
                <w:szCs w:val="20"/>
              </w:rPr>
              <w:t>-366.05406</w:t>
            </w:r>
          </w:p>
        </w:tc>
      </w:tr>
      <w:tr w:rsidR="00AE680E" w:rsidRPr="002D25BB" w14:paraId="545B86DF" w14:textId="77777777" w:rsidTr="00396352">
        <w:trPr>
          <w:trHeight w:val="20"/>
        </w:trPr>
        <w:tc>
          <w:tcPr>
            <w:tcW w:w="3945" w:type="dxa"/>
            <w:tcBorders>
              <w:right w:val="double" w:sz="4" w:space="0" w:color="auto"/>
            </w:tcBorders>
            <w:shd w:val="clear" w:color="auto" w:fill="FFFFFF" w:themeFill="background1"/>
            <w:vAlign w:val="center"/>
          </w:tcPr>
          <w:p w14:paraId="3011FB74" w14:textId="77777777" w:rsidR="00AE680E" w:rsidRPr="00EB34BD" w:rsidRDefault="00AE680E" w:rsidP="00396352">
            <w:pPr>
              <w:spacing w:before="0" w:after="0" w:line="240" w:lineRule="auto"/>
              <w:jc w:val="left"/>
              <w:rPr>
                <w:bCs/>
                <w:sz w:val="20"/>
                <w:szCs w:val="20"/>
              </w:rPr>
            </w:pPr>
            <w:r w:rsidRPr="00EB34BD">
              <w:rPr>
                <w:bCs/>
                <w:sz w:val="20"/>
                <w:szCs w:val="20"/>
              </w:rPr>
              <w:t>Nested likelihood ratio test</w: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3CE86F8D" w14:textId="77777777" w:rsidR="00AE680E" w:rsidRPr="00EB34BD" w:rsidRDefault="00AE680E" w:rsidP="00396352">
            <w:pPr>
              <w:spacing w:before="0" w:after="0" w:line="240" w:lineRule="auto"/>
              <w:jc w:val="center"/>
              <w:rPr>
                <w:bCs/>
                <w:sz w:val="20"/>
                <w:szCs w:val="20"/>
              </w:rPr>
            </w:pPr>
            <w:r w:rsidRPr="00EB34BD">
              <w:rPr>
                <w:bCs/>
                <w:sz w:val="20"/>
                <w:szCs w:val="20"/>
              </w:rPr>
              <w:t>LR = 375.393</w:t>
            </w:r>
            <w:r>
              <w:rPr>
                <w:bCs/>
                <w:sz w:val="20"/>
                <w:szCs w:val="20"/>
              </w:rPr>
              <w:t xml:space="preserve"> </w:t>
            </w:r>
            <w:r w:rsidRPr="00EB34BD">
              <w:t xml:space="preserve">&gt; </w:t>
            </w:r>
            <w:r w:rsidRPr="00EB34BD">
              <w:rPr>
                <w:noProof/>
                <w:position w:val="-14"/>
                <w:sz w:val="20"/>
              </w:rPr>
              <w:object w:dxaOrig="1460" w:dyaOrig="400" w14:anchorId="4E8F6BEB">
                <v:shape id="_x0000_i1073" type="#_x0000_t75" style="width:1in;height:18pt" o:ole="">
                  <v:imagedata r:id="rId110" o:title=""/>
                </v:shape>
                <o:OLEObject Type="Embed" ProgID="Equation.DSMT4" ShapeID="_x0000_i1073" DrawAspect="Content" ObjectID="_1734427270" r:id="rId111"/>
              </w:object>
            </w:r>
          </w:p>
        </w:tc>
        <w:tc>
          <w:tcPr>
            <w:tcW w:w="1710" w:type="dxa"/>
            <w:gridSpan w:val="2"/>
            <w:tcBorders>
              <w:top w:val="nil"/>
              <w:left w:val="double" w:sz="4" w:space="0" w:color="auto"/>
              <w:bottom w:val="nil"/>
              <w:right w:val="double" w:sz="4" w:space="0" w:color="auto"/>
            </w:tcBorders>
            <w:shd w:val="clear" w:color="auto" w:fill="FFFFFF" w:themeFill="background1"/>
            <w:vAlign w:val="center"/>
          </w:tcPr>
          <w:p w14:paraId="3C0C48F8" w14:textId="77777777" w:rsidR="00AE680E" w:rsidRPr="002D25BB" w:rsidRDefault="00AE680E" w:rsidP="00396352">
            <w:pPr>
              <w:spacing w:before="0" w:after="0" w:line="240" w:lineRule="auto"/>
              <w:jc w:val="center"/>
              <w:rPr>
                <w:sz w:val="20"/>
                <w:szCs w:val="20"/>
              </w:rPr>
            </w:pPr>
            <w:r w:rsidRPr="00EB34BD">
              <w:rPr>
                <w:bCs/>
                <w:sz w:val="20"/>
                <w:szCs w:val="20"/>
              </w:rPr>
              <w:t xml:space="preserve">LR = </w:t>
            </w:r>
            <w:r>
              <w:rPr>
                <w:bCs/>
                <w:sz w:val="20"/>
                <w:szCs w:val="20"/>
              </w:rPr>
              <w:t xml:space="preserve">360.648 </w:t>
            </w:r>
            <w:r>
              <w:t>&gt;</w:t>
            </w:r>
            <w:r w:rsidRPr="00EB34BD">
              <w:rPr>
                <w:noProof/>
                <w:position w:val="-14"/>
                <w:sz w:val="20"/>
              </w:rPr>
              <w:object w:dxaOrig="1480" w:dyaOrig="400" w14:anchorId="6F2BE50B">
                <v:shape id="_x0000_i1074" type="#_x0000_t75" style="width:1in;height:18pt" o:ole="">
                  <v:imagedata r:id="rId112" o:title=""/>
                </v:shape>
                <o:OLEObject Type="Embed" ProgID="Equation.DSMT4" ShapeID="_x0000_i1074" DrawAspect="Content" ObjectID="_1734427271" r:id="rId113"/>
              </w:object>
            </w:r>
          </w:p>
        </w:tc>
        <w:tc>
          <w:tcPr>
            <w:tcW w:w="1810" w:type="dxa"/>
            <w:gridSpan w:val="2"/>
            <w:tcBorders>
              <w:left w:val="double" w:sz="4" w:space="0" w:color="auto"/>
            </w:tcBorders>
            <w:shd w:val="clear" w:color="auto" w:fill="FFFFFF" w:themeFill="background1"/>
            <w:vAlign w:val="center"/>
          </w:tcPr>
          <w:p w14:paraId="3E581647" w14:textId="77777777" w:rsidR="00AE680E" w:rsidRPr="002D25BB" w:rsidRDefault="00AE680E" w:rsidP="00396352">
            <w:pPr>
              <w:spacing w:before="0" w:after="0" w:line="240" w:lineRule="auto"/>
              <w:jc w:val="center"/>
              <w:rPr>
                <w:b/>
                <w:bCs/>
                <w:sz w:val="20"/>
                <w:szCs w:val="20"/>
              </w:rPr>
            </w:pPr>
            <w:r w:rsidRPr="00EB34BD">
              <w:rPr>
                <w:bCs/>
                <w:sz w:val="20"/>
                <w:szCs w:val="20"/>
              </w:rPr>
              <w:t xml:space="preserve">LR = </w:t>
            </w:r>
            <w:r>
              <w:rPr>
                <w:bCs/>
                <w:sz w:val="20"/>
                <w:szCs w:val="20"/>
              </w:rPr>
              <w:t xml:space="preserve">103.082 </w:t>
            </w:r>
            <w:r w:rsidRPr="00EB34BD">
              <w:t>&gt;</w:t>
            </w:r>
            <w:r>
              <w:t xml:space="preserve"> </w:t>
            </w:r>
            <w:r w:rsidRPr="00EB34BD">
              <w:rPr>
                <w:noProof/>
                <w:position w:val="-14"/>
                <w:sz w:val="20"/>
              </w:rPr>
              <w:object w:dxaOrig="1400" w:dyaOrig="400" w14:anchorId="01FECC90">
                <v:shape id="_x0000_i1075" type="#_x0000_t75" style="width:69.15pt;height:18pt" o:ole="">
                  <v:imagedata r:id="rId114" o:title=""/>
                </v:shape>
                <o:OLEObject Type="Embed" ProgID="Equation.DSMT4" ShapeID="_x0000_i1075" DrawAspect="Content" ObjectID="_1734427272" r:id="rId115"/>
              </w:object>
            </w:r>
            <w:r w:rsidRPr="00EB34BD">
              <w:t xml:space="preserve"> </w:t>
            </w:r>
          </w:p>
        </w:tc>
      </w:tr>
      <w:tr w:rsidR="00AE680E" w:rsidRPr="002D25BB" w14:paraId="3ADF95F3" w14:textId="77777777" w:rsidTr="00396352">
        <w:trPr>
          <w:trHeight w:val="20"/>
        </w:trPr>
        <w:tc>
          <w:tcPr>
            <w:tcW w:w="3945" w:type="dxa"/>
            <w:tcBorders>
              <w:right w:val="double" w:sz="4" w:space="0" w:color="auto"/>
            </w:tcBorders>
            <w:shd w:val="clear" w:color="auto" w:fill="FFFFFF" w:themeFill="background1"/>
            <w:vAlign w:val="center"/>
          </w:tcPr>
          <w:p w14:paraId="5651F420" w14:textId="77777777" w:rsidR="00AE680E" w:rsidRPr="002D25BB" w:rsidRDefault="00AE680E" w:rsidP="00396352">
            <w:pPr>
              <w:spacing w:before="0" w:after="0" w:line="240" w:lineRule="auto"/>
              <w:jc w:val="left"/>
              <w:rPr>
                <w:sz w:val="20"/>
                <w:szCs w:val="20"/>
              </w:rPr>
            </w:pPr>
            <w:r w:rsidRPr="002D25BB">
              <w:rPr>
                <w:sz w:val="20"/>
                <w:szCs w:val="20"/>
              </w:rPr>
              <w:t>Pseudo R</w:t>
            </w:r>
            <w:r w:rsidRPr="002D25BB">
              <w:rPr>
                <w:sz w:val="20"/>
                <w:szCs w:val="20"/>
                <w:vertAlign w:val="superscript"/>
              </w:rPr>
              <w:t>2</w:t>
            </w:r>
            <w:r w:rsidRPr="002D25BB">
              <w:rPr>
                <w:sz w:val="20"/>
                <w:szCs w:val="20"/>
              </w:rPr>
              <w:t xml:space="preserve">        </w:t>
            </w:r>
          </w:p>
        </w:tc>
        <w:tc>
          <w:tcPr>
            <w:tcW w:w="1710" w:type="dxa"/>
            <w:gridSpan w:val="2"/>
            <w:tcBorders>
              <w:top w:val="nil"/>
              <w:left w:val="double" w:sz="4" w:space="0" w:color="auto"/>
              <w:bottom w:val="double" w:sz="4" w:space="0" w:color="auto"/>
              <w:right w:val="double" w:sz="4" w:space="0" w:color="auto"/>
            </w:tcBorders>
            <w:shd w:val="clear" w:color="auto" w:fill="FFFFFF" w:themeFill="background1"/>
            <w:vAlign w:val="center"/>
          </w:tcPr>
          <w:p w14:paraId="210F44AC" w14:textId="77777777" w:rsidR="00AE680E" w:rsidRPr="002D25BB" w:rsidRDefault="00AE680E" w:rsidP="00396352">
            <w:pPr>
              <w:spacing w:before="0" w:after="0" w:line="240" w:lineRule="auto"/>
              <w:jc w:val="center"/>
              <w:rPr>
                <w:sz w:val="20"/>
                <w:szCs w:val="20"/>
              </w:rPr>
            </w:pPr>
            <w:r w:rsidRPr="002D25BB">
              <w:rPr>
                <w:sz w:val="20"/>
                <w:szCs w:val="20"/>
              </w:rPr>
              <w:t>0.151</w:t>
            </w:r>
          </w:p>
        </w:tc>
        <w:tc>
          <w:tcPr>
            <w:tcW w:w="1710" w:type="dxa"/>
            <w:gridSpan w:val="2"/>
            <w:tcBorders>
              <w:top w:val="nil"/>
              <w:left w:val="double" w:sz="4" w:space="0" w:color="auto"/>
              <w:bottom w:val="double" w:sz="4" w:space="0" w:color="auto"/>
              <w:right w:val="double" w:sz="4" w:space="0" w:color="auto"/>
            </w:tcBorders>
            <w:shd w:val="clear" w:color="auto" w:fill="FFFFFF" w:themeFill="background1"/>
            <w:vAlign w:val="center"/>
          </w:tcPr>
          <w:p w14:paraId="61CA342D" w14:textId="77777777" w:rsidR="00AE680E" w:rsidRPr="002D25BB" w:rsidRDefault="00AE680E" w:rsidP="00396352">
            <w:pPr>
              <w:spacing w:before="0" w:after="0" w:line="240" w:lineRule="auto"/>
              <w:jc w:val="center"/>
              <w:rPr>
                <w:sz w:val="20"/>
                <w:szCs w:val="20"/>
              </w:rPr>
            </w:pPr>
            <w:r w:rsidRPr="002D25BB">
              <w:rPr>
                <w:sz w:val="20"/>
                <w:szCs w:val="20"/>
              </w:rPr>
              <w:t>0.085</w:t>
            </w:r>
          </w:p>
        </w:tc>
        <w:tc>
          <w:tcPr>
            <w:tcW w:w="1810" w:type="dxa"/>
            <w:gridSpan w:val="2"/>
            <w:tcBorders>
              <w:left w:val="double" w:sz="4" w:space="0" w:color="auto"/>
            </w:tcBorders>
            <w:shd w:val="clear" w:color="auto" w:fill="FFFFFF" w:themeFill="background1"/>
            <w:vAlign w:val="center"/>
          </w:tcPr>
          <w:p w14:paraId="25409D4F" w14:textId="77777777" w:rsidR="00AE680E" w:rsidRPr="002D25BB" w:rsidRDefault="00AE680E" w:rsidP="00396352">
            <w:pPr>
              <w:spacing w:before="0" w:after="0" w:line="240" w:lineRule="auto"/>
              <w:jc w:val="center"/>
              <w:rPr>
                <w:sz w:val="20"/>
                <w:szCs w:val="20"/>
              </w:rPr>
            </w:pPr>
            <w:r w:rsidRPr="002D25BB">
              <w:rPr>
                <w:sz w:val="20"/>
                <w:szCs w:val="20"/>
              </w:rPr>
              <w:t>0.14</w:t>
            </w:r>
            <w:r>
              <w:rPr>
                <w:sz w:val="20"/>
                <w:szCs w:val="20"/>
              </w:rPr>
              <w:t>1</w:t>
            </w:r>
          </w:p>
        </w:tc>
      </w:tr>
      <w:bookmarkEnd w:id="41"/>
    </w:tbl>
    <w:p w14:paraId="2262C13D" w14:textId="77777777" w:rsidR="00AE680E" w:rsidRDefault="00AE680E" w:rsidP="0082167E">
      <w:pPr>
        <w:tabs>
          <w:tab w:val="left" w:pos="720"/>
        </w:tabs>
        <w:spacing w:before="0" w:after="0"/>
      </w:pPr>
    </w:p>
    <w:p w14:paraId="54FCD329" w14:textId="3BBF8B85" w:rsidR="00B21210" w:rsidRDefault="005C0331" w:rsidP="00966F5E">
      <w:pPr>
        <w:tabs>
          <w:tab w:val="left" w:pos="720"/>
        </w:tabs>
        <w:spacing w:before="0" w:after="0" w:line="360" w:lineRule="auto"/>
      </w:pPr>
      <w:r>
        <w:lastRenderedPageBreak/>
        <w:t xml:space="preserve">positive (even if only marginally significant effect due to the small sample size) in the fractional BP crash model, further indicating that improved public transit service and safety protocols at any </w:t>
      </w:r>
      <w:r w:rsidR="00A56856">
        <w:t xml:space="preserve">CBG will reduce Black pedestrian crashes, especially </w:t>
      </w:r>
      <w:r w:rsidR="00983C24">
        <w:t>in</w:t>
      </w:r>
      <w:r w:rsidR="00A56856">
        <w:t xml:space="preserve"> </w:t>
      </w:r>
      <w:r w:rsidR="00636FB3" w:rsidRPr="00636FB3">
        <w:rPr>
          <w:i/>
        </w:rPr>
        <w:t>MB</w:t>
      </w:r>
      <w:r w:rsidR="00636FB3">
        <w:t xml:space="preserve"> </w:t>
      </w:r>
      <w:r w:rsidR="00A56856">
        <w:t xml:space="preserve">CBGs. </w:t>
      </w:r>
      <w:r w:rsidR="00E566EB">
        <w:t>This is particularly so because individuals who rely on public transit for commuting are more exposed to vehicular traffic, since walking is an essential prerequisite for accessing transit services (Su et al., 2021). Additionally, public transit stops</w:t>
      </w:r>
      <w:r w:rsidR="00DF30AB">
        <w:t>/</w:t>
      </w:r>
      <w:r w:rsidR="00E566EB">
        <w:t xml:space="preserve">stations are significant pedestrian gathering areas (Osama and Sayed, 2017). </w:t>
      </w:r>
    </w:p>
    <w:p w14:paraId="6FBBADF1" w14:textId="77777777" w:rsidR="00432BEC" w:rsidRDefault="00432BEC" w:rsidP="0082167E">
      <w:pPr>
        <w:tabs>
          <w:tab w:val="left" w:pos="720"/>
        </w:tabs>
        <w:spacing w:before="0" w:after="0"/>
      </w:pPr>
    </w:p>
    <w:p w14:paraId="5C59CCE6" w14:textId="582637CA" w:rsidR="003D43A1" w:rsidRPr="00FB1C57" w:rsidRDefault="00D909B5" w:rsidP="0082167E">
      <w:pPr>
        <w:pStyle w:val="Heading2"/>
        <w:spacing w:before="0"/>
      </w:pPr>
      <w:r>
        <w:t xml:space="preserve"> </w:t>
      </w:r>
      <w:r w:rsidR="003D43A1" w:rsidRPr="00FB1C57">
        <w:t>Cultural Variables</w:t>
      </w:r>
    </w:p>
    <w:p w14:paraId="66120940" w14:textId="11513326" w:rsidR="006E37ED" w:rsidRDefault="003D43A1" w:rsidP="007D5556">
      <w:pPr>
        <w:tabs>
          <w:tab w:val="left" w:pos="2700"/>
        </w:tabs>
        <w:spacing w:before="0" w:after="0" w:line="360" w:lineRule="auto"/>
        <w:ind w:firstLine="720"/>
      </w:pPr>
      <w:r>
        <w:t xml:space="preserve">In the context of </w:t>
      </w:r>
      <w:r w:rsidR="006F0A57">
        <w:t>cultural variables</w:t>
      </w:r>
      <w:r>
        <w:t xml:space="preserve">, </w:t>
      </w:r>
      <w:r w:rsidR="00CD3814">
        <w:t xml:space="preserve">the </w:t>
      </w:r>
      <w:r w:rsidR="00914825">
        <w:t>(</w:t>
      </w:r>
      <w:r w:rsidR="00E2716C">
        <w:t>police-reported</w:t>
      </w:r>
      <w:r w:rsidR="00914825">
        <w:t>)</w:t>
      </w:r>
      <w:r w:rsidR="00E2716C">
        <w:t xml:space="preserve"> </w:t>
      </w:r>
      <w:r>
        <w:t xml:space="preserve">crime rate turned out to be significant for all three models, suggesting </w:t>
      </w:r>
      <w:r w:rsidR="00914825">
        <w:t xml:space="preserve">(a) </w:t>
      </w:r>
      <w:r>
        <w:t xml:space="preserve">more </w:t>
      </w:r>
      <w:r w:rsidR="00E2716C">
        <w:t xml:space="preserve">reported </w:t>
      </w:r>
      <w:r>
        <w:t xml:space="preserve">criminal activity in </w:t>
      </w:r>
      <w:r w:rsidR="00FB1C57" w:rsidRPr="00FB1C57">
        <w:rPr>
          <w:i/>
        </w:rPr>
        <w:t>MB</w:t>
      </w:r>
      <w:r w:rsidR="00FB1C57">
        <w:t xml:space="preserve"> </w:t>
      </w:r>
      <w:r>
        <w:t xml:space="preserve">CBGs, </w:t>
      </w:r>
      <w:r w:rsidR="00914825">
        <w:t xml:space="preserve">(b) </w:t>
      </w:r>
      <w:r>
        <w:t xml:space="preserve">higher crash risk when there is </w:t>
      </w:r>
      <w:r w:rsidR="00CD3814">
        <w:t xml:space="preserve">a </w:t>
      </w:r>
      <w:r>
        <w:t xml:space="preserve">higher </w:t>
      </w:r>
      <w:r w:rsidR="00E753C7">
        <w:t xml:space="preserve">reported </w:t>
      </w:r>
      <w:r>
        <w:t xml:space="preserve">crime rate, and </w:t>
      </w:r>
      <w:r w:rsidR="00914825">
        <w:t xml:space="preserve">(c) </w:t>
      </w:r>
      <w:r w:rsidR="00510C46">
        <w:t>a higher fraction of Black pedestrian crashes</w:t>
      </w:r>
      <w:r w:rsidR="00E2716C">
        <w:t xml:space="preserve"> in locations of high reported crime rate</w:t>
      </w:r>
      <w:r w:rsidR="00510C46">
        <w:t xml:space="preserve">. The higher </w:t>
      </w:r>
      <w:r w:rsidR="00E2716C">
        <w:t xml:space="preserve">reported </w:t>
      </w:r>
      <w:r w:rsidR="00510C46">
        <w:t xml:space="preserve">crime in Black neighborhoods has been linked to </w:t>
      </w:r>
      <w:r w:rsidR="00CD3814">
        <w:t xml:space="preserve">the </w:t>
      </w:r>
      <w:r w:rsidR="00510C46">
        <w:t xml:space="preserve">historical structural racism </w:t>
      </w:r>
      <w:r w:rsidR="00983C24">
        <w:t>that led to</w:t>
      </w:r>
      <w:r w:rsidR="00510C46">
        <w:t xml:space="preserve"> the rampant growth of poverty, unemployment, low education attainment, and police surveillance of minority neighborhoods (Davidson, 2019</w:t>
      </w:r>
      <w:r w:rsidR="00001C79">
        <w:t>;</w:t>
      </w:r>
      <w:r w:rsidR="00510C46">
        <w:t xml:space="preserve"> Lodge et al., 2021)</w:t>
      </w:r>
      <w:r w:rsidR="00983C24">
        <w:t>. Of course, these are police-reported crimes</w:t>
      </w:r>
      <w:r w:rsidR="00E2716C">
        <w:t xml:space="preserve">, and </w:t>
      </w:r>
      <w:r w:rsidR="00983C24">
        <w:t xml:space="preserve">so the high reported crimes in </w:t>
      </w:r>
      <w:r w:rsidR="00983C24" w:rsidRPr="000A500E">
        <w:rPr>
          <w:i/>
        </w:rPr>
        <w:t xml:space="preserve">MB </w:t>
      </w:r>
      <w:r w:rsidR="00983C24">
        <w:t xml:space="preserve">CBGs </w:t>
      </w:r>
      <w:r w:rsidR="00E2716C">
        <w:t>may also</w:t>
      </w:r>
      <w:r w:rsidR="00983C24">
        <w:t>, in part,</w:t>
      </w:r>
      <w:r w:rsidR="00E2716C">
        <w:t xml:space="preserve"> be a result of </w:t>
      </w:r>
      <w:bookmarkStart w:id="42" w:name="_Hlk109858301"/>
      <w:r w:rsidR="00E2716C">
        <w:t xml:space="preserve">disproportionately higher arrests of minority individuals for seemingly similar infractions as </w:t>
      </w:r>
      <w:r w:rsidR="00E753C7">
        <w:t xml:space="preserve">those engaged in by </w:t>
      </w:r>
      <w:r w:rsidR="00E2716C">
        <w:t>non-minorities</w:t>
      </w:r>
      <w:r w:rsidR="00671618">
        <w:t xml:space="preserve"> </w:t>
      </w:r>
      <w:r w:rsidR="00671618" w:rsidRPr="00671618">
        <w:t>(Baumgartner et al., 2018</w:t>
      </w:r>
      <w:r w:rsidR="00001C79">
        <w:t>;</w:t>
      </w:r>
      <w:r w:rsidR="00671618" w:rsidRPr="00671618">
        <w:t xml:space="preserve"> Pierson et al., 2020</w:t>
      </w:r>
      <w:r w:rsidR="00671618">
        <w:t>).</w:t>
      </w:r>
      <w:r w:rsidR="00510C46">
        <w:t xml:space="preserve"> </w:t>
      </w:r>
      <w:bookmarkEnd w:id="42"/>
    </w:p>
    <w:p w14:paraId="1C9494D9" w14:textId="686B89C6" w:rsidR="004119A6" w:rsidRDefault="006E37ED" w:rsidP="00966F5E">
      <w:pPr>
        <w:tabs>
          <w:tab w:val="left" w:pos="2700"/>
        </w:tabs>
        <w:spacing w:before="0" w:after="0" w:line="360" w:lineRule="auto"/>
        <w:ind w:firstLine="720"/>
      </w:pPr>
      <w:r>
        <w:t>T</w:t>
      </w:r>
      <w:r w:rsidR="00510C46">
        <w:t xml:space="preserve">he higher pedestrian crash risk in high </w:t>
      </w:r>
      <w:r w:rsidR="00983C24">
        <w:t xml:space="preserve">police-reported </w:t>
      </w:r>
      <w:r w:rsidR="00510C46">
        <w:t>crime areas</w:t>
      </w:r>
      <w:r w:rsidR="00E2716C">
        <w:t xml:space="preserve">, as reflected by the total crash model, </w:t>
      </w:r>
      <w:r w:rsidR="00510C46">
        <w:t>is not surprising; crime</w:t>
      </w:r>
      <w:r w:rsidR="00C656F3">
        <w:t>,</w:t>
      </w:r>
      <w:r w:rsidR="00510C46">
        <w:t xml:space="preserve"> fear of crime</w:t>
      </w:r>
      <w:r w:rsidR="00C656F3">
        <w:t>,</w:t>
      </w:r>
      <w:r w:rsidR="00510C46">
        <w:t xml:space="preserve"> </w:t>
      </w:r>
      <w:r w:rsidR="00983C24">
        <w:t xml:space="preserve">or fear of being accused of a crime </w:t>
      </w:r>
      <w:r w:rsidR="00510C46">
        <w:t xml:space="preserve">is a social stressor influencing behavior. Areas with high </w:t>
      </w:r>
      <w:r w:rsidR="00E753C7">
        <w:t xml:space="preserve">reported </w:t>
      </w:r>
      <w:r w:rsidR="00510C46">
        <w:t>crime activity provoke strong feelings of discomfort and fear (Davis, 1992</w:t>
      </w:r>
      <w:r w:rsidR="00001C79">
        <w:t>;</w:t>
      </w:r>
      <w:r w:rsidR="00510C46">
        <w:t xml:space="preserve"> Rottenstreich and Hsee, 2001), and pedestrians may attempt to reduce exposure </w:t>
      </w:r>
      <w:r w:rsidR="00CD3814">
        <w:t xml:space="preserve">risk </w:t>
      </w:r>
      <w:r w:rsidR="00510C46">
        <w:t>even if through unsafe pedestrian behaviors (such as jaywalking or crossing at unmarked crosswalks).</w:t>
      </w:r>
      <w:r w:rsidR="00636FB3">
        <w:t xml:space="preserve"> </w:t>
      </w:r>
      <w:r w:rsidR="00E2716C">
        <w:t xml:space="preserve">This tendency </w:t>
      </w:r>
      <w:r w:rsidR="008C0AEA">
        <w:t xml:space="preserve">to “flee” areas through walking short-cuts may be particularly so among Black pedestrians in locations with high crime reporting, as they may be </w:t>
      </w:r>
      <w:r w:rsidR="00B53F04">
        <w:t xml:space="preserve">fearful </w:t>
      </w:r>
      <w:r w:rsidR="008C0AEA">
        <w:t xml:space="preserve">of </w:t>
      </w:r>
      <w:r w:rsidR="00B53F04">
        <w:t xml:space="preserve">an environment of </w:t>
      </w:r>
      <w:r w:rsidR="00356416">
        <w:t xml:space="preserve">being accused of a crime </w:t>
      </w:r>
      <w:r w:rsidR="00914825">
        <w:t xml:space="preserve">due to </w:t>
      </w:r>
      <w:r w:rsidR="00E9366E">
        <w:t xml:space="preserve">potentially </w:t>
      </w:r>
      <w:r w:rsidR="00914825">
        <w:t xml:space="preserve">aggressive </w:t>
      </w:r>
      <w:r w:rsidR="00356416">
        <w:t xml:space="preserve">racial-profiling based </w:t>
      </w:r>
      <w:r w:rsidR="00914825">
        <w:t>policing</w:t>
      </w:r>
      <w:r w:rsidR="008C0AEA">
        <w:t xml:space="preserve">. </w:t>
      </w:r>
      <w:r w:rsidR="00DF30AB">
        <w:t xml:space="preserve">There is support </w:t>
      </w:r>
      <w:r w:rsidR="00356416">
        <w:t>(</w:t>
      </w:r>
      <w:r w:rsidR="005964FB">
        <w:t>for th</w:t>
      </w:r>
      <w:r w:rsidR="00356416">
        <w:t>e above</w:t>
      </w:r>
      <w:r w:rsidR="005964FB">
        <w:t xml:space="preserve"> </w:t>
      </w:r>
      <w:r w:rsidR="00B53F04">
        <w:t xml:space="preserve">possible </w:t>
      </w:r>
      <w:r w:rsidR="005964FB">
        <w:t>explanation</w:t>
      </w:r>
      <w:r w:rsidR="00356416">
        <w:t>s)</w:t>
      </w:r>
      <w:r w:rsidR="005964FB">
        <w:t xml:space="preserve"> in the </w:t>
      </w:r>
      <w:r w:rsidR="00B53F04">
        <w:t xml:space="preserve">broader </w:t>
      </w:r>
      <w:r w:rsidR="005964FB">
        <w:t>psychology and neuroscience literature</w:t>
      </w:r>
      <w:r w:rsidR="00B53F04">
        <w:t xml:space="preserve">, which has established that </w:t>
      </w:r>
      <w:r w:rsidR="005964FB">
        <w:t xml:space="preserve">humans tend to flee from the source </w:t>
      </w:r>
      <w:r w:rsidR="005964FB" w:rsidRPr="00966F5E">
        <w:t xml:space="preserve">of perceived danger </w:t>
      </w:r>
      <w:r w:rsidR="00B53F04" w:rsidRPr="00966F5E">
        <w:t xml:space="preserve">in the face of a fearful/anxiety-provoking environment </w:t>
      </w:r>
      <w:r w:rsidR="005964FB" w:rsidRPr="00966F5E">
        <w:t xml:space="preserve">(see, for example, </w:t>
      </w:r>
      <w:r w:rsidR="00B53F04" w:rsidRPr="00966F5E">
        <w:t xml:space="preserve">Steimer, 2002 and </w:t>
      </w:r>
      <w:r w:rsidR="005964FB" w:rsidRPr="00966F5E">
        <w:t>Hengen and Alpers, 2021).</w:t>
      </w:r>
      <w:r w:rsidR="00356416" w:rsidRPr="00966F5E">
        <w:t xml:space="preserve"> </w:t>
      </w:r>
      <w:r w:rsidRPr="00966F5E">
        <w:t>Also, intense feelings of stress in high</w:t>
      </w:r>
      <w:r w:rsidR="00C656F3" w:rsidRPr="00966F5E">
        <w:t xml:space="preserve"> police-reported </w:t>
      </w:r>
      <w:r w:rsidRPr="00966F5E">
        <w:t>crime areas may</w:t>
      </w:r>
      <w:r>
        <w:t xml:space="preserve"> impair drivers’ reasoning and judgment, thereby resulting in </w:t>
      </w:r>
      <w:r w:rsidR="003C5D5E">
        <w:t xml:space="preserve">the manifestation of </w:t>
      </w:r>
      <w:r>
        <w:t>implicit racial bias behavior (Chugh, 2004</w:t>
      </w:r>
      <w:r w:rsidR="00001C79">
        <w:t>;</w:t>
      </w:r>
      <w:r>
        <w:t xml:space="preserve"> Fazio and Olson, 2003), which may </w:t>
      </w:r>
      <w:r>
        <w:lastRenderedPageBreak/>
        <w:t>translate to yielding bias against Black pedestrians and increasing their proportion in the total number of pedestrian crashes. A related</w:t>
      </w:r>
      <w:r w:rsidR="006F0A57">
        <w:t xml:space="preserve"> explanation, of course, is that </w:t>
      </w:r>
      <w:r w:rsidR="00E2716C">
        <w:t xml:space="preserve">residents </w:t>
      </w:r>
      <w:r w:rsidR="006F0A57">
        <w:t xml:space="preserve">in </w:t>
      </w:r>
      <w:r w:rsidR="00CD3814">
        <w:t xml:space="preserve">high </w:t>
      </w:r>
      <w:r w:rsidR="006F0A57">
        <w:t xml:space="preserve">police-reported crime areas, especially in </w:t>
      </w:r>
      <w:r w:rsidR="006F0A57" w:rsidRPr="000A500E">
        <w:rPr>
          <w:i/>
        </w:rPr>
        <w:t>MB</w:t>
      </w:r>
      <w:r w:rsidR="006F0A57">
        <w:t xml:space="preserve"> CBG police-reported high crime areas, exhibit socially resistant attitudes given their general cynicism of police and court systems. Such </w:t>
      </w:r>
      <w:r w:rsidR="00E2716C">
        <w:t>attitudes can extend to risky pedestrian behavior</w:t>
      </w:r>
      <w:r w:rsidR="00C656F3">
        <w:t>, further elevating Black pedestrian crash risk, as suggested by our third model results</w:t>
      </w:r>
      <w:r w:rsidR="006F0A57">
        <w:t>.</w:t>
      </w:r>
      <w:r w:rsidR="004119A6">
        <w:t xml:space="preserve">  </w:t>
      </w:r>
    </w:p>
    <w:p w14:paraId="1139AB15" w14:textId="37BA98E2" w:rsidR="00CD3814" w:rsidRDefault="006F0A57" w:rsidP="00966F5E">
      <w:pPr>
        <w:spacing w:before="0" w:after="0" w:line="360" w:lineRule="auto"/>
        <w:ind w:firstLine="720"/>
      </w:pPr>
      <w:bookmarkStart w:id="43" w:name="_Hlk109858319"/>
      <w:r>
        <w:t>CBGs with</w:t>
      </w:r>
      <w:r w:rsidR="003C5D5E">
        <w:t xml:space="preserve"> a</w:t>
      </w:r>
      <w:r>
        <w:t xml:space="preserve"> relatively </w:t>
      </w:r>
      <w:r w:rsidR="00861B13">
        <w:t>high percentage of individuals with</w:t>
      </w:r>
      <w:r w:rsidR="00C53B58">
        <w:t xml:space="preserve"> less than</w:t>
      </w:r>
      <w:r w:rsidR="00861B13">
        <w:t xml:space="preserve"> a high school diploma in </w:t>
      </w:r>
      <w:r>
        <w:t xml:space="preserve">their resident population tend to have a high pedestrian crash propensity, which </w:t>
      </w:r>
      <w:r w:rsidR="00861B13">
        <w:t xml:space="preserve">sometimes has been associated with difficulty </w:t>
      </w:r>
      <w:r>
        <w:t xml:space="preserve">understanding posted pedestrian and traffic signs (Wontorczyk and Gaca, 2021), or because </w:t>
      </w:r>
      <w:r w:rsidR="00861B13">
        <w:t xml:space="preserve">those who have obtained </w:t>
      </w:r>
      <w:r>
        <w:t>higher education</w:t>
      </w:r>
      <w:r w:rsidR="00861B13">
        <w:t xml:space="preserve"> degrees ostensibly have </w:t>
      </w:r>
      <w:r>
        <w:t xml:space="preserve">better self-control </w:t>
      </w:r>
      <w:r w:rsidR="00160996">
        <w:t>on not pursuing risky/illegal behavior (Jia et al., 2021</w:t>
      </w:r>
      <w:r w:rsidR="00001C79">
        <w:t>;</w:t>
      </w:r>
      <w:r w:rsidR="00160996">
        <w:t xml:space="preserve"> Piotrowska et al., 2015), or because of social resistance toward “those elites of society who think they know it all”</w:t>
      </w:r>
      <w:r w:rsidR="00FE564D">
        <w:t xml:space="preserve"> </w:t>
      </w:r>
      <w:r w:rsidR="00FE564D">
        <w:fldChar w:fldCharType="begin"/>
      </w:r>
      <w:r w:rsidR="00FE564D">
        <w:instrText xml:space="preserve"> ADDIN ZOTERO_ITEM CSL_CITATION {"citationID":"SIggmI9B","properties":{"formattedCitation":"(Factor et al., 2013)","plainCitation":"(Factor et al., 2013)","noteIndex":0},"citationItems":[{"id":407,"uris":["http://zotero.org/users/9292995/items/4TGGS7HP"],"itemData":{"id":407,"type":"article-journal","container-title":"American journal of public health","ISSN":"1541-0048","issue":"12","journalAbbreviation":"American journal of public health","note":"publisher: American Public Health Association","page":"2245-2251","title":"Social resistance framework for understanding high-risk behavior among nondominant minorities: Preliminary evidence","volume":"103","author":[{"family":"Factor","given":"Roni"},{"family":"Williams","given":"David R"},{"family":"Kawachi","given":"Ichiro"}],"issued":{"date-parts":[["2013"]]}}}],"schema":"https://github.com/citation-style-language/schema/raw/master/csl-citation.json"} </w:instrText>
      </w:r>
      <w:r w:rsidR="00FE564D">
        <w:fldChar w:fldCharType="separate"/>
      </w:r>
      <w:r w:rsidR="00FE564D" w:rsidRPr="00FE564D">
        <w:t>(Factor et al., 2013)</w:t>
      </w:r>
      <w:r w:rsidR="00FE564D">
        <w:fldChar w:fldCharType="end"/>
      </w:r>
      <w:r w:rsidR="00FE564D">
        <w:t>.</w:t>
      </w:r>
      <w:r w:rsidR="00CD3814">
        <w:t xml:space="preserve"> </w:t>
      </w:r>
      <w:r w:rsidR="00CD3814" w:rsidRPr="00B07CF0">
        <w:t>Interestingly, the safety literature does not discuss the latter issue, where social resistance could be an important driving factor for risky behavior</w:t>
      </w:r>
      <w:r w:rsidR="00356416">
        <w:t>s</w:t>
      </w:r>
      <w:r w:rsidR="00CD3814" w:rsidRPr="00B07CF0">
        <w:t xml:space="preserve"> such as jaywalking and red-light running.</w:t>
      </w:r>
    </w:p>
    <w:p w14:paraId="1E0D8DC8" w14:textId="77777777" w:rsidR="00432BEC" w:rsidRDefault="00432BEC" w:rsidP="00966F5E">
      <w:pPr>
        <w:spacing w:before="0" w:after="0" w:line="360" w:lineRule="auto"/>
        <w:ind w:firstLine="720"/>
      </w:pPr>
    </w:p>
    <w:bookmarkEnd w:id="43"/>
    <w:p w14:paraId="55D79AB3" w14:textId="5A0BE03A" w:rsidR="00160996" w:rsidRPr="000A500E" w:rsidRDefault="00E753C7" w:rsidP="00966F5E">
      <w:pPr>
        <w:pStyle w:val="Heading2"/>
        <w:spacing w:before="0" w:line="360" w:lineRule="auto"/>
      </w:pPr>
      <w:r>
        <w:t xml:space="preserve"> </w:t>
      </w:r>
      <w:r w:rsidR="00160996" w:rsidRPr="000A500E">
        <w:t>BE Features</w:t>
      </w:r>
    </w:p>
    <w:p w14:paraId="3574E608" w14:textId="3C6961D6" w:rsidR="00BB7C91" w:rsidRDefault="00160996" w:rsidP="007D5556">
      <w:pPr>
        <w:spacing w:before="0" w:after="0" w:line="360" w:lineRule="auto"/>
        <w:ind w:firstLine="720"/>
      </w:pPr>
      <w:r>
        <w:t>Our results reveal that</w:t>
      </w:r>
      <w:r w:rsidR="00E566EB">
        <w:t xml:space="preserve"> </w:t>
      </w:r>
      <w:r w:rsidR="00E566EB" w:rsidRPr="000A500E">
        <w:rPr>
          <w:i/>
        </w:rPr>
        <w:t>MB</w:t>
      </w:r>
      <w:r w:rsidR="00E566EB">
        <w:t xml:space="preserve"> CBGs are characterized by a higher number of bus stops per unit of space, while CBGs with a high density </w:t>
      </w:r>
      <w:r w:rsidR="00BB7C91">
        <w:t>of schools</w:t>
      </w:r>
      <w:r w:rsidR="00E566EB">
        <w:t xml:space="preserve"> </w:t>
      </w:r>
      <w:r w:rsidR="00BB7C91">
        <w:t xml:space="preserve">and </w:t>
      </w:r>
      <w:r w:rsidR="00E566EB">
        <w:t>bus stops are clearly those with a higher crash propensity</w:t>
      </w:r>
      <w:r w:rsidR="00BB7C91">
        <w:t xml:space="preserve">. These are BE features that lead to risk exposure, given the high level of walking and vehicular-pedestrian mix of road users in proximity </w:t>
      </w:r>
      <w:r w:rsidR="0050333B">
        <w:t>to</w:t>
      </w:r>
      <w:r w:rsidR="00BB7C91">
        <w:t xml:space="preserve"> bus stops and schools. Further, schools are focal points </w:t>
      </w:r>
      <w:r w:rsidR="00CB29A9">
        <w:t xml:space="preserve">for </w:t>
      </w:r>
      <w:r w:rsidR="00BB7C91">
        <w:t>young individuals</w:t>
      </w:r>
      <w:r w:rsidR="005F1CFF">
        <w:t>,</w:t>
      </w:r>
      <w:r w:rsidR="00BB7C91">
        <w:t xml:space="preserve"> who are more likely to exhibit inattentive behavior (Lennon et al., 2017</w:t>
      </w:r>
      <w:r w:rsidR="00001C79">
        <w:t>;</w:t>
      </w:r>
      <w:r w:rsidR="00BB7C91">
        <w:t xml:space="preserve"> Peeters et al., 2017). </w:t>
      </w:r>
      <w:r w:rsidR="00817DA0">
        <w:t>In terms of the effect of bus stops, a</w:t>
      </w:r>
      <w:r w:rsidR="00E566EB">
        <w:t xml:space="preserve">gain, this is a significant safety concern as public transit is systemically underfunded, leading to negative safety effects on public transit users, most of whom are minorities. </w:t>
      </w:r>
    </w:p>
    <w:p w14:paraId="30C7B1FC" w14:textId="0C525F73" w:rsidR="00160996" w:rsidRDefault="00BB7C91" w:rsidP="00966F5E">
      <w:pPr>
        <w:spacing w:before="0" w:after="0" w:line="360" w:lineRule="auto"/>
        <w:ind w:firstLine="720"/>
      </w:pPr>
      <w:r>
        <w:t xml:space="preserve">The table also indicates that </w:t>
      </w:r>
      <w:r w:rsidR="00160996">
        <w:t xml:space="preserve">numerous </w:t>
      </w:r>
      <w:r w:rsidR="00C656F3">
        <w:t xml:space="preserve">other </w:t>
      </w:r>
      <w:r w:rsidR="00160996">
        <w:t>BE factors differ betwe</w:t>
      </w:r>
      <w:r w:rsidR="00CB29A9">
        <w:t xml:space="preserve">en </w:t>
      </w:r>
      <w:r w:rsidR="00CB29A9" w:rsidRPr="00D34B3C">
        <w:rPr>
          <w:i/>
        </w:rPr>
        <w:t>MB</w:t>
      </w:r>
      <w:r w:rsidR="00CB29A9">
        <w:t xml:space="preserve"> and</w:t>
      </w:r>
      <w:r w:rsidR="00160996">
        <w:t xml:space="preserve"> </w:t>
      </w:r>
      <w:r w:rsidR="00160996" w:rsidRPr="00280EF4">
        <w:rPr>
          <w:i/>
        </w:rPr>
        <w:t>NMB</w:t>
      </w:r>
      <w:r w:rsidR="00160996">
        <w:t xml:space="preserve"> CBGs, w</w:t>
      </w:r>
      <w:r>
        <w:t>it</w:t>
      </w:r>
      <w:r w:rsidR="001936E3">
        <w:t xml:space="preserve">h </w:t>
      </w:r>
      <w:r w:rsidR="001936E3" w:rsidRPr="00D34B3C">
        <w:rPr>
          <w:i/>
        </w:rPr>
        <w:t>MB</w:t>
      </w:r>
      <w:r w:rsidR="001936E3">
        <w:t xml:space="preserve"> </w:t>
      </w:r>
      <w:r w:rsidR="00160996">
        <w:t xml:space="preserve">CBGs </w:t>
      </w:r>
      <w:r>
        <w:t xml:space="preserve">being </w:t>
      </w:r>
      <w:r w:rsidR="008B60C1">
        <w:t xml:space="preserve">consistently </w:t>
      </w:r>
      <w:r>
        <w:t xml:space="preserve">characterized </w:t>
      </w:r>
      <w:r w:rsidR="00D34B3C">
        <w:t xml:space="preserve">by </w:t>
      </w:r>
      <w:r w:rsidR="00160996">
        <w:t>in</w:t>
      </w:r>
      <w:r w:rsidR="005F1CFF">
        <w:t xml:space="preserve">adequate </w:t>
      </w:r>
      <w:r>
        <w:t xml:space="preserve">infrastructure quality (based on Model 1) that </w:t>
      </w:r>
      <w:r w:rsidR="008B60C1">
        <w:t xml:space="preserve">can </w:t>
      </w:r>
      <w:r>
        <w:t xml:space="preserve">lead to higher pedestrian crashes (based on the second total crash count </w:t>
      </w:r>
      <w:r w:rsidRPr="0029384D">
        <w:t>model). The</w:t>
      </w:r>
      <w:r w:rsidR="008B60C1">
        <w:t>se</w:t>
      </w:r>
      <w:r w:rsidRPr="0029384D">
        <w:t xml:space="preserve"> d</w:t>
      </w:r>
      <w:r w:rsidR="00160996" w:rsidRPr="0029384D">
        <w:t xml:space="preserve">isparities </w:t>
      </w:r>
      <w:r w:rsidRPr="0029384D">
        <w:t xml:space="preserve">in </w:t>
      </w:r>
      <w:r w:rsidR="00160996" w:rsidRPr="0029384D">
        <w:t>infrastructure</w:t>
      </w:r>
      <w:r w:rsidRPr="0029384D">
        <w:t xml:space="preserve"> </w:t>
      </w:r>
      <w:r w:rsidR="00160996" w:rsidRPr="0029384D">
        <w:t>are primarily a result of disinvestment (Archer, 2020, Karner et al., 20</w:t>
      </w:r>
      <w:r w:rsidR="004F37F6">
        <w:t>17</w:t>
      </w:r>
      <w:r w:rsidR="00160996" w:rsidRPr="0029384D">
        <w:t>)</w:t>
      </w:r>
      <w:r w:rsidR="00BF6B9C" w:rsidRPr="0029384D">
        <w:t xml:space="preserve"> or a higher percentage of relatively high</w:t>
      </w:r>
      <w:r w:rsidR="000A500E" w:rsidRPr="0029384D">
        <w:t>-</w:t>
      </w:r>
      <w:r w:rsidR="00BF6B9C" w:rsidRPr="0029384D">
        <w:t>speed roads</w:t>
      </w:r>
      <w:r w:rsidRPr="0029384D">
        <w:t>,</w:t>
      </w:r>
      <w:r w:rsidR="00160996" w:rsidRPr="0029384D">
        <w:t xml:space="preserve"> resulting in</w:t>
      </w:r>
      <w:r w:rsidR="00D34B3C">
        <w:t xml:space="preserve"> </w:t>
      </w:r>
      <w:r w:rsidR="00D34B3C" w:rsidRPr="007374C1">
        <w:rPr>
          <w:i/>
        </w:rPr>
        <w:t>MB</w:t>
      </w:r>
      <w:r w:rsidR="00D34B3C">
        <w:rPr>
          <w:i/>
        </w:rPr>
        <w:t xml:space="preserve"> </w:t>
      </w:r>
      <w:r w:rsidR="00160996" w:rsidRPr="0029384D">
        <w:t>CBGs having lower sidewalk coverage,</w:t>
      </w:r>
      <w:r w:rsidR="005F1CFF" w:rsidRPr="0029384D">
        <w:t xml:space="preserve"> </w:t>
      </w:r>
      <w:r w:rsidR="00160996" w:rsidRPr="0029384D">
        <w:t>higher proportions of dangerous four-or-more leg intersections,</w:t>
      </w:r>
      <w:r w:rsidR="00F10F1D" w:rsidRPr="0029384D">
        <w:t xml:space="preserve"> </w:t>
      </w:r>
      <w:r w:rsidR="00F10F1D" w:rsidRPr="0029384D">
        <w:lastRenderedPageBreak/>
        <w:t xml:space="preserve">% </w:t>
      </w:r>
      <w:r w:rsidR="005F1CFF" w:rsidRPr="0029384D">
        <w:t xml:space="preserve">freeway miles, </w:t>
      </w:r>
      <w:r w:rsidR="00F10F1D" w:rsidRPr="0029384D">
        <w:t xml:space="preserve">and % </w:t>
      </w:r>
      <w:r w:rsidR="006C5803" w:rsidRPr="0029384D">
        <w:t>four or more lane road miles</w:t>
      </w:r>
      <w:r w:rsidR="0029384D" w:rsidRPr="0029384D">
        <w:t xml:space="preserve">. </w:t>
      </w:r>
      <w:r w:rsidR="00160996" w:rsidRPr="0029384D">
        <w:t xml:space="preserve">These findings are also consistent with previous </w:t>
      </w:r>
      <w:r w:rsidR="00160996" w:rsidRPr="00D34B3C">
        <w:t xml:space="preserve">literature </w:t>
      </w:r>
      <w:bookmarkStart w:id="44" w:name="_Hlk110166192"/>
      <w:r w:rsidR="00D34B3C" w:rsidRPr="00D34B3C">
        <w:rPr>
          <w:color w:val="000000" w:themeColor="text1"/>
        </w:rPr>
        <w:fldChar w:fldCharType="begin"/>
      </w:r>
      <w:r w:rsidR="00D34B3C">
        <w:rPr>
          <w:color w:val="000000" w:themeColor="text1"/>
        </w:rPr>
        <w:instrText xml:space="preserve"> ADDIN ZOTERO_ITEM CSL_CITATION {"citationID":"wGywhXNe","properties":{"formattedCitation":"(Bridging the Gap, 2012; Gibbs et al., 2012b; Thornton et al., 2016; Yu et al., 2022)","plainCitation":"(Bridging the Gap, 2012; Gibbs et al., 2012b; Thornton et al., 2016; Yu et al., 2022)","dontUpdate":true,"noteIndex":0},"citationItems":[{"id":337,"uris":["http://zotero.org/users/9292995/items/BA8IS2JY"],"itemData":{"id":337,"type":"report","title":"Income Disparities in Street Features that Encourage Walking","URL":"https://www.cityofeastlansing.com/DocumentCenter/View/1583/Income-Disparities-in-Street-Features-That-Encourage-Walking-PDF#:~:text=Key%20Findings,%2Dincome%20communities%20(51%25).","author":[{"literal":"Bridging the Gap"}],"issued":{"date-parts":[["2012"]]}}},{"id":396,"uris":["http://zotero.org/users/9292995/items/KWINSF9N"],"itemData":{"id":396,"type":"article-journal","container-title":"Bridging the Gap Program","journalAbbreviation":"Bridging the Gap Program","title":"Income disparities in street features that encourage walking","author":[{"family":"Gibbs","given":"Kevin"},{"family":"Slater","given":"Sandy J"},{"family":"Nicholson","given":"L"},{"family":"Barker","given":"D"},{"family":"Chaloupka","given":"Frank J"}],"issued":{"date-parts":[["2012"]]}}},{"id":"wB6ig8YL/uSdq3fLt","uris":["http://www.mendeley.com/documents/?uuid=731948ee-4fca-475c-af41-644eaa23deaa"],"itemData":{"DOI":"https://doi.org/10.1016/j.ssmph.2016.03.004","ISSN":"2352-8273","abstract":"Growing evidence suggests that microscale pedestrian environment features, such as sidewalk quality, crosswalks, and neighborhood esthetics, may affect residents’ physical activity. This study examined whether disparities in microscale pedestrian features existed between neighborhoods of differing socioeconomic and racial/ethnic composition. Using the validated Microscale Audit of Pedestrian Streetscapes (MAPS), pedestrian environment features were assessed by trained observers along 1/4-mile routes (N=2117) in neighborhoods in three US metropolitan regions (San Diego, Seattle, and Baltimore) during 2009–2010. Neighborhoods, defined as Census block groups, were selected to maximize variability in median income and macroscale walkability factors (e.g., density). Mixed-model linear regression analyses explored main and interaction effects of income and race/ethnicity separately by region. Across all three regions, low-income neighborhoods and neighborhoods with a high proportion of racial/ethnic minorities had poorer esthetics and social elements (e.g., graffiti, broken windows, litter) than neighborhoods with higher median income or fewer racial/ethnic minorities (p&lt;.05). However, there were also instances where neighborhoods with higher incomes and fewer racial/ethnic minorities had worse or absent pedestrian amenities such as sidewalks, crosswalks, and intersections (p&lt;.05). Overall, disparities in microscale pedestrian features occurred more frequently in residential as compared to mixed-use routes with one or more commercial destination. However, considerable variation existed between regions as to which microscale pedestrian features were unfavorable and whether the unfavorable features were associated with neighborhood income or racial/ethnic composition. The variation in pedestrian streetscapes across cities suggests that findings from single-city studies are not generalizable. Local streetscape audits are recommended to identify disparities and efficiently allocate pedestrian infrastructure resources to ensure access and physical activity opportunities for all residents, regardless of race, ethnicity, or income level.","author":[{"dropping-particle":"","family":"Thornton","given":"Christina M","non-dropping-particle":"","parse-names":false,"suffix":""},{"dropping-particle":"","family":"Conway","given":"Terry L","non-dropping-particle":"","parse-names":false,"suffix":""},{"dropping-particle":"","family":"Cain","given":"Kelli L","non-dropping-particle":"","parse-names":false,"suffix":""},{"dropping-particle":"","family":"Gavand","given":"Kavita A","non-dropping-particle":"","parse-names":false,"suffix":""},{"dropping-particle":"","family":"Saelens","given":"Brian E","non-dropping-particle":"","parse-names":false,"suffix":""},{"dropping-particle":"","family":"Frank","given":"Lawrence D","non-dropping-particle":"","parse-names":false,"suffix":""},{"dropping-particle":"","family":"Geremia","given":"Carrie M","non-dropping-particle":"","parse-names":false,"suffix":""},{"dropping-particle":"","family":"Glanz","given":"Karen","non-dropping-particle":"","parse-names":false,"suffix":""},{"dropping-particle":"","family":"King","given":"Abby C","non-dropping-particle":"","parse-names":false,"suffix":""},{"dropping-particle":"","family":"Sallis","given":"James F","non-dropping-particle":"","parse-names":false,"suffix":""}],"container-title":"SSM - Population Health","id":"LlifjtSL/6nFeRXVG","issued":{"date-parts":[["2016"]]},"page":"206-216","title":"Disparities in pedestrian streetscape environments by income and race/ethnicity","type":"article-journal","volume":"2"}},{"id":724,"uris":["http://zotero.org/users/9292995/items/L85W4SPQ"],"itemData":{"id":724,"type":"article-journal","container-title":"Journal of Planning Education and Research","ISSN":"0739-456X","issue":"2","journalAbbreviation":"Journal of Planning Education and Research","note":"publisher: SAGE Publications Sage CA: Los Angeles, CA","page":"136-149","title":"Income and racial disparity and the role of the built environment in pedestrian injuries","volume":"42","author":[{"family":"Yu","given":"Chia-Yuan"},{"family":"Zhu","given":"Xuemei"},{"family":"Lee","given":"Chanam"}],"issued":{"date-parts":[["2022"]]}}}],"schema":"https://github.com/citation-style-language/schema/raw/master/csl-citation.json"} </w:instrText>
      </w:r>
      <w:r w:rsidR="00D34B3C" w:rsidRPr="00D34B3C">
        <w:rPr>
          <w:color w:val="000000" w:themeColor="text1"/>
        </w:rPr>
        <w:fldChar w:fldCharType="separate"/>
      </w:r>
      <w:r w:rsidR="00D34B3C" w:rsidRPr="00D34B3C">
        <w:t>(Gibbs et al., 2012</w:t>
      </w:r>
      <w:r w:rsidR="00001C79">
        <w:t>;</w:t>
      </w:r>
      <w:r w:rsidR="00D34B3C" w:rsidRPr="00D34B3C">
        <w:t xml:space="preserve"> Thornton et al., 2016</w:t>
      </w:r>
      <w:r w:rsidR="00001C79">
        <w:t>;</w:t>
      </w:r>
      <w:r w:rsidR="00D34B3C" w:rsidRPr="00D34B3C">
        <w:t xml:space="preserve"> Yu et al., 2022)</w:t>
      </w:r>
      <w:r w:rsidR="00D34B3C" w:rsidRPr="00D34B3C">
        <w:rPr>
          <w:color w:val="000000" w:themeColor="text1"/>
        </w:rPr>
        <w:fldChar w:fldCharType="end"/>
      </w:r>
      <w:r w:rsidR="00D34B3C" w:rsidRPr="00D34B3C">
        <w:rPr>
          <w:color w:val="000000" w:themeColor="text1"/>
        </w:rPr>
        <w:t>.</w:t>
      </w:r>
      <w:r w:rsidR="00D34B3C">
        <w:t xml:space="preserve"> </w:t>
      </w:r>
      <w:bookmarkEnd w:id="44"/>
      <w:r w:rsidR="00160996" w:rsidRPr="0029384D">
        <w:t xml:space="preserve">Overall, the lack of sidewalks, the prevalence of unsafe intersections, and the widespread </w:t>
      </w:r>
      <w:r w:rsidRPr="0029384D">
        <w:t xml:space="preserve">presence </w:t>
      </w:r>
      <w:r w:rsidR="00160996" w:rsidRPr="0029384D">
        <w:t>of high-speed and high-volume roads</w:t>
      </w:r>
      <w:r w:rsidR="00160996">
        <w:t xml:space="preserve"> endanger the safety of pedestrians in such neighborhoods to a greater extent compared to </w:t>
      </w:r>
      <w:r w:rsidR="00160996" w:rsidRPr="00280EF4">
        <w:rPr>
          <w:i/>
        </w:rPr>
        <w:t>NMB</w:t>
      </w:r>
      <w:r w:rsidR="00160996">
        <w:t xml:space="preserve"> CBGs. </w:t>
      </w:r>
      <w:r w:rsidR="00817DA0">
        <w:t xml:space="preserve">Additionally, </w:t>
      </w:r>
      <w:r w:rsidR="006C5803" w:rsidRPr="00280EF4">
        <w:rPr>
          <w:i/>
        </w:rPr>
        <w:t>MB</w:t>
      </w:r>
      <w:r w:rsidR="006C5803">
        <w:t xml:space="preserve"> </w:t>
      </w:r>
      <w:r w:rsidR="00160996">
        <w:t>CBGs are less likely to have diverse land</w:t>
      </w:r>
      <w:r w:rsidR="0050333B">
        <w:t>-</w:t>
      </w:r>
      <w:r w:rsidR="00160996">
        <w:t>use</w:t>
      </w:r>
      <w:r>
        <w:t xml:space="preserve">, </w:t>
      </w:r>
      <w:r w:rsidR="0050333B">
        <w:t>given that</w:t>
      </w:r>
      <w:r>
        <w:t xml:space="preserve"> </w:t>
      </w:r>
      <w:r w:rsidR="00160996">
        <w:t>mixed land</w:t>
      </w:r>
      <w:r w:rsidR="0050333B">
        <w:t>-</w:t>
      </w:r>
      <w:r w:rsidR="00160996">
        <w:t xml:space="preserve">use </w:t>
      </w:r>
      <w:r w:rsidR="0050333B">
        <w:t>is</w:t>
      </w:r>
      <w:r>
        <w:t xml:space="preserve"> </w:t>
      </w:r>
      <w:r w:rsidR="00160996">
        <w:t xml:space="preserve">generally associated with higher housing prices and gentrification </w:t>
      </w:r>
      <w:bookmarkStart w:id="45" w:name="_Hlk110166301"/>
      <w:r w:rsidR="00D34B3C">
        <w:fldChar w:fldCharType="begin"/>
      </w:r>
      <w:r w:rsidR="00D34B3C">
        <w:instrText xml:space="preserve"> ADDIN ZOTERO_ITEM CSL_CITATION {"citationID":"SCNDSOMW","properties":{"formattedCitation":"(MacDonald &amp; Stokes, 2020; Wu et al., 2018)","plainCitation":"(MacDonald &amp; Stokes, 2020; Wu et al., 2018)","noteIndex":0},"citationItems":[{"id":663,"uris":["http://zotero.org/users/9292995/items/X42DM7FG"],"itemData":{"id":663,"type":"article-journal","container-title":"Annual Review of Criminology","ISSN":"2572-4568","journalAbbreviation":"Annual Review of Criminology","note":"publisher: Annual Reviews","page":"121-138","title":"Gentrification, land use, and crime","volume":"3","author":[{"family":"MacDonald","given":"John M"},{"family":"Stokes","given":"Robert J"}],"issued":{"date-parts":[["2020"]]}}},{"id":664,"uris":["http://zotero.org/users/9292995/items/FUGFLUNL"],"itemData":{"id":664,"type":"article-journal","container-title":"Journal of Urban Planning and Development","ISSN":"0733-9488","issue":"1","journalAbbreviation":"Journal of Urban Planning and Development","note":"publisher: American Society of Civil Engineers","page":"05017019","title":"Impact of mixed land use on housing values in high-density areas: Evidence from Beijing","volume":"144","author":[{"family":"Wu","given":"Jiayu"},{"family":"Song","given":"Yan"},{"family":"Liang","given":"Junhui"},{"family":"Wang","given":"Qingxi"},{"family":"Lin","given":"Jian"}],"issued":{"date-parts":[["2018"]]}}}],"schema":"https://github.com/citation-style-language/schema/raw/master/csl-citation.json"} </w:instrText>
      </w:r>
      <w:r w:rsidR="00D34B3C">
        <w:fldChar w:fldCharType="separate"/>
      </w:r>
      <w:r w:rsidR="00D34B3C" w:rsidRPr="00D34B3C">
        <w:t xml:space="preserve">(MacDonald </w:t>
      </w:r>
      <w:r w:rsidR="00D34B3C">
        <w:t>and</w:t>
      </w:r>
      <w:r w:rsidR="00D34B3C" w:rsidRPr="00D34B3C">
        <w:t xml:space="preserve"> Stokes, 2020</w:t>
      </w:r>
      <w:r w:rsidR="00001C79">
        <w:t>;</w:t>
      </w:r>
      <w:r w:rsidR="00D34B3C" w:rsidRPr="00D34B3C">
        <w:t xml:space="preserve"> Wu et al., 2018)</w:t>
      </w:r>
      <w:r w:rsidR="00D34B3C">
        <w:fldChar w:fldCharType="end"/>
      </w:r>
      <w:r>
        <w:t>.</w:t>
      </w:r>
      <w:r w:rsidR="00160996">
        <w:t xml:space="preserve"> </w:t>
      </w:r>
      <w:bookmarkEnd w:id="45"/>
    </w:p>
    <w:p w14:paraId="568EF63C" w14:textId="721639A6" w:rsidR="00BB7C91" w:rsidRDefault="00817DA0" w:rsidP="00966F5E">
      <w:pPr>
        <w:spacing w:before="0" w:after="0" w:line="360" w:lineRule="auto"/>
      </w:pPr>
      <w:r>
        <w:tab/>
        <w:t xml:space="preserve">A few interesting observations regarding the effect of BE features on the total count of </w:t>
      </w:r>
      <w:r w:rsidRPr="0029384D">
        <w:t xml:space="preserve">crashes. </w:t>
      </w:r>
      <w:r w:rsidRPr="0029384D">
        <w:rPr>
          <w:u w:val="single"/>
        </w:rPr>
        <w:t>First</w:t>
      </w:r>
      <w:r w:rsidRPr="0029384D">
        <w:t xml:space="preserve">, </w:t>
      </w:r>
      <w:r w:rsidR="00BB7C91" w:rsidRPr="0029384D">
        <w:t xml:space="preserve">the </w:t>
      </w:r>
      <w:r w:rsidRPr="0029384D">
        <w:t>density of bus stops</w:t>
      </w:r>
      <w:r w:rsidR="00F10F1D" w:rsidRPr="0029384D">
        <w:t xml:space="preserve">, </w:t>
      </w:r>
      <w:r w:rsidRPr="0029384D">
        <w:t>the percentage of four or more-legged intersections</w:t>
      </w:r>
      <w:r w:rsidR="00F10F1D" w:rsidRPr="0029384D">
        <w:t xml:space="preserve">, and % freeway miles </w:t>
      </w:r>
      <w:r w:rsidRPr="0029384D">
        <w:t xml:space="preserve">are more prevalent in </w:t>
      </w:r>
      <w:r w:rsidRPr="0029384D">
        <w:rPr>
          <w:i/>
        </w:rPr>
        <w:t>MB</w:t>
      </w:r>
      <w:r w:rsidRPr="0029384D">
        <w:t xml:space="preserve"> CBGs and also result in higher pedestrian crashes, clearly indicating the mediating effect these BE features </w:t>
      </w:r>
      <w:r w:rsidR="00880623">
        <w:t xml:space="preserve">have </w:t>
      </w:r>
      <w:r w:rsidRPr="0029384D">
        <w:t xml:space="preserve">on </w:t>
      </w:r>
      <w:r w:rsidR="0050333B">
        <w:t xml:space="preserve">the </w:t>
      </w:r>
      <w:r w:rsidRPr="0029384D">
        <w:t xml:space="preserve">higher pedestrian crash propensity in </w:t>
      </w:r>
      <w:r w:rsidRPr="0029384D">
        <w:rPr>
          <w:i/>
        </w:rPr>
        <w:t>MB</w:t>
      </w:r>
      <w:r w:rsidRPr="0029384D">
        <w:t xml:space="preserve"> CBGs. </w:t>
      </w:r>
      <w:r w:rsidRPr="0029384D">
        <w:rPr>
          <w:u w:val="single"/>
        </w:rPr>
        <w:t>Second</w:t>
      </w:r>
      <w:r w:rsidRPr="0029384D">
        <w:t>, the coefficients on the “# traffic signals relative to # of intersections” effect and the “land-use</w:t>
      </w:r>
      <w:r>
        <w:t xml:space="preserve"> diversity index” on the first two models suggest that the </w:t>
      </w:r>
      <w:r w:rsidR="003B0AEF">
        <w:t>lower number of controlled intersections and the lower land</w:t>
      </w:r>
      <w:r w:rsidR="0050333B">
        <w:t>-</w:t>
      </w:r>
      <w:r w:rsidR="003B0AEF">
        <w:t xml:space="preserve">use mix, while having possible negative accessibility repercussions, actually appear to buffer </w:t>
      </w:r>
      <w:r w:rsidR="003B0AEF" w:rsidRPr="00DE400F">
        <w:rPr>
          <w:i/>
        </w:rPr>
        <w:t>MB</w:t>
      </w:r>
      <w:r w:rsidR="003B0AEF">
        <w:t xml:space="preserve"> CBGs from pedestrian crashes. </w:t>
      </w:r>
      <w:r w:rsidR="00EA7AE3" w:rsidRPr="00DE400F">
        <w:rPr>
          <w:u w:val="single"/>
        </w:rPr>
        <w:t>Third</w:t>
      </w:r>
      <w:r w:rsidR="00EA7AE3">
        <w:t xml:space="preserve">, the </w:t>
      </w:r>
      <w:r w:rsidR="00BB7C91">
        <w:t xml:space="preserve">density of intersections is negatively correlated with </w:t>
      </w:r>
      <w:r w:rsidR="006D67DE">
        <w:t xml:space="preserve">total </w:t>
      </w:r>
      <w:r w:rsidR="00BB7C91">
        <w:t>pedestrian crash</w:t>
      </w:r>
      <w:r w:rsidR="006D67DE">
        <w:t>es, but positively with the fraction of Black crashes</w:t>
      </w:r>
      <w:r w:rsidR="00BB7C91">
        <w:t>.</w:t>
      </w:r>
      <w:r w:rsidR="006D67DE">
        <w:t xml:space="preserve"> That is, at intersection crossings, while the total </w:t>
      </w:r>
      <w:r w:rsidR="00E9366E">
        <w:t xml:space="preserve">crash </w:t>
      </w:r>
      <w:r w:rsidR="006D67DE">
        <w:t>count reduces, there is a</w:t>
      </w:r>
      <w:r w:rsidR="00DE400F">
        <w:t>n</w:t>
      </w:r>
      <w:r w:rsidR="006D67DE">
        <w:t xml:space="preserve"> overrepresentation of Black pedestrian crashes. </w:t>
      </w:r>
      <w:r w:rsidR="00BB7C91">
        <w:t xml:space="preserve">A higher intersection density is associated with small block sizes that </w:t>
      </w:r>
      <w:r w:rsidR="006D67DE">
        <w:t xml:space="preserve">generally </w:t>
      </w:r>
      <w:r w:rsidR="00BB7C91">
        <w:t>reduce jaywalking</w:t>
      </w:r>
      <w:r w:rsidR="00EA7AE3">
        <w:t xml:space="preserve">, </w:t>
      </w:r>
      <w:r w:rsidR="00BB7C91">
        <w:t>unlawful crossing</w:t>
      </w:r>
      <w:r w:rsidR="00EA7AE3">
        <w:t>,</w:t>
      </w:r>
      <w:r w:rsidR="00BB7C91">
        <w:t xml:space="preserve"> and </w:t>
      </w:r>
      <w:r w:rsidR="00EA7AE3">
        <w:t xml:space="preserve">speeding, </w:t>
      </w:r>
      <w:r w:rsidR="00BB7C91">
        <w:t xml:space="preserve">thus lowering </w:t>
      </w:r>
      <w:r w:rsidR="006D67DE">
        <w:t xml:space="preserve">total </w:t>
      </w:r>
      <w:r w:rsidR="00EA7AE3">
        <w:t xml:space="preserve">crash propensity </w:t>
      </w:r>
      <w:r w:rsidR="00BB7C91">
        <w:t xml:space="preserve">(Sung et al., 2022). </w:t>
      </w:r>
      <w:r w:rsidR="006D67DE">
        <w:t xml:space="preserve">However, it appears that the implicit driver yield bias uncovered by Coughenour et al. (2017), Goddard et al. (2015), and others may be at play against Black pedestrians at such locations. </w:t>
      </w:r>
      <w:r w:rsidR="00EA7AE3" w:rsidRPr="00DE400F">
        <w:rPr>
          <w:u w:val="single"/>
        </w:rPr>
        <w:t>Fourth</w:t>
      </w:r>
      <w:r w:rsidR="00EA7AE3">
        <w:t>, a</w:t>
      </w:r>
      <w:r w:rsidR="00BB7C91">
        <w:t>s for the road network, a higher percentage of freeway</w:t>
      </w:r>
      <w:r w:rsidR="00D57315">
        <w:t xml:space="preserve"> </w:t>
      </w:r>
      <w:r w:rsidR="00BB7C91">
        <w:t>and principal arterial</w:t>
      </w:r>
      <w:r w:rsidR="00D57315">
        <w:t xml:space="preserve"> miles</w:t>
      </w:r>
      <w:r w:rsidR="00BB7C91">
        <w:t xml:space="preserve"> increases the frequency of pedestrian crashes. Roads belonging to these functional classes are typically vehicle-oriented, high-speed, and high-volume links that increase the exposure of pedestrians to vehicular crashes (Wang et al., 2016</w:t>
      </w:r>
      <w:r w:rsidR="00001C79">
        <w:t>;</w:t>
      </w:r>
      <w:r w:rsidR="00BB7C91">
        <w:t xml:space="preserve"> Yu et al., 20</w:t>
      </w:r>
      <w:r w:rsidR="0080109C">
        <w:t>22</w:t>
      </w:r>
      <w:r w:rsidR="00BB7C91">
        <w:t>).</w:t>
      </w:r>
    </w:p>
    <w:p w14:paraId="44F57861" w14:textId="77777777" w:rsidR="00432BEC" w:rsidRDefault="00432BEC" w:rsidP="00966F5E">
      <w:pPr>
        <w:spacing w:before="0" w:after="0" w:line="360" w:lineRule="auto"/>
      </w:pPr>
    </w:p>
    <w:p w14:paraId="3E83F3AA" w14:textId="0DAA6DB7" w:rsidR="0031149B" w:rsidRPr="00DE400F" w:rsidRDefault="00E753C7" w:rsidP="00966F5E">
      <w:pPr>
        <w:pStyle w:val="Heading2"/>
        <w:spacing w:before="0" w:line="360" w:lineRule="auto"/>
      </w:pPr>
      <w:r>
        <w:t xml:space="preserve"> </w:t>
      </w:r>
      <w:r w:rsidR="0031149B" w:rsidRPr="00DE400F">
        <w:t>Sociodemographic Factors</w:t>
      </w:r>
    </w:p>
    <w:p w14:paraId="000001E5" w14:textId="255DFD1D" w:rsidR="00536120" w:rsidRDefault="00BA45DF" w:rsidP="007D5556">
      <w:pPr>
        <w:spacing w:before="0" w:after="0" w:line="360" w:lineRule="auto"/>
        <w:ind w:firstLine="720"/>
      </w:pPr>
      <w:r>
        <w:t xml:space="preserve">Table </w:t>
      </w:r>
      <w:r w:rsidR="00D34B3C">
        <w:t>3</w:t>
      </w:r>
      <w:r>
        <w:t xml:space="preserve"> indicates that </w:t>
      </w:r>
      <w:r w:rsidRPr="00DE400F">
        <w:rPr>
          <w:i/>
        </w:rPr>
        <w:t>MB</w:t>
      </w:r>
      <w:r>
        <w:t xml:space="preserve"> CB</w:t>
      </w:r>
      <w:r w:rsidR="00280EF4">
        <w:t xml:space="preserve">Gs are associated with a higher percentage of young adults and low-income </w:t>
      </w:r>
      <w:r w:rsidR="0050333B">
        <w:t>households</w:t>
      </w:r>
      <w:r w:rsidR="00280EF4">
        <w:t xml:space="preserve">. A recent survey shows that the Black population continues to be younger than other </w:t>
      </w:r>
      <w:r w:rsidR="00280EF4" w:rsidRPr="00E02098">
        <w:t>racial or ethnic group</w:t>
      </w:r>
      <w:r w:rsidR="00280EF4">
        <w:t xml:space="preserve">s </w:t>
      </w:r>
      <w:r w:rsidR="00280EF4">
        <w:fldChar w:fldCharType="begin"/>
      </w:r>
      <w:r w:rsidR="00280EF4">
        <w:instrText xml:space="preserve"> ADDIN ZOTERO_ITEM CSL_CITATION {"citationID":"SbX8eNnJ","properties":{"formattedCitation":"(Tamir, 2021)","plainCitation":"(Tamir, 2021)","noteIndex":0},"citationItems":[{"id":799,"uris":["http://zotero.org/users/9292995/items/3TU2WI6C"],"itemData":{"id":799,"type":"report","title":"The Growing Diversity of Black America","URL":"https://www.pewresearch.org/social-trends/2021/03/25/the-growing-diversity-of-black-america/","author":[{"family":"Tamir","given":"Christine"}],"issued":{"date-parts":[["2021"]]}}}],"schema":"https://github.com/citation-style-language/schema/raw/master/csl-citation.json"} </w:instrText>
      </w:r>
      <w:r w:rsidR="00280EF4">
        <w:fldChar w:fldCharType="separate"/>
      </w:r>
      <w:bookmarkStart w:id="46" w:name="_Hlk110166613"/>
      <w:r w:rsidR="00280EF4" w:rsidRPr="00E02098">
        <w:t>(Tamir, 2021</w:t>
      </w:r>
      <w:bookmarkEnd w:id="46"/>
      <w:r w:rsidR="00280EF4" w:rsidRPr="00E02098">
        <w:t>)</w:t>
      </w:r>
      <w:r w:rsidR="00280EF4">
        <w:fldChar w:fldCharType="end"/>
      </w:r>
      <w:r w:rsidR="00280EF4">
        <w:t xml:space="preserve">, possibly due to the lower life expectancy in </w:t>
      </w:r>
      <w:r w:rsidR="0050333B" w:rsidRPr="0050333B">
        <w:rPr>
          <w:i/>
        </w:rPr>
        <w:t>MB</w:t>
      </w:r>
      <w:r w:rsidR="0050333B">
        <w:t xml:space="preserve"> </w:t>
      </w:r>
      <w:r w:rsidR="00280EF4">
        <w:t xml:space="preserve">neighborhoods </w:t>
      </w:r>
      <w:bookmarkStart w:id="47" w:name="_Hlk110166627"/>
      <w:r w:rsidR="00280EF4">
        <w:fldChar w:fldCharType="begin"/>
      </w:r>
      <w:r w:rsidR="00280EF4">
        <w:instrText xml:space="preserve"> ADDIN ZOTERO_ITEM CSL_CITATION {"citationID":"Cqq8Dbk8","properties":{"formattedCitation":"(Perry et al., 2021)","plainCitation":"(Perry et al., 2021)","noteIndex":0},"citationItems":[{"id":801,"uris":["http://zotero.org/users/9292995/items/5EQ2YPDG"],"itemData":{"id":801,"type":"report","title":"Why is life expectancy so low in Black neighborhoods?","URL":"https://www.brookings.edu/blog/the-avenue/2021/12/20/why-is-life-expectancy-so-low-in-black-neighborhoods/#:~:text=Black-majority%20neighborhoods%20have%20a,compared%20to%20the%20national%20average.","author":[{"family":"Perry","given":"Andre"},{"family":"Romer","given":"Carl"},{"family":"Barr","given":"Anthony"}],"issued":{"date-parts":[["2021"]]}}}],"schema":"https://github.com/citation-style-language/schema/raw/master/csl-citation.json"} </w:instrText>
      </w:r>
      <w:r w:rsidR="00280EF4">
        <w:fldChar w:fldCharType="separate"/>
      </w:r>
      <w:r w:rsidR="00280EF4" w:rsidRPr="00E02098">
        <w:t>(Perry et al., 2021)</w:t>
      </w:r>
      <w:r w:rsidR="00280EF4">
        <w:fldChar w:fldCharType="end"/>
      </w:r>
      <w:r w:rsidR="00280EF4">
        <w:t xml:space="preserve">. </w:t>
      </w:r>
      <w:bookmarkEnd w:id="47"/>
      <w:r w:rsidR="00280EF4">
        <w:t>A high percentage of low-income HH</w:t>
      </w:r>
      <w:r w:rsidR="00DE400F">
        <w:t>s</w:t>
      </w:r>
      <w:r w:rsidR="00280EF4">
        <w:t xml:space="preserve"> in </w:t>
      </w:r>
      <w:r w:rsidR="00280EF4" w:rsidRPr="000F1918">
        <w:rPr>
          <w:i/>
        </w:rPr>
        <w:t>MB</w:t>
      </w:r>
      <w:r w:rsidR="00280EF4">
        <w:t xml:space="preserve"> CBGs is </w:t>
      </w:r>
      <w:r w:rsidR="00280EF4">
        <w:lastRenderedPageBreak/>
        <w:t xml:space="preserve">presumably due to the persisting disparity in income across racial and ethnic groups caused by systematic </w:t>
      </w:r>
      <w:r>
        <w:t xml:space="preserve">differences in </w:t>
      </w:r>
      <w:r w:rsidR="00280EF4">
        <w:t xml:space="preserve">access to opportunities </w:t>
      </w:r>
      <w:r w:rsidR="00D34B3C">
        <w:fldChar w:fldCharType="begin"/>
      </w:r>
      <w:r w:rsidR="00763B15">
        <w:instrText xml:space="preserve"> ADDIN ZOTERO_ITEM CSL_CITATION {"citationID":"tYyw9jfh","properties":{"formattedCitation":"(Bell et al., 2020; Bhutta et al., 2020; Rothstein, 2017)","plainCitation":"(Bell et al., 2020; Bhutta et al., 2020; Rothstein, 2017)","dontUpdate":true,"noteIndex":0},"citationItems":[{"id":649,"uris":["http://zotero.org/users/9292995/items/PVXQ8GJT"],"itemData":{"id":649,"type":"article-journal","container-title":"SSM-population health","ISSN":"2352-8273","journalAbbreviation":"SSM-population health","note":"publisher: Elsevier","page":"100561","title":"Racial non-equivalence of socioeconomic status and self-rated health among African Americans and Whites","volume":"10","author":[{"family":"Bell","given":"Caryn N"},{"family":"Sacks","given":"Tina K"},{"family":"Tobin","given":"Courtney S Thomas"},{"family":"Thorpe Jr","given":"Roland J"}],"issued":{"date-parts":[["2020"]]}}},{"id":648,"uris":["http://zotero.org/users/9292995/items/SFVCUJBZ"],"itemData":{"id":648,"type":"article-journal","title":"Disparities in wealth by race and ethnicity in the 2019 Survey of Consumer Finances","author":[{"family":"Bhutta","given":"Neil"},{"family":"Chang","given":"Andrew C"},{"family":"Dettling","given":"Lisa J"}],"issued":{"date-parts":[["2020"]]}}},{"id":377,"uris":["http://zotero.org/users/9292995/items/V9RML257"],"itemData":{"id":377,"type":"book","ISBN":"1-63149-286-1","publisher":"Liveright Publishing","title":"The color of law: A forgotten history of how our government segregated America","author":[{"family":"Rothstein","given":"Richard"}],"issued":{"date-parts":[["2017"]]}}}],"schema":"https://github.com/citation-style-language/schema/raw/master/csl-citation.json"} </w:instrText>
      </w:r>
      <w:r w:rsidR="00D34B3C">
        <w:fldChar w:fldCharType="separate"/>
      </w:r>
      <w:r w:rsidR="00D34B3C" w:rsidRPr="00562104">
        <w:t>(Bell et al., 2020</w:t>
      </w:r>
      <w:r w:rsidR="00001C79">
        <w:t>;</w:t>
      </w:r>
      <w:r w:rsidR="00B803DE">
        <w:t xml:space="preserve"> </w:t>
      </w:r>
      <w:r w:rsidR="00D34B3C" w:rsidRPr="00562104">
        <w:t>Bhutta et al., 2020)</w:t>
      </w:r>
      <w:r w:rsidR="00D34B3C">
        <w:fldChar w:fldCharType="end"/>
      </w:r>
      <w:r w:rsidR="00D34B3C">
        <w:t>.</w:t>
      </w:r>
    </w:p>
    <w:p w14:paraId="1B97E662" w14:textId="64D11A34" w:rsidR="00174A44" w:rsidRDefault="001B2E46" w:rsidP="00966F5E">
      <w:pPr>
        <w:spacing w:before="0" w:after="0" w:line="360" w:lineRule="auto"/>
        <w:ind w:firstLine="720"/>
      </w:pPr>
      <w:bookmarkStart w:id="48" w:name="_Hlk109516855"/>
      <w:r>
        <w:t xml:space="preserve">Moving on to the total count model results, </w:t>
      </w:r>
      <w:r w:rsidR="00280EF4">
        <w:t>the percentage of young adults in the population has a positive effect on the total number of pedestrian crashes. This is to be expected, since young adults between the age of 1</w:t>
      </w:r>
      <w:r w:rsidR="00DE400F">
        <w:t>8</w:t>
      </w:r>
      <w:r w:rsidR="00280EF4">
        <w:t xml:space="preserve"> and 30 years are generally more active than middle-aged and older individuals, especially after dark, which exposes them to higher risks of severe pedestrian crashes </w:t>
      </w:r>
      <w:bookmarkStart w:id="49" w:name="_Hlk109540961"/>
      <w:r w:rsidR="00280EF4">
        <w:fldChar w:fldCharType="begin"/>
      </w:r>
      <w:r w:rsidR="0032030F">
        <w:instrText xml:space="preserve"> ADDIN ZOTERO_ITEM CSL_CITATION {"citationID":"4WON6T6S","properties":{"formattedCitation":"(Y. Li &amp; Fan, 2019)","plainCitation":"(Y. Li &amp; Fan, 2019)","dontUpdate":true,"noteIndex":0},"citationItems":[{"id":802,"uris":["http://zotero.org/users/9292995/items/BAYFA8SZ"],"itemData":{"id":802,"type":"article-journal","container-title":"Transportation research record","ISSN":"0361-1981","issue":"5","journalAbbreviation":"Transportation research record","note":"publisher: SAGE Publications Sage CA: Los Angeles, CA","page":"731-746","title":"Pedestrian injury severities in pedestrian-vehicle crashes and the partial proportional odds logit model: accounting for age difference","volume":"2673","author":[{"family":"Li","given":"Yang"},{"family":"Fan","given":"Wei"}],"issued":{"date-parts":[["2019"]]}}}],"schema":"https://github.com/citation-style-language/schema/raw/master/csl-citation.json"} </w:instrText>
      </w:r>
      <w:r w:rsidR="00280EF4">
        <w:fldChar w:fldCharType="separate"/>
      </w:r>
      <w:r w:rsidR="00280EF4" w:rsidRPr="00A56516">
        <w:t xml:space="preserve">(Li </w:t>
      </w:r>
      <w:r w:rsidR="00906285">
        <w:t>and</w:t>
      </w:r>
      <w:r w:rsidR="00280EF4" w:rsidRPr="00A56516">
        <w:t xml:space="preserve"> Fan, 2019)</w:t>
      </w:r>
      <w:r w:rsidR="00280EF4">
        <w:fldChar w:fldCharType="end"/>
      </w:r>
      <w:r w:rsidR="00280EF4">
        <w:t xml:space="preserve">. </w:t>
      </w:r>
      <w:bookmarkEnd w:id="49"/>
      <w:r w:rsidR="00280EF4">
        <w:t xml:space="preserve">In addition to increased exposure, younger pedestrians have a higher propensity for </w:t>
      </w:r>
      <w:r w:rsidR="0029384D">
        <w:t>red-light</w:t>
      </w:r>
      <w:r w:rsidR="00280EF4">
        <w:t xml:space="preserve"> running and other </w:t>
      </w:r>
      <w:r>
        <w:t>aggressive</w:t>
      </w:r>
      <w:r w:rsidR="00280EF4">
        <w:t xml:space="preserve"> crossing behavior</w:t>
      </w:r>
      <w:r>
        <w:t>s</w:t>
      </w:r>
      <w:r w:rsidR="00280EF4">
        <w:t xml:space="preserve"> </w:t>
      </w:r>
      <w:bookmarkStart w:id="50" w:name="_Hlk109540985"/>
      <w:r w:rsidR="00280EF4">
        <w:fldChar w:fldCharType="begin"/>
      </w:r>
      <w:r w:rsidR="0032030F">
        <w:instrText xml:space="preserve"> ADDIN ZOTERO_ITEM CSL_CITATION {"citationID":"NTBGWFoQ","properties":{"formattedCitation":"(Kim et al., 2008; Wang et al., 2011; Zhu et al., 2021)","plainCitation":"(Kim et al., 2008; Wang et al., 2011; Zhu et al., 2021)","dontUpdate":true,"noteIndex":0},"citationItems":[{"id":803,"uris":["http://zotero.org/users/9292995/items/3RV3FB34"],"itemData":{"id":803,"type":"article-journal","container-title":"Accident Analysis &amp; Prevention","ISSN":"0001-4575","issue":"3","journalAbbreviation":"Accident Analysis &amp; Prevention","note":"publisher: Elsevier","page":"894-904","title":"Modeling violation of Hawaii's crosswalk law","volume":"40","author":[{"family":"Kim","given":"Karl"},{"family":"Brunner","given":"I Made"},{"family":"Yamashita","given":"Eric"}],"issued":{"date-parts":[["2008"]]}}},{"id":805,"uris":["http://zotero.org/users/9292995/items/9KUHZF6J"],"itemData":{"id":805,"type":"article-journal","container-title":"International Journal of Crashworthiness","ISSN":"1358-8265","issue":"1","journalAbbreviation":"International Journal of Crashworthiness","note":"publisher: Taylor &amp; Francis","page":"1-9","title":"Individual differences of pedestrian behaviour in midblock crosswalk and intersection","volume":"16","author":[{"family":"Wang","given":"Wuhong"},{"family":"Guo","given":"Hongwei"},{"family":"Gao","given":"Ziyou"},{"family":"Bubb","given":"Heiner"}],"issued":{"date-parts":[["2011"]]}}},{"id":806,"uris":["http://zotero.org/users/9292995/items/LWF5N2C3"],"itemData":{"id":806,"type":"article-journal","container-title":"Transportation research part F: traffic psychology and behaviour","ISSN":"1369-8478","journalAbbreviation":"Transportation research part F: traffic psychology and behaviour","note":"publisher: Elsevier","page":"47-58","title":"Roles of personal and environmental factors in the red light running propensity of pedestrian: Case study at the urban crosswalks","volume":"76","author":[{"family":"Zhu","given":"Dianchen"},{"family":"Sze","given":"NN"},{"family":"Bai","given":"Lu"}],"issued":{"date-parts":[["2021"]]}}}],"schema":"https://github.com/citation-style-language/schema/raw/master/csl-citation.json"} </w:instrText>
      </w:r>
      <w:r w:rsidR="00280EF4">
        <w:fldChar w:fldCharType="separate"/>
      </w:r>
      <w:r w:rsidR="00280EF4" w:rsidRPr="009C3EC4">
        <w:t>(Zhu et al., 2021)</w:t>
      </w:r>
      <w:r w:rsidR="00280EF4">
        <w:fldChar w:fldCharType="end"/>
      </w:r>
      <w:r w:rsidR="00280EF4">
        <w:t xml:space="preserve">. </w:t>
      </w:r>
      <w:bookmarkEnd w:id="50"/>
      <w:r w:rsidR="00D57315">
        <w:t xml:space="preserve">This is another instance of the younger nature of the population in </w:t>
      </w:r>
      <w:r w:rsidR="00D57315" w:rsidRPr="00DE400F">
        <w:rPr>
          <w:i/>
        </w:rPr>
        <w:t>MB</w:t>
      </w:r>
      <w:r w:rsidR="00D57315">
        <w:t xml:space="preserve"> CBGs explaining, in part, the higher crash occurrence in </w:t>
      </w:r>
      <w:r w:rsidR="00D57315" w:rsidRPr="00DE400F">
        <w:rPr>
          <w:i/>
        </w:rPr>
        <w:t>MB</w:t>
      </w:r>
      <w:r w:rsidR="00D57315">
        <w:t xml:space="preserve"> CBGs. </w:t>
      </w:r>
    </w:p>
    <w:p w14:paraId="6CA7017F" w14:textId="183C9EE6" w:rsidR="0050333B" w:rsidRDefault="00174A44" w:rsidP="007A2D0F">
      <w:pPr>
        <w:spacing w:before="0" w:line="360" w:lineRule="auto"/>
        <w:ind w:firstLine="720"/>
      </w:pPr>
      <w:r>
        <w:t>T</w:t>
      </w:r>
      <w:r w:rsidR="00280EF4">
        <w:t xml:space="preserve">he </w:t>
      </w:r>
      <w:r w:rsidR="00280EF4" w:rsidRPr="00F648B3">
        <w:rPr>
          <w:i/>
        </w:rPr>
        <w:t>MB</w:t>
      </w:r>
      <w:r w:rsidR="00280EF4">
        <w:t xml:space="preserve"> </w:t>
      </w:r>
      <w:r>
        <w:t>C</w:t>
      </w:r>
      <w:r w:rsidR="00DE400F">
        <w:t>B</w:t>
      </w:r>
      <w:r>
        <w:t xml:space="preserve">G </w:t>
      </w:r>
      <w:r w:rsidR="00280EF4">
        <w:t>binary variable</w:t>
      </w:r>
      <w:r w:rsidR="00D57315">
        <w:t xml:space="preserve"> </w:t>
      </w:r>
      <w:r w:rsidR="00280EF4">
        <w:t xml:space="preserve">has a positive sign </w:t>
      </w:r>
      <w:r>
        <w:t>in the total crash and the fractional BP models. The</w:t>
      </w:r>
      <w:r w:rsidR="0029025E">
        <w:t>se</w:t>
      </w:r>
      <w:r>
        <w:t xml:space="preserve"> </w:t>
      </w:r>
      <w:r w:rsidR="00280EF4">
        <w:t xml:space="preserve">results confirm the </w:t>
      </w:r>
      <w:r>
        <w:t xml:space="preserve">presence of additional unobserved forces related to racial composition that </w:t>
      </w:r>
      <w:r w:rsidR="0050333B">
        <w:t>elevate</w:t>
      </w:r>
      <w:r>
        <w:t xml:space="preserve"> crash risk at </w:t>
      </w:r>
      <w:r w:rsidRPr="00F648B3">
        <w:rPr>
          <w:i/>
        </w:rPr>
        <w:t xml:space="preserve">MB </w:t>
      </w:r>
      <w:r>
        <w:t>Black CBGs</w:t>
      </w:r>
      <w:r w:rsidR="00D57315">
        <w:t xml:space="preserve"> (this is the </w:t>
      </w:r>
      <w:r w:rsidR="00D57315" w:rsidRPr="00F648B3">
        <w:rPr>
          <w:i/>
        </w:rPr>
        <w:t>MB-TC</w:t>
      </w:r>
      <w:r w:rsidR="00D57315">
        <w:t xml:space="preserve"> effect)</w:t>
      </w:r>
      <w:r>
        <w:t xml:space="preserve">. </w:t>
      </w:r>
      <w:r w:rsidR="00D57315">
        <w:t xml:space="preserve">Note that this </w:t>
      </w:r>
      <w:r w:rsidR="00870E34">
        <w:t xml:space="preserve">“remnant” </w:t>
      </w:r>
      <w:r w:rsidR="00D57315">
        <w:t xml:space="preserve">effect is after controlling for a number of other mediating effects </w:t>
      </w:r>
      <w:r w:rsidR="00870E34">
        <w:t xml:space="preserve">that explain the reason for the higher crash risk at </w:t>
      </w:r>
      <w:r w:rsidR="00870E34" w:rsidRPr="00F648B3">
        <w:rPr>
          <w:i/>
        </w:rPr>
        <w:t>MB</w:t>
      </w:r>
      <w:r w:rsidR="00870E34">
        <w:t xml:space="preserve"> CBGs relative to</w:t>
      </w:r>
      <w:r w:rsidR="00870E34" w:rsidRPr="00F648B3">
        <w:rPr>
          <w:i/>
        </w:rPr>
        <w:t xml:space="preserve"> NMB</w:t>
      </w:r>
      <w:r w:rsidR="00870E34">
        <w:t xml:space="preserve"> CBGs. </w:t>
      </w:r>
      <w:r w:rsidR="008968EC">
        <w:t xml:space="preserve">In terms of </w:t>
      </w:r>
      <w:r w:rsidR="002C4686">
        <w:t xml:space="preserve">the </w:t>
      </w:r>
      <w:r w:rsidR="002C4686" w:rsidRPr="00F648B3">
        <w:rPr>
          <w:i/>
        </w:rPr>
        <w:t>MB</w:t>
      </w:r>
      <w:r w:rsidR="002C4686">
        <w:t xml:space="preserve"> C</w:t>
      </w:r>
      <w:r w:rsidR="00A00118">
        <w:t>B</w:t>
      </w:r>
      <w:r w:rsidR="002C4686">
        <w:t xml:space="preserve">G effect on the fractional BP model, the strong positive effect </w:t>
      </w:r>
      <w:bookmarkEnd w:id="48"/>
      <w:r w:rsidR="00DE1E18">
        <w:t xml:space="preserve">shows that Black pedestrians are more likely to be involved in pedestrian crashes in </w:t>
      </w:r>
      <w:r w:rsidR="00DE1E18" w:rsidRPr="00F648B3">
        <w:rPr>
          <w:i/>
        </w:rPr>
        <w:t>MB</w:t>
      </w:r>
      <w:r w:rsidR="00DE1E18">
        <w:t xml:space="preserve"> CBGs (relative to </w:t>
      </w:r>
      <w:r w:rsidR="00DE1E18" w:rsidRPr="00F648B3">
        <w:rPr>
          <w:i/>
        </w:rPr>
        <w:t>NMB</w:t>
      </w:r>
      <w:r w:rsidR="00DE1E18">
        <w:t xml:space="preserve"> CBGs)</w:t>
      </w:r>
      <w:r w:rsidR="002C4686">
        <w:t>.</w:t>
      </w:r>
      <w:r w:rsidR="00DE1E18">
        <w:t xml:space="preserve"> </w:t>
      </w:r>
      <w:r w:rsidR="00DE1E18" w:rsidRPr="00906285">
        <w:t xml:space="preserve">This outcome is expected since an </w:t>
      </w:r>
      <w:r w:rsidR="00DE1E18" w:rsidRPr="00F648B3">
        <w:rPr>
          <w:i/>
        </w:rPr>
        <w:t>MB</w:t>
      </w:r>
      <w:r w:rsidR="00DE1E18" w:rsidRPr="00906285">
        <w:t xml:space="preserve"> CBG</w:t>
      </w:r>
      <w:r w:rsidR="00870E34">
        <w:t xml:space="preserve">, by construction, </w:t>
      </w:r>
      <w:r w:rsidR="00DE1E18" w:rsidRPr="00906285">
        <w:t>has a high proportion of Black residents</w:t>
      </w:r>
      <w:r w:rsidR="00870E34">
        <w:t>,</w:t>
      </w:r>
      <w:r w:rsidR="00DE1E18" w:rsidRPr="00906285">
        <w:t xml:space="preserve"> which gets reflected in the number of Black pedestrian crashes. However, Table </w:t>
      </w:r>
      <w:r w:rsidR="00D34B3C">
        <w:t>3</w:t>
      </w:r>
      <w:r w:rsidR="00DE1E18" w:rsidRPr="00906285">
        <w:t xml:space="preserve"> </w:t>
      </w:r>
      <w:r w:rsidR="002C4686">
        <w:t xml:space="preserve">also </w:t>
      </w:r>
      <w:r w:rsidR="00DE1E18" w:rsidRPr="00906285">
        <w:t>shows that the proportion of Black residents in a</w:t>
      </w:r>
      <w:r w:rsidR="002C4686">
        <w:t xml:space="preserve">n </w:t>
      </w:r>
      <w:r w:rsidR="002C4686" w:rsidRPr="00F648B3">
        <w:rPr>
          <w:i/>
        </w:rPr>
        <w:t>NMB</w:t>
      </w:r>
      <w:r w:rsidR="00DE1E18" w:rsidRPr="00906285">
        <w:t xml:space="preserve"> CBG has a positive effect on the fraction of Black pedestrian crashe</w:t>
      </w:r>
      <w:r w:rsidR="002C4686">
        <w:t>s</w:t>
      </w:r>
      <w:r w:rsidR="00DE1E18" w:rsidRPr="00906285">
        <w:t xml:space="preserve">. </w:t>
      </w:r>
      <w:r w:rsidR="002C4686">
        <w:t>That is, the higher the proportion of Black individuals in</w:t>
      </w:r>
      <w:r w:rsidR="00CC2E44">
        <w:t xml:space="preserve"> a</w:t>
      </w:r>
      <w:r w:rsidR="00870E34">
        <w:t>n</w:t>
      </w:r>
      <w:r w:rsidR="00CC2E44">
        <w:t xml:space="preserve"> </w:t>
      </w:r>
      <w:r w:rsidR="00CC2E44" w:rsidRPr="00F648B3">
        <w:rPr>
          <w:i/>
        </w:rPr>
        <w:t>NMB</w:t>
      </w:r>
      <w:r w:rsidR="002C4686" w:rsidRPr="00F648B3">
        <w:rPr>
          <w:i/>
        </w:rPr>
        <w:t xml:space="preserve"> </w:t>
      </w:r>
      <w:r w:rsidR="002C4686">
        <w:t xml:space="preserve">CBG, the higher </w:t>
      </w:r>
      <w:r w:rsidR="00CC2E44">
        <w:t xml:space="preserve">the proportion of Black crashes in that CBG. </w:t>
      </w:r>
      <w:r w:rsidR="00DE1E18" w:rsidRPr="00906285">
        <w:t>The magnitude</w:t>
      </w:r>
      <w:r w:rsidR="00DE1E18">
        <w:t xml:space="preserve"> of this coefficient is also greater than one</w:t>
      </w:r>
      <w:r w:rsidR="001154FC">
        <w:t>,</w:t>
      </w:r>
      <w:r w:rsidR="00DE1E18">
        <w:t xml:space="preserve"> which indicates that the fraction of Black pedestrian crashes is 3.</w:t>
      </w:r>
      <w:r w:rsidR="00FE564D">
        <w:t>3</w:t>
      </w:r>
      <w:r w:rsidR="00DE1E18">
        <w:t xml:space="preserve"> times higher than their proportion in the total population in </w:t>
      </w:r>
      <w:r w:rsidR="00DE1E18" w:rsidRPr="00F648B3">
        <w:rPr>
          <w:i/>
        </w:rPr>
        <w:t>NMB</w:t>
      </w:r>
      <w:r w:rsidR="00DE1E18">
        <w:t xml:space="preserve"> CBGs. Th</w:t>
      </w:r>
      <w:r w:rsidR="00CC2E44">
        <w:t>is clear</w:t>
      </w:r>
      <w:r w:rsidR="00DE1E18">
        <w:t xml:space="preserve"> overrepresentation of Black pedestrians in total crashes in </w:t>
      </w:r>
      <w:r w:rsidR="00DE1E18" w:rsidRPr="00F648B3">
        <w:rPr>
          <w:i/>
        </w:rPr>
        <w:t>NMB</w:t>
      </w:r>
      <w:r w:rsidR="00DE1E18">
        <w:t xml:space="preserve"> CBGs</w:t>
      </w:r>
      <w:bookmarkStart w:id="51" w:name="_Hlk117425917"/>
      <w:r w:rsidR="00224D3D">
        <w:t>, even after controlling for other crash determinant variables,</w:t>
      </w:r>
      <w:r w:rsidR="00DE1E18">
        <w:t xml:space="preserve"> </w:t>
      </w:r>
      <w:bookmarkEnd w:id="51"/>
      <w:r w:rsidR="00DE1E18">
        <w:t xml:space="preserve">may be attributed to implicit racial bias. This is consistent with previous </w:t>
      </w:r>
      <w:r w:rsidR="00DE1E18" w:rsidRPr="00EF0CDC">
        <w:t>findings in the field of racial bias</w:t>
      </w:r>
      <w:r w:rsidR="000D3AE0">
        <w:t xml:space="preserve"> </w:t>
      </w:r>
      <w:r w:rsidR="00CC2E44">
        <w:t>that</w:t>
      </w:r>
      <w:r w:rsidR="00DE1E18">
        <w:t xml:space="preserve"> indicate that</w:t>
      </w:r>
      <w:r w:rsidR="00DE1E18" w:rsidRPr="00EF0CDC">
        <w:t xml:space="preserve"> </w:t>
      </w:r>
      <w:r w:rsidR="00DE1E18">
        <w:t>individuals</w:t>
      </w:r>
      <w:r w:rsidR="00DE1E18" w:rsidRPr="00EF0CDC">
        <w:t xml:space="preserve"> show implicit and explicit biases that are more positive toward the ingroup than the outgroup</w:t>
      </w:r>
      <w:r w:rsidR="00D34B3C">
        <w:t xml:space="preserve"> </w:t>
      </w:r>
      <w:r w:rsidR="00D34B3C">
        <w:fldChar w:fldCharType="begin"/>
      </w:r>
      <w:r w:rsidR="00763B15">
        <w:instrText xml:space="preserve"> ADDIN ZOTERO_ITEM CSL_CITATION {"citationID":"KnNDHZd4","properties":{"formattedCitation":"(Gibson et al., 2017; Lai &amp; Banaji, 2020; Lai &amp; Wilson, 2021; Ratcliff &amp; Smith, 2021)","plainCitation":"(Gibson et al., 2017; Lai &amp; Banaji, 2020; Lai &amp; Wilson, 2021; Ratcliff &amp; Smith, 2021)","dontUpdate":true,"noteIndex":0},"citationItems":[{"id":734,"uris":["http://zotero.org/users/9292995/items/YNF6M6IT"],"itemData":{"id":734,"type":"article-journal","container-title":"PloS one","ISSN":"1932-6203","issue":"9","journalAbbreviation":"PloS one","note":"publisher: Public Library of Science San Francisco, CA USA","page":"e0183015","title":"Sources of implicit and explicit intergroup race bias among African-American children and young adults","volume":"12","author":[{"family":"Gibson","given":"Bentley L"},{"family":"Rochat","given":"Philippe"},{"family":"Tone","given":"Erin B"},{"family":"Baron","given":"Andrew S"}],"issued":{"date-parts":[["2017"]]}}},{"id":735,"uris":["http://zotero.org/users/9292995/items/ZPR2Z5L8"],"itemData":{"id":735,"type":"article-journal","container-title":"Difference without domination: Pursuing justice in diverse democracies","journalAbbreviation":"Difference without domination: Pursuing justice in diverse democracies","note":"publisher: University of Chicago Press Chicago, IL","page":"115-146","title":"The psychology of implicit intergroup bias and the prospect of change","author":[{"family":"Lai","given":"Calvin K"},{"family":"Banaji","given":"Mahzarin R"}],"issued":{"date-parts":[["2020"]]}}},{"id":798,"uris":["http://zotero.org/users/9292995/items/HHFLBYIG"],"itemData":{"id":798,"type":"article-journal","container-title":"Social and Personality Psychology Compass","ISSN":"1751-9004","issue":"1","journalAbbreviation":"Social and Personality Psychology Compass","note":"publisher: Wiley Online Library","page":"e12573","title":"Measuring implicit intergroup biases","volume":"15","author":[{"family":"Lai","given":"Calvin K"},{"family":"Wilson","given":"Megan E"}],"issued":{"date-parts":[["2021"]]}}},{"id":828,"uris":["http://zotero.org/users/9292995/items/P5GV93NV"],"itemData":{"id":828,"type":"article-journal","ISSN":"1939-1471","note":"publisher: American Psychological Association","title":"Estimating systematic and random sources of variability in perceptual decision-making: A reply to Evans, Tillman, &amp; Wagenmakers (2020).","author":[{"family":"Ratcliff","given":"Roger"},{"family":"Smith","given":"Philip L"}],"issued":{"date-parts":[["2021"]]}}}],"schema":"https://github.com/citation-style-language/schema/raw/master/csl-citation.json"} </w:instrText>
      </w:r>
      <w:r w:rsidR="00D34B3C">
        <w:fldChar w:fldCharType="separate"/>
      </w:r>
      <w:r w:rsidR="00D34B3C" w:rsidRPr="00562104">
        <w:t xml:space="preserve">(Lai </w:t>
      </w:r>
      <w:r w:rsidR="00D34B3C">
        <w:t>and</w:t>
      </w:r>
      <w:r w:rsidR="00D34B3C" w:rsidRPr="00562104">
        <w:t xml:space="preserve"> Banaji, 2020</w:t>
      </w:r>
      <w:r w:rsidR="00001C79">
        <w:t>;</w:t>
      </w:r>
      <w:r w:rsidR="00D34B3C" w:rsidRPr="00562104">
        <w:t xml:space="preserve"> Lai </w:t>
      </w:r>
      <w:r w:rsidR="00D34B3C">
        <w:t>and</w:t>
      </w:r>
      <w:r w:rsidR="00D34B3C" w:rsidRPr="00562104">
        <w:t xml:space="preserve"> Wilson, 2021</w:t>
      </w:r>
      <w:r w:rsidR="00001C79">
        <w:t>;</w:t>
      </w:r>
      <w:r w:rsidR="00D34B3C" w:rsidRPr="00562104">
        <w:t xml:space="preserve"> Ratcliff </w:t>
      </w:r>
      <w:r w:rsidR="00D34B3C">
        <w:t>and</w:t>
      </w:r>
      <w:r w:rsidR="00D34B3C" w:rsidRPr="00562104">
        <w:t xml:space="preserve"> Smith, 2021)</w:t>
      </w:r>
      <w:r w:rsidR="00D34B3C">
        <w:fldChar w:fldCharType="end"/>
      </w:r>
      <w:bookmarkStart w:id="52" w:name="_Hlk109541091"/>
      <w:r w:rsidR="00DE1E18">
        <w:t xml:space="preserve">. </w:t>
      </w:r>
      <w:bookmarkEnd w:id="52"/>
      <w:r w:rsidR="00E753C7">
        <w:t xml:space="preserve">For example, Morin (2015) </w:t>
      </w:r>
      <w:r w:rsidR="00DE1E18" w:rsidRPr="00890FA3">
        <w:t>f</w:t>
      </w:r>
      <w:r w:rsidR="00E753C7">
        <w:t xml:space="preserve">ound </w:t>
      </w:r>
      <w:r w:rsidR="00DE1E18" w:rsidRPr="00890FA3">
        <w:t xml:space="preserve">that about half of all single-race whites automatically preferred whites over </w:t>
      </w:r>
      <w:r w:rsidR="00DE1E18">
        <w:t>B</w:t>
      </w:r>
      <w:r w:rsidR="00DE1E18" w:rsidRPr="00890FA3">
        <w:t>lack</w:t>
      </w:r>
      <w:r w:rsidR="00CC2E44">
        <w:t>s</w:t>
      </w:r>
      <w:r w:rsidR="00DE1E18" w:rsidRPr="00890FA3">
        <w:t xml:space="preserve">, including about a third (35%) who favored whites moderately to </w:t>
      </w:r>
      <w:r w:rsidR="00DE1E18" w:rsidRPr="00F648B3">
        <w:rPr>
          <w:color w:val="000000" w:themeColor="text1"/>
        </w:rPr>
        <w:t>strongly</w:t>
      </w:r>
      <w:r w:rsidR="00DE1E18" w:rsidRPr="00890FA3">
        <w:t xml:space="preserve">. </w:t>
      </w:r>
      <w:r w:rsidR="00DE1E18">
        <w:t xml:space="preserve">As a result, implicit bias against Black pedestrians </w:t>
      </w:r>
      <w:r w:rsidR="00224D3D">
        <w:t xml:space="preserve">may be </w:t>
      </w:r>
      <w:r w:rsidR="00DE1E18">
        <w:t xml:space="preserve">more prevalent in </w:t>
      </w:r>
      <w:r w:rsidR="00DE1E18" w:rsidRPr="00F648B3">
        <w:rPr>
          <w:i/>
        </w:rPr>
        <w:t>NMB</w:t>
      </w:r>
      <w:r w:rsidR="00DE1E18">
        <w:t xml:space="preserve"> CBGs</w:t>
      </w:r>
      <w:r w:rsidR="00224D3D">
        <w:t>,</w:t>
      </w:r>
      <w:r w:rsidR="00DE1E18">
        <w:t xml:space="preserve"> resulting in </w:t>
      </w:r>
      <w:r w:rsidR="00DE1E18">
        <w:lastRenderedPageBreak/>
        <w:t xml:space="preserve">the overrepresentation </w:t>
      </w:r>
      <w:r w:rsidR="00224D3D">
        <w:t xml:space="preserve">of Black </w:t>
      </w:r>
      <w:r w:rsidR="00DE1E18">
        <w:t xml:space="preserve">in the pool of total crashes. </w:t>
      </w:r>
      <w:r w:rsidR="00CC2E44">
        <w:t xml:space="preserve">Interestingly, though, the reverse effect of the fraction of white population in an </w:t>
      </w:r>
      <w:r w:rsidR="00CC2E44" w:rsidRPr="00F648B3">
        <w:rPr>
          <w:i/>
        </w:rPr>
        <w:t>MB</w:t>
      </w:r>
      <w:r w:rsidR="00CC2E44">
        <w:t xml:space="preserve"> CBG did not turn up even moderately significant. </w:t>
      </w:r>
      <w:bookmarkStart w:id="53" w:name="_Hlk117155828"/>
      <w:bookmarkStart w:id="54" w:name="_Hlk117425965"/>
      <w:r w:rsidR="00CC2E44">
        <w:t>Of course, the small sample size of CBGs for this third analysis, and the predominantly zero Black crashes in most CBGs, suggest that the fractional BP model need</w:t>
      </w:r>
      <w:r w:rsidR="001512C8">
        <w:t>s</w:t>
      </w:r>
      <w:r w:rsidR="00CC2E44">
        <w:t xml:space="preserve"> further analysis in future research efforts. </w:t>
      </w:r>
      <w:r w:rsidR="00307B66">
        <w:t xml:space="preserve">In particular, the overrepresentation of Black pedestrians in total crashes in </w:t>
      </w:r>
      <w:r w:rsidR="00307B66" w:rsidRPr="00966F5E">
        <w:rPr>
          <w:i/>
        </w:rPr>
        <w:t>NMB</w:t>
      </w:r>
      <w:r w:rsidR="00307B66">
        <w:t xml:space="preserve"> CBGs, while suggestive of implicit racial bias, may also be explained (at least in part) by factors </w:t>
      </w:r>
      <w:r w:rsidR="00224D3D">
        <w:t xml:space="preserve">not considered in the current analysis. </w:t>
      </w:r>
      <w:bookmarkEnd w:id="53"/>
      <w:r w:rsidR="001512C8">
        <w:t xml:space="preserve">Further investigations </w:t>
      </w:r>
      <w:r w:rsidR="00307B66">
        <w:t>with additional fine resolution spatial</w:t>
      </w:r>
      <w:r w:rsidR="004A02EB">
        <w:t>/</w:t>
      </w:r>
      <w:r w:rsidR="00307B66">
        <w:t>temporal pedestrian activity and crash data</w:t>
      </w:r>
      <w:r w:rsidR="001512C8">
        <w:t xml:space="preserve"> </w:t>
      </w:r>
      <w:r w:rsidR="003577CF">
        <w:t>would</w:t>
      </w:r>
      <w:r w:rsidR="001512C8">
        <w:t xml:space="preserve"> also be helpful in this regard</w:t>
      </w:r>
      <w:r w:rsidR="00A40C0C">
        <w:t>.</w:t>
      </w:r>
    </w:p>
    <w:bookmarkEnd w:id="54"/>
    <w:p w14:paraId="140B3998" w14:textId="082CB5E8" w:rsidR="00CC2E44" w:rsidRPr="00DE400F" w:rsidRDefault="00E753C7" w:rsidP="00966F5E">
      <w:pPr>
        <w:pStyle w:val="Heading2"/>
        <w:keepNext/>
        <w:keepLines/>
        <w:spacing w:before="0" w:line="360" w:lineRule="auto"/>
      </w:pPr>
      <w:r>
        <w:t xml:space="preserve"> </w:t>
      </w:r>
      <w:r w:rsidR="00CC2E44" w:rsidRPr="00DE400F">
        <w:t>Constants and Threshold</w:t>
      </w:r>
    </w:p>
    <w:p w14:paraId="50314087" w14:textId="4791DCA8" w:rsidR="00CC2E44" w:rsidRDefault="00CC2E44" w:rsidP="007D5556">
      <w:pPr>
        <w:keepNext/>
        <w:keepLines/>
        <w:spacing w:before="0" w:after="0" w:line="360" w:lineRule="auto"/>
        <w:ind w:firstLine="720"/>
      </w:pPr>
      <w:r>
        <w:t xml:space="preserve">The constants and the threshold values </w:t>
      </w:r>
      <w:r w:rsidR="007C23D6">
        <w:t xml:space="preserve">toward the bottom of Table </w:t>
      </w:r>
      <w:r w:rsidR="00D34B3C">
        <w:t>3</w:t>
      </w:r>
      <w:r w:rsidR="007C23D6">
        <w:t xml:space="preserve"> do not have any substantive interpretation, and only serve the purpose of fitting the observed binary, ordered-response, and </w:t>
      </w:r>
      <w:r w:rsidR="007C23D6" w:rsidRPr="0029384D">
        <w:t xml:space="preserve">fractional dependent variables as best as possible, in combination with the exogenous variable effects. These are, of course, important in any prediction process. </w:t>
      </w:r>
    </w:p>
    <w:p w14:paraId="41CAF4AB" w14:textId="77777777" w:rsidR="00432BEC" w:rsidRPr="0029384D" w:rsidRDefault="00432BEC" w:rsidP="00966F5E">
      <w:pPr>
        <w:spacing w:before="0" w:after="0" w:line="360" w:lineRule="auto"/>
      </w:pPr>
    </w:p>
    <w:p w14:paraId="730EBE70" w14:textId="2DA0F897" w:rsidR="007C23D6" w:rsidRPr="00DE400F" w:rsidRDefault="00E753C7" w:rsidP="00966F5E">
      <w:pPr>
        <w:pStyle w:val="Heading2"/>
        <w:spacing w:before="0" w:line="360" w:lineRule="auto"/>
      </w:pPr>
      <w:r>
        <w:t xml:space="preserve"> </w:t>
      </w:r>
      <w:r w:rsidR="00DE400F" w:rsidRPr="0029384D">
        <w:t xml:space="preserve">Goodness-of-fit </w:t>
      </w:r>
      <w:r w:rsidR="007C23D6" w:rsidRPr="0029384D">
        <w:t>Measures</w:t>
      </w:r>
    </w:p>
    <w:p w14:paraId="0F77E89B" w14:textId="1BE25584" w:rsidR="007C23D6" w:rsidRDefault="007C23D6" w:rsidP="007D5556">
      <w:pPr>
        <w:spacing w:before="0" w:after="0" w:line="360" w:lineRule="auto"/>
        <w:ind w:firstLine="720"/>
      </w:pPr>
      <w:r>
        <w:t>The performance of the models may be compared with those of corresponding constants-only models (in which only the constant in the first and third models, and only the thresholds in the total count ordered-response model, are included). Since the estimated models and the corresponding constants-only models are nested forms of one another, their performances can be compared using the likelihood ratio test. The log-likelihoods at convergence for each of the models, the corresponding log-likelihoods at constants, and the respective likelihood ratio test</w:t>
      </w:r>
      <w:r w:rsidR="0050333B">
        <w:t xml:space="preserve"> results</w:t>
      </w:r>
      <w:r>
        <w:t xml:space="preserve"> are all provided at the bottom of Table </w:t>
      </w:r>
      <w:r w:rsidR="00D34B3C">
        <w:t>3</w:t>
      </w:r>
      <w:r>
        <w:t xml:space="preserve">. These clearly indicate that the exogenous variables used in our models are useful and provide good predictive power. </w:t>
      </w:r>
    </w:p>
    <w:p w14:paraId="43FD6019" w14:textId="77777777" w:rsidR="00FF62E0" w:rsidRDefault="00FF62E0" w:rsidP="00966F5E">
      <w:pPr>
        <w:spacing w:before="0" w:after="0" w:line="360" w:lineRule="auto"/>
        <w:rPr>
          <w:b/>
          <w:highlight w:val="yellow"/>
        </w:rPr>
      </w:pPr>
    </w:p>
    <w:p w14:paraId="28E41404" w14:textId="77777777" w:rsidR="00FF62E0" w:rsidRDefault="00FF62E0" w:rsidP="00966F5E">
      <w:pPr>
        <w:pStyle w:val="Heading1"/>
        <w:spacing w:line="360" w:lineRule="auto"/>
      </w:pPr>
      <w:r>
        <w:t>A DEEP DIVE INTO THE TOTAL COUNT MODEL DETERMINANTS</w:t>
      </w:r>
    </w:p>
    <w:p w14:paraId="50E0B63E" w14:textId="4224BCEA" w:rsidR="004F159F" w:rsidRDefault="00FF62E0" w:rsidP="007D5556">
      <w:pPr>
        <w:spacing w:before="0" w:after="0" w:line="360" w:lineRule="auto"/>
        <w:ind w:firstLine="720"/>
      </w:pPr>
      <w:r>
        <w:t>Of the three models, the first model provides valuable information on the variations in infrastructure and other characteristics between</w:t>
      </w:r>
      <w:r w:rsidRPr="00DE400F">
        <w:rPr>
          <w:i/>
        </w:rPr>
        <w:t xml:space="preserve"> MB</w:t>
      </w:r>
      <w:r>
        <w:t xml:space="preserve"> and </w:t>
      </w:r>
      <w:r w:rsidRPr="00DE400F">
        <w:rPr>
          <w:i/>
        </w:rPr>
        <w:t>NMB</w:t>
      </w:r>
      <w:r>
        <w:t xml:space="preserve"> CBGs. However, this model by itself does not provide changes in pedestrian crash counts due to changes in exogenous variables. The third model, while also providing important insights, is estimated on a rather small sample with most CBGs showing zero Black pedestrian fatal and severe crashes. We believe that additional research with an adequate number of Black pedestrian crashes would be helpful for this third model </w:t>
      </w:r>
      <w:r>
        <w:lastRenderedPageBreak/>
        <w:t xml:space="preserve">in future research. The second model, on the other hand, is estimated with a large enough sample size, and also provides critical evidence on the determinants of total pedestrian crashes in any CBG (though, the first and second models together, as discussed in the previous section, provide further insights on infrastructure and other investments in </w:t>
      </w:r>
      <w:r w:rsidRPr="00DE400F">
        <w:rPr>
          <w:i/>
        </w:rPr>
        <w:t>MB</w:t>
      </w:r>
      <w:r>
        <w:t xml:space="preserve"> CBGs that could lead to a high reduction in total pedestrian crashes at those CBGs). This second model is therefore the focus of further analysis in this section. </w:t>
      </w:r>
    </w:p>
    <w:p w14:paraId="2EC432DD" w14:textId="77777777" w:rsidR="00001C79" w:rsidRDefault="004F159F" w:rsidP="00966F5E">
      <w:pPr>
        <w:spacing w:before="0" w:after="0" w:line="360" w:lineRule="auto"/>
        <w:ind w:firstLine="720"/>
      </w:pPr>
      <w:r>
        <w:t>T</w:t>
      </w:r>
      <w:r w:rsidRPr="001234E5">
        <w:t xml:space="preserve">he results in </w:t>
      </w:r>
      <w:r>
        <w:t xml:space="preserve">the previous section for this second model </w:t>
      </w:r>
      <w:r w:rsidRPr="001234E5">
        <w:t xml:space="preserve">provide the effects of variables on underlying </w:t>
      </w:r>
      <w:r>
        <w:t xml:space="preserve">crash </w:t>
      </w:r>
      <w:r w:rsidRPr="001234E5">
        <w:t>propensities</w:t>
      </w:r>
      <w:r>
        <w:t xml:space="preserve">. While useful </w:t>
      </w:r>
      <w:r w:rsidRPr="001234E5">
        <w:t>by themselves</w:t>
      </w:r>
      <w:r>
        <w:t xml:space="preserve">, these </w:t>
      </w:r>
      <w:r w:rsidRPr="001234E5">
        <w:t xml:space="preserve">do not provide information on </w:t>
      </w:r>
      <w:r>
        <w:t xml:space="preserve">the </w:t>
      </w:r>
      <w:r w:rsidRPr="001234E5">
        <w:t xml:space="preserve">actual effects of the variables on </w:t>
      </w:r>
      <w:r>
        <w:t xml:space="preserve">total crash counts </w:t>
      </w:r>
      <w:r w:rsidRPr="001234E5">
        <w:t xml:space="preserve">(note also that in ordered-response models even the directionality of </w:t>
      </w:r>
      <w:r>
        <w:t xml:space="preserve">the </w:t>
      </w:r>
      <w:r w:rsidRPr="001234E5">
        <w:t xml:space="preserve">effect of a variable on the underlying propensity does not </w:t>
      </w:r>
      <w:r>
        <w:t xml:space="preserve">always </w:t>
      </w:r>
      <w:r w:rsidRPr="001234E5">
        <w:t xml:space="preserve">provide a sense of how the variable may actually impact individual </w:t>
      </w:r>
      <w:r>
        <w:t xml:space="preserve">count </w:t>
      </w:r>
      <w:r w:rsidRPr="001234E5">
        <w:t xml:space="preserve">categories). To determine directionality and magnitude effects, the estimates need to be translated to actual outcome effects which will vary across </w:t>
      </w:r>
      <w:r w:rsidR="00A25B2A">
        <w:t>CBGs</w:t>
      </w:r>
      <w:r w:rsidRPr="001234E5">
        <w:t xml:space="preserve"> because of the non-linear nature of our model. </w:t>
      </w:r>
      <w:r>
        <w:t>However,</w:t>
      </w:r>
      <w:r w:rsidRPr="001234E5">
        <w:t xml:space="preserve"> an average </w:t>
      </w:r>
      <w:r>
        <w:t xml:space="preserve">treatment </w:t>
      </w:r>
      <w:r w:rsidRPr="001234E5">
        <w:t xml:space="preserve">effect </w:t>
      </w:r>
      <w:r>
        <w:t xml:space="preserve">(ATE) </w:t>
      </w:r>
      <w:r w:rsidRPr="001234E5">
        <w:t>can be computed by taking the mean (across individuals) of the effect of a variable</w:t>
      </w:r>
      <w:r>
        <w:t>,</w:t>
      </w:r>
      <w:r w:rsidRPr="001234E5">
        <w:t xml:space="preserve"> which can then provide insights for policy actions. In the context of the current paper, a specified goal may be to </w:t>
      </w:r>
      <w:r>
        <w:t>decrease the count of pedestrian injuries in a CBG</w:t>
      </w:r>
      <w:r w:rsidRPr="001234E5">
        <w:t>. The procedure to estimate the relevant effects of variables is discussed next.</w:t>
      </w:r>
    </w:p>
    <w:p w14:paraId="0BDA7B28" w14:textId="146CD8C1" w:rsidR="004F159F" w:rsidRDefault="004F159F" w:rsidP="00966F5E">
      <w:pPr>
        <w:spacing w:before="0" w:after="0" w:line="360" w:lineRule="auto"/>
        <w:ind w:firstLine="720"/>
      </w:pPr>
      <w:r w:rsidRPr="001234E5">
        <w:t xml:space="preserve">  </w:t>
      </w:r>
    </w:p>
    <w:p w14:paraId="39CA1685" w14:textId="1D6A1615" w:rsidR="00625932" w:rsidRPr="00633EA2" w:rsidRDefault="00FD44DC" w:rsidP="00966F5E">
      <w:pPr>
        <w:pStyle w:val="Heading2"/>
        <w:spacing w:before="0" w:line="360" w:lineRule="auto"/>
      </w:pPr>
      <w:bookmarkStart w:id="55" w:name="_heading=h.3znysh7" w:colFirst="0" w:colLast="0"/>
      <w:bookmarkEnd w:id="55"/>
      <w:r>
        <w:t xml:space="preserve"> </w:t>
      </w:r>
      <w:r w:rsidR="00625932" w:rsidRPr="00633EA2">
        <w:t>ATE Computation</w:t>
      </w:r>
    </w:p>
    <w:p w14:paraId="60AB2F32" w14:textId="06FB8C4B" w:rsidR="004D5148" w:rsidRPr="001234E5" w:rsidRDefault="004D5148" w:rsidP="007D5556">
      <w:pPr>
        <w:spacing w:before="0" w:after="0" w:line="360" w:lineRule="auto"/>
        <w:ind w:firstLine="720"/>
      </w:pPr>
      <w:r w:rsidRPr="001234E5">
        <w:t xml:space="preserve">The model provides, for each </w:t>
      </w:r>
      <w:r w:rsidR="001D50D2">
        <w:t>CBG</w:t>
      </w:r>
      <w:r w:rsidRPr="001234E5">
        <w:t xml:space="preserve">, the </w:t>
      </w:r>
      <w:r w:rsidR="001D50D2">
        <w:t xml:space="preserve">probability of each pedestrian crash count value </w:t>
      </w:r>
      <w:r w:rsidR="001D50D2" w:rsidRPr="0032030F">
        <w:rPr>
          <w:i/>
        </w:rPr>
        <w:t>k</w:t>
      </w:r>
      <w:r w:rsidR="001D50D2">
        <w:t xml:space="preserve"> (</w:t>
      </w:r>
      <w:r w:rsidR="001D50D2" w:rsidRPr="0032030F">
        <w:rPr>
          <w:i/>
        </w:rPr>
        <w:t>k</w:t>
      </w:r>
      <w:r w:rsidR="001D50D2">
        <w:t>=</w:t>
      </w:r>
      <w:r w:rsidR="002C3368">
        <w:t>0</w:t>
      </w:r>
      <w:r w:rsidR="001D50D2">
        <w:t>,</w:t>
      </w:r>
      <w:r w:rsidR="00482E5C">
        <w:t>1,</w:t>
      </w:r>
      <w:r w:rsidR="001D50D2">
        <w:t>2,…</w:t>
      </w:r>
      <w:r w:rsidR="00001C79">
        <w:t>,</w:t>
      </w:r>
      <w:r w:rsidR="001D50D2" w:rsidRPr="0032030F">
        <w:rPr>
          <w:i/>
        </w:rPr>
        <w:t>K</w:t>
      </w:r>
      <w:r w:rsidR="001D50D2">
        <w:t>)</w:t>
      </w:r>
      <w:r w:rsidR="00482E5C">
        <w:t xml:space="preserve"> based on Equation </w:t>
      </w:r>
      <w:r w:rsidR="00F20D8F">
        <w:t>5</w:t>
      </w:r>
      <w:r w:rsidR="004D44A4">
        <w:t>.</w:t>
      </w:r>
      <w:r w:rsidR="001D50D2">
        <w:t xml:space="preserve"> </w:t>
      </w:r>
      <w:r w:rsidRPr="001234E5">
        <w:t>From th</w:t>
      </w:r>
      <w:r w:rsidR="001D50D2">
        <w:t xml:space="preserve">ese </w:t>
      </w:r>
      <w:r w:rsidRPr="001234E5">
        <w:t>probabilit</w:t>
      </w:r>
      <w:r w:rsidR="001D50D2">
        <w:t>ies</w:t>
      </w:r>
      <w:r w:rsidRPr="001234E5">
        <w:t>, we can further compute the</w:t>
      </w:r>
      <w:r w:rsidR="005F3EE1">
        <w:t xml:space="preserve"> </w:t>
      </w:r>
      <w:r w:rsidRPr="001234E5">
        <w:t xml:space="preserve">expected value of </w:t>
      </w:r>
      <w:r w:rsidR="005824F3">
        <w:t xml:space="preserve">pedestrian crash count </w:t>
      </w:r>
      <w:r w:rsidR="00714F90">
        <w:t xml:space="preserve">for each CBG </w:t>
      </w:r>
      <w:r w:rsidR="00714F90" w:rsidRPr="00B60C83">
        <w:rPr>
          <w:i/>
        </w:rPr>
        <w:t>q</w:t>
      </w:r>
      <w:r w:rsidR="00714F90">
        <w:t xml:space="preserve"> </w:t>
      </w:r>
      <w:r w:rsidRPr="001234E5">
        <w:t>as follows</w:t>
      </w:r>
      <w:r w:rsidR="005824F3">
        <w:t>, given exogenous variable values</w:t>
      </w:r>
      <w:r w:rsidRPr="001234E5">
        <w:t>:</w:t>
      </w:r>
    </w:p>
    <w:p w14:paraId="7B2B5C26" w14:textId="09339F04" w:rsidR="00482E5C" w:rsidRDefault="00510F3A" w:rsidP="00966F5E">
      <w:pPr>
        <w:pStyle w:val="MTDisplayEquation"/>
        <w:tabs>
          <w:tab w:val="clear" w:pos="4680"/>
        </w:tabs>
        <w:spacing w:before="120" w:after="0" w:line="360" w:lineRule="auto"/>
        <w:jc w:val="left"/>
        <w:rPr>
          <w:highlight w:val="yellow"/>
        </w:rPr>
      </w:pPr>
      <w:r w:rsidRPr="00AC1A1A">
        <w:rPr>
          <w:noProof/>
          <w:position w:val="-28"/>
        </w:rPr>
        <w:object w:dxaOrig="3660" w:dyaOrig="680" w14:anchorId="342CF8F5">
          <v:shape id="_x0000_i1076" type="#_x0000_t75" style="width:182.85pt;height:33.15pt" o:ole="">
            <v:imagedata r:id="rId116" o:title=""/>
          </v:shape>
          <o:OLEObject Type="Embed" ProgID="Equation.DSMT4" ShapeID="_x0000_i1076" DrawAspect="Content" ObjectID="_1734427273" r:id="rId117"/>
        </w:object>
      </w:r>
      <w:r w:rsidR="00AC1A1A">
        <w:tab/>
      </w:r>
      <w:r w:rsidR="00AC1A1A" w:rsidRPr="00482E5C">
        <w:t>(</w:t>
      </w:r>
      <w:r w:rsidR="00F8308F" w:rsidRPr="00482E5C">
        <w:t>10</w:t>
      </w:r>
      <w:r w:rsidR="00AC1A1A" w:rsidRPr="00482E5C">
        <w:t>)</w:t>
      </w:r>
    </w:p>
    <w:p w14:paraId="0301A498" w14:textId="142261FE" w:rsidR="005349A7" w:rsidRPr="00FF62E0" w:rsidRDefault="005824F3" w:rsidP="00966F5E">
      <w:pPr>
        <w:pStyle w:val="MTDisplayEquation"/>
        <w:tabs>
          <w:tab w:val="clear" w:pos="4680"/>
        </w:tabs>
        <w:spacing w:before="0" w:after="0" w:line="360" w:lineRule="auto"/>
      </w:pPr>
      <w:r>
        <w:t xml:space="preserve">Next, to determine the effect of any variable on pedestrian crash counts, we </w:t>
      </w:r>
      <w:r w:rsidR="004D5148" w:rsidRPr="001234E5">
        <w:t>us</w:t>
      </w:r>
      <w:r>
        <w:t>e</w:t>
      </w:r>
      <w:r w:rsidR="004D5148" w:rsidRPr="001234E5">
        <w:t xml:space="preserve"> </w:t>
      </w:r>
      <w:r w:rsidR="00625932">
        <w:t xml:space="preserve">the ATE </w:t>
      </w:r>
      <w:r w:rsidR="00F20D8F">
        <w:t>e</w:t>
      </w:r>
      <w:r w:rsidR="004D5148" w:rsidRPr="001234E5">
        <w:t xml:space="preserve">ffect </w:t>
      </w:r>
      <w:bookmarkStart w:id="56" w:name="_Hlk110174071"/>
      <w:r w:rsidR="00763B15">
        <w:fldChar w:fldCharType="begin"/>
      </w:r>
      <w:r w:rsidR="00F20D8F">
        <w:instrText xml:space="preserve"> ADDIN ZOTERO_ITEM CSL_CITATION {"citationID":"euzns5E7","properties":{"formattedCitation":"(Angrist &amp; Imbens, 1991; Heckman &amp; Vytlacil, 2000)","plainCitation":"(Angrist &amp; Imbens, 1991; Heckman &amp; Vytlacil, 2000)","dontUpdate":true,"noteIndex":0},"citationItems":[{"id":890,"uris":["http://zotero.org/users/9292995/items/5TZT8E3Z"],"itemData":{"id":890,"type":"article-journal","note":"publisher: National Bureau of Economic Research Cambridge, Mass., USA","title":"Sources of identifying information in evaluation models","author":[{"family":"Angrist","given":"Joshua"},{"family":"Imbens","given":"Guido"}],"issued":{"date-parts":[["1991"]]}}},{"id":879,"uris":["http://zotero.org/users/9292995/items/9UGGV3FY"],"itemData":{"id":879,"type":"article-journal","container-title":"Economics letters","ISSN":"0165-1765","issue":"1","journalAbbreviation":"Economics letters","note":"publisher: Elsevier","page":"33-39","title":"The relationship between treatment parameters within a latent variable framework","volume":"66","author":[{"family":"Heckman","given":"James J"},{"family":"Vytlacil","given":"Edward J"}],"issued":{"date-parts":[["2000"]]}}}],"schema":"https://github.com/citation-style-language/schema/raw/master/csl-citation.json"} </w:instrText>
      </w:r>
      <w:r w:rsidR="00763B15">
        <w:fldChar w:fldCharType="separate"/>
      </w:r>
      <w:r w:rsidR="00763B15" w:rsidRPr="00763B15">
        <w:t>(</w:t>
      </w:r>
      <w:r w:rsidR="00763B15">
        <w:t xml:space="preserve">see </w:t>
      </w:r>
      <w:r w:rsidR="00763B15" w:rsidRPr="00763B15">
        <w:t xml:space="preserve">Angrist </w:t>
      </w:r>
      <w:r w:rsidR="00763B15">
        <w:t>and</w:t>
      </w:r>
      <w:r w:rsidR="00763B15" w:rsidRPr="00763B15">
        <w:t xml:space="preserve"> Imbens, 1991</w:t>
      </w:r>
      <w:r w:rsidR="00763B15">
        <w:t xml:space="preserve"> and</w:t>
      </w:r>
      <w:r w:rsidR="00763B15" w:rsidRPr="00763B15">
        <w:t xml:space="preserve"> Heckman </w:t>
      </w:r>
      <w:r w:rsidR="00763B15">
        <w:t>and</w:t>
      </w:r>
      <w:r w:rsidR="00763B15" w:rsidRPr="00763B15">
        <w:t xml:space="preserve"> Vytlacil, 2000)</w:t>
      </w:r>
      <w:r w:rsidR="00763B15">
        <w:fldChar w:fldCharType="end"/>
      </w:r>
      <w:bookmarkEnd w:id="56"/>
      <w:r w:rsidR="00763B15">
        <w:t xml:space="preserve">, </w:t>
      </w:r>
      <w:r w:rsidR="004D5148" w:rsidRPr="001234E5">
        <w:t>which is a metric that computes the impact on a downstream posterior variable of interest due to a treatment that changes the state of an antecedent variable from A to B. For example, if the intent is to estimate the</w:t>
      </w:r>
      <w:r>
        <w:t xml:space="preserve"> </w:t>
      </w:r>
      <w:r w:rsidR="00C8123C">
        <w:t xml:space="preserve">impact of </w:t>
      </w:r>
      <w:r>
        <w:t xml:space="preserve">the percentage of four or more-legged intersections in a CBG on the total pedestrian crash count in that CBG, </w:t>
      </w:r>
      <w:r w:rsidR="004D5148" w:rsidRPr="001234E5">
        <w:t>A can be</w:t>
      </w:r>
      <w:r>
        <w:t xml:space="preserve"> set to the</w:t>
      </w:r>
      <w:r w:rsidR="005F3EE1">
        <w:t xml:space="preserve"> lower quartile (25%)</w:t>
      </w:r>
      <w:r w:rsidR="004D5148" w:rsidRPr="001234E5">
        <w:t xml:space="preserve"> and B can be </w:t>
      </w:r>
      <w:r>
        <w:t xml:space="preserve">set to the </w:t>
      </w:r>
      <w:r w:rsidR="005F3EE1">
        <w:t>upper quartile (</w:t>
      </w:r>
      <w:r>
        <w:t>75%</w:t>
      </w:r>
      <w:r w:rsidR="005F3EE1">
        <w:t>)</w:t>
      </w:r>
      <w:r>
        <w:t xml:space="preserve"> value of this </w:t>
      </w:r>
      <w:r w:rsidR="005F3EE1">
        <w:t>variable</w:t>
      </w:r>
      <w:r w:rsidR="00C8123C">
        <w:t xml:space="preserve"> (the quartiles being computed based on the distribution of the variable across </w:t>
      </w:r>
      <w:r w:rsidR="00C8123C">
        <w:lastRenderedPageBreak/>
        <w:t>CBGs)</w:t>
      </w:r>
      <w:r w:rsidR="005F3EE1">
        <w:t xml:space="preserve">. </w:t>
      </w:r>
      <w:r w:rsidR="004D5148" w:rsidRPr="001234E5">
        <w:t>The impact of this change is measured in terms of the change in the expected</w:t>
      </w:r>
      <w:r w:rsidR="005F3EE1">
        <w:t xml:space="preserve"> crash count</w:t>
      </w:r>
      <w:r w:rsidR="00C5682B">
        <w:t xml:space="preserve"> (ECC)</w:t>
      </w:r>
      <w:r w:rsidR="005F3EE1">
        <w:t xml:space="preserve"> value</w:t>
      </w:r>
      <w:r w:rsidR="00C8123C">
        <w:t xml:space="preserve"> (</w:t>
      </w:r>
      <w:r w:rsidR="00090D9F">
        <w:t xml:space="preserve">computed as the difference </w:t>
      </w:r>
      <w:r w:rsidR="00763B15">
        <w:t>between</w:t>
      </w:r>
      <w:r w:rsidR="00090D9F">
        <w:t xml:space="preserve"> the aggregate </w:t>
      </w:r>
      <w:r w:rsidR="00C5682B">
        <w:t>ECC</w:t>
      </w:r>
      <w:r w:rsidR="00090D9F">
        <w:t xml:space="preserve"> (across all CBGs) in the treatment </w:t>
      </w:r>
      <w:r w:rsidR="00C5682B">
        <w:t xml:space="preserve">variable </w:t>
      </w:r>
      <w:r w:rsidR="00090D9F">
        <w:t xml:space="preserve">state </w:t>
      </w:r>
      <w:r w:rsidR="00C5682B">
        <w:t xml:space="preserve">B and the aggregate ECC (across all CBGs) in the base variable state A, </w:t>
      </w:r>
      <w:r w:rsidR="008250B7">
        <w:t xml:space="preserve">averaged over all the CBGs; this </w:t>
      </w:r>
      <w:r w:rsidR="00C5682B">
        <w:t>is the ATE effect of the variable). Then, the ATE effect as a percentage of the aggregate ECC (across all CBGs) in the base variable A is also computed and labeled as the “%</w:t>
      </w:r>
      <w:r w:rsidR="00C8123C">
        <w:t>ATE effect</w:t>
      </w:r>
      <w:r w:rsidR="00C5682B">
        <w:t>”</w:t>
      </w:r>
      <w:r w:rsidR="00C8123C">
        <w:t xml:space="preserve"> of the variable)</w:t>
      </w:r>
      <w:r w:rsidR="004D5148" w:rsidRPr="001234E5">
        <w:t xml:space="preserve">. </w:t>
      </w:r>
      <w:r w:rsidR="00C5682B">
        <w:t>Note also that b</w:t>
      </w:r>
      <w:r w:rsidR="00C8123C">
        <w:t xml:space="preserve">ecause all variables in the sample are continuous variables (except for the </w:t>
      </w:r>
      <w:r w:rsidR="00C8123C" w:rsidRPr="00763B15">
        <w:rPr>
          <w:i/>
        </w:rPr>
        <w:t>MB</w:t>
      </w:r>
      <w:r w:rsidR="00C8123C">
        <w:t xml:space="preserve"> CBG dummy variable), using a uniform lower quartile to upper quartile change accommodates for scaling variations across the variables, thus allowing a direct comparison of the ATE </w:t>
      </w:r>
      <w:r w:rsidR="00C5682B">
        <w:t xml:space="preserve">and % ATE effects </w:t>
      </w:r>
      <w:r w:rsidR="00C8123C">
        <w:t xml:space="preserve">across variables to obtain a relative magnitude </w:t>
      </w:r>
      <w:r w:rsidR="00C8123C" w:rsidRPr="00FF62E0">
        <w:t>effect of each variable.</w:t>
      </w:r>
      <w:r w:rsidR="00AB7DCA" w:rsidRPr="00FF62E0">
        <w:t xml:space="preserve"> </w:t>
      </w:r>
    </w:p>
    <w:p w14:paraId="090DC84C" w14:textId="78FF3D14" w:rsidR="00C8123C" w:rsidRDefault="00763B15" w:rsidP="00966F5E">
      <w:pPr>
        <w:pStyle w:val="MTDisplayEquation"/>
        <w:tabs>
          <w:tab w:val="clear" w:pos="4680"/>
        </w:tabs>
        <w:spacing w:before="0" w:after="0" w:line="360" w:lineRule="auto"/>
        <w:ind w:firstLine="720"/>
      </w:pPr>
      <w:r w:rsidRPr="00FF62E0">
        <w:tab/>
      </w:r>
      <w:r w:rsidR="00AB7DCA" w:rsidRPr="00FF62E0">
        <w:t xml:space="preserve">A note here. The ATEs computed for all variables </w:t>
      </w:r>
      <w:r w:rsidR="004C4C46" w:rsidRPr="00FF62E0">
        <w:t>a</w:t>
      </w:r>
      <w:r w:rsidR="00AB7DCA" w:rsidRPr="00FF62E0">
        <w:t>re positive except for the “# intersections per acre” variable (which is not surprising given the negative sign on the “# intersections per acre”</w:t>
      </w:r>
      <w:r w:rsidR="00AB7DCA">
        <w:t xml:space="preserve"> in the total count model in the model estimation).</w:t>
      </w:r>
      <w:r w:rsidR="004C4C46">
        <w:t xml:space="preserve"> So, to get all the ATEs to be interpreted as the estimated increase in expected pedestrian crashes, we use the base for the “# intersections per acre” as the upper quartile and the treatment as the lower quartile. That is, the ATEs for other variables indicate the expected pedestrian crash increase due to an increase in those variables, while the ATE for the “# intersections per acre” represents the </w:t>
      </w:r>
      <w:r w:rsidR="008250B7">
        <w:t xml:space="preserve">average </w:t>
      </w:r>
      <w:r w:rsidR="004C4C46">
        <w:t xml:space="preserve">expected pedestrian crash increase due </w:t>
      </w:r>
      <w:r>
        <w:t xml:space="preserve">to </w:t>
      </w:r>
      <w:r w:rsidR="004C4C46">
        <w:t xml:space="preserve">a decrease in this variable. </w:t>
      </w:r>
      <w:r w:rsidR="00305BA2">
        <w:t xml:space="preserve">For the </w:t>
      </w:r>
      <w:r w:rsidR="00305BA2" w:rsidRPr="00763B15">
        <w:rPr>
          <w:i/>
        </w:rPr>
        <w:t xml:space="preserve">MB </w:t>
      </w:r>
      <w:r w:rsidR="00305BA2">
        <w:t xml:space="preserve">CBG dummy variable, we consider </w:t>
      </w:r>
      <w:r>
        <w:t xml:space="preserve">the </w:t>
      </w:r>
      <w:r w:rsidR="00305BA2">
        <w:t xml:space="preserve">ATE as the shift in the expected number of pedestrian crashes between the base case of all CBGs being considered as </w:t>
      </w:r>
      <w:r w:rsidR="00305BA2" w:rsidRPr="00763B15">
        <w:rPr>
          <w:i/>
        </w:rPr>
        <w:t>NMB</w:t>
      </w:r>
      <w:r w:rsidR="00305BA2">
        <w:t xml:space="preserve"> CBGs to the treatment case of all CBGs being considered as </w:t>
      </w:r>
      <w:r w:rsidR="00305BA2" w:rsidRPr="00763B15">
        <w:rPr>
          <w:i/>
        </w:rPr>
        <w:t>MB</w:t>
      </w:r>
      <w:r w:rsidR="00305BA2">
        <w:t xml:space="preserve"> CBGs. Effectively, this provides the difference in expected pedestrian crashes between </w:t>
      </w:r>
      <w:r w:rsidR="008250B7">
        <w:t xml:space="preserve">a </w:t>
      </w:r>
      <w:r w:rsidR="00305BA2">
        <w:t xml:space="preserve">Black and </w:t>
      </w:r>
      <w:r w:rsidR="008250B7">
        <w:t xml:space="preserve">a </w:t>
      </w:r>
      <w:r w:rsidR="00305BA2">
        <w:t xml:space="preserve">non-Black CBG after controlling for the effects of the other four sets of variables (this corresponds to the ATE associated with the model estimated </w:t>
      </w:r>
      <w:r w:rsidR="00305BA2" w:rsidRPr="00B60C83">
        <w:rPr>
          <w:i/>
        </w:rPr>
        <w:t xml:space="preserve">MB-TC </w:t>
      </w:r>
      <w:r w:rsidR="00305BA2">
        <w:t xml:space="preserve">effect). </w:t>
      </w:r>
    </w:p>
    <w:p w14:paraId="134347E5" w14:textId="42C08FE3" w:rsidR="007A5615" w:rsidRDefault="00C8123C" w:rsidP="00966F5E">
      <w:pPr>
        <w:pStyle w:val="MTDisplayEquation"/>
        <w:tabs>
          <w:tab w:val="clear" w:pos="4680"/>
        </w:tabs>
        <w:spacing w:before="0" w:after="0" w:line="360" w:lineRule="auto"/>
        <w:ind w:firstLine="720"/>
      </w:pPr>
      <w:r>
        <w:t>In addition to individual magnitude effects, one can further use the individual variable</w:t>
      </w:r>
      <w:r w:rsidR="004C4C46">
        <w:t xml:space="preserve"> </w:t>
      </w:r>
      <w:r>
        <w:t xml:space="preserve">ATEs </w:t>
      </w:r>
      <w:r w:rsidR="00305BA2">
        <w:t xml:space="preserve">(leaving the </w:t>
      </w:r>
      <w:r w:rsidR="00305BA2" w:rsidRPr="00B60C83">
        <w:rPr>
          <w:i/>
        </w:rPr>
        <w:t>MB-TC</w:t>
      </w:r>
      <w:r w:rsidR="00305BA2">
        <w:t xml:space="preserve"> ATE alone) </w:t>
      </w:r>
      <w:r>
        <w:t xml:space="preserve">to obtain a relative magnitude effect of each </w:t>
      </w:r>
      <w:r w:rsidR="00305BA2">
        <w:t xml:space="preserve">of the </w:t>
      </w:r>
      <w:r>
        <w:t>variable</w:t>
      </w:r>
      <w:r w:rsidR="00305BA2">
        <w:t>s</w:t>
      </w:r>
      <w:r>
        <w:t xml:space="preserve"> within each of the four exogenous variable categories of </w:t>
      </w:r>
      <w:r w:rsidR="00AC1A1A">
        <w:t>CE</w:t>
      </w:r>
      <w:r w:rsidR="005F3EE1">
        <w:t xml:space="preserve"> attributes, cultural variables, BE features, and SD factors. </w:t>
      </w:r>
      <w:r w:rsidR="004C4C46">
        <w:t>This is computed as a percentage contribution of each variable</w:t>
      </w:r>
      <w:r w:rsidR="008250B7">
        <w:t>’s ATE effect</w:t>
      </w:r>
      <w:r w:rsidR="004C4C46">
        <w:t xml:space="preserve"> within the respective variable category. </w:t>
      </w:r>
      <w:r w:rsidR="00984012">
        <w:t xml:space="preserve">A similar exercise is undertaken to get the percentage contribution of each variable across all other variables affecting crash counts. </w:t>
      </w:r>
      <w:r w:rsidR="004C4C46">
        <w:t xml:space="preserve">Further, we are also able to aggregate the ATE values across variables within each category, and then </w:t>
      </w:r>
      <w:r w:rsidR="004C4C46">
        <w:lastRenderedPageBreak/>
        <w:t xml:space="preserve">compute </w:t>
      </w:r>
      <w:r w:rsidR="00305BA2">
        <w:t xml:space="preserve">a relative magnitude effect of each of the four exogenous variable sets and the </w:t>
      </w:r>
      <w:r w:rsidR="00305BA2" w:rsidRPr="00B60C83">
        <w:rPr>
          <w:i/>
        </w:rPr>
        <w:t xml:space="preserve">MB-TC </w:t>
      </w:r>
      <w:r w:rsidR="00305BA2">
        <w:t>effec</w:t>
      </w:r>
      <w:r w:rsidR="00D52881">
        <w:t>t</w:t>
      </w:r>
      <w:r w:rsidR="00305BA2">
        <w:t xml:space="preserve">. </w:t>
      </w:r>
    </w:p>
    <w:p w14:paraId="469B130D" w14:textId="0DC525EB" w:rsidR="00305BA2" w:rsidRDefault="007A5615" w:rsidP="00966F5E">
      <w:pPr>
        <w:pStyle w:val="MTDisplayEquation"/>
        <w:tabs>
          <w:tab w:val="clear" w:pos="4680"/>
        </w:tabs>
        <w:spacing w:before="0" w:after="0" w:line="360" w:lineRule="auto"/>
        <w:ind w:firstLine="720"/>
        <w:rPr>
          <w:rFonts w:eastAsiaTheme="majorEastAsia"/>
        </w:rPr>
      </w:pPr>
      <w:r>
        <w:t xml:space="preserve">Finally, </w:t>
      </w:r>
      <w:r>
        <w:rPr>
          <w:rFonts w:eastAsiaTheme="majorEastAsia"/>
        </w:rPr>
        <w:t xml:space="preserve">while not shown in this paper to conserve space, we also undertook a similar ATE effects exercise using the first binary model of </w:t>
      </w:r>
      <w:r w:rsidRPr="00763B15">
        <w:rPr>
          <w:rFonts w:eastAsiaTheme="majorEastAsia"/>
          <w:i/>
        </w:rPr>
        <w:t>MB</w:t>
      </w:r>
      <w:r>
        <w:rPr>
          <w:rFonts w:eastAsiaTheme="majorEastAsia"/>
        </w:rPr>
        <w:t xml:space="preserve"> versus </w:t>
      </w:r>
      <w:r w:rsidRPr="00763B15">
        <w:rPr>
          <w:rFonts w:eastAsiaTheme="majorEastAsia"/>
          <w:i/>
        </w:rPr>
        <w:t>NMB</w:t>
      </w:r>
      <w:r>
        <w:rPr>
          <w:rFonts w:eastAsiaTheme="majorEastAsia"/>
        </w:rPr>
        <w:t xml:space="preserve"> CBGs to estimate the relative contributions of each of the CE, cultural, BE, and SD categories of variables. These estimates suggest that the difference between a</w:t>
      </w:r>
      <w:r w:rsidR="008466D1">
        <w:rPr>
          <w:rFonts w:eastAsiaTheme="majorEastAsia"/>
        </w:rPr>
        <w:t>n</w:t>
      </w:r>
      <w:r>
        <w:rPr>
          <w:rFonts w:eastAsiaTheme="majorEastAsia"/>
        </w:rPr>
        <w:t xml:space="preserve"> </w:t>
      </w:r>
      <w:r w:rsidR="00F20D8F" w:rsidRPr="00F20D8F">
        <w:rPr>
          <w:rFonts w:eastAsiaTheme="majorEastAsia"/>
          <w:i/>
        </w:rPr>
        <w:t>MB</w:t>
      </w:r>
      <w:r>
        <w:rPr>
          <w:rFonts w:eastAsiaTheme="majorEastAsia"/>
        </w:rPr>
        <w:t xml:space="preserve"> and </w:t>
      </w:r>
      <w:r w:rsidR="00F20D8F" w:rsidRPr="00F20D8F">
        <w:rPr>
          <w:rFonts w:eastAsiaTheme="majorEastAsia"/>
          <w:i/>
        </w:rPr>
        <w:t>NMB</w:t>
      </w:r>
      <w:r w:rsidR="00F20D8F">
        <w:rPr>
          <w:rFonts w:eastAsiaTheme="majorEastAsia"/>
        </w:rPr>
        <w:t xml:space="preserve"> </w:t>
      </w:r>
      <w:r>
        <w:rPr>
          <w:rFonts w:eastAsiaTheme="majorEastAsia"/>
        </w:rPr>
        <w:t>neighborhood attributable to each of the four categories of variables (specifically in the context of variables that may impact pedestrian crashes) are as follows: CE (</w:t>
      </w:r>
      <w:r w:rsidR="007E2999">
        <w:rPr>
          <w:rFonts w:eastAsiaTheme="majorEastAsia"/>
        </w:rPr>
        <w:t>21.04</w:t>
      </w:r>
      <w:r>
        <w:rPr>
          <w:rFonts w:eastAsiaTheme="majorEastAsia"/>
        </w:rPr>
        <w:t>%), cultural (</w:t>
      </w:r>
      <w:r w:rsidR="007E2999">
        <w:rPr>
          <w:rFonts w:eastAsiaTheme="majorEastAsia"/>
        </w:rPr>
        <w:t>0.28</w:t>
      </w:r>
      <w:r>
        <w:rPr>
          <w:rFonts w:eastAsiaTheme="majorEastAsia"/>
        </w:rPr>
        <w:t>%), BE (</w:t>
      </w:r>
      <w:r w:rsidR="007E2999">
        <w:rPr>
          <w:rFonts w:eastAsiaTheme="majorEastAsia"/>
        </w:rPr>
        <w:t>36.04</w:t>
      </w:r>
      <w:r>
        <w:rPr>
          <w:rFonts w:eastAsiaTheme="majorEastAsia"/>
        </w:rPr>
        <w:t>%), and SD (</w:t>
      </w:r>
      <w:r w:rsidR="007E2999">
        <w:rPr>
          <w:rFonts w:eastAsiaTheme="majorEastAsia"/>
        </w:rPr>
        <w:t>42.24</w:t>
      </w:r>
      <w:r>
        <w:rPr>
          <w:rFonts w:eastAsiaTheme="majorEastAsia"/>
        </w:rPr>
        <w:t xml:space="preserve">%). These category-specific contributions will also be invoked as appropriate in the discussion of the total crash count model implications below. </w:t>
      </w:r>
    </w:p>
    <w:p w14:paraId="69C6F3BA" w14:textId="77777777" w:rsidR="00432BEC" w:rsidRPr="00432BEC" w:rsidRDefault="00432BEC" w:rsidP="00966F5E">
      <w:pPr>
        <w:spacing w:before="0" w:after="0" w:line="360" w:lineRule="auto"/>
      </w:pPr>
    </w:p>
    <w:p w14:paraId="679E098D" w14:textId="118B6748" w:rsidR="00625932" w:rsidRPr="00633EA2" w:rsidRDefault="00432BEC" w:rsidP="00966F5E">
      <w:pPr>
        <w:pStyle w:val="Heading2"/>
        <w:spacing w:before="0" w:line="360" w:lineRule="auto"/>
        <w:rPr>
          <w:rFonts w:eastAsiaTheme="majorEastAsia"/>
        </w:rPr>
      </w:pPr>
      <w:r>
        <w:rPr>
          <w:rFonts w:eastAsiaTheme="majorEastAsia"/>
        </w:rPr>
        <w:t xml:space="preserve"> </w:t>
      </w:r>
      <w:r w:rsidR="007A5615">
        <w:rPr>
          <w:rFonts w:eastAsiaTheme="majorEastAsia"/>
        </w:rPr>
        <w:t xml:space="preserve">Crash Count Model </w:t>
      </w:r>
      <w:r w:rsidR="00625932" w:rsidRPr="00633EA2">
        <w:rPr>
          <w:rFonts w:eastAsiaTheme="majorEastAsia"/>
        </w:rPr>
        <w:t xml:space="preserve">ATE </w:t>
      </w:r>
      <w:r w:rsidR="00625932">
        <w:rPr>
          <w:rFonts w:eastAsiaTheme="majorEastAsia"/>
        </w:rPr>
        <w:t xml:space="preserve">Estimate </w:t>
      </w:r>
      <w:r w:rsidR="00625932" w:rsidRPr="00633EA2">
        <w:rPr>
          <w:rFonts w:eastAsiaTheme="majorEastAsia"/>
        </w:rPr>
        <w:t>Implications</w:t>
      </w:r>
    </w:p>
    <w:p w14:paraId="0C8F01A4" w14:textId="780ACFE6" w:rsidR="00573BF3" w:rsidRDefault="00305BA2" w:rsidP="007D5556">
      <w:pPr>
        <w:pStyle w:val="MTDisplayEquation"/>
        <w:tabs>
          <w:tab w:val="clear" w:pos="4680"/>
        </w:tabs>
        <w:spacing w:before="0" w:after="0" w:line="360" w:lineRule="auto"/>
        <w:ind w:firstLine="720"/>
        <w:rPr>
          <w:rFonts w:eastAsiaTheme="majorEastAsia"/>
        </w:rPr>
      </w:pPr>
      <w:r>
        <w:rPr>
          <w:rFonts w:eastAsiaTheme="majorEastAsia"/>
        </w:rPr>
        <w:t xml:space="preserve">Table 4 provides the </w:t>
      </w:r>
      <w:r w:rsidR="004D5148" w:rsidRPr="001234E5">
        <w:rPr>
          <w:rFonts w:eastAsiaTheme="majorEastAsia"/>
        </w:rPr>
        <w:t xml:space="preserve">ATE </w:t>
      </w:r>
      <w:r w:rsidR="00031A83">
        <w:rPr>
          <w:rFonts w:eastAsiaTheme="majorEastAsia"/>
        </w:rPr>
        <w:t xml:space="preserve">estimates. </w:t>
      </w:r>
      <w:r w:rsidR="00F449B6">
        <w:rPr>
          <w:rFonts w:eastAsiaTheme="majorEastAsia"/>
        </w:rPr>
        <w:t>Note that the table does not provide the ATE effect values per se, because they are less insightful than the %</w:t>
      </w:r>
      <w:r w:rsidR="000311FB">
        <w:rPr>
          <w:rFonts w:eastAsiaTheme="majorEastAsia"/>
        </w:rPr>
        <w:t xml:space="preserve"> </w:t>
      </w:r>
      <w:r w:rsidR="00F449B6">
        <w:rPr>
          <w:rFonts w:eastAsiaTheme="majorEastAsia"/>
        </w:rPr>
        <w:t xml:space="preserve">ATE values. However, in quantifying the relative contribution of each variable </w:t>
      </w:r>
      <w:r w:rsidR="00984012">
        <w:rPr>
          <w:rFonts w:eastAsiaTheme="majorEastAsia"/>
        </w:rPr>
        <w:t xml:space="preserve">in totality and </w:t>
      </w:r>
      <w:r w:rsidR="00F449B6">
        <w:rPr>
          <w:rFonts w:eastAsiaTheme="majorEastAsia"/>
        </w:rPr>
        <w:t xml:space="preserve">within each of the four broad categories of variables, and the relative contribution of each of the four broad categories of variables themselves, it is the ATE effects that are used, as discussed earlier. </w:t>
      </w:r>
      <w:r w:rsidR="00D52881">
        <w:rPr>
          <w:rFonts w:eastAsiaTheme="majorEastAsia"/>
        </w:rPr>
        <w:t xml:space="preserve">The </w:t>
      </w:r>
      <w:r w:rsidR="004D5148" w:rsidRPr="001234E5">
        <w:rPr>
          <w:rFonts w:eastAsiaTheme="majorEastAsia"/>
        </w:rPr>
        <w:t xml:space="preserve">values </w:t>
      </w:r>
      <w:r w:rsidR="004D5148" w:rsidRPr="001234E5">
        <w:t xml:space="preserve">are to be interpreted as follows. Consider the </w:t>
      </w:r>
      <w:r w:rsidR="00F449B6">
        <w:t xml:space="preserve">entries corresponding to </w:t>
      </w:r>
      <w:r w:rsidR="00D16DF4">
        <w:rPr>
          <w:rFonts w:eastAsiaTheme="majorEastAsia"/>
        </w:rPr>
        <w:t xml:space="preserve">the </w:t>
      </w:r>
      <w:r w:rsidR="00984012">
        <w:rPr>
          <w:rFonts w:eastAsiaTheme="majorEastAsia"/>
        </w:rPr>
        <w:t>“</w:t>
      </w:r>
      <w:r w:rsidR="00D16DF4">
        <w:rPr>
          <w:rFonts w:eastAsiaTheme="majorEastAsia"/>
        </w:rPr>
        <w:t xml:space="preserve">percentage of </w:t>
      </w:r>
      <w:r w:rsidR="00D16DF4" w:rsidRPr="00D16DF4">
        <w:rPr>
          <w:rFonts w:eastAsiaTheme="majorEastAsia"/>
        </w:rPr>
        <w:t>individuals commuting by public transit</w:t>
      </w:r>
      <w:r w:rsidR="00984012">
        <w:rPr>
          <w:rFonts w:eastAsiaTheme="majorEastAsia"/>
        </w:rPr>
        <w:t>”</w:t>
      </w:r>
      <w:r w:rsidR="00090D9F">
        <w:rPr>
          <w:rFonts w:eastAsiaTheme="majorEastAsia"/>
        </w:rPr>
        <w:t xml:space="preserve"> (third numeric row of Table 4).</w:t>
      </w:r>
      <w:r w:rsidR="00F449B6">
        <w:rPr>
          <w:rFonts w:eastAsiaTheme="majorEastAsia"/>
        </w:rPr>
        <w:t xml:space="preserve"> </w:t>
      </w:r>
      <w:r w:rsidR="00090D9F">
        <w:rPr>
          <w:rFonts w:eastAsiaTheme="majorEastAsia"/>
        </w:rPr>
        <w:t xml:space="preserve">The % ATE column </w:t>
      </w:r>
      <w:r w:rsidR="008250B7">
        <w:rPr>
          <w:rFonts w:eastAsiaTheme="majorEastAsia"/>
        </w:rPr>
        <w:t xml:space="preserve">has a value of 8.74. This implies that a change in the percentage of individuals commuting in a randomly picked CBG </w:t>
      </w:r>
      <w:r w:rsidR="00F449B6">
        <w:rPr>
          <w:rFonts w:eastAsiaTheme="majorEastAsia"/>
        </w:rPr>
        <w:t xml:space="preserve">from the lower quartile to the upper quartile would increase the total number of crashes at the CBG by 8.74%. </w:t>
      </w:r>
      <w:r w:rsidR="00984012">
        <w:rPr>
          <w:rFonts w:eastAsiaTheme="majorEastAsia"/>
        </w:rPr>
        <w:t>The entry of 1</w:t>
      </w:r>
      <w:r w:rsidR="005349A7">
        <w:rPr>
          <w:rFonts w:eastAsiaTheme="majorEastAsia"/>
        </w:rPr>
        <w:t>9.20</w:t>
      </w:r>
      <w:r w:rsidR="00984012">
        <w:rPr>
          <w:rFonts w:eastAsiaTheme="majorEastAsia"/>
        </w:rPr>
        <w:t xml:space="preserve">% in the “category” sub-column under the broad “relative contribution %” column </w:t>
      </w:r>
      <w:r w:rsidR="005349A7">
        <w:rPr>
          <w:rFonts w:eastAsiaTheme="majorEastAsia"/>
        </w:rPr>
        <w:t xml:space="preserve">(last column of Table 4) </w:t>
      </w:r>
      <w:r w:rsidR="00984012">
        <w:rPr>
          <w:rFonts w:eastAsiaTheme="majorEastAsia"/>
        </w:rPr>
        <w:t>reveals that the crash risk exposure (CE) category of variables contribute</w:t>
      </w:r>
      <w:r w:rsidR="00062815">
        <w:rPr>
          <w:rFonts w:eastAsiaTheme="majorEastAsia"/>
        </w:rPr>
        <w:t xml:space="preserve">s </w:t>
      </w:r>
      <w:r w:rsidR="00984012">
        <w:rPr>
          <w:rFonts w:eastAsiaTheme="majorEastAsia"/>
        </w:rPr>
        <w:t xml:space="preserve">20% to the total crash count relative to the other three categories of variables and the </w:t>
      </w:r>
      <w:r w:rsidR="00984012" w:rsidRPr="00B60C83">
        <w:rPr>
          <w:rFonts w:eastAsiaTheme="majorEastAsia"/>
          <w:i/>
        </w:rPr>
        <w:t>MB-TC</w:t>
      </w:r>
      <w:r w:rsidR="00984012">
        <w:rPr>
          <w:rFonts w:eastAsiaTheme="majorEastAsia"/>
        </w:rPr>
        <w:t xml:space="preserve"> effect. Next, t</w:t>
      </w:r>
      <w:r w:rsidR="00F449B6">
        <w:rPr>
          <w:rFonts w:eastAsiaTheme="majorEastAsia"/>
        </w:rPr>
        <w:t xml:space="preserve">he entry in the “in-group” sub-column under the broad “relative contribution %” column indicates that the increase in </w:t>
      </w:r>
      <w:r w:rsidR="00EC5054">
        <w:rPr>
          <w:rFonts w:eastAsiaTheme="majorEastAsia"/>
        </w:rPr>
        <w:t xml:space="preserve">the </w:t>
      </w:r>
      <w:r w:rsidR="00F449B6">
        <w:rPr>
          <w:rFonts w:eastAsiaTheme="majorEastAsia"/>
        </w:rPr>
        <w:t xml:space="preserve">total number of crashes attributable to “% commuting by transit” represents </w:t>
      </w:r>
      <w:r w:rsidR="005349A7">
        <w:rPr>
          <w:rFonts w:eastAsiaTheme="majorEastAsia"/>
        </w:rPr>
        <w:t>18.48</w:t>
      </w:r>
      <w:r w:rsidR="00F449B6">
        <w:rPr>
          <w:rFonts w:eastAsiaTheme="majorEastAsia"/>
        </w:rPr>
        <w:t xml:space="preserve">% of the contribution of the crash risk exposure category of variables. </w:t>
      </w:r>
      <w:r w:rsidR="00984012">
        <w:rPr>
          <w:rFonts w:eastAsiaTheme="majorEastAsia"/>
        </w:rPr>
        <w:t xml:space="preserve">Finally, the last column entry of </w:t>
      </w:r>
      <w:r w:rsidR="005349A7">
        <w:rPr>
          <w:rFonts w:eastAsiaTheme="majorEastAsia"/>
        </w:rPr>
        <w:t>3.55</w:t>
      </w:r>
      <w:r w:rsidR="00984012">
        <w:rPr>
          <w:rFonts w:eastAsiaTheme="majorEastAsia"/>
        </w:rPr>
        <w:t xml:space="preserve">% for the “percentage of </w:t>
      </w:r>
      <w:r w:rsidR="00984012" w:rsidRPr="00D16DF4">
        <w:rPr>
          <w:rFonts w:eastAsiaTheme="majorEastAsia"/>
        </w:rPr>
        <w:t>individuals commuting by public transit</w:t>
      </w:r>
      <w:r w:rsidR="00984012">
        <w:rPr>
          <w:rFonts w:eastAsiaTheme="majorEastAsia"/>
        </w:rPr>
        <w:t xml:space="preserve">” provides the % contribution across all variables in all sets of variables. </w:t>
      </w:r>
      <w:r w:rsidR="00573BF3">
        <w:rPr>
          <w:rFonts w:eastAsiaTheme="majorEastAsia"/>
        </w:rPr>
        <w:br w:type="page"/>
      </w:r>
    </w:p>
    <w:p w14:paraId="596DDAC1" w14:textId="77777777" w:rsidR="00103286" w:rsidRPr="00D909B5" w:rsidRDefault="00103286" w:rsidP="00103286">
      <w:pPr>
        <w:pStyle w:val="Caption"/>
        <w:keepNext/>
        <w:spacing w:after="120"/>
        <w:jc w:val="both"/>
        <w:rPr>
          <w:sz w:val="24"/>
          <w:szCs w:val="24"/>
        </w:rPr>
      </w:pPr>
      <w:r w:rsidRPr="00D909B5">
        <w:rPr>
          <w:sz w:val="24"/>
          <w:szCs w:val="24"/>
        </w:rPr>
        <w:lastRenderedPageBreak/>
        <w:t>Table 4. Average Treatment Effects of Exogenous Variables</w:t>
      </w:r>
    </w:p>
    <w:tbl>
      <w:tblPr>
        <w:tblW w:w="5035" w:type="pct"/>
        <w:tblBorders>
          <w:top w:val="double" w:sz="4" w:space="0" w:color="auto"/>
          <w:left w:val="double" w:sz="4" w:space="0" w:color="auto"/>
          <w:bottom w:val="double" w:sz="4" w:space="0" w:color="auto"/>
          <w:right w:val="double" w:sz="4" w:space="0" w:color="auto"/>
        </w:tblBorders>
        <w:shd w:val="clear" w:color="auto" w:fill="FFFFFF" w:themeFill="background1"/>
        <w:tblLayout w:type="fixed"/>
        <w:tblLook w:val="04A0" w:firstRow="1" w:lastRow="0" w:firstColumn="1" w:lastColumn="0" w:noHBand="0" w:noVBand="1"/>
      </w:tblPr>
      <w:tblGrid>
        <w:gridCol w:w="3945"/>
        <w:gridCol w:w="1198"/>
        <w:gridCol w:w="1342"/>
        <w:gridCol w:w="1389"/>
        <w:gridCol w:w="1513"/>
        <w:gridCol w:w="8"/>
      </w:tblGrid>
      <w:tr w:rsidR="00103286" w:rsidRPr="00626211" w14:paraId="09E2B9EF" w14:textId="77777777" w:rsidTr="00396352">
        <w:trPr>
          <w:trHeight w:val="86"/>
          <w:tblHeader/>
        </w:trPr>
        <w:tc>
          <w:tcPr>
            <w:tcW w:w="2100" w:type="pct"/>
            <w:vMerge w:val="restart"/>
            <w:tcBorders>
              <w:top w:val="double" w:sz="4" w:space="0" w:color="auto"/>
              <w:bottom w:val="nil"/>
              <w:right w:val="double" w:sz="4" w:space="0" w:color="auto"/>
            </w:tcBorders>
            <w:shd w:val="clear" w:color="auto" w:fill="FFFFFF" w:themeFill="background1"/>
            <w:vAlign w:val="center"/>
            <w:hideMark/>
          </w:tcPr>
          <w:p w14:paraId="666E1206" w14:textId="03D4AD34" w:rsidR="00103286" w:rsidRPr="00626211" w:rsidRDefault="00103286" w:rsidP="00396352">
            <w:pPr>
              <w:spacing w:before="0" w:after="0" w:line="240" w:lineRule="auto"/>
              <w:jc w:val="left"/>
              <w:rPr>
                <w:b/>
                <w:bCs/>
                <w:sz w:val="20"/>
                <w:szCs w:val="20"/>
              </w:rPr>
            </w:pPr>
            <w:r>
              <w:t xml:space="preserve"> </w:t>
            </w:r>
            <w:bookmarkStart w:id="57" w:name="RANGE!F1"/>
            <w:r w:rsidRPr="00626211">
              <w:rPr>
                <w:b/>
                <w:bCs/>
                <w:sz w:val="20"/>
                <w:szCs w:val="20"/>
              </w:rPr>
              <w:t>Variables</w:t>
            </w:r>
            <w:bookmarkEnd w:id="57"/>
          </w:p>
        </w:tc>
        <w:tc>
          <w:tcPr>
            <w:tcW w:w="638" w:type="pct"/>
            <w:vMerge w:val="restart"/>
            <w:tcBorders>
              <w:top w:val="double" w:sz="4" w:space="0" w:color="auto"/>
              <w:left w:val="double" w:sz="4" w:space="0" w:color="auto"/>
              <w:bottom w:val="nil"/>
              <w:right w:val="double" w:sz="4" w:space="0" w:color="auto"/>
            </w:tcBorders>
            <w:shd w:val="clear" w:color="auto" w:fill="FFFFFF" w:themeFill="background1"/>
            <w:vAlign w:val="center"/>
            <w:hideMark/>
          </w:tcPr>
          <w:p w14:paraId="27B6704F" w14:textId="77777777" w:rsidR="00103286" w:rsidRPr="00626211" w:rsidRDefault="00103286" w:rsidP="00396352">
            <w:pPr>
              <w:spacing w:before="0" w:after="0" w:line="240" w:lineRule="auto"/>
              <w:jc w:val="center"/>
              <w:rPr>
                <w:b/>
                <w:bCs/>
                <w:sz w:val="20"/>
                <w:szCs w:val="20"/>
              </w:rPr>
            </w:pPr>
            <w:r w:rsidRPr="00626211">
              <w:rPr>
                <w:b/>
                <w:bCs/>
                <w:sz w:val="20"/>
                <w:szCs w:val="20"/>
              </w:rPr>
              <w:t>%ATE</w:t>
            </w:r>
          </w:p>
        </w:tc>
        <w:tc>
          <w:tcPr>
            <w:tcW w:w="2263" w:type="pct"/>
            <w:gridSpan w:val="4"/>
            <w:tcBorders>
              <w:top w:val="double" w:sz="4" w:space="0" w:color="auto"/>
              <w:left w:val="double" w:sz="4" w:space="0" w:color="auto"/>
              <w:bottom w:val="single" w:sz="4" w:space="0" w:color="auto"/>
            </w:tcBorders>
            <w:shd w:val="clear" w:color="auto" w:fill="FFFFFF" w:themeFill="background1"/>
            <w:vAlign w:val="center"/>
            <w:hideMark/>
          </w:tcPr>
          <w:p w14:paraId="1CFF5168" w14:textId="77777777" w:rsidR="00103286" w:rsidRPr="00626211" w:rsidRDefault="00103286" w:rsidP="00396352">
            <w:pPr>
              <w:spacing w:before="0" w:after="0" w:line="240" w:lineRule="auto"/>
              <w:jc w:val="center"/>
              <w:rPr>
                <w:b/>
                <w:bCs/>
                <w:sz w:val="20"/>
                <w:szCs w:val="20"/>
              </w:rPr>
            </w:pPr>
            <w:r w:rsidRPr="00626211">
              <w:rPr>
                <w:b/>
                <w:bCs/>
                <w:sz w:val="20"/>
                <w:szCs w:val="20"/>
              </w:rPr>
              <w:t>Relative contribution (%)</w:t>
            </w:r>
          </w:p>
        </w:tc>
      </w:tr>
      <w:tr w:rsidR="00103286" w:rsidRPr="00626211" w14:paraId="2E4F3C43" w14:textId="77777777" w:rsidTr="00396352">
        <w:trPr>
          <w:gridAfter w:val="1"/>
          <w:wAfter w:w="5" w:type="pct"/>
          <w:trHeight w:val="86"/>
          <w:tblHeader/>
        </w:trPr>
        <w:tc>
          <w:tcPr>
            <w:tcW w:w="2100" w:type="pct"/>
            <w:vMerge/>
            <w:tcBorders>
              <w:top w:val="nil"/>
              <w:bottom w:val="double" w:sz="4" w:space="0" w:color="auto"/>
              <w:right w:val="double" w:sz="4" w:space="0" w:color="auto"/>
            </w:tcBorders>
            <w:shd w:val="clear" w:color="auto" w:fill="FFFFFF" w:themeFill="background1"/>
            <w:vAlign w:val="center"/>
          </w:tcPr>
          <w:p w14:paraId="5A03AD4F" w14:textId="77777777" w:rsidR="00103286" w:rsidRPr="00626211" w:rsidRDefault="00103286" w:rsidP="00396352">
            <w:pPr>
              <w:spacing w:before="0" w:after="0" w:line="240" w:lineRule="auto"/>
              <w:jc w:val="left"/>
              <w:rPr>
                <w:b/>
                <w:bCs/>
                <w:sz w:val="20"/>
                <w:szCs w:val="20"/>
              </w:rPr>
            </w:pPr>
          </w:p>
        </w:tc>
        <w:tc>
          <w:tcPr>
            <w:tcW w:w="638" w:type="pct"/>
            <w:vMerge/>
            <w:tcBorders>
              <w:top w:val="nil"/>
              <w:left w:val="double" w:sz="4" w:space="0" w:color="auto"/>
              <w:bottom w:val="double" w:sz="4" w:space="0" w:color="auto"/>
              <w:right w:val="double" w:sz="4" w:space="0" w:color="auto"/>
            </w:tcBorders>
            <w:shd w:val="clear" w:color="auto" w:fill="FFFFFF" w:themeFill="background1"/>
            <w:vAlign w:val="center"/>
            <w:hideMark/>
          </w:tcPr>
          <w:p w14:paraId="5A1CA556" w14:textId="77777777" w:rsidR="00103286" w:rsidRPr="00626211" w:rsidRDefault="00103286" w:rsidP="00396352">
            <w:pPr>
              <w:spacing w:before="0" w:after="0" w:line="240" w:lineRule="auto"/>
              <w:jc w:val="left"/>
              <w:rPr>
                <w:b/>
                <w:bCs/>
                <w:sz w:val="20"/>
                <w:szCs w:val="20"/>
              </w:rPr>
            </w:pPr>
          </w:p>
        </w:tc>
        <w:tc>
          <w:tcPr>
            <w:tcW w:w="714" w:type="pct"/>
            <w:tcBorders>
              <w:top w:val="single" w:sz="4" w:space="0" w:color="auto"/>
              <w:left w:val="double" w:sz="4" w:space="0" w:color="auto"/>
              <w:bottom w:val="double" w:sz="4" w:space="0" w:color="auto"/>
              <w:right w:val="single" w:sz="4" w:space="0" w:color="auto"/>
            </w:tcBorders>
            <w:shd w:val="clear" w:color="auto" w:fill="FFFFFF" w:themeFill="background1"/>
            <w:vAlign w:val="center"/>
            <w:hideMark/>
          </w:tcPr>
          <w:p w14:paraId="17FFB4D4" w14:textId="77777777" w:rsidR="00103286" w:rsidRPr="00626211" w:rsidRDefault="00103286" w:rsidP="00396352">
            <w:pPr>
              <w:spacing w:before="0" w:after="0" w:line="240" w:lineRule="auto"/>
              <w:jc w:val="center"/>
              <w:rPr>
                <w:b/>
                <w:bCs/>
                <w:sz w:val="20"/>
                <w:szCs w:val="20"/>
              </w:rPr>
            </w:pPr>
            <w:r w:rsidRPr="00626211">
              <w:rPr>
                <w:b/>
                <w:bCs/>
                <w:sz w:val="20"/>
                <w:szCs w:val="20"/>
              </w:rPr>
              <w:t>Category</w:t>
            </w:r>
          </w:p>
        </w:tc>
        <w:tc>
          <w:tcPr>
            <w:tcW w:w="739" w:type="pct"/>
            <w:tcBorders>
              <w:top w:val="single" w:sz="4" w:space="0" w:color="auto"/>
              <w:left w:val="single" w:sz="4" w:space="0" w:color="auto"/>
              <w:bottom w:val="double" w:sz="4" w:space="0" w:color="auto"/>
              <w:right w:val="single" w:sz="4" w:space="0" w:color="auto"/>
            </w:tcBorders>
            <w:shd w:val="clear" w:color="auto" w:fill="FFFFFF" w:themeFill="background1"/>
            <w:vAlign w:val="center"/>
            <w:hideMark/>
          </w:tcPr>
          <w:p w14:paraId="47C8E1A9" w14:textId="77777777" w:rsidR="00103286" w:rsidRPr="00626211" w:rsidRDefault="00103286" w:rsidP="00396352">
            <w:pPr>
              <w:spacing w:before="0" w:after="0" w:line="240" w:lineRule="auto"/>
              <w:jc w:val="center"/>
              <w:rPr>
                <w:b/>
                <w:bCs/>
                <w:sz w:val="20"/>
                <w:szCs w:val="20"/>
              </w:rPr>
            </w:pPr>
            <w:r w:rsidRPr="00626211">
              <w:rPr>
                <w:b/>
                <w:bCs/>
                <w:sz w:val="20"/>
                <w:szCs w:val="20"/>
              </w:rPr>
              <w:t>In-group</w:t>
            </w:r>
          </w:p>
        </w:tc>
        <w:tc>
          <w:tcPr>
            <w:tcW w:w="805" w:type="pct"/>
            <w:tcBorders>
              <w:top w:val="single" w:sz="4" w:space="0" w:color="auto"/>
              <w:left w:val="single" w:sz="4" w:space="0" w:color="auto"/>
              <w:bottom w:val="double" w:sz="4" w:space="0" w:color="auto"/>
            </w:tcBorders>
            <w:shd w:val="clear" w:color="auto" w:fill="FFFFFF" w:themeFill="background1"/>
            <w:vAlign w:val="center"/>
            <w:hideMark/>
          </w:tcPr>
          <w:p w14:paraId="0085F687" w14:textId="77777777" w:rsidR="00103286" w:rsidRPr="00626211" w:rsidRDefault="00103286" w:rsidP="00396352">
            <w:pPr>
              <w:spacing w:before="0" w:after="0" w:line="240" w:lineRule="auto"/>
              <w:jc w:val="center"/>
              <w:rPr>
                <w:b/>
                <w:bCs/>
                <w:sz w:val="20"/>
                <w:szCs w:val="20"/>
              </w:rPr>
            </w:pPr>
            <w:r w:rsidRPr="00626211">
              <w:rPr>
                <w:b/>
                <w:bCs/>
                <w:sz w:val="20"/>
                <w:szCs w:val="20"/>
              </w:rPr>
              <w:t>Across All Variables</w:t>
            </w:r>
          </w:p>
        </w:tc>
      </w:tr>
      <w:tr w:rsidR="00103286" w:rsidRPr="00626211" w14:paraId="271A71B2" w14:textId="77777777" w:rsidTr="00396352">
        <w:trPr>
          <w:gridAfter w:val="1"/>
          <w:wAfter w:w="5" w:type="pct"/>
          <w:trHeight w:val="86"/>
        </w:trPr>
        <w:tc>
          <w:tcPr>
            <w:tcW w:w="2100" w:type="pct"/>
            <w:tcBorders>
              <w:top w:val="double" w:sz="4" w:space="0" w:color="auto"/>
              <w:bottom w:val="single" w:sz="4" w:space="0" w:color="auto"/>
              <w:right w:val="double" w:sz="4" w:space="0" w:color="auto"/>
            </w:tcBorders>
            <w:shd w:val="clear" w:color="auto" w:fill="FFFFFF" w:themeFill="background1"/>
            <w:noWrap/>
            <w:vAlign w:val="center"/>
            <w:hideMark/>
          </w:tcPr>
          <w:p w14:paraId="30C7980E" w14:textId="77777777" w:rsidR="00103286" w:rsidRPr="00626211" w:rsidRDefault="00103286" w:rsidP="00396352">
            <w:pPr>
              <w:spacing w:before="0" w:after="0" w:line="240" w:lineRule="auto"/>
              <w:jc w:val="left"/>
              <w:rPr>
                <w:b/>
                <w:bCs/>
                <w:sz w:val="20"/>
                <w:szCs w:val="20"/>
              </w:rPr>
            </w:pPr>
            <w:r w:rsidRPr="00626211">
              <w:rPr>
                <w:b/>
                <w:bCs/>
                <w:sz w:val="20"/>
                <w:szCs w:val="20"/>
              </w:rPr>
              <w:t>Crash Risk Exposure</w:t>
            </w:r>
          </w:p>
        </w:tc>
        <w:tc>
          <w:tcPr>
            <w:tcW w:w="638" w:type="pct"/>
            <w:tcBorders>
              <w:top w:val="double" w:sz="4" w:space="0" w:color="auto"/>
              <w:bottom w:val="single" w:sz="4" w:space="0" w:color="auto"/>
              <w:right w:val="double" w:sz="4" w:space="0" w:color="auto"/>
            </w:tcBorders>
            <w:shd w:val="clear" w:color="auto" w:fill="FFFFFF" w:themeFill="background1"/>
            <w:vAlign w:val="center"/>
          </w:tcPr>
          <w:p w14:paraId="74211B86" w14:textId="77777777" w:rsidR="00103286" w:rsidRPr="00626211" w:rsidRDefault="00103286" w:rsidP="00396352">
            <w:pPr>
              <w:spacing w:before="0" w:after="0" w:line="240" w:lineRule="auto"/>
              <w:jc w:val="left"/>
              <w:rPr>
                <w:b/>
                <w:bCs/>
                <w:sz w:val="20"/>
                <w:szCs w:val="20"/>
              </w:rPr>
            </w:pPr>
          </w:p>
        </w:tc>
        <w:tc>
          <w:tcPr>
            <w:tcW w:w="714" w:type="pct"/>
            <w:tcBorders>
              <w:top w:val="double" w:sz="4" w:space="0" w:color="auto"/>
              <w:left w:val="double" w:sz="4" w:space="0" w:color="auto"/>
              <w:bottom w:val="single" w:sz="4" w:space="0" w:color="auto"/>
              <w:right w:val="single" w:sz="4" w:space="0" w:color="auto"/>
            </w:tcBorders>
            <w:shd w:val="clear" w:color="auto" w:fill="FFFFFF" w:themeFill="background1"/>
            <w:noWrap/>
            <w:vAlign w:val="center"/>
            <w:hideMark/>
          </w:tcPr>
          <w:p w14:paraId="3529E259" w14:textId="77777777" w:rsidR="00103286" w:rsidRPr="00626211" w:rsidRDefault="00103286" w:rsidP="00396352">
            <w:pPr>
              <w:spacing w:before="0" w:after="0" w:line="240" w:lineRule="auto"/>
              <w:jc w:val="right"/>
              <w:rPr>
                <w:b/>
                <w:bCs/>
                <w:sz w:val="20"/>
                <w:szCs w:val="20"/>
              </w:rPr>
            </w:pPr>
            <w:r w:rsidRPr="00626211">
              <w:rPr>
                <w:b/>
                <w:bCs/>
                <w:sz w:val="20"/>
                <w:szCs w:val="20"/>
              </w:rPr>
              <w:t>19.2</w:t>
            </w:r>
            <w:r>
              <w:rPr>
                <w:b/>
                <w:bCs/>
                <w:sz w:val="20"/>
                <w:szCs w:val="20"/>
              </w:rPr>
              <w:t>0</w:t>
            </w:r>
          </w:p>
        </w:tc>
        <w:tc>
          <w:tcPr>
            <w:tcW w:w="739" w:type="pct"/>
            <w:tcBorders>
              <w:top w:val="doub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DD398A"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805" w:type="pct"/>
            <w:tcBorders>
              <w:top w:val="double" w:sz="4" w:space="0" w:color="auto"/>
              <w:left w:val="single" w:sz="4" w:space="0" w:color="auto"/>
              <w:bottom w:val="single" w:sz="4" w:space="0" w:color="auto"/>
            </w:tcBorders>
            <w:shd w:val="clear" w:color="auto" w:fill="FFFFFF" w:themeFill="background1"/>
            <w:noWrap/>
            <w:vAlign w:val="center"/>
            <w:hideMark/>
          </w:tcPr>
          <w:p w14:paraId="1BF5285E"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r>
      <w:tr w:rsidR="00103286" w:rsidRPr="00626211" w14:paraId="0E8B22DA" w14:textId="77777777" w:rsidTr="00396352">
        <w:trPr>
          <w:gridAfter w:val="1"/>
          <w:wAfter w:w="5" w:type="pct"/>
          <w:trHeight w:val="86"/>
        </w:trPr>
        <w:tc>
          <w:tcPr>
            <w:tcW w:w="2100" w:type="pct"/>
            <w:tcBorders>
              <w:top w:val="single" w:sz="4" w:space="0" w:color="auto"/>
              <w:right w:val="double" w:sz="4" w:space="0" w:color="auto"/>
            </w:tcBorders>
            <w:shd w:val="clear" w:color="auto" w:fill="FFFFFF" w:themeFill="background1"/>
            <w:noWrap/>
            <w:vAlign w:val="center"/>
            <w:hideMark/>
          </w:tcPr>
          <w:p w14:paraId="3C888172" w14:textId="77777777" w:rsidR="00103286" w:rsidRPr="00626211" w:rsidRDefault="00103286" w:rsidP="00396352">
            <w:pPr>
              <w:spacing w:before="0" w:after="0" w:line="240" w:lineRule="auto"/>
              <w:ind w:left="150"/>
              <w:jc w:val="left"/>
              <w:rPr>
                <w:sz w:val="20"/>
                <w:szCs w:val="20"/>
              </w:rPr>
            </w:pPr>
            <w:r w:rsidRPr="00626211">
              <w:rPr>
                <w:sz w:val="20"/>
                <w:szCs w:val="20"/>
              </w:rPr>
              <w:t>Ln(Population)</w:t>
            </w:r>
          </w:p>
        </w:tc>
        <w:tc>
          <w:tcPr>
            <w:tcW w:w="638" w:type="pct"/>
            <w:tcBorders>
              <w:top w:val="single" w:sz="4" w:space="0" w:color="auto"/>
              <w:left w:val="double" w:sz="4" w:space="0" w:color="auto"/>
              <w:right w:val="double" w:sz="4" w:space="0" w:color="auto"/>
            </w:tcBorders>
            <w:shd w:val="clear" w:color="auto" w:fill="FFFFFF" w:themeFill="background1"/>
            <w:noWrap/>
            <w:vAlign w:val="center"/>
            <w:hideMark/>
          </w:tcPr>
          <w:p w14:paraId="5BDACCB4" w14:textId="77777777" w:rsidR="00103286" w:rsidRPr="00626211" w:rsidRDefault="00103286" w:rsidP="00396352">
            <w:pPr>
              <w:spacing w:before="0" w:after="0" w:line="240" w:lineRule="auto"/>
              <w:jc w:val="right"/>
              <w:rPr>
                <w:sz w:val="20"/>
                <w:szCs w:val="20"/>
              </w:rPr>
            </w:pPr>
            <w:r w:rsidRPr="00626211">
              <w:rPr>
                <w:sz w:val="20"/>
                <w:szCs w:val="20"/>
              </w:rPr>
              <w:t>32.01</w:t>
            </w:r>
          </w:p>
        </w:tc>
        <w:tc>
          <w:tcPr>
            <w:tcW w:w="714" w:type="pct"/>
            <w:vMerge w:val="restart"/>
            <w:tcBorders>
              <w:top w:val="single" w:sz="4" w:space="0" w:color="auto"/>
              <w:left w:val="double" w:sz="4" w:space="0" w:color="auto"/>
              <w:right w:val="single" w:sz="4" w:space="0" w:color="auto"/>
            </w:tcBorders>
            <w:shd w:val="clear" w:color="auto" w:fill="FFFFFF" w:themeFill="background1"/>
            <w:noWrap/>
            <w:vAlign w:val="center"/>
            <w:hideMark/>
          </w:tcPr>
          <w:p w14:paraId="73EBEA82"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739" w:type="pct"/>
            <w:tcBorders>
              <w:top w:val="single" w:sz="4" w:space="0" w:color="auto"/>
              <w:left w:val="single" w:sz="4" w:space="0" w:color="auto"/>
              <w:right w:val="single" w:sz="4" w:space="0" w:color="auto"/>
            </w:tcBorders>
            <w:shd w:val="clear" w:color="auto" w:fill="FFFFFF" w:themeFill="background1"/>
            <w:noWrap/>
            <w:vAlign w:val="center"/>
            <w:hideMark/>
          </w:tcPr>
          <w:p w14:paraId="3C906441" w14:textId="77777777" w:rsidR="00103286" w:rsidRPr="00626211" w:rsidRDefault="00103286" w:rsidP="00396352">
            <w:pPr>
              <w:spacing w:before="0" w:after="0" w:line="240" w:lineRule="auto"/>
              <w:jc w:val="right"/>
              <w:rPr>
                <w:sz w:val="20"/>
                <w:szCs w:val="20"/>
              </w:rPr>
            </w:pPr>
            <w:r w:rsidRPr="00626211">
              <w:rPr>
                <w:sz w:val="20"/>
                <w:szCs w:val="20"/>
              </w:rPr>
              <w:t>67.71</w:t>
            </w:r>
          </w:p>
        </w:tc>
        <w:tc>
          <w:tcPr>
            <w:tcW w:w="805" w:type="pct"/>
            <w:tcBorders>
              <w:top w:val="single" w:sz="4" w:space="0" w:color="auto"/>
              <w:left w:val="single" w:sz="4" w:space="0" w:color="auto"/>
            </w:tcBorders>
            <w:shd w:val="clear" w:color="auto" w:fill="FFFFFF" w:themeFill="background1"/>
            <w:noWrap/>
            <w:vAlign w:val="center"/>
            <w:hideMark/>
          </w:tcPr>
          <w:p w14:paraId="0A62E22A" w14:textId="77777777" w:rsidR="00103286" w:rsidRPr="00626211" w:rsidRDefault="00103286" w:rsidP="00396352">
            <w:pPr>
              <w:spacing w:before="0" w:after="0" w:line="240" w:lineRule="auto"/>
              <w:jc w:val="right"/>
              <w:rPr>
                <w:sz w:val="20"/>
                <w:szCs w:val="20"/>
              </w:rPr>
            </w:pPr>
            <w:r w:rsidRPr="00626211">
              <w:rPr>
                <w:sz w:val="20"/>
                <w:szCs w:val="20"/>
              </w:rPr>
              <w:t>13</w:t>
            </w:r>
            <w:r>
              <w:rPr>
                <w:sz w:val="20"/>
                <w:szCs w:val="20"/>
              </w:rPr>
              <w:t>.00</w:t>
            </w:r>
          </w:p>
        </w:tc>
      </w:tr>
      <w:tr w:rsidR="00103286" w:rsidRPr="00626211" w14:paraId="2D1E8775" w14:textId="77777777" w:rsidTr="00396352">
        <w:trPr>
          <w:gridAfter w:val="1"/>
          <w:wAfter w:w="5" w:type="pct"/>
          <w:trHeight w:val="86"/>
        </w:trPr>
        <w:tc>
          <w:tcPr>
            <w:tcW w:w="2100" w:type="pct"/>
            <w:tcBorders>
              <w:right w:val="double" w:sz="4" w:space="0" w:color="auto"/>
            </w:tcBorders>
            <w:shd w:val="clear" w:color="auto" w:fill="FFFFFF" w:themeFill="background1"/>
            <w:noWrap/>
            <w:vAlign w:val="center"/>
            <w:hideMark/>
          </w:tcPr>
          <w:p w14:paraId="0AC4C483"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Employment </w:t>
            </w:r>
            <w:r>
              <w:rPr>
                <w:sz w:val="20"/>
                <w:szCs w:val="20"/>
              </w:rPr>
              <w:t>d</w:t>
            </w:r>
            <w:r w:rsidRPr="00626211">
              <w:rPr>
                <w:sz w:val="20"/>
                <w:szCs w:val="20"/>
              </w:rPr>
              <w:t xml:space="preserve">ensity (jobs per </w:t>
            </w:r>
            <w:r>
              <w:rPr>
                <w:sz w:val="20"/>
                <w:szCs w:val="20"/>
              </w:rPr>
              <w:t xml:space="preserve">0.1 </w:t>
            </w:r>
            <w:r w:rsidRPr="00626211">
              <w:rPr>
                <w:sz w:val="20"/>
                <w:szCs w:val="20"/>
              </w:rPr>
              <w:t>acre)</w:t>
            </w:r>
          </w:p>
        </w:tc>
        <w:tc>
          <w:tcPr>
            <w:tcW w:w="638" w:type="pct"/>
            <w:tcBorders>
              <w:left w:val="double" w:sz="4" w:space="0" w:color="auto"/>
              <w:right w:val="double" w:sz="4" w:space="0" w:color="auto"/>
            </w:tcBorders>
            <w:shd w:val="clear" w:color="auto" w:fill="FFFFFF" w:themeFill="background1"/>
            <w:noWrap/>
            <w:vAlign w:val="center"/>
            <w:hideMark/>
          </w:tcPr>
          <w:p w14:paraId="39B39BB9" w14:textId="77777777" w:rsidR="00103286" w:rsidRPr="00626211" w:rsidRDefault="00103286" w:rsidP="00396352">
            <w:pPr>
              <w:spacing w:before="0" w:after="0" w:line="240" w:lineRule="auto"/>
              <w:jc w:val="right"/>
              <w:rPr>
                <w:sz w:val="20"/>
                <w:szCs w:val="20"/>
              </w:rPr>
            </w:pPr>
            <w:r w:rsidRPr="00626211">
              <w:rPr>
                <w:sz w:val="20"/>
                <w:szCs w:val="20"/>
              </w:rPr>
              <w:t>1.84</w:t>
            </w:r>
          </w:p>
        </w:tc>
        <w:tc>
          <w:tcPr>
            <w:tcW w:w="714" w:type="pct"/>
            <w:vMerge/>
            <w:tcBorders>
              <w:left w:val="double" w:sz="4" w:space="0" w:color="auto"/>
              <w:right w:val="single" w:sz="4" w:space="0" w:color="auto"/>
            </w:tcBorders>
            <w:shd w:val="clear" w:color="auto" w:fill="FFFFFF" w:themeFill="background1"/>
            <w:vAlign w:val="center"/>
            <w:hideMark/>
          </w:tcPr>
          <w:p w14:paraId="3A69E2A5" w14:textId="77777777" w:rsidR="00103286" w:rsidRPr="00626211" w:rsidRDefault="00103286" w:rsidP="00396352">
            <w:pPr>
              <w:spacing w:before="0" w:after="0" w:line="240" w:lineRule="auto"/>
              <w:jc w:val="left"/>
              <w:rPr>
                <w:b/>
                <w:bCs/>
                <w:sz w:val="20"/>
                <w:szCs w:val="20"/>
              </w:rPr>
            </w:pPr>
          </w:p>
        </w:tc>
        <w:tc>
          <w:tcPr>
            <w:tcW w:w="739" w:type="pct"/>
            <w:tcBorders>
              <w:left w:val="single" w:sz="4" w:space="0" w:color="auto"/>
              <w:right w:val="single" w:sz="4" w:space="0" w:color="auto"/>
            </w:tcBorders>
            <w:shd w:val="clear" w:color="auto" w:fill="FFFFFF" w:themeFill="background1"/>
            <w:noWrap/>
            <w:vAlign w:val="center"/>
            <w:hideMark/>
          </w:tcPr>
          <w:p w14:paraId="0B28B700" w14:textId="77777777" w:rsidR="00103286" w:rsidRPr="00626211" w:rsidRDefault="00103286" w:rsidP="00396352">
            <w:pPr>
              <w:spacing w:before="0" w:after="0" w:line="240" w:lineRule="auto"/>
              <w:jc w:val="right"/>
              <w:rPr>
                <w:sz w:val="20"/>
                <w:szCs w:val="20"/>
              </w:rPr>
            </w:pPr>
            <w:r w:rsidRPr="00626211">
              <w:rPr>
                <w:sz w:val="20"/>
                <w:szCs w:val="20"/>
              </w:rPr>
              <w:t>3.88</w:t>
            </w:r>
          </w:p>
        </w:tc>
        <w:tc>
          <w:tcPr>
            <w:tcW w:w="805" w:type="pct"/>
            <w:tcBorders>
              <w:left w:val="single" w:sz="4" w:space="0" w:color="auto"/>
            </w:tcBorders>
            <w:shd w:val="clear" w:color="auto" w:fill="FFFFFF" w:themeFill="background1"/>
            <w:noWrap/>
            <w:vAlign w:val="center"/>
            <w:hideMark/>
          </w:tcPr>
          <w:p w14:paraId="3401336C" w14:textId="77777777" w:rsidR="00103286" w:rsidRPr="00626211" w:rsidRDefault="00103286" w:rsidP="00396352">
            <w:pPr>
              <w:spacing w:before="0" w:after="0" w:line="240" w:lineRule="auto"/>
              <w:jc w:val="right"/>
              <w:rPr>
                <w:sz w:val="20"/>
                <w:szCs w:val="20"/>
              </w:rPr>
            </w:pPr>
            <w:r w:rsidRPr="00626211">
              <w:rPr>
                <w:sz w:val="20"/>
                <w:szCs w:val="20"/>
              </w:rPr>
              <w:t>0.75</w:t>
            </w:r>
          </w:p>
        </w:tc>
      </w:tr>
      <w:tr w:rsidR="00103286" w:rsidRPr="00626211" w14:paraId="1C6B3857" w14:textId="77777777" w:rsidTr="00396352">
        <w:trPr>
          <w:gridAfter w:val="1"/>
          <w:wAfter w:w="5" w:type="pct"/>
          <w:trHeight w:val="86"/>
        </w:trPr>
        <w:tc>
          <w:tcPr>
            <w:tcW w:w="2100" w:type="pct"/>
            <w:tcBorders>
              <w:right w:val="double" w:sz="4" w:space="0" w:color="auto"/>
            </w:tcBorders>
            <w:shd w:val="clear" w:color="auto" w:fill="FFFFFF" w:themeFill="background1"/>
            <w:noWrap/>
            <w:vAlign w:val="center"/>
            <w:hideMark/>
          </w:tcPr>
          <w:p w14:paraId="073F6973" w14:textId="77777777" w:rsidR="00103286" w:rsidRPr="00626211" w:rsidRDefault="00103286" w:rsidP="00396352">
            <w:pPr>
              <w:spacing w:before="0" w:after="0" w:line="240" w:lineRule="auto"/>
              <w:ind w:left="150"/>
              <w:jc w:val="left"/>
              <w:rPr>
                <w:sz w:val="20"/>
                <w:szCs w:val="20"/>
              </w:rPr>
            </w:pPr>
            <w:r w:rsidRPr="00626211">
              <w:rPr>
                <w:sz w:val="20"/>
                <w:szCs w:val="20"/>
              </w:rPr>
              <w:t>% individuals commuting by public transit</w:t>
            </w:r>
          </w:p>
        </w:tc>
        <w:tc>
          <w:tcPr>
            <w:tcW w:w="638" w:type="pct"/>
            <w:tcBorders>
              <w:left w:val="double" w:sz="4" w:space="0" w:color="auto"/>
              <w:right w:val="double" w:sz="4" w:space="0" w:color="auto"/>
            </w:tcBorders>
            <w:shd w:val="clear" w:color="auto" w:fill="FFFFFF" w:themeFill="background1"/>
            <w:noWrap/>
            <w:vAlign w:val="center"/>
            <w:hideMark/>
          </w:tcPr>
          <w:p w14:paraId="26BD215E" w14:textId="77777777" w:rsidR="00103286" w:rsidRPr="00626211" w:rsidRDefault="00103286" w:rsidP="00396352">
            <w:pPr>
              <w:spacing w:before="0" w:after="0" w:line="240" w:lineRule="auto"/>
              <w:jc w:val="right"/>
              <w:rPr>
                <w:sz w:val="20"/>
                <w:szCs w:val="20"/>
              </w:rPr>
            </w:pPr>
            <w:r w:rsidRPr="00626211">
              <w:rPr>
                <w:sz w:val="20"/>
                <w:szCs w:val="20"/>
              </w:rPr>
              <w:t>8.74</w:t>
            </w:r>
          </w:p>
        </w:tc>
        <w:tc>
          <w:tcPr>
            <w:tcW w:w="714" w:type="pct"/>
            <w:vMerge/>
            <w:tcBorders>
              <w:left w:val="double" w:sz="4" w:space="0" w:color="auto"/>
              <w:right w:val="single" w:sz="4" w:space="0" w:color="auto"/>
            </w:tcBorders>
            <w:shd w:val="clear" w:color="auto" w:fill="FFFFFF" w:themeFill="background1"/>
            <w:vAlign w:val="center"/>
            <w:hideMark/>
          </w:tcPr>
          <w:p w14:paraId="40B5DCA7" w14:textId="77777777" w:rsidR="00103286" w:rsidRPr="00626211" w:rsidRDefault="00103286" w:rsidP="00396352">
            <w:pPr>
              <w:spacing w:before="0" w:after="0" w:line="240" w:lineRule="auto"/>
              <w:jc w:val="left"/>
              <w:rPr>
                <w:b/>
                <w:bCs/>
                <w:sz w:val="20"/>
                <w:szCs w:val="20"/>
              </w:rPr>
            </w:pPr>
          </w:p>
        </w:tc>
        <w:tc>
          <w:tcPr>
            <w:tcW w:w="739" w:type="pct"/>
            <w:tcBorders>
              <w:left w:val="single" w:sz="4" w:space="0" w:color="auto"/>
              <w:right w:val="single" w:sz="4" w:space="0" w:color="auto"/>
            </w:tcBorders>
            <w:shd w:val="clear" w:color="auto" w:fill="FFFFFF" w:themeFill="background1"/>
            <w:noWrap/>
            <w:vAlign w:val="center"/>
            <w:hideMark/>
          </w:tcPr>
          <w:p w14:paraId="1BDED3C7" w14:textId="77777777" w:rsidR="00103286" w:rsidRPr="00626211" w:rsidRDefault="00103286" w:rsidP="00396352">
            <w:pPr>
              <w:spacing w:before="0" w:after="0" w:line="240" w:lineRule="auto"/>
              <w:jc w:val="right"/>
              <w:rPr>
                <w:sz w:val="20"/>
                <w:szCs w:val="20"/>
              </w:rPr>
            </w:pPr>
            <w:r w:rsidRPr="00626211">
              <w:rPr>
                <w:sz w:val="20"/>
                <w:szCs w:val="20"/>
              </w:rPr>
              <w:t>18.48</w:t>
            </w:r>
          </w:p>
        </w:tc>
        <w:tc>
          <w:tcPr>
            <w:tcW w:w="805" w:type="pct"/>
            <w:tcBorders>
              <w:left w:val="single" w:sz="4" w:space="0" w:color="auto"/>
            </w:tcBorders>
            <w:shd w:val="clear" w:color="auto" w:fill="FFFFFF" w:themeFill="background1"/>
            <w:noWrap/>
            <w:vAlign w:val="center"/>
            <w:hideMark/>
          </w:tcPr>
          <w:p w14:paraId="4E6F3C5A" w14:textId="77777777" w:rsidR="00103286" w:rsidRPr="00626211" w:rsidRDefault="00103286" w:rsidP="00396352">
            <w:pPr>
              <w:spacing w:before="0" w:after="0" w:line="240" w:lineRule="auto"/>
              <w:jc w:val="right"/>
              <w:rPr>
                <w:sz w:val="20"/>
                <w:szCs w:val="20"/>
              </w:rPr>
            </w:pPr>
            <w:r w:rsidRPr="00626211">
              <w:rPr>
                <w:sz w:val="20"/>
                <w:szCs w:val="20"/>
              </w:rPr>
              <w:t>3.55</w:t>
            </w:r>
          </w:p>
        </w:tc>
      </w:tr>
      <w:tr w:rsidR="00103286" w:rsidRPr="00626211" w14:paraId="041C2493" w14:textId="77777777" w:rsidTr="00396352">
        <w:trPr>
          <w:gridAfter w:val="1"/>
          <w:wAfter w:w="5" w:type="pct"/>
          <w:trHeight w:val="86"/>
        </w:trPr>
        <w:tc>
          <w:tcPr>
            <w:tcW w:w="2100" w:type="pct"/>
            <w:tcBorders>
              <w:bottom w:val="single" w:sz="4" w:space="0" w:color="auto"/>
              <w:right w:val="double" w:sz="4" w:space="0" w:color="auto"/>
            </w:tcBorders>
            <w:shd w:val="clear" w:color="auto" w:fill="FFFFFF" w:themeFill="background1"/>
            <w:noWrap/>
            <w:vAlign w:val="center"/>
            <w:hideMark/>
          </w:tcPr>
          <w:p w14:paraId="585D2DCE" w14:textId="77777777" w:rsidR="00103286" w:rsidRPr="00626211" w:rsidRDefault="00103286" w:rsidP="00396352">
            <w:pPr>
              <w:spacing w:before="0" w:after="0" w:line="240" w:lineRule="auto"/>
              <w:ind w:left="150"/>
              <w:jc w:val="left"/>
              <w:rPr>
                <w:sz w:val="20"/>
                <w:szCs w:val="20"/>
              </w:rPr>
            </w:pPr>
            <w:r w:rsidRPr="00626211">
              <w:rPr>
                <w:sz w:val="20"/>
                <w:szCs w:val="20"/>
              </w:rPr>
              <w:t>% individuals commuting by walking</w:t>
            </w:r>
          </w:p>
        </w:tc>
        <w:tc>
          <w:tcPr>
            <w:tcW w:w="638" w:type="pct"/>
            <w:tcBorders>
              <w:left w:val="double" w:sz="4" w:space="0" w:color="auto"/>
              <w:bottom w:val="single" w:sz="4" w:space="0" w:color="auto"/>
              <w:right w:val="double" w:sz="4" w:space="0" w:color="auto"/>
            </w:tcBorders>
            <w:shd w:val="clear" w:color="auto" w:fill="FFFFFF" w:themeFill="background1"/>
            <w:noWrap/>
            <w:vAlign w:val="center"/>
            <w:hideMark/>
          </w:tcPr>
          <w:p w14:paraId="09B32DA0" w14:textId="77777777" w:rsidR="00103286" w:rsidRPr="00626211" w:rsidRDefault="00103286" w:rsidP="00396352">
            <w:pPr>
              <w:spacing w:before="0" w:after="0" w:line="240" w:lineRule="auto"/>
              <w:jc w:val="right"/>
              <w:rPr>
                <w:sz w:val="20"/>
                <w:szCs w:val="20"/>
              </w:rPr>
            </w:pPr>
            <w:r w:rsidRPr="00626211">
              <w:rPr>
                <w:sz w:val="20"/>
                <w:szCs w:val="20"/>
              </w:rPr>
              <w:t>4.69</w:t>
            </w:r>
          </w:p>
        </w:tc>
        <w:tc>
          <w:tcPr>
            <w:tcW w:w="714" w:type="pct"/>
            <w:vMerge/>
            <w:tcBorders>
              <w:left w:val="double" w:sz="4" w:space="0" w:color="auto"/>
              <w:bottom w:val="single" w:sz="4" w:space="0" w:color="auto"/>
              <w:right w:val="single" w:sz="4" w:space="0" w:color="auto"/>
            </w:tcBorders>
            <w:shd w:val="clear" w:color="auto" w:fill="FFFFFF" w:themeFill="background1"/>
            <w:vAlign w:val="center"/>
            <w:hideMark/>
          </w:tcPr>
          <w:p w14:paraId="39EA1B48" w14:textId="77777777" w:rsidR="00103286" w:rsidRPr="00626211" w:rsidRDefault="00103286" w:rsidP="00396352">
            <w:pPr>
              <w:spacing w:before="0" w:after="0" w:line="240" w:lineRule="auto"/>
              <w:jc w:val="left"/>
              <w:rPr>
                <w:b/>
                <w:bCs/>
                <w:sz w:val="20"/>
                <w:szCs w:val="20"/>
              </w:rPr>
            </w:pPr>
          </w:p>
        </w:tc>
        <w:tc>
          <w:tcPr>
            <w:tcW w:w="739" w:type="pct"/>
            <w:tcBorders>
              <w:left w:val="single" w:sz="4" w:space="0" w:color="auto"/>
              <w:bottom w:val="single" w:sz="4" w:space="0" w:color="auto"/>
              <w:right w:val="single" w:sz="4" w:space="0" w:color="auto"/>
            </w:tcBorders>
            <w:shd w:val="clear" w:color="auto" w:fill="FFFFFF" w:themeFill="background1"/>
            <w:noWrap/>
            <w:vAlign w:val="center"/>
            <w:hideMark/>
          </w:tcPr>
          <w:p w14:paraId="65256FEC" w14:textId="77777777" w:rsidR="00103286" w:rsidRPr="00626211" w:rsidRDefault="00103286" w:rsidP="00396352">
            <w:pPr>
              <w:spacing w:before="0" w:after="0" w:line="240" w:lineRule="auto"/>
              <w:jc w:val="right"/>
              <w:rPr>
                <w:sz w:val="20"/>
                <w:szCs w:val="20"/>
              </w:rPr>
            </w:pPr>
            <w:r w:rsidRPr="00626211">
              <w:rPr>
                <w:sz w:val="20"/>
                <w:szCs w:val="20"/>
              </w:rPr>
              <w:t>9.92</w:t>
            </w:r>
          </w:p>
        </w:tc>
        <w:tc>
          <w:tcPr>
            <w:tcW w:w="805" w:type="pct"/>
            <w:tcBorders>
              <w:left w:val="single" w:sz="4" w:space="0" w:color="auto"/>
              <w:bottom w:val="single" w:sz="4" w:space="0" w:color="auto"/>
            </w:tcBorders>
            <w:shd w:val="clear" w:color="auto" w:fill="FFFFFF" w:themeFill="background1"/>
            <w:noWrap/>
            <w:vAlign w:val="center"/>
            <w:hideMark/>
          </w:tcPr>
          <w:p w14:paraId="6843979C" w14:textId="77777777" w:rsidR="00103286" w:rsidRPr="00626211" w:rsidRDefault="00103286" w:rsidP="00396352">
            <w:pPr>
              <w:spacing w:before="0" w:after="0" w:line="240" w:lineRule="auto"/>
              <w:jc w:val="right"/>
              <w:rPr>
                <w:sz w:val="20"/>
                <w:szCs w:val="20"/>
              </w:rPr>
            </w:pPr>
            <w:r w:rsidRPr="00626211">
              <w:rPr>
                <w:sz w:val="20"/>
                <w:szCs w:val="20"/>
              </w:rPr>
              <w:t>1.91</w:t>
            </w:r>
          </w:p>
        </w:tc>
      </w:tr>
      <w:tr w:rsidR="00103286" w:rsidRPr="00626211" w14:paraId="06ABDAFB"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46B3DA44" w14:textId="77777777" w:rsidR="00103286" w:rsidRPr="00626211" w:rsidRDefault="00103286" w:rsidP="00396352">
            <w:pPr>
              <w:spacing w:before="0" w:after="0" w:line="240" w:lineRule="auto"/>
              <w:jc w:val="left"/>
              <w:rPr>
                <w:b/>
                <w:bCs/>
                <w:sz w:val="20"/>
                <w:szCs w:val="20"/>
              </w:rPr>
            </w:pPr>
            <w:r w:rsidRPr="00626211">
              <w:rPr>
                <w:b/>
                <w:bCs/>
                <w:sz w:val="20"/>
                <w:szCs w:val="20"/>
              </w:rPr>
              <w:t>Cultural</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7CC94BC0"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516BF7EA" w14:textId="77777777" w:rsidR="00103286" w:rsidRPr="00626211" w:rsidRDefault="00103286" w:rsidP="00396352">
            <w:pPr>
              <w:spacing w:before="0" w:after="0" w:line="240" w:lineRule="auto"/>
              <w:jc w:val="right"/>
              <w:rPr>
                <w:b/>
                <w:bCs/>
                <w:sz w:val="20"/>
                <w:szCs w:val="20"/>
              </w:rPr>
            </w:pPr>
            <w:r w:rsidRPr="00626211">
              <w:rPr>
                <w:b/>
                <w:bCs/>
                <w:sz w:val="20"/>
                <w:szCs w:val="20"/>
              </w:rPr>
              <w:t>16.62</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12ACE4"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057F7B5A"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r>
      <w:tr w:rsidR="00103286" w:rsidRPr="00626211" w14:paraId="0D418AE5" w14:textId="77777777" w:rsidTr="00396352">
        <w:trPr>
          <w:gridAfter w:val="1"/>
          <w:wAfter w:w="5" w:type="pct"/>
          <w:trHeight w:val="86"/>
        </w:trPr>
        <w:tc>
          <w:tcPr>
            <w:tcW w:w="2100" w:type="pct"/>
            <w:tcBorders>
              <w:top w:val="single" w:sz="4" w:space="0" w:color="auto"/>
              <w:bottom w:val="nil"/>
              <w:right w:val="double" w:sz="4" w:space="0" w:color="auto"/>
            </w:tcBorders>
            <w:shd w:val="clear" w:color="auto" w:fill="FFFFFF" w:themeFill="background1"/>
            <w:noWrap/>
            <w:vAlign w:val="center"/>
            <w:hideMark/>
          </w:tcPr>
          <w:p w14:paraId="09FC73E7"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 population with </w:t>
            </w:r>
            <w:r>
              <w:rPr>
                <w:sz w:val="20"/>
                <w:szCs w:val="20"/>
              </w:rPr>
              <w:t>less than a</w:t>
            </w:r>
            <w:r w:rsidRPr="00626211">
              <w:rPr>
                <w:sz w:val="20"/>
                <w:szCs w:val="20"/>
              </w:rPr>
              <w:t xml:space="preserve"> </w:t>
            </w:r>
            <w:r>
              <w:rPr>
                <w:sz w:val="20"/>
                <w:szCs w:val="20"/>
              </w:rPr>
              <w:t>h</w:t>
            </w:r>
            <w:r w:rsidRPr="00626211">
              <w:rPr>
                <w:sz w:val="20"/>
                <w:szCs w:val="20"/>
              </w:rPr>
              <w:t>igh school diploma</w:t>
            </w:r>
          </w:p>
        </w:tc>
        <w:tc>
          <w:tcPr>
            <w:tcW w:w="638" w:type="pct"/>
            <w:tcBorders>
              <w:top w:val="single" w:sz="4" w:space="0" w:color="auto"/>
              <w:left w:val="double" w:sz="4" w:space="0" w:color="auto"/>
              <w:bottom w:val="nil"/>
              <w:right w:val="double" w:sz="4" w:space="0" w:color="auto"/>
            </w:tcBorders>
            <w:shd w:val="clear" w:color="auto" w:fill="FFFFFF" w:themeFill="background1"/>
            <w:noWrap/>
            <w:vAlign w:val="center"/>
            <w:hideMark/>
          </w:tcPr>
          <w:p w14:paraId="34F7188B" w14:textId="77777777" w:rsidR="00103286" w:rsidRPr="00626211" w:rsidRDefault="00103286" w:rsidP="00396352">
            <w:pPr>
              <w:spacing w:before="0" w:after="0" w:line="240" w:lineRule="auto"/>
              <w:jc w:val="right"/>
              <w:rPr>
                <w:sz w:val="20"/>
                <w:szCs w:val="20"/>
              </w:rPr>
            </w:pPr>
            <w:r w:rsidRPr="00626211">
              <w:rPr>
                <w:sz w:val="20"/>
                <w:szCs w:val="20"/>
              </w:rPr>
              <w:t>38.06</w:t>
            </w:r>
          </w:p>
        </w:tc>
        <w:tc>
          <w:tcPr>
            <w:tcW w:w="714" w:type="pct"/>
            <w:vMerge w:val="restart"/>
            <w:tcBorders>
              <w:top w:val="single" w:sz="4" w:space="0" w:color="auto"/>
              <w:left w:val="double" w:sz="4" w:space="0" w:color="auto"/>
              <w:bottom w:val="nil"/>
              <w:right w:val="single" w:sz="4" w:space="0" w:color="auto"/>
            </w:tcBorders>
            <w:shd w:val="clear" w:color="auto" w:fill="FFFFFF" w:themeFill="background1"/>
            <w:noWrap/>
            <w:vAlign w:val="center"/>
            <w:hideMark/>
          </w:tcPr>
          <w:p w14:paraId="06756C1C"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739" w:type="pct"/>
            <w:tcBorders>
              <w:top w:val="single" w:sz="4" w:space="0" w:color="auto"/>
              <w:left w:val="single" w:sz="4" w:space="0" w:color="auto"/>
              <w:bottom w:val="nil"/>
              <w:right w:val="single" w:sz="4" w:space="0" w:color="auto"/>
            </w:tcBorders>
            <w:shd w:val="clear" w:color="auto" w:fill="FFFFFF" w:themeFill="background1"/>
            <w:noWrap/>
            <w:vAlign w:val="center"/>
            <w:hideMark/>
          </w:tcPr>
          <w:p w14:paraId="61C118F4" w14:textId="77777777" w:rsidR="00103286" w:rsidRPr="00626211" w:rsidRDefault="00103286" w:rsidP="00396352">
            <w:pPr>
              <w:spacing w:before="0" w:after="0" w:line="240" w:lineRule="auto"/>
              <w:jc w:val="right"/>
              <w:rPr>
                <w:sz w:val="20"/>
                <w:szCs w:val="20"/>
              </w:rPr>
            </w:pPr>
            <w:r w:rsidRPr="00626211">
              <w:rPr>
                <w:sz w:val="20"/>
                <w:szCs w:val="20"/>
              </w:rPr>
              <w:t>92.99</w:t>
            </w:r>
          </w:p>
        </w:tc>
        <w:tc>
          <w:tcPr>
            <w:tcW w:w="805" w:type="pct"/>
            <w:tcBorders>
              <w:top w:val="single" w:sz="4" w:space="0" w:color="auto"/>
              <w:left w:val="single" w:sz="4" w:space="0" w:color="auto"/>
              <w:bottom w:val="nil"/>
            </w:tcBorders>
            <w:shd w:val="clear" w:color="auto" w:fill="FFFFFF" w:themeFill="background1"/>
            <w:noWrap/>
            <w:vAlign w:val="center"/>
            <w:hideMark/>
          </w:tcPr>
          <w:p w14:paraId="47E73DFA" w14:textId="77777777" w:rsidR="00103286" w:rsidRPr="00626211" w:rsidRDefault="00103286" w:rsidP="00396352">
            <w:pPr>
              <w:spacing w:before="0" w:after="0" w:line="240" w:lineRule="auto"/>
              <w:jc w:val="right"/>
              <w:rPr>
                <w:sz w:val="20"/>
                <w:szCs w:val="20"/>
              </w:rPr>
            </w:pPr>
            <w:r w:rsidRPr="00626211">
              <w:rPr>
                <w:sz w:val="20"/>
                <w:szCs w:val="20"/>
              </w:rPr>
              <w:t>15.46</w:t>
            </w:r>
          </w:p>
        </w:tc>
      </w:tr>
      <w:tr w:rsidR="00103286" w:rsidRPr="00626211" w14:paraId="1F82DD47" w14:textId="77777777" w:rsidTr="00396352">
        <w:trPr>
          <w:gridAfter w:val="1"/>
          <w:wAfter w:w="5" w:type="pct"/>
          <w:trHeight w:val="86"/>
        </w:trPr>
        <w:tc>
          <w:tcPr>
            <w:tcW w:w="2100" w:type="pct"/>
            <w:tcBorders>
              <w:top w:val="nil"/>
              <w:bottom w:val="single" w:sz="4" w:space="0" w:color="auto"/>
              <w:right w:val="double" w:sz="4" w:space="0" w:color="auto"/>
            </w:tcBorders>
            <w:shd w:val="clear" w:color="auto" w:fill="FFFFFF" w:themeFill="background1"/>
            <w:noWrap/>
            <w:vAlign w:val="center"/>
            <w:hideMark/>
          </w:tcPr>
          <w:p w14:paraId="267A3C53"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Crime </w:t>
            </w:r>
            <w:r>
              <w:rPr>
                <w:sz w:val="20"/>
                <w:szCs w:val="20"/>
              </w:rPr>
              <w:t>r</w:t>
            </w:r>
            <w:r w:rsidRPr="00626211">
              <w:rPr>
                <w:sz w:val="20"/>
                <w:szCs w:val="20"/>
              </w:rPr>
              <w:t>ate (crimes/</w:t>
            </w:r>
            <w:r>
              <w:rPr>
                <w:sz w:val="20"/>
                <w:szCs w:val="20"/>
              </w:rPr>
              <w:t>0.1</w:t>
            </w:r>
            <w:r w:rsidRPr="00626211">
              <w:rPr>
                <w:sz w:val="20"/>
                <w:szCs w:val="20"/>
              </w:rPr>
              <w:t xml:space="preserve">capita) </w:t>
            </w:r>
          </w:p>
        </w:tc>
        <w:tc>
          <w:tcPr>
            <w:tcW w:w="638" w:type="pct"/>
            <w:tcBorders>
              <w:top w:val="nil"/>
              <w:left w:val="double" w:sz="4" w:space="0" w:color="auto"/>
              <w:bottom w:val="single" w:sz="4" w:space="0" w:color="auto"/>
              <w:right w:val="double" w:sz="4" w:space="0" w:color="auto"/>
            </w:tcBorders>
            <w:shd w:val="clear" w:color="auto" w:fill="FFFFFF" w:themeFill="background1"/>
            <w:noWrap/>
            <w:vAlign w:val="center"/>
            <w:hideMark/>
          </w:tcPr>
          <w:p w14:paraId="3A68FA6B" w14:textId="77777777" w:rsidR="00103286" w:rsidRPr="00626211" w:rsidRDefault="00103286" w:rsidP="00396352">
            <w:pPr>
              <w:spacing w:before="0" w:after="0" w:line="240" w:lineRule="auto"/>
              <w:jc w:val="right"/>
              <w:rPr>
                <w:sz w:val="20"/>
                <w:szCs w:val="20"/>
              </w:rPr>
            </w:pPr>
            <w:r w:rsidRPr="00626211">
              <w:rPr>
                <w:sz w:val="20"/>
                <w:szCs w:val="20"/>
              </w:rPr>
              <w:t>2.87</w:t>
            </w:r>
          </w:p>
        </w:tc>
        <w:tc>
          <w:tcPr>
            <w:tcW w:w="714" w:type="pct"/>
            <w:vMerge/>
            <w:tcBorders>
              <w:top w:val="nil"/>
              <w:left w:val="double" w:sz="4" w:space="0" w:color="auto"/>
              <w:bottom w:val="single" w:sz="4" w:space="0" w:color="auto"/>
              <w:right w:val="single" w:sz="4" w:space="0" w:color="auto"/>
            </w:tcBorders>
            <w:shd w:val="clear" w:color="auto" w:fill="FFFFFF" w:themeFill="background1"/>
            <w:vAlign w:val="center"/>
            <w:hideMark/>
          </w:tcPr>
          <w:p w14:paraId="685BB289" w14:textId="77777777" w:rsidR="00103286" w:rsidRPr="00626211" w:rsidRDefault="00103286" w:rsidP="00396352">
            <w:pPr>
              <w:spacing w:before="0" w:after="0" w:line="240" w:lineRule="auto"/>
              <w:jc w:val="left"/>
              <w:rPr>
                <w:b/>
                <w:bCs/>
                <w:sz w:val="20"/>
                <w:szCs w:val="20"/>
              </w:rPr>
            </w:pPr>
          </w:p>
        </w:tc>
        <w:tc>
          <w:tcPr>
            <w:tcW w:w="73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20DD1F8B" w14:textId="77777777" w:rsidR="00103286" w:rsidRPr="00626211" w:rsidRDefault="00103286" w:rsidP="00396352">
            <w:pPr>
              <w:spacing w:before="0" w:after="0" w:line="240" w:lineRule="auto"/>
              <w:jc w:val="right"/>
              <w:rPr>
                <w:sz w:val="20"/>
                <w:szCs w:val="20"/>
              </w:rPr>
            </w:pPr>
            <w:r w:rsidRPr="00626211">
              <w:rPr>
                <w:sz w:val="20"/>
                <w:szCs w:val="20"/>
              </w:rPr>
              <w:t>7.01</w:t>
            </w:r>
          </w:p>
        </w:tc>
        <w:tc>
          <w:tcPr>
            <w:tcW w:w="805" w:type="pct"/>
            <w:tcBorders>
              <w:top w:val="nil"/>
              <w:left w:val="single" w:sz="4" w:space="0" w:color="auto"/>
              <w:bottom w:val="single" w:sz="4" w:space="0" w:color="auto"/>
            </w:tcBorders>
            <w:shd w:val="clear" w:color="auto" w:fill="FFFFFF" w:themeFill="background1"/>
            <w:noWrap/>
            <w:vAlign w:val="center"/>
            <w:hideMark/>
          </w:tcPr>
          <w:p w14:paraId="5E0FCEF1" w14:textId="77777777" w:rsidR="00103286" w:rsidRPr="00626211" w:rsidRDefault="00103286" w:rsidP="00396352">
            <w:pPr>
              <w:spacing w:before="0" w:after="0" w:line="240" w:lineRule="auto"/>
              <w:jc w:val="right"/>
              <w:rPr>
                <w:sz w:val="20"/>
                <w:szCs w:val="20"/>
              </w:rPr>
            </w:pPr>
            <w:r w:rsidRPr="00626211">
              <w:rPr>
                <w:sz w:val="20"/>
                <w:szCs w:val="20"/>
              </w:rPr>
              <w:t>1.16</w:t>
            </w:r>
          </w:p>
        </w:tc>
      </w:tr>
      <w:tr w:rsidR="00103286" w:rsidRPr="00626211" w14:paraId="5BE9C7F5"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7A6FAB94" w14:textId="77777777" w:rsidR="00103286" w:rsidRPr="00626211" w:rsidRDefault="00103286" w:rsidP="00396352">
            <w:pPr>
              <w:spacing w:before="0" w:after="0" w:line="240" w:lineRule="auto"/>
              <w:jc w:val="left"/>
              <w:rPr>
                <w:b/>
                <w:bCs/>
                <w:sz w:val="20"/>
                <w:szCs w:val="20"/>
              </w:rPr>
            </w:pPr>
            <w:r w:rsidRPr="00626211">
              <w:rPr>
                <w:b/>
                <w:bCs/>
                <w:sz w:val="20"/>
                <w:szCs w:val="20"/>
              </w:rPr>
              <w:t>Built Environment</w:t>
            </w:r>
          </w:p>
        </w:tc>
        <w:tc>
          <w:tcPr>
            <w:tcW w:w="638" w:type="pct"/>
            <w:tcBorders>
              <w:top w:val="single" w:sz="4" w:space="0" w:color="auto"/>
              <w:bottom w:val="single" w:sz="4" w:space="0" w:color="auto"/>
              <w:right w:val="double" w:sz="4" w:space="0" w:color="auto"/>
            </w:tcBorders>
            <w:shd w:val="clear" w:color="auto" w:fill="FFFFFF" w:themeFill="background1"/>
            <w:vAlign w:val="center"/>
          </w:tcPr>
          <w:p w14:paraId="29165536" w14:textId="77777777" w:rsidR="00103286" w:rsidRPr="00626211" w:rsidRDefault="00103286" w:rsidP="00396352">
            <w:pPr>
              <w:spacing w:before="0" w:after="0" w:line="240" w:lineRule="auto"/>
              <w:jc w:val="left"/>
              <w:rPr>
                <w:b/>
                <w:bCs/>
                <w:sz w:val="20"/>
                <w:szCs w:val="20"/>
              </w:rPr>
            </w:pP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58CFC99D" w14:textId="77777777" w:rsidR="00103286" w:rsidRPr="00626211" w:rsidRDefault="00103286" w:rsidP="00396352">
            <w:pPr>
              <w:spacing w:before="0" w:after="0" w:line="240" w:lineRule="auto"/>
              <w:jc w:val="right"/>
              <w:rPr>
                <w:b/>
                <w:bCs/>
                <w:sz w:val="20"/>
                <w:szCs w:val="20"/>
              </w:rPr>
            </w:pPr>
            <w:r w:rsidRPr="00626211">
              <w:rPr>
                <w:b/>
                <w:bCs/>
                <w:sz w:val="20"/>
                <w:szCs w:val="20"/>
              </w:rPr>
              <w:t>54.69</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767370"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79375CA3"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r>
      <w:tr w:rsidR="00103286" w:rsidRPr="00626211" w14:paraId="69D0D584"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32A8EDD4"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School Availability</w:t>
            </w:r>
          </w:p>
        </w:tc>
        <w:tc>
          <w:tcPr>
            <w:tcW w:w="638" w:type="pct"/>
            <w:tcBorders>
              <w:top w:val="single" w:sz="4" w:space="0" w:color="auto"/>
              <w:bottom w:val="single" w:sz="4" w:space="0" w:color="auto"/>
              <w:right w:val="double" w:sz="4" w:space="0" w:color="auto"/>
            </w:tcBorders>
            <w:shd w:val="clear" w:color="auto" w:fill="FFFFFF" w:themeFill="background1"/>
            <w:vAlign w:val="center"/>
          </w:tcPr>
          <w:p w14:paraId="15B8A01B" w14:textId="77777777" w:rsidR="00103286" w:rsidRPr="00626211" w:rsidRDefault="00103286" w:rsidP="00396352">
            <w:pPr>
              <w:spacing w:before="0" w:after="0" w:line="240" w:lineRule="auto"/>
              <w:jc w:val="left"/>
              <w:rPr>
                <w:b/>
                <w:bCs/>
                <w:i/>
                <w:iCs/>
                <w:sz w:val="20"/>
                <w:szCs w:val="20"/>
              </w:rPr>
            </w:pP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66E2E73A" w14:textId="77777777" w:rsidR="00103286" w:rsidRPr="00626211" w:rsidRDefault="00103286" w:rsidP="00396352">
            <w:pPr>
              <w:spacing w:before="0" w:after="0" w:line="240" w:lineRule="auto"/>
              <w:jc w:val="right"/>
              <w:rPr>
                <w:i/>
                <w:iCs/>
                <w:sz w:val="20"/>
                <w:szCs w:val="20"/>
              </w:rPr>
            </w:pPr>
            <w:r w:rsidRPr="00626211">
              <w:rPr>
                <w:i/>
                <w:iCs/>
                <w:sz w:val="20"/>
                <w:szCs w:val="20"/>
              </w:rPr>
              <w:t>12.39</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D777C"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4A6D9A9A"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r>
      <w:tr w:rsidR="00103286" w:rsidRPr="00626211" w14:paraId="4A8644E2"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0B9C256A"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 schools per </w:t>
            </w:r>
            <w:r>
              <w:rPr>
                <w:sz w:val="20"/>
                <w:szCs w:val="20"/>
              </w:rPr>
              <w:t xml:space="preserve">10 </w:t>
            </w:r>
            <w:r w:rsidRPr="00626211">
              <w:rPr>
                <w:sz w:val="20"/>
                <w:szCs w:val="20"/>
              </w:rPr>
              <w:t>acre</w:t>
            </w:r>
            <w:r>
              <w:rPr>
                <w:sz w:val="20"/>
                <w:szCs w:val="20"/>
              </w:rPr>
              <w:t xml:space="preserve">s </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0053FBAC" w14:textId="77777777" w:rsidR="00103286" w:rsidRPr="00626211" w:rsidRDefault="00103286" w:rsidP="00396352">
            <w:pPr>
              <w:spacing w:before="0" w:after="0" w:line="240" w:lineRule="auto"/>
              <w:jc w:val="right"/>
              <w:rPr>
                <w:sz w:val="20"/>
                <w:szCs w:val="20"/>
              </w:rPr>
            </w:pPr>
            <w:r w:rsidRPr="00626211">
              <w:rPr>
                <w:sz w:val="20"/>
                <w:szCs w:val="20"/>
              </w:rPr>
              <w:t>16.68</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30EAB6C0" w14:textId="77777777" w:rsidR="00103286" w:rsidRPr="00626211" w:rsidRDefault="00103286" w:rsidP="00396352">
            <w:pPr>
              <w:spacing w:before="0" w:after="0" w:line="240" w:lineRule="auto"/>
              <w:jc w:val="right"/>
              <w:rPr>
                <w:sz w:val="20"/>
                <w:szCs w:val="20"/>
              </w:rPr>
            </w:pPr>
            <w:r w:rsidRPr="00626211">
              <w:rPr>
                <w:sz w:val="20"/>
                <w:szCs w:val="20"/>
              </w:rPr>
              <w:t> </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719F3F" w14:textId="77777777" w:rsidR="00103286" w:rsidRPr="00626211" w:rsidRDefault="00103286" w:rsidP="00396352">
            <w:pPr>
              <w:spacing w:before="0" w:after="0" w:line="240" w:lineRule="auto"/>
              <w:jc w:val="right"/>
              <w:rPr>
                <w:sz w:val="20"/>
                <w:szCs w:val="20"/>
              </w:rPr>
            </w:pPr>
            <w:r w:rsidRPr="00626211">
              <w:rPr>
                <w:sz w:val="20"/>
                <w:szCs w:val="20"/>
              </w:rPr>
              <w:t>12.39</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1CF6FE4B" w14:textId="77777777" w:rsidR="00103286" w:rsidRPr="00626211" w:rsidRDefault="00103286" w:rsidP="00396352">
            <w:pPr>
              <w:spacing w:before="0" w:after="0" w:line="240" w:lineRule="auto"/>
              <w:jc w:val="right"/>
              <w:rPr>
                <w:sz w:val="20"/>
                <w:szCs w:val="20"/>
              </w:rPr>
            </w:pPr>
            <w:r w:rsidRPr="00626211">
              <w:rPr>
                <w:sz w:val="20"/>
                <w:szCs w:val="20"/>
              </w:rPr>
              <w:t>6.77</w:t>
            </w:r>
          </w:p>
        </w:tc>
      </w:tr>
      <w:tr w:rsidR="00103286" w:rsidRPr="00626211" w14:paraId="37D38D81"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1C0D7070" w14:textId="77777777" w:rsidR="00103286" w:rsidRPr="00342D93" w:rsidRDefault="00103286" w:rsidP="00396352">
            <w:pPr>
              <w:spacing w:before="0" w:after="0" w:line="240" w:lineRule="auto"/>
              <w:jc w:val="left"/>
              <w:rPr>
                <w:b/>
                <w:bCs/>
                <w:i/>
                <w:iCs/>
                <w:sz w:val="20"/>
                <w:szCs w:val="20"/>
              </w:rPr>
            </w:pPr>
            <w:r w:rsidRPr="00342D93">
              <w:rPr>
                <w:b/>
                <w:bCs/>
                <w:i/>
                <w:iCs/>
                <w:sz w:val="20"/>
                <w:szCs w:val="20"/>
              </w:rPr>
              <w:t xml:space="preserve">Transit Availability </w:t>
            </w:r>
          </w:p>
        </w:tc>
        <w:tc>
          <w:tcPr>
            <w:tcW w:w="638" w:type="pct"/>
            <w:tcBorders>
              <w:top w:val="single" w:sz="4" w:space="0" w:color="auto"/>
              <w:bottom w:val="single" w:sz="4" w:space="0" w:color="auto"/>
              <w:right w:val="double" w:sz="4" w:space="0" w:color="auto"/>
            </w:tcBorders>
            <w:shd w:val="clear" w:color="auto" w:fill="FFFFFF" w:themeFill="background1"/>
            <w:vAlign w:val="center"/>
          </w:tcPr>
          <w:p w14:paraId="4A9F4676" w14:textId="77777777" w:rsidR="00103286" w:rsidRPr="00342D93" w:rsidRDefault="00103286" w:rsidP="00396352">
            <w:pPr>
              <w:spacing w:before="0" w:after="0" w:line="240" w:lineRule="auto"/>
              <w:jc w:val="left"/>
              <w:rPr>
                <w:b/>
                <w:bCs/>
                <w:i/>
                <w:iCs/>
                <w:sz w:val="20"/>
                <w:szCs w:val="20"/>
              </w:rPr>
            </w:pP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5B5F0B89" w14:textId="77777777" w:rsidR="00103286" w:rsidRPr="00342D93" w:rsidRDefault="00103286" w:rsidP="00396352">
            <w:pPr>
              <w:spacing w:before="0" w:after="0" w:line="240" w:lineRule="auto"/>
              <w:jc w:val="right"/>
              <w:rPr>
                <w:i/>
                <w:iCs/>
                <w:sz w:val="20"/>
                <w:szCs w:val="20"/>
              </w:rPr>
            </w:pPr>
            <w:r w:rsidRPr="00342D93">
              <w:rPr>
                <w:i/>
                <w:iCs/>
                <w:sz w:val="20"/>
                <w:szCs w:val="20"/>
              </w:rPr>
              <w:t>26.81</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4A6B79"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0A09DF98"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r>
      <w:tr w:rsidR="00103286" w:rsidRPr="00626211" w14:paraId="7B75B91B"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49E86C0C" w14:textId="77777777" w:rsidR="00103286" w:rsidRPr="00342D93" w:rsidRDefault="00103286" w:rsidP="00396352">
            <w:pPr>
              <w:spacing w:before="0" w:after="0" w:line="240" w:lineRule="auto"/>
              <w:ind w:left="150"/>
              <w:jc w:val="left"/>
              <w:rPr>
                <w:sz w:val="20"/>
                <w:szCs w:val="20"/>
              </w:rPr>
            </w:pPr>
            <w:r w:rsidRPr="00342D93">
              <w:rPr>
                <w:sz w:val="20"/>
                <w:szCs w:val="20"/>
              </w:rPr>
              <w:t># of bus stops per 10 acres</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7485EE8F" w14:textId="77777777" w:rsidR="00103286" w:rsidRPr="00342D93" w:rsidRDefault="00103286" w:rsidP="00396352">
            <w:pPr>
              <w:spacing w:before="0" w:after="0" w:line="240" w:lineRule="auto"/>
              <w:jc w:val="right"/>
              <w:rPr>
                <w:sz w:val="20"/>
                <w:szCs w:val="20"/>
              </w:rPr>
            </w:pPr>
            <w:r w:rsidRPr="00342D93">
              <w:rPr>
                <w:sz w:val="20"/>
                <w:szCs w:val="20"/>
              </w:rPr>
              <w:t>36.1</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511DDADC" w14:textId="77777777" w:rsidR="00103286" w:rsidRPr="00342D93" w:rsidRDefault="00103286" w:rsidP="00396352">
            <w:pPr>
              <w:spacing w:before="0" w:after="0" w:line="240" w:lineRule="auto"/>
              <w:jc w:val="left"/>
            </w:pPr>
            <w:r w:rsidRPr="00342D93">
              <w:t> </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620DF5" w14:textId="77777777" w:rsidR="00103286" w:rsidRPr="00626211" w:rsidRDefault="00103286" w:rsidP="00396352">
            <w:pPr>
              <w:spacing w:before="0" w:after="0" w:line="240" w:lineRule="auto"/>
              <w:jc w:val="right"/>
              <w:rPr>
                <w:sz w:val="20"/>
                <w:szCs w:val="20"/>
              </w:rPr>
            </w:pPr>
            <w:r w:rsidRPr="00626211">
              <w:rPr>
                <w:sz w:val="20"/>
                <w:szCs w:val="20"/>
              </w:rPr>
              <w:t>26.81</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29BE0FED" w14:textId="77777777" w:rsidR="00103286" w:rsidRPr="00626211" w:rsidRDefault="00103286" w:rsidP="00396352">
            <w:pPr>
              <w:spacing w:before="0" w:after="0" w:line="240" w:lineRule="auto"/>
              <w:jc w:val="right"/>
              <w:rPr>
                <w:sz w:val="20"/>
                <w:szCs w:val="20"/>
              </w:rPr>
            </w:pPr>
            <w:r w:rsidRPr="00626211">
              <w:rPr>
                <w:sz w:val="20"/>
                <w:szCs w:val="20"/>
              </w:rPr>
              <w:t>14.66</w:t>
            </w:r>
          </w:p>
        </w:tc>
      </w:tr>
      <w:tr w:rsidR="00103286" w:rsidRPr="00626211" w14:paraId="4CEE9897"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6E4B4D7C" w14:textId="77777777" w:rsidR="00103286" w:rsidRPr="00342D93" w:rsidRDefault="00103286" w:rsidP="00396352">
            <w:pPr>
              <w:spacing w:before="0" w:after="0" w:line="240" w:lineRule="auto"/>
              <w:jc w:val="left"/>
              <w:rPr>
                <w:b/>
                <w:bCs/>
                <w:i/>
                <w:iCs/>
                <w:sz w:val="20"/>
                <w:szCs w:val="20"/>
              </w:rPr>
            </w:pPr>
            <w:r w:rsidRPr="00342D93">
              <w:rPr>
                <w:b/>
                <w:bCs/>
                <w:i/>
                <w:iCs/>
                <w:sz w:val="20"/>
                <w:szCs w:val="20"/>
              </w:rPr>
              <w:t>Road Design</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59E87C44" w14:textId="77777777" w:rsidR="00103286" w:rsidRPr="00342D93" w:rsidRDefault="00103286" w:rsidP="00396352">
            <w:pPr>
              <w:spacing w:before="0" w:after="0" w:line="240" w:lineRule="auto"/>
              <w:jc w:val="left"/>
              <w:rPr>
                <w:b/>
                <w:bCs/>
                <w:i/>
                <w:iCs/>
                <w:sz w:val="20"/>
                <w:szCs w:val="20"/>
              </w:rPr>
            </w:pPr>
            <w:r w:rsidRPr="00342D93">
              <w:rPr>
                <w:b/>
                <w:bCs/>
                <w:i/>
                <w:iCs/>
                <w:sz w:val="20"/>
                <w:szCs w:val="20"/>
              </w:rPr>
              <w:t> </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46F41E09" w14:textId="77777777" w:rsidR="00103286" w:rsidRPr="00342D93" w:rsidRDefault="00103286" w:rsidP="00396352">
            <w:pPr>
              <w:spacing w:before="0" w:after="0" w:line="240" w:lineRule="auto"/>
              <w:jc w:val="right"/>
              <w:rPr>
                <w:i/>
                <w:iCs/>
                <w:sz w:val="20"/>
                <w:szCs w:val="20"/>
              </w:rPr>
            </w:pPr>
            <w:r w:rsidRPr="00342D93">
              <w:rPr>
                <w:i/>
                <w:iCs/>
                <w:sz w:val="20"/>
                <w:szCs w:val="20"/>
              </w:rPr>
              <w:t>34.95</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31173D"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5C553C13"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r>
      <w:tr w:rsidR="00103286" w:rsidRPr="00626211" w14:paraId="1C631E3D" w14:textId="77777777" w:rsidTr="00396352">
        <w:trPr>
          <w:gridAfter w:val="1"/>
          <w:wAfter w:w="5" w:type="pct"/>
          <w:trHeight w:val="86"/>
        </w:trPr>
        <w:tc>
          <w:tcPr>
            <w:tcW w:w="2100" w:type="pct"/>
            <w:tcBorders>
              <w:top w:val="single" w:sz="4" w:space="0" w:color="auto"/>
              <w:right w:val="double" w:sz="4" w:space="0" w:color="auto"/>
            </w:tcBorders>
            <w:shd w:val="clear" w:color="auto" w:fill="FFFFFF" w:themeFill="background1"/>
            <w:noWrap/>
            <w:vAlign w:val="center"/>
            <w:hideMark/>
          </w:tcPr>
          <w:p w14:paraId="7860C413" w14:textId="77777777" w:rsidR="00103286" w:rsidRPr="00342D93" w:rsidRDefault="00103286" w:rsidP="00396352">
            <w:pPr>
              <w:spacing w:before="0" w:after="0" w:line="240" w:lineRule="auto"/>
              <w:ind w:left="150"/>
              <w:jc w:val="left"/>
              <w:rPr>
                <w:sz w:val="20"/>
                <w:szCs w:val="20"/>
              </w:rPr>
            </w:pPr>
            <w:r w:rsidRPr="00342D93">
              <w:rPr>
                <w:sz w:val="20"/>
                <w:szCs w:val="20"/>
              </w:rPr>
              <w:t># intersections per acre</w:t>
            </w:r>
          </w:p>
        </w:tc>
        <w:tc>
          <w:tcPr>
            <w:tcW w:w="638" w:type="pct"/>
            <w:tcBorders>
              <w:top w:val="single" w:sz="4" w:space="0" w:color="auto"/>
              <w:left w:val="double" w:sz="4" w:space="0" w:color="auto"/>
              <w:right w:val="double" w:sz="4" w:space="0" w:color="auto"/>
            </w:tcBorders>
            <w:shd w:val="clear" w:color="auto" w:fill="FFFFFF" w:themeFill="background1"/>
            <w:noWrap/>
            <w:vAlign w:val="center"/>
            <w:hideMark/>
          </w:tcPr>
          <w:p w14:paraId="334F0A55" w14:textId="77777777" w:rsidR="00103286" w:rsidRPr="00342D93" w:rsidRDefault="00103286" w:rsidP="00396352">
            <w:pPr>
              <w:spacing w:before="0" w:after="0" w:line="240" w:lineRule="auto"/>
              <w:jc w:val="right"/>
              <w:rPr>
                <w:sz w:val="20"/>
                <w:szCs w:val="20"/>
              </w:rPr>
            </w:pPr>
            <w:r w:rsidRPr="00342D93">
              <w:rPr>
                <w:sz w:val="20"/>
                <w:szCs w:val="20"/>
              </w:rPr>
              <w:t>13.87</w:t>
            </w:r>
          </w:p>
        </w:tc>
        <w:tc>
          <w:tcPr>
            <w:tcW w:w="714" w:type="pct"/>
            <w:vMerge w:val="restart"/>
            <w:tcBorders>
              <w:top w:val="single" w:sz="4" w:space="0" w:color="auto"/>
              <w:left w:val="double" w:sz="4" w:space="0" w:color="auto"/>
              <w:right w:val="single" w:sz="4" w:space="0" w:color="auto"/>
            </w:tcBorders>
            <w:shd w:val="clear" w:color="auto" w:fill="FFFFFF" w:themeFill="background1"/>
            <w:noWrap/>
            <w:vAlign w:val="center"/>
            <w:hideMark/>
          </w:tcPr>
          <w:p w14:paraId="7A4C3B6A" w14:textId="77777777" w:rsidR="00103286" w:rsidRPr="00342D93" w:rsidRDefault="00103286" w:rsidP="00396352">
            <w:pPr>
              <w:spacing w:before="0" w:after="0" w:line="240" w:lineRule="auto"/>
              <w:jc w:val="left"/>
              <w:rPr>
                <w:sz w:val="20"/>
                <w:szCs w:val="20"/>
              </w:rPr>
            </w:pPr>
            <w:r w:rsidRPr="00342D93">
              <w:rPr>
                <w:sz w:val="20"/>
                <w:szCs w:val="20"/>
              </w:rPr>
              <w:t> </w:t>
            </w:r>
          </w:p>
        </w:tc>
        <w:tc>
          <w:tcPr>
            <w:tcW w:w="739" w:type="pct"/>
            <w:tcBorders>
              <w:top w:val="single" w:sz="4" w:space="0" w:color="auto"/>
              <w:left w:val="single" w:sz="4" w:space="0" w:color="auto"/>
              <w:right w:val="single" w:sz="4" w:space="0" w:color="auto"/>
            </w:tcBorders>
            <w:shd w:val="clear" w:color="auto" w:fill="FFFFFF" w:themeFill="background1"/>
            <w:noWrap/>
            <w:vAlign w:val="center"/>
            <w:hideMark/>
          </w:tcPr>
          <w:p w14:paraId="599037DC" w14:textId="77777777" w:rsidR="00103286" w:rsidRPr="00626211" w:rsidRDefault="00103286" w:rsidP="00396352">
            <w:pPr>
              <w:spacing w:before="0" w:after="0" w:line="240" w:lineRule="auto"/>
              <w:jc w:val="right"/>
              <w:rPr>
                <w:sz w:val="20"/>
                <w:szCs w:val="20"/>
              </w:rPr>
            </w:pPr>
            <w:r w:rsidRPr="00626211">
              <w:rPr>
                <w:sz w:val="20"/>
                <w:szCs w:val="20"/>
              </w:rPr>
              <w:t>10.3</w:t>
            </w:r>
            <w:r>
              <w:rPr>
                <w:sz w:val="20"/>
                <w:szCs w:val="20"/>
              </w:rPr>
              <w:t>0</w:t>
            </w:r>
          </w:p>
        </w:tc>
        <w:tc>
          <w:tcPr>
            <w:tcW w:w="805" w:type="pct"/>
            <w:tcBorders>
              <w:top w:val="single" w:sz="4" w:space="0" w:color="auto"/>
              <w:left w:val="single" w:sz="4" w:space="0" w:color="auto"/>
            </w:tcBorders>
            <w:shd w:val="clear" w:color="auto" w:fill="FFFFFF" w:themeFill="background1"/>
            <w:noWrap/>
            <w:vAlign w:val="center"/>
            <w:hideMark/>
          </w:tcPr>
          <w:p w14:paraId="0CBBD18F" w14:textId="77777777" w:rsidR="00103286" w:rsidRPr="00626211" w:rsidRDefault="00103286" w:rsidP="00396352">
            <w:pPr>
              <w:spacing w:before="0" w:after="0" w:line="240" w:lineRule="auto"/>
              <w:jc w:val="right"/>
              <w:rPr>
                <w:sz w:val="20"/>
                <w:szCs w:val="20"/>
              </w:rPr>
            </w:pPr>
            <w:r w:rsidRPr="00626211">
              <w:rPr>
                <w:sz w:val="20"/>
                <w:szCs w:val="20"/>
              </w:rPr>
              <w:t>5.63</w:t>
            </w:r>
          </w:p>
        </w:tc>
      </w:tr>
      <w:tr w:rsidR="00103286" w:rsidRPr="00626211" w14:paraId="39F92139" w14:textId="77777777" w:rsidTr="00396352">
        <w:trPr>
          <w:gridAfter w:val="1"/>
          <w:wAfter w:w="5" w:type="pct"/>
          <w:trHeight w:val="86"/>
        </w:trPr>
        <w:tc>
          <w:tcPr>
            <w:tcW w:w="2100" w:type="pct"/>
            <w:tcBorders>
              <w:right w:val="double" w:sz="4" w:space="0" w:color="auto"/>
            </w:tcBorders>
            <w:shd w:val="clear" w:color="auto" w:fill="FFFFFF" w:themeFill="background1"/>
            <w:noWrap/>
            <w:vAlign w:val="center"/>
            <w:hideMark/>
          </w:tcPr>
          <w:p w14:paraId="218BC1FC" w14:textId="77777777" w:rsidR="00103286" w:rsidRPr="00626211" w:rsidRDefault="00103286" w:rsidP="00396352">
            <w:pPr>
              <w:spacing w:before="0" w:after="0" w:line="240" w:lineRule="auto"/>
              <w:ind w:left="150"/>
              <w:jc w:val="left"/>
              <w:rPr>
                <w:sz w:val="20"/>
                <w:szCs w:val="20"/>
              </w:rPr>
            </w:pPr>
            <w:r w:rsidRPr="00626211">
              <w:rPr>
                <w:sz w:val="20"/>
                <w:szCs w:val="20"/>
              </w:rPr>
              <w:t>% four or more–leg intersections</w:t>
            </w:r>
          </w:p>
        </w:tc>
        <w:tc>
          <w:tcPr>
            <w:tcW w:w="638" w:type="pct"/>
            <w:tcBorders>
              <w:left w:val="double" w:sz="4" w:space="0" w:color="auto"/>
              <w:right w:val="double" w:sz="4" w:space="0" w:color="auto"/>
            </w:tcBorders>
            <w:shd w:val="clear" w:color="auto" w:fill="FFFFFF" w:themeFill="background1"/>
            <w:noWrap/>
            <w:vAlign w:val="center"/>
            <w:hideMark/>
          </w:tcPr>
          <w:p w14:paraId="099DA064" w14:textId="77777777" w:rsidR="00103286" w:rsidRPr="00626211" w:rsidRDefault="00103286" w:rsidP="00396352">
            <w:pPr>
              <w:spacing w:before="0" w:after="0" w:line="240" w:lineRule="auto"/>
              <w:jc w:val="right"/>
              <w:rPr>
                <w:sz w:val="20"/>
                <w:szCs w:val="20"/>
              </w:rPr>
            </w:pPr>
            <w:r w:rsidRPr="00626211">
              <w:rPr>
                <w:sz w:val="20"/>
                <w:szCs w:val="20"/>
              </w:rPr>
              <w:t>15.9</w:t>
            </w:r>
            <w:r>
              <w:rPr>
                <w:sz w:val="20"/>
                <w:szCs w:val="20"/>
              </w:rPr>
              <w:t>0</w:t>
            </w:r>
          </w:p>
        </w:tc>
        <w:tc>
          <w:tcPr>
            <w:tcW w:w="714" w:type="pct"/>
            <w:vMerge/>
            <w:tcBorders>
              <w:left w:val="double" w:sz="4" w:space="0" w:color="auto"/>
              <w:right w:val="single" w:sz="4" w:space="0" w:color="auto"/>
            </w:tcBorders>
            <w:shd w:val="clear" w:color="auto" w:fill="FFFFFF" w:themeFill="background1"/>
            <w:vAlign w:val="center"/>
            <w:hideMark/>
          </w:tcPr>
          <w:p w14:paraId="7F1EC682" w14:textId="77777777" w:rsidR="00103286" w:rsidRPr="00626211" w:rsidRDefault="00103286" w:rsidP="00396352">
            <w:pPr>
              <w:spacing w:before="0" w:after="0" w:line="240" w:lineRule="auto"/>
              <w:jc w:val="left"/>
              <w:rPr>
                <w:sz w:val="20"/>
                <w:szCs w:val="20"/>
              </w:rPr>
            </w:pPr>
          </w:p>
        </w:tc>
        <w:tc>
          <w:tcPr>
            <w:tcW w:w="739" w:type="pct"/>
            <w:tcBorders>
              <w:left w:val="single" w:sz="4" w:space="0" w:color="auto"/>
              <w:right w:val="single" w:sz="4" w:space="0" w:color="auto"/>
            </w:tcBorders>
            <w:shd w:val="clear" w:color="auto" w:fill="FFFFFF" w:themeFill="background1"/>
            <w:noWrap/>
            <w:vAlign w:val="center"/>
            <w:hideMark/>
          </w:tcPr>
          <w:p w14:paraId="5AB2738B" w14:textId="77777777" w:rsidR="00103286" w:rsidRPr="00626211" w:rsidRDefault="00103286" w:rsidP="00396352">
            <w:pPr>
              <w:spacing w:before="0" w:after="0" w:line="240" w:lineRule="auto"/>
              <w:jc w:val="right"/>
              <w:rPr>
                <w:sz w:val="20"/>
                <w:szCs w:val="20"/>
              </w:rPr>
            </w:pPr>
            <w:r w:rsidRPr="00626211">
              <w:rPr>
                <w:sz w:val="20"/>
                <w:szCs w:val="20"/>
              </w:rPr>
              <w:t>11.81</w:t>
            </w:r>
          </w:p>
        </w:tc>
        <w:tc>
          <w:tcPr>
            <w:tcW w:w="805" w:type="pct"/>
            <w:tcBorders>
              <w:left w:val="single" w:sz="4" w:space="0" w:color="auto"/>
            </w:tcBorders>
            <w:shd w:val="clear" w:color="auto" w:fill="FFFFFF" w:themeFill="background1"/>
            <w:noWrap/>
            <w:vAlign w:val="center"/>
            <w:hideMark/>
          </w:tcPr>
          <w:p w14:paraId="0B078154" w14:textId="77777777" w:rsidR="00103286" w:rsidRPr="00626211" w:rsidRDefault="00103286" w:rsidP="00396352">
            <w:pPr>
              <w:spacing w:before="0" w:after="0" w:line="240" w:lineRule="auto"/>
              <w:jc w:val="right"/>
              <w:rPr>
                <w:sz w:val="20"/>
                <w:szCs w:val="20"/>
              </w:rPr>
            </w:pPr>
            <w:r w:rsidRPr="00626211">
              <w:rPr>
                <w:sz w:val="20"/>
                <w:szCs w:val="20"/>
              </w:rPr>
              <w:t>6.46</w:t>
            </w:r>
          </w:p>
        </w:tc>
      </w:tr>
      <w:tr w:rsidR="00103286" w:rsidRPr="00626211" w14:paraId="698E6B28" w14:textId="77777777" w:rsidTr="00396352">
        <w:trPr>
          <w:gridAfter w:val="1"/>
          <w:wAfter w:w="5" w:type="pct"/>
          <w:trHeight w:val="86"/>
        </w:trPr>
        <w:tc>
          <w:tcPr>
            <w:tcW w:w="2100" w:type="pct"/>
            <w:tcBorders>
              <w:right w:val="double" w:sz="4" w:space="0" w:color="auto"/>
            </w:tcBorders>
            <w:shd w:val="clear" w:color="auto" w:fill="FFFFFF" w:themeFill="background1"/>
            <w:noWrap/>
            <w:vAlign w:val="center"/>
            <w:hideMark/>
          </w:tcPr>
          <w:p w14:paraId="257C59E8" w14:textId="77777777" w:rsidR="00103286" w:rsidRPr="00626211" w:rsidRDefault="00103286" w:rsidP="00396352">
            <w:pPr>
              <w:spacing w:before="0" w:after="0" w:line="240" w:lineRule="auto"/>
              <w:ind w:left="150"/>
              <w:jc w:val="left"/>
              <w:rPr>
                <w:sz w:val="20"/>
                <w:szCs w:val="20"/>
              </w:rPr>
            </w:pPr>
            <w:r w:rsidRPr="00626211">
              <w:rPr>
                <w:sz w:val="20"/>
                <w:szCs w:val="20"/>
              </w:rPr>
              <w:t># traffic signals relative to # of intersections</w:t>
            </w:r>
          </w:p>
        </w:tc>
        <w:tc>
          <w:tcPr>
            <w:tcW w:w="638" w:type="pct"/>
            <w:tcBorders>
              <w:left w:val="double" w:sz="4" w:space="0" w:color="auto"/>
              <w:right w:val="double" w:sz="4" w:space="0" w:color="auto"/>
            </w:tcBorders>
            <w:shd w:val="clear" w:color="auto" w:fill="FFFFFF" w:themeFill="background1"/>
            <w:noWrap/>
            <w:vAlign w:val="center"/>
            <w:hideMark/>
          </w:tcPr>
          <w:p w14:paraId="2E91D6B9" w14:textId="77777777" w:rsidR="00103286" w:rsidRPr="00626211" w:rsidRDefault="00103286" w:rsidP="00396352">
            <w:pPr>
              <w:spacing w:before="0" w:after="0" w:line="240" w:lineRule="auto"/>
              <w:jc w:val="right"/>
              <w:rPr>
                <w:sz w:val="20"/>
                <w:szCs w:val="20"/>
              </w:rPr>
            </w:pPr>
            <w:r w:rsidRPr="00626211">
              <w:rPr>
                <w:sz w:val="20"/>
                <w:szCs w:val="20"/>
              </w:rPr>
              <w:t>4.93</w:t>
            </w:r>
          </w:p>
        </w:tc>
        <w:tc>
          <w:tcPr>
            <w:tcW w:w="714" w:type="pct"/>
            <w:vMerge/>
            <w:tcBorders>
              <w:left w:val="double" w:sz="4" w:space="0" w:color="auto"/>
              <w:right w:val="single" w:sz="4" w:space="0" w:color="auto"/>
            </w:tcBorders>
            <w:shd w:val="clear" w:color="auto" w:fill="FFFFFF" w:themeFill="background1"/>
            <w:vAlign w:val="center"/>
            <w:hideMark/>
          </w:tcPr>
          <w:p w14:paraId="2BE74EF3" w14:textId="77777777" w:rsidR="00103286" w:rsidRPr="00626211" w:rsidRDefault="00103286" w:rsidP="00396352">
            <w:pPr>
              <w:spacing w:before="0" w:after="0" w:line="240" w:lineRule="auto"/>
              <w:jc w:val="left"/>
              <w:rPr>
                <w:sz w:val="20"/>
                <w:szCs w:val="20"/>
              </w:rPr>
            </w:pPr>
          </w:p>
        </w:tc>
        <w:tc>
          <w:tcPr>
            <w:tcW w:w="739" w:type="pct"/>
            <w:tcBorders>
              <w:left w:val="single" w:sz="4" w:space="0" w:color="auto"/>
              <w:right w:val="single" w:sz="4" w:space="0" w:color="auto"/>
            </w:tcBorders>
            <w:shd w:val="clear" w:color="auto" w:fill="FFFFFF" w:themeFill="background1"/>
            <w:noWrap/>
            <w:vAlign w:val="center"/>
            <w:hideMark/>
          </w:tcPr>
          <w:p w14:paraId="63CC8EA7" w14:textId="77777777" w:rsidR="00103286" w:rsidRPr="00626211" w:rsidRDefault="00103286" w:rsidP="00396352">
            <w:pPr>
              <w:spacing w:before="0" w:after="0" w:line="240" w:lineRule="auto"/>
              <w:jc w:val="right"/>
              <w:rPr>
                <w:sz w:val="20"/>
                <w:szCs w:val="20"/>
              </w:rPr>
            </w:pPr>
            <w:r w:rsidRPr="00626211">
              <w:rPr>
                <w:sz w:val="20"/>
                <w:szCs w:val="20"/>
              </w:rPr>
              <w:t>3.66</w:t>
            </w:r>
          </w:p>
        </w:tc>
        <w:tc>
          <w:tcPr>
            <w:tcW w:w="805" w:type="pct"/>
            <w:tcBorders>
              <w:left w:val="single" w:sz="4" w:space="0" w:color="auto"/>
            </w:tcBorders>
            <w:shd w:val="clear" w:color="auto" w:fill="FFFFFF" w:themeFill="background1"/>
            <w:noWrap/>
            <w:vAlign w:val="center"/>
            <w:hideMark/>
          </w:tcPr>
          <w:p w14:paraId="3989765C" w14:textId="77777777" w:rsidR="00103286" w:rsidRPr="00626211" w:rsidRDefault="00103286" w:rsidP="00396352">
            <w:pPr>
              <w:spacing w:before="0" w:after="0" w:line="240" w:lineRule="auto"/>
              <w:jc w:val="right"/>
              <w:rPr>
                <w:sz w:val="20"/>
                <w:szCs w:val="20"/>
              </w:rPr>
            </w:pPr>
            <w:r w:rsidRPr="00626211">
              <w:rPr>
                <w:sz w:val="20"/>
                <w:szCs w:val="20"/>
              </w:rPr>
              <w:t>2</w:t>
            </w:r>
          </w:p>
        </w:tc>
      </w:tr>
      <w:tr w:rsidR="00103286" w:rsidRPr="00626211" w14:paraId="7AA9AA38" w14:textId="77777777" w:rsidTr="00396352">
        <w:trPr>
          <w:gridAfter w:val="1"/>
          <w:wAfter w:w="5" w:type="pct"/>
          <w:trHeight w:val="86"/>
        </w:trPr>
        <w:tc>
          <w:tcPr>
            <w:tcW w:w="2100" w:type="pct"/>
            <w:tcBorders>
              <w:right w:val="double" w:sz="4" w:space="0" w:color="auto"/>
            </w:tcBorders>
            <w:shd w:val="clear" w:color="auto" w:fill="FFFFFF" w:themeFill="background1"/>
            <w:noWrap/>
            <w:vAlign w:val="center"/>
            <w:hideMark/>
          </w:tcPr>
          <w:p w14:paraId="17B1BF2A" w14:textId="77777777" w:rsidR="00103286" w:rsidRPr="00626211" w:rsidRDefault="00103286" w:rsidP="00396352">
            <w:pPr>
              <w:spacing w:before="0" w:after="0" w:line="240" w:lineRule="auto"/>
              <w:ind w:left="150"/>
              <w:jc w:val="left"/>
              <w:rPr>
                <w:sz w:val="20"/>
                <w:szCs w:val="20"/>
              </w:rPr>
            </w:pPr>
            <w:r w:rsidRPr="00626211">
              <w:rPr>
                <w:sz w:val="20"/>
                <w:szCs w:val="20"/>
              </w:rPr>
              <w:t>% Freeway miles</w:t>
            </w:r>
          </w:p>
        </w:tc>
        <w:tc>
          <w:tcPr>
            <w:tcW w:w="638" w:type="pct"/>
            <w:tcBorders>
              <w:left w:val="double" w:sz="4" w:space="0" w:color="auto"/>
              <w:right w:val="double" w:sz="4" w:space="0" w:color="auto"/>
            </w:tcBorders>
            <w:shd w:val="clear" w:color="auto" w:fill="FFFFFF" w:themeFill="background1"/>
            <w:noWrap/>
            <w:vAlign w:val="center"/>
            <w:hideMark/>
          </w:tcPr>
          <w:p w14:paraId="18FF7BBD" w14:textId="77777777" w:rsidR="00103286" w:rsidRPr="00626211" w:rsidRDefault="00103286" w:rsidP="00396352">
            <w:pPr>
              <w:spacing w:before="0" w:after="0" w:line="240" w:lineRule="auto"/>
              <w:jc w:val="right"/>
              <w:rPr>
                <w:sz w:val="20"/>
                <w:szCs w:val="20"/>
              </w:rPr>
            </w:pPr>
            <w:r w:rsidRPr="00626211">
              <w:rPr>
                <w:sz w:val="20"/>
                <w:szCs w:val="20"/>
              </w:rPr>
              <w:t>1.16</w:t>
            </w:r>
          </w:p>
        </w:tc>
        <w:tc>
          <w:tcPr>
            <w:tcW w:w="714" w:type="pct"/>
            <w:vMerge/>
            <w:tcBorders>
              <w:left w:val="double" w:sz="4" w:space="0" w:color="auto"/>
              <w:right w:val="single" w:sz="4" w:space="0" w:color="auto"/>
            </w:tcBorders>
            <w:shd w:val="clear" w:color="auto" w:fill="FFFFFF" w:themeFill="background1"/>
            <w:vAlign w:val="center"/>
            <w:hideMark/>
          </w:tcPr>
          <w:p w14:paraId="1C3AAE18" w14:textId="77777777" w:rsidR="00103286" w:rsidRPr="00626211" w:rsidRDefault="00103286" w:rsidP="00396352">
            <w:pPr>
              <w:spacing w:before="0" w:after="0" w:line="240" w:lineRule="auto"/>
              <w:jc w:val="left"/>
              <w:rPr>
                <w:sz w:val="20"/>
                <w:szCs w:val="20"/>
              </w:rPr>
            </w:pPr>
          </w:p>
        </w:tc>
        <w:tc>
          <w:tcPr>
            <w:tcW w:w="739" w:type="pct"/>
            <w:tcBorders>
              <w:left w:val="single" w:sz="4" w:space="0" w:color="auto"/>
              <w:right w:val="single" w:sz="4" w:space="0" w:color="auto"/>
            </w:tcBorders>
            <w:shd w:val="clear" w:color="auto" w:fill="FFFFFF" w:themeFill="background1"/>
            <w:noWrap/>
            <w:vAlign w:val="center"/>
            <w:hideMark/>
          </w:tcPr>
          <w:p w14:paraId="12359D8C" w14:textId="77777777" w:rsidR="00103286" w:rsidRPr="00626211" w:rsidRDefault="00103286" w:rsidP="00396352">
            <w:pPr>
              <w:spacing w:before="0" w:after="0" w:line="240" w:lineRule="auto"/>
              <w:jc w:val="right"/>
              <w:rPr>
                <w:sz w:val="20"/>
                <w:szCs w:val="20"/>
              </w:rPr>
            </w:pPr>
            <w:r w:rsidRPr="00626211">
              <w:rPr>
                <w:sz w:val="20"/>
                <w:szCs w:val="20"/>
              </w:rPr>
              <w:t>0.86</w:t>
            </w:r>
          </w:p>
        </w:tc>
        <w:tc>
          <w:tcPr>
            <w:tcW w:w="805" w:type="pct"/>
            <w:tcBorders>
              <w:left w:val="single" w:sz="4" w:space="0" w:color="auto"/>
            </w:tcBorders>
            <w:shd w:val="clear" w:color="auto" w:fill="FFFFFF" w:themeFill="background1"/>
            <w:noWrap/>
            <w:vAlign w:val="center"/>
            <w:hideMark/>
          </w:tcPr>
          <w:p w14:paraId="2DE9BAA2" w14:textId="77777777" w:rsidR="00103286" w:rsidRPr="00626211" w:rsidRDefault="00103286" w:rsidP="00396352">
            <w:pPr>
              <w:spacing w:before="0" w:after="0" w:line="240" w:lineRule="auto"/>
              <w:jc w:val="right"/>
              <w:rPr>
                <w:sz w:val="20"/>
                <w:szCs w:val="20"/>
              </w:rPr>
            </w:pPr>
            <w:r w:rsidRPr="00626211">
              <w:rPr>
                <w:sz w:val="20"/>
                <w:szCs w:val="20"/>
              </w:rPr>
              <w:t>0.47</w:t>
            </w:r>
          </w:p>
        </w:tc>
      </w:tr>
      <w:tr w:rsidR="00103286" w:rsidRPr="00626211" w14:paraId="1C053152" w14:textId="77777777" w:rsidTr="00396352">
        <w:trPr>
          <w:gridAfter w:val="1"/>
          <w:wAfter w:w="5" w:type="pct"/>
          <w:trHeight w:val="86"/>
        </w:trPr>
        <w:tc>
          <w:tcPr>
            <w:tcW w:w="2100" w:type="pct"/>
            <w:tcBorders>
              <w:bottom w:val="nil"/>
              <w:right w:val="double" w:sz="4" w:space="0" w:color="auto"/>
            </w:tcBorders>
            <w:shd w:val="clear" w:color="auto" w:fill="FFFFFF" w:themeFill="background1"/>
            <w:noWrap/>
            <w:vAlign w:val="center"/>
            <w:hideMark/>
          </w:tcPr>
          <w:p w14:paraId="59F43096"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 Principal </w:t>
            </w:r>
            <w:r>
              <w:rPr>
                <w:sz w:val="20"/>
                <w:szCs w:val="20"/>
              </w:rPr>
              <w:t>a</w:t>
            </w:r>
            <w:r w:rsidRPr="00626211">
              <w:rPr>
                <w:sz w:val="20"/>
                <w:szCs w:val="20"/>
              </w:rPr>
              <w:t>rterial miles</w:t>
            </w:r>
          </w:p>
        </w:tc>
        <w:tc>
          <w:tcPr>
            <w:tcW w:w="638" w:type="pct"/>
            <w:tcBorders>
              <w:left w:val="double" w:sz="4" w:space="0" w:color="auto"/>
              <w:bottom w:val="nil"/>
              <w:right w:val="double" w:sz="4" w:space="0" w:color="auto"/>
            </w:tcBorders>
            <w:shd w:val="clear" w:color="auto" w:fill="FFFFFF" w:themeFill="background1"/>
            <w:noWrap/>
            <w:vAlign w:val="center"/>
            <w:hideMark/>
          </w:tcPr>
          <w:p w14:paraId="07F8C948" w14:textId="77777777" w:rsidR="00103286" w:rsidRPr="00626211" w:rsidRDefault="00103286" w:rsidP="00396352">
            <w:pPr>
              <w:spacing w:before="0" w:after="0" w:line="240" w:lineRule="auto"/>
              <w:jc w:val="right"/>
              <w:rPr>
                <w:sz w:val="20"/>
                <w:szCs w:val="20"/>
              </w:rPr>
            </w:pPr>
            <w:r w:rsidRPr="00626211">
              <w:rPr>
                <w:sz w:val="20"/>
                <w:szCs w:val="20"/>
              </w:rPr>
              <w:t>2.58</w:t>
            </w:r>
          </w:p>
        </w:tc>
        <w:tc>
          <w:tcPr>
            <w:tcW w:w="714" w:type="pct"/>
            <w:vMerge/>
            <w:tcBorders>
              <w:left w:val="double" w:sz="4" w:space="0" w:color="auto"/>
              <w:bottom w:val="nil"/>
              <w:right w:val="single" w:sz="4" w:space="0" w:color="auto"/>
            </w:tcBorders>
            <w:shd w:val="clear" w:color="auto" w:fill="FFFFFF" w:themeFill="background1"/>
            <w:vAlign w:val="center"/>
            <w:hideMark/>
          </w:tcPr>
          <w:p w14:paraId="6E4E7A03" w14:textId="77777777" w:rsidR="00103286" w:rsidRPr="00626211" w:rsidRDefault="00103286" w:rsidP="00396352">
            <w:pPr>
              <w:spacing w:before="0" w:after="0" w:line="240" w:lineRule="auto"/>
              <w:jc w:val="left"/>
              <w:rPr>
                <w:sz w:val="20"/>
                <w:szCs w:val="20"/>
              </w:rPr>
            </w:pPr>
          </w:p>
        </w:tc>
        <w:tc>
          <w:tcPr>
            <w:tcW w:w="739" w:type="pct"/>
            <w:tcBorders>
              <w:left w:val="single" w:sz="4" w:space="0" w:color="auto"/>
              <w:bottom w:val="nil"/>
              <w:right w:val="single" w:sz="4" w:space="0" w:color="auto"/>
            </w:tcBorders>
            <w:shd w:val="clear" w:color="auto" w:fill="FFFFFF" w:themeFill="background1"/>
            <w:noWrap/>
            <w:vAlign w:val="center"/>
            <w:hideMark/>
          </w:tcPr>
          <w:p w14:paraId="53ABC165" w14:textId="77777777" w:rsidR="00103286" w:rsidRPr="00626211" w:rsidRDefault="00103286" w:rsidP="00396352">
            <w:pPr>
              <w:spacing w:before="0" w:after="0" w:line="240" w:lineRule="auto"/>
              <w:jc w:val="right"/>
              <w:rPr>
                <w:sz w:val="20"/>
                <w:szCs w:val="20"/>
              </w:rPr>
            </w:pPr>
            <w:r w:rsidRPr="00626211">
              <w:rPr>
                <w:sz w:val="20"/>
                <w:szCs w:val="20"/>
              </w:rPr>
              <w:t>1.91</w:t>
            </w:r>
          </w:p>
        </w:tc>
        <w:tc>
          <w:tcPr>
            <w:tcW w:w="805" w:type="pct"/>
            <w:tcBorders>
              <w:left w:val="single" w:sz="4" w:space="0" w:color="auto"/>
              <w:bottom w:val="nil"/>
            </w:tcBorders>
            <w:shd w:val="clear" w:color="auto" w:fill="FFFFFF" w:themeFill="background1"/>
            <w:noWrap/>
            <w:vAlign w:val="center"/>
            <w:hideMark/>
          </w:tcPr>
          <w:p w14:paraId="7F2726B7" w14:textId="77777777" w:rsidR="00103286" w:rsidRPr="00626211" w:rsidRDefault="00103286" w:rsidP="00396352">
            <w:pPr>
              <w:spacing w:before="0" w:after="0" w:line="240" w:lineRule="auto"/>
              <w:jc w:val="right"/>
              <w:rPr>
                <w:sz w:val="20"/>
                <w:szCs w:val="20"/>
              </w:rPr>
            </w:pPr>
            <w:r w:rsidRPr="00626211">
              <w:rPr>
                <w:sz w:val="20"/>
                <w:szCs w:val="20"/>
              </w:rPr>
              <w:t>1.05</w:t>
            </w:r>
          </w:p>
        </w:tc>
      </w:tr>
      <w:tr w:rsidR="00103286" w:rsidRPr="00626211" w14:paraId="1099A5EB" w14:textId="77777777" w:rsidTr="00396352">
        <w:trPr>
          <w:gridAfter w:val="1"/>
          <w:wAfter w:w="5" w:type="pct"/>
          <w:trHeight w:val="86"/>
        </w:trPr>
        <w:tc>
          <w:tcPr>
            <w:tcW w:w="2100" w:type="pct"/>
            <w:tcBorders>
              <w:top w:val="nil"/>
              <w:bottom w:val="single" w:sz="4" w:space="0" w:color="auto"/>
              <w:right w:val="double" w:sz="4" w:space="0" w:color="auto"/>
            </w:tcBorders>
            <w:shd w:val="clear" w:color="auto" w:fill="FFFFFF" w:themeFill="background1"/>
            <w:noWrap/>
            <w:vAlign w:val="center"/>
            <w:hideMark/>
          </w:tcPr>
          <w:p w14:paraId="0E41CD91" w14:textId="77777777" w:rsidR="00103286" w:rsidRPr="00626211" w:rsidRDefault="00103286" w:rsidP="00396352">
            <w:pPr>
              <w:spacing w:before="0" w:after="0" w:line="240" w:lineRule="auto"/>
              <w:ind w:left="150"/>
              <w:jc w:val="left"/>
              <w:rPr>
                <w:sz w:val="20"/>
                <w:szCs w:val="20"/>
              </w:rPr>
            </w:pPr>
            <w:r w:rsidRPr="00626211">
              <w:rPr>
                <w:sz w:val="20"/>
                <w:szCs w:val="20"/>
              </w:rPr>
              <w:t>% Four or more lane road miles</w:t>
            </w:r>
          </w:p>
        </w:tc>
        <w:tc>
          <w:tcPr>
            <w:tcW w:w="638" w:type="pct"/>
            <w:tcBorders>
              <w:top w:val="nil"/>
              <w:left w:val="double" w:sz="4" w:space="0" w:color="auto"/>
              <w:bottom w:val="single" w:sz="4" w:space="0" w:color="auto"/>
              <w:right w:val="double" w:sz="4" w:space="0" w:color="auto"/>
            </w:tcBorders>
            <w:shd w:val="clear" w:color="auto" w:fill="FFFFFF" w:themeFill="background1"/>
            <w:noWrap/>
            <w:vAlign w:val="center"/>
            <w:hideMark/>
          </w:tcPr>
          <w:p w14:paraId="0D77DEB0" w14:textId="77777777" w:rsidR="00103286" w:rsidRPr="00626211" w:rsidRDefault="00103286" w:rsidP="00396352">
            <w:pPr>
              <w:spacing w:before="0" w:after="0" w:line="240" w:lineRule="auto"/>
              <w:jc w:val="right"/>
              <w:rPr>
                <w:sz w:val="20"/>
                <w:szCs w:val="20"/>
              </w:rPr>
            </w:pPr>
            <w:r w:rsidRPr="00626211">
              <w:rPr>
                <w:sz w:val="20"/>
                <w:szCs w:val="20"/>
              </w:rPr>
              <w:t>8.63</w:t>
            </w:r>
          </w:p>
        </w:tc>
        <w:tc>
          <w:tcPr>
            <w:tcW w:w="714" w:type="pct"/>
            <w:vMerge/>
            <w:tcBorders>
              <w:top w:val="nil"/>
              <w:left w:val="double" w:sz="4" w:space="0" w:color="auto"/>
              <w:bottom w:val="single" w:sz="4" w:space="0" w:color="auto"/>
              <w:right w:val="single" w:sz="4" w:space="0" w:color="auto"/>
            </w:tcBorders>
            <w:shd w:val="clear" w:color="auto" w:fill="FFFFFF" w:themeFill="background1"/>
            <w:vAlign w:val="center"/>
            <w:hideMark/>
          </w:tcPr>
          <w:p w14:paraId="4AA6C374" w14:textId="77777777" w:rsidR="00103286" w:rsidRPr="00626211" w:rsidRDefault="00103286" w:rsidP="00396352">
            <w:pPr>
              <w:spacing w:before="0" w:after="0" w:line="240" w:lineRule="auto"/>
              <w:jc w:val="left"/>
              <w:rPr>
                <w:sz w:val="20"/>
                <w:szCs w:val="20"/>
              </w:rPr>
            </w:pPr>
          </w:p>
        </w:tc>
        <w:tc>
          <w:tcPr>
            <w:tcW w:w="739"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7AA517D9" w14:textId="77777777" w:rsidR="00103286" w:rsidRPr="00626211" w:rsidRDefault="00103286" w:rsidP="00396352">
            <w:pPr>
              <w:spacing w:before="0" w:after="0" w:line="240" w:lineRule="auto"/>
              <w:jc w:val="right"/>
              <w:rPr>
                <w:sz w:val="20"/>
                <w:szCs w:val="20"/>
              </w:rPr>
            </w:pPr>
            <w:r w:rsidRPr="00626211">
              <w:rPr>
                <w:sz w:val="20"/>
                <w:szCs w:val="20"/>
              </w:rPr>
              <w:t>6.41</w:t>
            </w:r>
          </w:p>
        </w:tc>
        <w:tc>
          <w:tcPr>
            <w:tcW w:w="805" w:type="pct"/>
            <w:tcBorders>
              <w:top w:val="nil"/>
              <w:left w:val="single" w:sz="4" w:space="0" w:color="auto"/>
              <w:bottom w:val="single" w:sz="4" w:space="0" w:color="auto"/>
            </w:tcBorders>
            <w:shd w:val="clear" w:color="auto" w:fill="FFFFFF" w:themeFill="background1"/>
            <w:noWrap/>
            <w:vAlign w:val="center"/>
            <w:hideMark/>
          </w:tcPr>
          <w:p w14:paraId="2A90D073" w14:textId="77777777" w:rsidR="00103286" w:rsidRPr="00626211" w:rsidRDefault="00103286" w:rsidP="00396352">
            <w:pPr>
              <w:spacing w:before="0" w:after="0" w:line="240" w:lineRule="auto"/>
              <w:jc w:val="right"/>
              <w:rPr>
                <w:sz w:val="20"/>
                <w:szCs w:val="20"/>
              </w:rPr>
            </w:pPr>
            <w:r w:rsidRPr="00626211">
              <w:rPr>
                <w:sz w:val="20"/>
                <w:szCs w:val="20"/>
              </w:rPr>
              <w:t>3.51</w:t>
            </w:r>
          </w:p>
        </w:tc>
      </w:tr>
      <w:tr w:rsidR="00103286" w:rsidRPr="00626211" w14:paraId="0419E593"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717EEF8D"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Land-use Diversity</w:t>
            </w:r>
          </w:p>
        </w:tc>
        <w:tc>
          <w:tcPr>
            <w:tcW w:w="638" w:type="pct"/>
            <w:tcBorders>
              <w:top w:val="single" w:sz="4" w:space="0" w:color="auto"/>
              <w:bottom w:val="single" w:sz="4" w:space="0" w:color="auto"/>
              <w:right w:val="double" w:sz="4" w:space="0" w:color="auto"/>
            </w:tcBorders>
            <w:shd w:val="clear" w:color="auto" w:fill="FFFFFF" w:themeFill="background1"/>
            <w:vAlign w:val="center"/>
          </w:tcPr>
          <w:p w14:paraId="2DB8E37E" w14:textId="77777777" w:rsidR="00103286" w:rsidRPr="00626211" w:rsidRDefault="00103286" w:rsidP="00396352">
            <w:pPr>
              <w:spacing w:before="0" w:after="0" w:line="240" w:lineRule="auto"/>
              <w:jc w:val="left"/>
              <w:rPr>
                <w:b/>
                <w:bCs/>
                <w:i/>
                <w:iCs/>
                <w:sz w:val="20"/>
                <w:szCs w:val="20"/>
              </w:rPr>
            </w:pP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28FC2893" w14:textId="77777777" w:rsidR="00103286" w:rsidRPr="00626211" w:rsidRDefault="00103286" w:rsidP="00396352">
            <w:pPr>
              <w:spacing w:before="0" w:after="0" w:line="240" w:lineRule="auto"/>
              <w:jc w:val="right"/>
              <w:rPr>
                <w:sz w:val="20"/>
                <w:szCs w:val="20"/>
              </w:rPr>
            </w:pPr>
            <w:r w:rsidRPr="00626211">
              <w:rPr>
                <w:sz w:val="20"/>
                <w:szCs w:val="20"/>
              </w:rPr>
              <w:t> </w:t>
            </w:r>
            <w:r w:rsidRPr="00626211">
              <w:rPr>
                <w:i/>
                <w:iCs/>
                <w:sz w:val="20"/>
                <w:szCs w:val="20"/>
              </w:rPr>
              <w:t>25.85</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AD5409"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507DC5CB"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 </w:t>
            </w:r>
          </w:p>
        </w:tc>
      </w:tr>
      <w:tr w:rsidR="00103286" w:rsidRPr="00626211" w14:paraId="40234BFD"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7088F04C" w14:textId="77777777" w:rsidR="00103286" w:rsidRPr="00626211" w:rsidRDefault="00103286" w:rsidP="00396352">
            <w:pPr>
              <w:spacing w:before="0" w:after="0" w:line="240" w:lineRule="auto"/>
              <w:ind w:left="150"/>
              <w:jc w:val="left"/>
              <w:rPr>
                <w:sz w:val="20"/>
                <w:szCs w:val="20"/>
              </w:rPr>
            </w:pPr>
            <w:r w:rsidRPr="00626211">
              <w:rPr>
                <w:sz w:val="20"/>
                <w:szCs w:val="20"/>
              </w:rPr>
              <w:t>Land-use diversity index</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507780C7" w14:textId="77777777" w:rsidR="00103286" w:rsidRPr="00626211" w:rsidRDefault="00103286" w:rsidP="00396352">
            <w:pPr>
              <w:spacing w:before="0" w:after="0" w:line="240" w:lineRule="auto"/>
              <w:jc w:val="right"/>
              <w:rPr>
                <w:sz w:val="20"/>
                <w:szCs w:val="20"/>
              </w:rPr>
            </w:pPr>
            <w:r w:rsidRPr="00626211">
              <w:rPr>
                <w:sz w:val="20"/>
                <w:szCs w:val="20"/>
              </w:rPr>
              <w:t>34.81</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13944529" w14:textId="77777777" w:rsidR="00103286" w:rsidRPr="00626211" w:rsidRDefault="00103286" w:rsidP="00396352">
            <w:pPr>
              <w:spacing w:before="0" w:after="0" w:line="240" w:lineRule="auto"/>
              <w:jc w:val="left"/>
            </w:pPr>
            <w:r w:rsidRPr="00626211">
              <w:t> </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2DFAD4" w14:textId="77777777" w:rsidR="00103286" w:rsidRPr="00626211" w:rsidRDefault="00103286" w:rsidP="00396352">
            <w:pPr>
              <w:spacing w:before="0" w:after="0" w:line="240" w:lineRule="auto"/>
              <w:jc w:val="right"/>
              <w:rPr>
                <w:sz w:val="20"/>
                <w:szCs w:val="20"/>
              </w:rPr>
            </w:pPr>
            <w:r w:rsidRPr="00626211">
              <w:rPr>
                <w:sz w:val="20"/>
                <w:szCs w:val="20"/>
              </w:rPr>
              <w:t>25.85</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10FC750E" w14:textId="77777777" w:rsidR="00103286" w:rsidRPr="00626211" w:rsidRDefault="00103286" w:rsidP="00396352">
            <w:pPr>
              <w:spacing w:before="0" w:after="0" w:line="240" w:lineRule="auto"/>
              <w:jc w:val="right"/>
              <w:rPr>
                <w:sz w:val="20"/>
                <w:szCs w:val="20"/>
              </w:rPr>
            </w:pPr>
            <w:r w:rsidRPr="00626211">
              <w:rPr>
                <w:sz w:val="20"/>
                <w:szCs w:val="20"/>
              </w:rPr>
              <w:t>14.14</w:t>
            </w:r>
          </w:p>
        </w:tc>
      </w:tr>
      <w:tr w:rsidR="00103286" w:rsidRPr="00626211" w14:paraId="1166D811"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252701B4" w14:textId="77777777" w:rsidR="00103286" w:rsidRPr="00626211" w:rsidRDefault="00103286" w:rsidP="00396352">
            <w:pPr>
              <w:spacing w:before="0" w:after="0" w:line="240" w:lineRule="auto"/>
              <w:jc w:val="left"/>
              <w:rPr>
                <w:b/>
                <w:bCs/>
                <w:sz w:val="20"/>
                <w:szCs w:val="20"/>
              </w:rPr>
            </w:pPr>
            <w:r w:rsidRPr="00626211">
              <w:rPr>
                <w:b/>
                <w:bCs/>
                <w:sz w:val="20"/>
                <w:szCs w:val="20"/>
              </w:rPr>
              <w:t>Sociodemographic</w:t>
            </w:r>
          </w:p>
        </w:tc>
        <w:tc>
          <w:tcPr>
            <w:tcW w:w="638" w:type="pct"/>
            <w:tcBorders>
              <w:top w:val="single" w:sz="4" w:space="0" w:color="auto"/>
              <w:bottom w:val="single" w:sz="4" w:space="0" w:color="auto"/>
              <w:right w:val="double" w:sz="4" w:space="0" w:color="auto"/>
            </w:tcBorders>
            <w:shd w:val="clear" w:color="auto" w:fill="FFFFFF" w:themeFill="background1"/>
            <w:vAlign w:val="center"/>
          </w:tcPr>
          <w:p w14:paraId="6479133B" w14:textId="77777777" w:rsidR="00103286" w:rsidRPr="00626211" w:rsidRDefault="00103286" w:rsidP="00396352">
            <w:pPr>
              <w:spacing w:before="0" w:after="0" w:line="240" w:lineRule="auto"/>
              <w:jc w:val="left"/>
              <w:rPr>
                <w:b/>
                <w:bCs/>
                <w:sz w:val="20"/>
                <w:szCs w:val="20"/>
              </w:rPr>
            </w:pP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13E3AB28" w14:textId="77777777" w:rsidR="00103286" w:rsidRPr="00626211" w:rsidRDefault="00103286" w:rsidP="00396352">
            <w:pPr>
              <w:spacing w:before="0" w:after="0" w:line="240" w:lineRule="auto"/>
              <w:jc w:val="right"/>
              <w:rPr>
                <w:b/>
                <w:bCs/>
                <w:sz w:val="20"/>
                <w:szCs w:val="20"/>
              </w:rPr>
            </w:pPr>
            <w:r w:rsidRPr="00626211">
              <w:rPr>
                <w:b/>
                <w:bCs/>
                <w:sz w:val="20"/>
                <w:szCs w:val="20"/>
              </w:rPr>
              <w:t>2.72</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9E684"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027D0649"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r>
      <w:tr w:rsidR="00103286" w:rsidRPr="00626211" w14:paraId="1B6ACCF1" w14:textId="77777777" w:rsidTr="00396352">
        <w:trPr>
          <w:gridAfter w:val="1"/>
          <w:wAfter w:w="5" w:type="pct"/>
          <w:trHeight w:val="86"/>
        </w:trPr>
        <w:tc>
          <w:tcPr>
            <w:tcW w:w="2100" w:type="pct"/>
            <w:tcBorders>
              <w:top w:val="single" w:sz="4" w:space="0" w:color="auto"/>
              <w:bottom w:val="single" w:sz="4" w:space="0" w:color="auto"/>
              <w:right w:val="double" w:sz="4" w:space="0" w:color="auto"/>
            </w:tcBorders>
            <w:shd w:val="clear" w:color="auto" w:fill="FFFFFF" w:themeFill="background1"/>
            <w:noWrap/>
            <w:vAlign w:val="center"/>
            <w:hideMark/>
          </w:tcPr>
          <w:p w14:paraId="317BCAD6" w14:textId="77777777" w:rsidR="00103286" w:rsidRPr="00626211" w:rsidRDefault="00103286" w:rsidP="00396352">
            <w:pPr>
              <w:spacing w:before="0" w:after="0" w:line="240" w:lineRule="auto"/>
              <w:ind w:left="150"/>
              <w:jc w:val="left"/>
              <w:rPr>
                <w:sz w:val="20"/>
                <w:szCs w:val="20"/>
              </w:rPr>
            </w:pPr>
            <w:r w:rsidRPr="00626211">
              <w:rPr>
                <w:sz w:val="20"/>
                <w:szCs w:val="20"/>
              </w:rPr>
              <w:t xml:space="preserve">% Young </w:t>
            </w:r>
            <w:r>
              <w:rPr>
                <w:sz w:val="20"/>
                <w:szCs w:val="20"/>
              </w:rPr>
              <w:t>a</w:t>
            </w:r>
            <w:r w:rsidRPr="00626211">
              <w:rPr>
                <w:sz w:val="20"/>
                <w:szCs w:val="20"/>
              </w:rPr>
              <w:t>dults</w:t>
            </w:r>
          </w:p>
        </w:tc>
        <w:tc>
          <w:tcPr>
            <w:tcW w:w="638" w:type="pct"/>
            <w:tcBorders>
              <w:top w:val="single" w:sz="4" w:space="0" w:color="auto"/>
              <w:left w:val="double" w:sz="4" w:space="0" w:color="auto"/>
              <w:bottom w:val="single" w:sz="4" w:space="0" w:color="auto"/>
              <w:right w:val="double" w:sz="4" w:space="0" w:color="auto"/>
            </w:tcBorders>
            <w:shd w:val="clear" w:color="auto" w:fill="FFFFFF" w:themeFill="background1"/>
            <w:noWrap/>
            <w:vAlign w:val="center"/>
            <w:hideMark/>
          </w:tcPr>
          <w:p w14:paraId="7521493C" w14:textId="77777777" w:rsidR="00103286" w:rsidRPr="00626211" w:rsidRDefault="00103286" w:rsidP="00396352">
            <w:pPr>
              <w:spacing w:before="0" w:after="0" w:line="240" w:lineRule="auto"/>
              <w:jc w:val="right"/>
              <w:rPr>
                <w:sz w:val="20"/>
                <w:szCs w:val="20"/>
              </w:rPr>
            </w:pPr>
            <w:r w:rsidRPr="00626211">
              <w:rPr>
                <w:sz w:val="20"/>
                <w:szCs w:val="20"/>
              </w:rPr>
              <w:t>6.71</w:t>
            </w:r>
          </w:p>
        </w:tc>
        <w:tc>
          <w:tcPr>
            <w:tcW w:w="714" w:type="pct"/>
            <w:tcBorders>
              <w:top w:val="single" w:sz="4" w:space="0" w:color="auto"/>
              <w:left w:val="double" w:sz="4" w:space="0" w:color="auto"/>
              <w:bottom w:val="single" w:sz="4" w:space="0" w:color="auto"/>
              <w:right w:val="single" w:sz="4" w:space="0" w:color="auto"/>
            </w:tcBorders>
            <w:shd w:val="clear" w:color="auto" w:fill="FFFFFF" w:themeFill="background1"/>
            <w:noWrap/>
            <w:vAlign w:val="center"/>
            <w:hideMark/>
          </w:tcPr>
          <w:p w14:paraId="1903664E" w14:textId="77777777" w:rsidR="00103286" w:rsidRPr="00626211" w:rsidRDefault="00103286" w:rsidP="00396352">
            <w:pPr>
              <w:spacing w:before="0" w:after="0" w:line="240" w:lineRule="auto"/>
              <w:jc w:val="left"/>
              <w:rPr>
                <w:b/>
                <w:bCs/>
                <w:sz w:val="20"/>
                <w:szCs w:val="20"/>
              </w:rPr>
            </w:pPr>
            <w:r w:rsidRPr="00626211">
              <w:rPr>
                <w:b/>
                <w:bCs/>
                <w:sz w:val="20"/>
                <w:szCs w:val="20"/>
              </w:rPr>
              <w:t> </w:t>
            </w: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87A34" w14:textId="77777777" w:rsidR="00103286" w:rsidRPr="00626211" w:rsidRDefault="00103286" w:rsidP="00396352">
            <w:pPr>
              <w:spacing w:before="0" w:after="0" w:line="240" w:lineRule="auto"/>
              <w:jc w:val="right"/>
              <w:rPr>
                <w:sz w:val="20"/>
                <w:szCs w:val="20"/>
              </w:rPr>
            </w:pPr>
            <w:r w:rsidRPr="00626211">
              <w:rPr>
                <w:sz w:val="20"/>
                <w:szCs w:val="20"/>
              </w:rPr>
              <w:t>100</w:t>
            </w:r>
          </w:p>
        </w:tc>
        <w:tc>
          <w:tcPr>
            <w:tcW w:w="805" w:type="pct"/>
            <w:tcBorders>
              <w:top w:val="single" w:sz="4" w:space="0" w:color="auto"/>
              <w:left w:val="single" w:sz="4" w:space="0" w:color="auto"/>
              <w:bottom w:val="single" w:sz="4" w:space="0" w:color="auto"/>
            </w:tcBorders>
            <w:shd w:val="clear" w:color="auto" w:fill="FFFFFF" w:themeFill="background1"/>
            <w:noWrap/>
            <w:vAlign w:val="center"/>
            <w:hideMark/>
          </w:tcPr>
          <w:p w14:paraId="52F4FBC0" w14:textId="77777777" w:rsidR="00103286" w:rsidRPr="00626211" w:rsidRDefault="00103286" w:rsidP="00396352">
            <w:pPr>
              <w:spacing w:before="0" w:after="0" w:line="240" w:lineRule="auto"/>
              <w:jc w:val="right"/>
              <w:rPr>
                <w:sz w:val="20"/>
                <w:szCs w:val="20"/>
              </w:rPr>
            </w:pPr>
            <w:r w:rsidRPr="00626211">
              <w:rPr>
                <w:sz w:val="20"/>
                <w:szCs w:val="20"/>
              </w:rPr>
              <w:t>2.72</w:t>
            </w:r>
          </w:p>
        </w:tc>
      </w:tr>
      <w:tr w:rsidR="00103286" w:rsidRPr="00626211" w14:paraId="3912B1CC" w14:textId="77777777" w:rsidTr="00396352">
        <w:trPr>
          <w:gridAfter w:val="1"/>
          <w:wAfter w:w="5" w:type="pct"/>
          <w:trHeight w:val="86"/>
        </w:trPr>
        <w:tc>
          <w:tcPr>
            <w:tcW w:w="2100" w:type="pct"/>
            <w:tcBorders>
              <w:top w:val="single" w:sz="4" w:space="0" w:color="auto"/>
              <w:bottom w:val="double" w:sz="4" w:space="0" w:color="auto"/>
              <w:right w:val="double" w:sz="4" w:space="0" w:color="auto"/>
            </w:tcBorders>
            <w:shd w:val="clear" w:color="auto" w:fill="FFFFFF" w:themeFill="background1"/>
            <w:noWrap/>
            <w:vAlign w:val="center"/>
            <w:hideMark/>
          </w:tcPr>
          <w:p w14:paraId="6B450B5F" w14:textId="77777777" w:rsidR="00103286" w:rsidRPr="00626211" w:rsidRDefault="00103286" w:rsidP="00396352">
            <w:pPr>
              <w:spacing w:before="0" w:after="0" w:line="240" w:lineRule="auto"/>
              <w:jc w:val="left"/>
              <w:rPr>
                <w:b/>
                <w:bCs/>
                <w:i/>
                <w:iCs/>
                <w:sz w:val="20"/>
                <w:szCs w:val="20"/>
              </w:rPr>
            </w:pPr>
            <w:r w:rsidRPr="00626211">
              <w:rPr>
                <w:b/>
                <w:bCs/>
                <w:i/>
                <w:iCs/>
                <w:sz w:val="20"/>
                <w:szCs w:val="20"/>
              </w:rPr>
              <w:t>MB</w:t>
            </w:r>
            <w:r w:rsidRPr="00626211">
              <w:rPr>
                <w:b/>
                <w:bCs/>
                <w:sz w:val="20"/>
                <w:szCs w:val="20"/>
              </w:rPr>
              <w:t xml:space="preserve"> CBG</w:t>
            </w:r>
          </w:p>
        </w:tc>
        <w:tc>
          <w:tcPr>
            <w:tcW w:w="638" w:type="pct"/>
            <w:tcBorders>
              <w:top w:val="single" w:sz="4" w:space="0" w:color="auto"/>
              <w:left w:val="double" w:sz="4" w:space="0" w:color="auto"/>
              <w:bottom w:val="double" w:sz="4" w:space="0" w:color="auto"/>
              <w:right w:val="double" w:sz="4" w:space="0" w:color="auto"/>
            </w:tcBorders>
            <w:shd w:val="clear" w:color="auto" w:fill="FFFFFF" w:themeFill="background1"/>
            <w:noWrap/>
            <w:vAlign w:val="center"/>
            <w:hideMark/>
          </w:tcPr>
          <w:p w14:paraId="52D222D6" w14:textId="77777777" w:rsidR="00103286" w:rsidRPr="00626211" w:rsidRDefault="00103286" w:rsidP="00396352">
            <w:pPr>
              <w:spacing w:before="0" w:after="0" w:line="240" w:lineRule="auto"/>
              <w:jc w:val="right"/>
              <w:rPr>
                <w:sz w:val="20"/>
                <w:szCs w:val="20"/>
              </w:rPr>
            </w:pPr>
            <w:r w:rsidRPr="00626211">
              <w:rPr>
                <w:sz w:val="20"/>
                <w:szCs w:val="20"/>
              </w:rPr>
              <w:t>16.62</w:t>
            </w:r>
          </w:p>
        </w:tc>
        <w:tc>
          <w:tcPr>
            <w:tcW w:w="714" w:type="pct"/>
            <w:tcBorders>
              <w:top w:val="single" w:sz="4" w:space="0" w:color="auto"/>
              <w:left w:val="double" w:sz="4" w:space="0" w:color="auto"/>
              <w:bottom w:val="double" w:sz="4" w:space="0" w:color="auto"/>
              <w:right w:val="single" w:sz="4" w:space="0" w:color="auto"/>
            </w:tcBorders>
            <w:shd w:val="clear" w:color="auto" w:fill="FFFFFF" w:themeFill="background1"/>
            <w:noWrap/>
            <w:vAlign w:val="center"/>
            <w:hideMark/>
          </w:tcPr>
          <w:p w14:paraId="628F5829" w14:textId="070FB306" w:rsidR="00103286" w:rsidRPr="00626211" w:rsidRDefault="00103286" w:rsidP="00396352">
            <w:pPr>
              <w:spacing w:before="0" w:after="0" w:line="240" w:lineRule="auto"/>
              <w:jc w:val="right"/>
              <w:rPr>
                <w:b/>
                <w:bCs/>
                <w:sz w:val="20"/>
                <w:szCs w:val="20"/>
              </w:rPr>
            </w:pPr>
            <w:bookmarkStart w:id="58" w:name="RANGE!H28"/>
            <w:r w:rsidRPr="00626211">
              <w:rPr>
                <w:b/>
                <w:bCs/>
                <w:sz w:val="20"/>
                <w:szCs w:val="20"/>
              </w:rPr>
              <w:t>6.75</w:t>
            </w:r>
            <w:bookmarkEnd w:id="58"/>
          </w:p>
        </w:tc>
        <w:tc>
          <w:tcPr>
            <w:tcW w:w="739" w:type="pct"/>
            <w:tcBorders>
              <w:top w:val="single" w:sz="4" w:space="0" w:color="auto"/>
              <w:left w:val="single" w:sz="4" w:space="0" w:color="auto"/>
              <w:bottom w:val="double" w:sz="4" w:space="0" w:color="auto"/>
              <w:right w:val="single" w:sz="4" w:space="0" w:color="auto"/>
            </w:tcBorders>
            <w:shd w:val="clear" w:color="auto" w:fill="FFFFFF" w:themeFill="background1"/>
            <w:noWrap/>
            <w:vAlign w:val="center"/>
            <w:hideMark/>
          </w:tcPr>
          <w:p w14:paraId="303616BB" w14:textId="77777777" w:rsidR="00103286" w:rsidRPr="00626211" w:rsidRDefault="00103286" w:rsidP="00396352">
            <w:pPr>
              <w:spacing w:before="0" w:after="0" w:line="240" w:lineRule="auto"/>
              <w:jc w:val="right"/>
              <w:rPr>
                <w:sz w:val="20"/>
                <w:szCs w:val="20"/>
              </w:rPr>
            </w:pPr>
            <w:r w:rsidRPr="00626211">
              <w:rPr>
                <w:sz w:val="20"/>
                <w:szCs w:val="20"/>
              </w:rPr>
              <w:t>100</w:t>
            </w:r>
          </w:p>
        </w:tc>
        <w:tc>
          <w:tcPr>
            <w:tcW w:w="805" w:type="pct"/>
            <w:tcBorders>
              <w:top w:val="single" w:sz="4" w:space="0" w:color="auto"/>
              <w:left w:val="single" w:sz="4" w:space="0" w:color="auto"/>
              <w:bottom w:val="double" w:sz="4" w:space="0" w:color="auto"/>
            </w:tcBorders>
            <w:shd w:val="clear" w:color="auto" w:fill="FFFFFF" w:themeFill="background1"/>
            <w:noWrap/>
            <w:vAlign w:val="center"/>
            <w:hideMark/>
          </w:tcPr>
          <w:p w14:paraId="2612C4C0" w14:textId="77777777" w:rsidR="00103286" w:rsidRPr="00626211" w:rsidRDefault="00103286" w:rsidP="00396352">
            <w:pPr>
              <w:spacing w:before="0" w:after="0" w:line="240" w:lineRule="auto"/>
              <w:jc w:val="right"/>
              <w:rPr>
                <w:sz w:val="20"/>
                <w:szCs w:val="20"/>
              </w:rPr>
            </w:pPr>
            <w:r w:rsidRPr="00626211">
              <w:rPr>
                <w:sz w:val="20"/>
                <w:szCs w:val="20"/>
              </w:rPr>
              <w:t>6.75</w:t>
            </w:r>
          </w:p>
        </w:tc>
      </w:tr>
    </w:tbl>
    <w:p w14:paraId="1D3BB3DB" w14:textId="4872C4A1" w:rsidR="00103286" w:rsidRDefault="00103286" w:rsidP="00966F5E">
      <w:pPr>
        <w:spacing w:before="0" w:after="0" w:line="360" w:lineRule="auto"/>
      </w:pPr>
    </w:p>
    <w:p w14:paraId="48F4D0C3" w14:textId="505F80D8" w:rsidR="00573BF3" w:rsidRDefault="00573BF3" w:rsidP="00573BF3">
      <w:pPr>
        <w:spacing w:before="0" w:after="0" w:line="360" w:lineRule="auto"/>
        <w:ind w:firstLine="720"/>
        <w:rPr>
          <w:rFonts w:eastAsiaTheme="majorEastAsia"/>
        </w:rPr>
      </w:pPr>
      <w:r>
        <w:rPr>
          <w:rFonts w:eastAsiaTheme="majorEastAsia"/>
        </w:rPr>
        <w:t>The results in Table 4 are, to our knowledge, the first attempt to unpack the</w:t>
      </w:r>
      <w:r w:rsidR="00180C44">
        <w:rPr>
          <w:rFonts w:eastAsiaTheme="majorEastAsia"/>
        </w:rPr>
        <w:t xml:space="preserve"> </w:t>
      </w:r>
      <w:r w:rsidR="00180C44" w:rsidRPr="002F7902">
        <w:rPr>
          <w:rFonts w:eastAsiaTheme="majorEastAsia"/>
        </w:rPr>
        <w:t>relative</w:t>
      </w:r>
      <w:r>
        <w:rPr>
          <w:rFonts w:eastAsiaTheme="majorEastAsia"/>
        </w:rPr>
        <w:t xml:space="preserve"> magnitude effects of variables on pedestrian crash counts, and can guide effective pedestrian safety interventions in two ways. First, the % ATEs quantify the magnitude of the impact of interventions based on a specific variable on the total number of crashes. Second, the relative contribution values highlight the individual variables or factor categories with the highest contribution to the total number of crashes, and thereby should be prioritized by policymakers and planners. </w:t>
      </w:r>
    </w:p>
    <w:p w14:paraId="75EE3A50" w14:textId="77777777" w:rsidR="00573BF3" w:rsidRPr="00AF46AE" w:rsidRDefault="00573BF3" w:rsidP="00103286">
      <w:pPr>
        <w:spacing w:before="0" w:after="0"/>
      </w:pPr>
    </w:p>
    <w:p w14:paraId="17A6B65E" w14:textId="17ADD489" w:rsidR="005F4994" w:rsidRPr="00B60C83" w:rsidRDefault="005F4994" w:rsidP="00966F5E">
      <w:pPr>
        <w:pStyle w:val="Heading3"/>
        <w:spacing w:line="360" w:lineRule="auto"/>
      </w:pPr>
      <w:r w:rsidRPr="00B60C83">
        <w:t>CE Attributes</w:t>
      </w:r>
    </w:p>
    <w:p w14:paraId="7429F8C3" w14:textId="3CA53DBA" w:rsidR="00B117E3" w:rsidRDefault="003856B4" w:rsidP="007D5556">
      <w:pPr>
        <w:spacing w:before="0" w:after="0" w:line="360" w:lineRule="auto"/>
        <w:ind w:firstLine="720"/>
      </w:pPr>
      <w:r>
        <w:rPr>
          <w:rFonts w:eastAsiaTheme="majorEastAsia"/>
        </w:rPr>
        <w:t>Overall, the CE variable category contributes</w:t>
      </w:r>
      <w:r w:rsidR="00062815">
        <w:rPr>
          <w:rFonts w:eastAsiaTheme="majorEastAsia"/>
        </w:rPr>
        <w:t xml:space="preserve"> </w:t>
      </w:r>
      <w:r>
        <w:rPr>
          <w:rFonts w:eastAsiaTheme="majorEastAsia"/>
        </w:rPr>
        <w:t xml:space="preserve">19.20% </w:t>
      </w:r>
      <w:r w:rsidR="00062815">
        <w:rPr>
          <w:rFonts w:eastAsiaTheme="majorEastAsia"/>
        </w:rPr>
        <w:t xml:space="preserve">to pedestrian crashes, </w:t>
      </w:r>
      <w:r>
        <w:rPr>
          <w:rFonts w:eastAsiaTheme="majorEastAsia"/>
        </w:rPr>
        <w:t xml:space="preserve">and is the second most contributing category after BE factors. </w:t>
      </w:r>
      <w:r w:rsidR="0085627F">
        <w:t>Within the crash risk exposure category, the natural logarithm of the population has the highest relative contribution of 67.71%</w:t>
      </w:r>
      <w:r w:rsidR="005F4994">
        <w:t>, though its overall contribution to pedestrian crashes (across all variables) is moderate at 13%</w:t>
      </w:r>
      <w:r w:rsidR="0085627F">
        <w:t xml:space="preserve">. Indeed, as </w:t>
      </w:r>
      <w:r w:rsidR="0085627F">
        <w:lastRenderedPageBreak/>
        <w:t>discussed in the analysis in Section 4.1, the total number of crashes is expected to increase with increasing population. As a result, land-use plans that encourage compact and dense land</w:t>
      </w:r>
      <w:r w:rsidR="00F20D8F">
        <w:t xml:space="preserve"> </w:t>
      </w:r>
      <w:r w:rsidR="0085627F">
        <w:t>use should be evaluated carefully to avoid an increase in the number of pedestrian crashes. Employment density is another determinant of total pedestrian crashes. An average CBG area of 1</w:t>
      </w:r>
      <w:r w:rsidR="00F20D8F">
        <w:t>,</w:t>
      </w:r>
      <w:r w:rsidR="0085627F">
        <w:t>682 acres (obtained from our sample) with an “</w:t>
      </w:r>
      <w:r w:rsidR="0085627F" w:rsidRPr="0085627F">
        <w:t xml:space="preserve">Employment Density (jobs </w:t>
      </w:r>
      <w:bookmarkStart w:id="59" w:name="MTToggleStart"/>
      <w:bookmarkStart w:id="60" w:name="MTToggleEnd"/>
      <w:bookmarkEnd w:id="59"/>
      <w:bookmarkEnd w:id="60"/>
      <w:r w:rsidR="0085627F" w:rsidRPr="0085627F">
        <w:t xml:space="preserve">per </w:t>
      </w:r>
      <w:r w:rsidR="00FF62E0">
        <w:t xml:space="preserve">0.1 </w:t>
      </w:r>
      <w:r w:rsidR="0085627F" w:rsidRPr="0085627F">
        <w:t>acre</w:t>
      </w:r>
      <w:r w:rsidR="00FF62E0">
        <w:t>s</w:t>
      </w:r>
      <w:r w:rsidR="0085627F" w:rsidRPr="0085627F">
        <w:t>)</w:t>
      </w:r>
      <w:r w:rsidR="0085627F">
        <w:t xml:space="preserve">” of 0.016 indicates a CBG with 269.12 jobs </w:t>
      </w:r>
      <w:r w:rsidR="00001C79" w:rsidRPr="0085627F">
        <w:rPr>
          <w:noProof/>
          <w:position w:val="-14"/>
        </w:rPr>
        <w:object w:dxaOrig="1800" w:dyaOrig="400" w14:anchorId="51A55339">
          <v:shape id="_x0000_i1077" type="#_x0000_t75" style="width:90pt;height:20.85pt" o:ole="" o:preferrelative="f">
            <v:imagedata r:id="rId118" o:title=""/>
            <o:lock v:ext="edit" aspectratio="f"/>
          </v:shape>
          <o:OLEObject Type="Embed" ProgID="Equation.DSMT4" ShapeID="_x0000_i1077" DrawAspect="Content" ObjectID="_1734427274" r:id="rId119"/>
        </w:object>
      </w:r>
      <w:r w:rsidR="00802823">
        <w:t xml:space="preserve"> (that is, the base level for this variable is about 270 jobs in an average-sized CBG).</w:t>
      </w:r>
      <w:r w:rsidR="0085627F">
        <w:t xml:space="preserve"> Similarly, the employment density at the treatment level reflects a total of over 4</w:t>
      </w:r>
      <w:r w:rsidR="00F20D8F">
        <w:t>,</w:t>
      </w:r>
      <w:r w:rsidR="0085627F">
        <w:t>000 jobs</w:t>
      </w:r>
      <w:r w:rsidR="00802823">
        <w:t xml:space="preserve"> in an average-sized CBG. Even </w:t>
      </w:r>
      <w:r w:rsidR="0085627F">
        <w:t xml:space="preserve">this substantial increase in job availability only increases pedestrian crashes by 1.84%. Consequently, we conclude that while employment density has a statistically significant effect on the total number of crashes, the actual magnitude of the effect is minimal. </w:t>
      </w:r>
    </w:p>
    <w:p w14:paraId="0C979FFE" w14:textId="5D52C6D0" w:rsidR="0085627F" w:rsidRDefault="0085627F" w:rsidP="00966F5E">
      <w:pPr>
        <w:spacing w:before="0" w:after="0" w:line="360" w:lineRule="auto"/>
        <w:ind w:firstLine="720"/>
        <w:rPr>
          <w:rFonts w:eastAsiaTheme="majorEastAsia"/>
        </w:rPr>
      </w:pPr>
      <w:r>
        <w:t>On the other hand, the results indicate a large</w:t>
      </w:r>
      <w:r w:rsidR="00802823">
        <w:t>r</w:t>
      </w:r>
      <w:r>
        <w:t xml:space="preserve"> contribution of </w:t>
      </w:r>
      <w:r w:rsidR="00802823">
        <w:t xml:space="preserve">the “% commuting by public </w:t>
      </w:r>
      <w:r>
        <w:t>transit</w:t>
      </w:r>
      <w:r w:rsidR="00802823">
        <w:t>” variable</w:t>
      </w:r>
      <w:r>
        <w:t xml:space="preserve"> to the total number of crashes. </w:t>
      </w:r>
      <w:r w:rsidR="0032030F">
        <w:rPr>
          <w:rFonts w:eastAsiaTheme="majorEastAsia"/>
        </w:rPr>
        <w:t xml:space="preserve">Table 4 shows that increasing </w:t>
      </w:r>
      <w:r w:rsidR="00B117E3">
        <w:rPr>
          <w:rFonts w:eastAsiaTheme="majorEastAsia"/>
        </w:rPr>
        <w:t>th</w:t>
      </w:r>
      <w:r w:rsidR="00802823">
        <w:rPr>
          <w:rFonts w:eastAsiaTheme="majorEastAsia"/>
        </w:rPr>
        <w:t xml:space="preserve">is </w:t>
      </w:r>
      <w:r w:rsidR="00B117E3">
        <w:rPr>
          <w:rFonts w:eastAsiaTheme="majorEastAsia"/>
        </w:rPr>
        <w:t>percentag</w:t>
      </w:r>
      <w:r w:rsidR="00802823">
        <w:rPr>
          <w:rFonts w:eastAsiaTheme="majorEastAsia"/>
        </w:rPr>
        <w:t xml:space="preserve">e </w:t>
      </w:r>
      <w:r w:rsidR="0032030F">
        <w:rPr>
          <w:rFonts w:eastAsiaTheme="majorEastAsia"/>
        </w:rPr>
        <w:t xml:space="preserve">by 3 percentage points </w:t>
      </w:r>
      <w:r w:rsidR="00B117E3">
        <w:rPr>
          <w:rFonts w:eastAsiaTheme="majorEastAsia"/>
        </w:rPr>
        <w:t xml:space="preserve">(which </w:t>
      </w:r>
      <w:r w:rsidR="00D27153">
        <w:rPr>
          <w:rFonts w:eastAsiaTheme="majorEastAsia"/>
        </w:rPr>
        <w:t xml:space="preserve">is </w:t>
      </w:r>
      <w:r w:rsidR="00B117E3">
        <w:rPr>
          <w:rFonts w:eastAsiaTheme="majorEastAsia"/>
        </w:rPr>
        <w:t xml:space="preserve">the equivalent of the lower to upper quantile shift for this variable) </w:t>
      </w:r>
      <w:r w:rsidR="0032030F">
        <w:rPr>
          <w:rFonts w:eastAsiaTheme="majorEastAsia"/>
        </w:rPr>
        <w:t xml:space="preserve">results in an 8.74% </w:t>
      </w:r>
      <w:r w:rsidR="0032030F" w:rsidRPr="00FF62E0">
        <w:rPr>
          <w:rFonts w:eastAsiaTheme="majorEastAsia"/>
        </w:rPr>
        <w:t xml:space="preserve">increase in crashes. Interestingly, the increase in transit mode share has a higher impact on the total number of crashes compared to the walking mode share. </w:t>
      </w:r>
      <w:r w:rsidR="00E855FC" w:rsidRPr="00FF62E0">
        <w:rPr>
          <w:rFonts w:eastAsiaTheme="majorEastAsia"/>
        </w:rPr>
        <w:t xml:space="preserve">The positive </w:t>
      </w:r>
      <w:r w:rsidR="00EC5054" w:rsidRPr="00FF62E0">
        <w:rPr>
          <w:rFonts w:eastAsiaTheme="majorEastAsia"/>
        </w:rPr>
        <w:t>effect</w:t>
      </w:r>
      <w:r w:rsidR="00E855FC" w:rsidRPr="00FF62E0">
        <w:rPr>
          <w:rFonts w:eastAsiaTheme="majorEastAsia"/>
        </w:rPr>
        <w:t xml:space="preserve"> of higher transit use on pedestrian crashes is further made clear from the effect of the related “# of bus stops per 10 acres” variable (while categorized as a BE variable for presentation ease, this bus stop variable is closely linked with the percent commuting by transit</w:t>
      </w:r>
      <w:r w:rsidR="00802823" w:rsidRPr="00FF62E0">
        <w:rPr>
          <w:rFonts w:eastAsiaTheme="majorEastAsia"/>
        </w:rPr>
        <w:t>)</w:t>
      </w:r>
      <w:r w:rsidR="00E855FC" w:rsidRPr="00FF62E0">
        <w:rPr>
          <w:rFonts w:eastAsiaTheme="majorEastAsia"/>
        </w:rPr>
        <w:t>. Compared to a CBG with zero bus stops (the lower quartile value for “# of bus stops per 10 acres</w:t>
      </w:r>
      <w:r w:rsidR="00B60C83" w:rsidRPr="00FF62E0">
        <w:rPr>
          <w:rFonts w:eastAsiaTheme="majorEastAsia"/>
        </w:rPr>
        <w:t>”</w:t>
      </w:r>
      <w:r w:rsidR="00E855FC" w:rsidRPr="00FF62E0">
        <w:rPr>
          <w:rFonts w:eastAsiaTheme="majorEastAsia"/>
        </w:rPr>
        <w:t xml:space="preserve"> is zero), a CBG with 0.3 bus stops per </w:t>
      </w:r>
      <w:r w:rsidR="00EC5054" w:rsidRPr="00FF62E0">
        <w:rPr>
          <w:rFonts w:eastAsiaTheme="majorEastAsia"/>
        </w:rPr>
        <w:t xml:space="preserve">10 </w:t>
      </w:r>
      <w:r w:rsidR="00E855FC" w:rsidRPr="00FF62E0">
        <w:rPr>
          <w:rFonts w:eastAsiaTheme="majorEastAsia"/>
        </w:rPr>
        <w:t>acre</w:t>
      </w:r>
      <w:r w:rsidR="00EC5054" w:rsidRPr="00FF62E0">
        <w:rPr>
          <w:rFonts w:eastAsiaTheme="majorEastAsia"/>
        </w:rPr>
        <w:t>s</w:t>
      </w:r>
      <w:r w:rsidR="00E855FC" w:rsidRPr="00FF62E0">
        <w:rPr>
          <w:rFonts w:eastAsiaTheme="majorEastAsia"/>
        </w:rPr>
        <w:t xml:space="preserve"> (or 3 bus stops per 100 acres, which is the upper quartile value) experiences 36.10% more total crashes. Overall, the “% individuals commuting by public transit” has the second highest contribution in the CE factor category, while the “# of bus stops per </w:t>
      </w:r>
      <w:r w:rsidR="00EC5054" w:rsidRPr="00FF62E0">
        <w:rPr>
          <w:rFonts w:eastAsiaTheme="majorEastAsia"/>
        </w:rPr>
        <w:t xml:space="preserve">10 </w:t>
      </w:r>
      <w:r w:rsidR="00E855FC" w:rsidRPr="00FF62E0">
        <w:rPr>
          <w:rFonts w:eastAsiaTheme="majorEastAsia"/>
        </w:rPr>
        <w:t>acre</w:t>
      </w:r>
      <w:r w:rsidR="00EC5054" w:rsidRPr="00FF62E0">
        <w:rPr>
          <w:rFonts w:eastAsiaTheme="majorEastAsia"/>
        </w:rPr>
        <w:t>s</w:t>
      </w:r>
      <w:r w:rsidR="00E855FC" w:rsidRPr="00FF62E0">
        <w:rPr>
          <w:rFonts w:eastAsiaTheme="majorEastAsia"/>
        </w:rPr>
        <w:t xml:space="preserve">” variable has the </w:t>
      </w:r>
      <w:r w:rsidR="00D27153" w:rsidRPr="00FF62E0">
        <w:rPr>
          <w:rFonts w:eastAsiaTheme="majorEastAsia"/>
        </w:rPr>
        <w:t>second</w:t>
      </w:r>
      <w:r w:rsidR="005F4994" w:rsidRPr="00FF62E0">
        <w:rPr>
          <w:rFonts w:eastAsiaTheme="majorEastAsia"/>
        </w:rPr>
        <w:t xml:space="preserve"> </w:t>
      </w:r>
      <w:r w:rsidR="00E855FC" w:rsidRPr="00FF62E0">
        <w:rPr>
          <w:rFonts w:eastAsiaTheme="majorEastAsia"/>
        </w:rPr>
        <w:t xml:space="preserve">highest </w:t>
      </w:r>
      <w:r w:rsidR="005F4994" w:rsidRPr="00FF62E0">
        <w:rPr>
          <w:rFonts w:eastAsiaTheme="majorEastAsia"/>
        </w:rPr>
        <w:t>contribution of any other variable</w:t>
      </w:r>
      <w:r w:rsidR="00E855FC" w:rsidRPr="00FF62E0">
        <w:rPr>
          <w:rFonts w:eastAsiaTheme="majorEastAsia"/>
        </w:rPr>
        <w:t>. Together, the two transit-related</w:t>
      </w:r>
      <w:r w:rsidR="00E855FC">
        <w:rPr>
          <w:rFonts w:eastAsiaTheme="majorEastAsia"/>
        </w:rPr>
        <w:t xml:space="preserve"> variables contribute by </w:t>
      </w:r>
      <w:r w:rsidR="00E855FC" w:rsidRPr="0052252A">
        <w:rPr>
          <w:rFonts w:eastAsiaTheme="majorEastAsia"/>
        </w:rPr>
        <w:t>18.21% (</w:t>
      </w:r>
      <w:r w:rsidR="00E855FC" w:rsidRPr="0052252A">
        <w:t xml:space="preserve">3.55% + </w:t>
      </w:r>
      <w:r w:rsidR="00E855FC" w:rsidRPr="00AC1A1A">
        <w:t>14.66</w:t>
      </w:r>
      <w:r w:rsidR="00E855FC" w:rsidRPr="0052252A">
        <w:t>%</w:t>
      </w:r>
      <w:r w:rsidR="00E855FC" w:rsidRPr="0052252A">
        <w:rPr>
          <w:rFonts w:eastAsiaTheme="majorEastAsia"/>
        </w:rPr>
        <w:t>) to</w:t>
      </w:r>
      <w:r w:rsidR="00E855FC">
        <w:rPr>
          <w:rFonts w:eastAsiaTheme="majorEastAsia"/>
        </w:rPr>
        <w:t xml:space="preserve"> the total number of crashes. This high contribution </w:t>
      </w:r>
      <w:r w:rsidR="00D27153">
        <w:rPr>
          <w:rFonts w:eastAsiaTheme="majorEastAsia"/>
        </w:rPr>
        <w:t xml:space="preserve">underscores the importance of </w:t>
      </w:r>
      <w:r w:rsidR="00E855FC">
        <w:rPr>
          <w:rFonts w:eastAsiaTheme="majorEastAsia"/>
        </w:rPr>
        <w:t>transit</w:t>
      </w:r>
      <w:r w:rsidR="00D27153">
        <w:rPr>
          <w:rFonts w:eastAsiaTheme="majorEastAsia"/>
        </w:rPr>
        <w:t xml:space="preserve">-related </w:t>
      </w:r>
      <w:r w:rsidR="00E855FC">
        <w:rPr>
          <w:rFonts w:eastAsiaTheme="majorEastAsia"/>
        </w:rPr>
        <w:t xml:space="preserve">pedestrian safety </w:t>
      </w:r>
      <w:r w:rsidR="00D27153">
        <w:rPr>
          <w:rFonts w:eastAsiaTheme="majorEastAsia"/>
        </w:rPr>
        <w:t>investments</w:t>
      </w:r>
      <w:r w:rsidR="00E855FC">
        <w:rPr>
          <w:rFonts w:eastAsiaTheme="majorEastAsia"/>
        </w:rPr>
        <w:t xml:space="preserve">. </w:t>
      </w:r>
      <w:r w:rsidR="00E855FC">
        <w:t xml:space="preserve">Buses have been considered a safety concern as they reduce pedestrian field of vision and limit the visibility of bus drivers, especially on left turns (Samerei et al., 2021). Previous studies have also discussed the safety versus efficiency trade-offs in bus stop placement </w:t>
      </w:r>
      <w:bookmarkStart w:id="61" w:name="_Hlk110175061"/>
      <w:r w:rsidR="00E855FC">
        <w:fldChar w:fldCharType="begin"/>
      </w:r>
      <w:r w:rsidR="00E855FC">
        <w:instrText xml:space="preserve"> ADDIN ZOTERO_ITEM CSL_CITATION {"citationID":"KXQerwfx","properties":{"formattedCitation":"(Craig et al., 2019; George, 1970)","plainCitation":"(Craig et al., 2019; George, 1970)","noteIndex":0},"citationItems":[{"id":859,"uris":["http://zotero.org/users/9292995/items/LZQDU8YE"],"itemData":{"id":859,"type":"article-journal","container-title":"Transportation research record","ISSN":"0361-1981","issue":"1","journalAbbreviation":"Transportation research record","note":"publisher: SAGE Publications Sage CA: Los Angeles, CA","page":"514-523","title":"Pedestrian safety and driver yielding near public transit stops","volume":"2673","author":[{"family":"Craig","given":"Curtis M"},{"family":"Morris","given":"Nichole L"},{"family":"Van Houten","given":"Ron"},{"family":"Mayou","given":"David"}],"issued":{"date-parts":[["2019"]]}}},{"id":860,"uris":["http://zotero.org/users/9292995/items/JRYPU6ZW"],"itemData":{"id":860,"type":"article-journal","container-title":"WIT Transactions on the Built Environment","ISSN":"1853126950","journalAbbreviation":"WIT Transactions on the Built Environment","note":"publisher: WIT Press","title":"Transportation compatible land uses and bus-stop location","volume":"44","author":[{"family":"George","given":"Kollaros A"}],"issued":{"date-parts":[["1970"]]}}}],"schema":"https://github.com/citation-style-language/schema/raw/master/csl-citation.json"} </w:instrText>
      </w:r>
      <w:r w:rsidR="00E855FC">
        <w:fldChar w:fldCharType="separate"/>
      </w:r>
      <w:r w:rsidR="00E855FC" w:rsidRPr="0032030F">
        <w:t>(Craig et al., 2019</w:t>
      </w:r>
      <w:r w:rsidR="00F20D8F">
        <w:t>,</w:t>
      </w:r>
      <w:r w:rsidR="00E855FC" w:rsidRPr="0032030F">
        <w:t xml:space="preserve"> George, 1970)</w:t>
      </w:r>
      <w:r w:rsidR="00E855FC">
        <w:fldChar w:fldCharType="end"/>
      </w:r>
      <w:r w:rsidR="00E855FC">
        <w:t xml:space="preserve">. </w:t>
      </w:r>
      <w:bookmarkEnd w:id="61"/>
      <w:r w:rsidR="00E855FC">
        <w:t xml:space="preserve">Bus stops are generally placed in proximity to midblock or intersection crosswalks to limit the distance riders have to walk to cross the street. However, this obstructs motorists’ vision of </w:t>
      </w:r>
      <w:r w:rsidR="00E855FC">
        <w:lastRenderedPageBreak/>
        <w:t xml:space="preserve">pedestrians attempting to cross. </w:t>
      </w:r>
      <w:r w:rsidR="00E855FC" w:rsidRPr="0085627F">
        <w:rPr>
          <w:rFonts w:eastAsiaTheme="majorEastAsia"/>
        </w:rPr>
        <w:t xml:space="preserve">Craig et al. </w:t>
      </w:r>
      <w:r w:rsidR="00E855FC">
        <w:rPr>
          <w:rFonts w:eastAsiaTheme="majorEastAsia"/>
        </w:rPr>
        <w:t>(</w:t>
      </w:r>
      <w:r w:rsidR="00E855FC" w:rsidRPr="0085627F">
        <w:rPr>
          <w:rFonts w:eastAsiaTheme="majorEastAsia"/>
        </w:rPr>
        <w:t>2019)</w:t>
      </w:r>
      <w:r w:rsidR="00E855FC">
        <w:rPr>
          <w:rFonts w:eastAsiaTheme="majorEastAsia"/>
        </w:rPr>
        <w:t xml:space="preserve"> also found poorer yielding behavior at bus stops, either due to unclear pedestrian crossing intentions or high driver distraction levels. Therefore, increasing transit ridership, which</w:t>
      </w:r>
      <w:r w:rsidR="005F4994">
        <w:rPr>
          <w:rFonts w:eastAsiaTheme="majorEastAsia"/>
        </w:rPr>
        <w:t>, in part,</w:t>
      </w:r>
      <w:r w:rsidR="00E855FC">
        <w:rPr>
          <w:rFonts w:eastAsiaTheme="majorEastAsia"/>
        </w:rPr>
        <w:t xml:space="preserve"> </w:t>
      </w:r>
      <w:r w:rsidR="005F4994">
        <w:rPr>
          <w:rFonts w:eastAsiaTheme="majorEastAsia"/>
        </w:rPr>
        <w:t xml:space="preserve">would generally entail </w:t>
      </w:r>
      <w:r w:rsidR="00E855FC">
        <w:rPr>
          <w:rFonts w:eastAsiaTheme="majorEastAsia"/>
        </w:rPr>
        <w:t xml:space="preserve">increasing the number of bus stops, must be preceded by meticulous bus stop design and placement studies. While placing bus stops away from crosswalk locations could reduce the negative impacts of transit on pedestrian crashes, future studies need to better investigate driver and pedestrian behaviors in the vicinity of transit stops to </w:t>
      </w:r>
      <w:r w:rsidR="005F4994">
        <w:rPr>
          <w:rFonts w:eastAsiaTheme="majorEastAsia"/>
        </w:rPr>
        <w:t>better understand the nature of conflicts that arise</w:t>
      </w:r>
      <w:r w:rsidR="00E855FC">
        <w:rPr>
          <w:rFonts w:eastAsiaTheme="majorEastAsia"/>
        </w:rPr>
        <w:t xml:space="preserve">. Adding unsafe transit infrastructure, especially at </w:t>
      </w:r>
      <w:r w:rsidR="00E855FC" w:rsidRPr="0085627F">
        <w:rPr>
          <w:rFonts w:eastAsiaTheme="majorEastAsia"/>
          <w:i/>
        </w:rPr>
        <w:t>MB</w:t>
      </w:r>
      <w:r w:rsidR="00E855FC">
        <w:rPr>
          <w:rFonts w:eastAsiaTheme="majorEastAsia"/>
        </w:rPr>
        <w:t xml:space="preserve"> CBGs which have significantly higher transit mode share and more bus stops</w:t>
      </w:r>
      <w:r w:rsidR="005F4994">
        <w:rPr>
          <w:rFonts w:eastAsiaTheme="majorEastAsia"/>
        </w:rPr>
        <w:t>,</w:t>
      </w:r>
      <w:r w:rsidR="00E855FC">
        <w:rPr>
          <w:rFonts w:eastAsiaTheme="majorEastAsia"/>
        </w:rPr>
        <w:t xml:space="preserve"> will further increase the overrepresentation of Black pedestrians in total crashes. </w:t>
      </w:r>
      <w:r w:rsidR="005F4994">
        <w:rPr>
          <w:rFonts w:eastAsiaTheme="majorEastAsia"/>
        </w:rPr>
        <w:t>Also, combined with the rather small contribution of the “% individuals commuting by walk” variable, our results point to conflicts around transit</w:t>
      </w:r>
      <w:r w:rsidR="00D27153">
        <w:rPr>
          <w:rFonts w:eastAsiaTheme="majorEastAsia"/>
        </w:rPr>
        <w:t>-</w:t>
      </w:r>
      <w:r w:rsidR="005F4994">
        <w:rPr>
          <w:rFonts w:eastAsiaTheme="majorEastAsia"/>
        </w:rPr>
        <w:t xml:space="preserve">embarking and </w:t>
      </w:r>
      <w:r w:rsidR="00D27153">
        <w:rPr>
          <w:rFonts w:eastAsiaTheme="majorEastAsia"/>
        </w:rPr>
        <w:t>transit-</w:t>
      </w:r>
      <w:r w:rsidR="005F4994">
        <w:rPr>
          <w:rFonts w:eastAsiaTheme="majorEastAsia"/>
        </w:rPr>
        <w:t xml:space="preserve">disembarking points as substantially more of a determinant of pedestrian crashes than the </w:t>
      </w:r>
      <w:r w:rsidR="00AF02A9">
        <w:rPr>
          <w:rFonts w:eastAsiaTheme="majorEastAsia"/>
        </w:rPr>
        <w:t xml:space="preserve">act of </w:t>
      </w:r>
      <w:r w:rsidR="005F4994">
        <w:rPr>
          <w:rFonts w:eastAsiaTheme="majorEastAsia"/>
        </w:rPr>
        <w:t xml:space="preserve">walking itself. </w:t>
      </w:r>
    </w:p>
    <w:p w14:paraId="6A8833B6" w14:textId="00900AE2" w:rsidR="00802823" w:rsidRDefault="00802823" w:rsidP="00966F5E">
      <w:pPr>
        <w:spacing w:before="0" w:after="0" w:line="360" w:lineRule="auto"/>
        <w:ind w:firstLine="720"/>
      </w:pPr>
      <w:r>
        <w:t xml:space="preserve">More generally, our results reveal that exposure (by way of population, employment, or even transit use and walk mode use) by itself has only a moderate impact on pedestrian crashes, but it is exposure when also combined with the </w:t>
      </w:r>
      <w:r w:rsidR="00F20D8F">
        <w:t>BE</w:t>
      </w:r>
      <w:r>
        <w:t xml:space="preserve"> that is the key, as we further discuss under the category of BE variables. </w:t>
      </w:r>
    </w:p>
    <w:p w14:paraId="47A2ED73" w14:textId="77777777" w:rsidR="00432BEC" w:rsidRPr="00B60C83" w:rsidRDefault="00432BEC" w:rsidP="00966F5E">
      <w:pPr>
        <w:spacing w:before="0" w:after="0" w:line="360" w:lineRule="auto"/>
        <w:ind w:firstLine="720"/>
      </w:pPr>
    </w:p>
    <w:p w14:paraId="06C8F5E5" w14:textId="77777777" w:rsidR="00B96B8E" w:rsidRPr="00B60C83" w:rsidRDefault="00B96B8E" w:rsidP="00966F5E">
      <w:pPr>
        <w:pStyle w:val="Heading3"/>
        <w:spacing w:line="360" w:lineRule="auto"/>
      </w:pPr>
      <w:r w:rsidRPr="00B60C83">
        <w:t>Cultural Variables</w:t>
      </w:r>
    </w:p>
    <w:p w14:paraId="44DBF44A" w14:textId="54244F9B" w:rsidR="0026030D" w:rsidRDefault="00062815" w:rsidP="007D5556">
      <w:pPr>
        <w:spacing w:before="0" w:after="0" w:line="360" w:lineRule="auto"/>
        <w:ind w:firstLine="720"/>
        <w:rPr>
          <w:rFonts w:eastAsiaTheme="majorEastAsia"/>
        </w:rPr>
      </w:pPr>
      <w:r>
        <w:rPr>
          <w:rFonts w:eastAsiaTheme="majorEastAsia"/>
        </w:rPr>
        <w:t xml:space="preserve">The </w:t>
      </w:r>
      <w:r w:rsidR="00B96B8E">
        <w:rPr>
          <w:rFonts w:eastAsiaTheme="majorEastAsia"/>
        </w:rPr>
        <w:t>cultural (</w:t>
      </w:r>
      <w:r w:rsidR="0085627F">
        <w:rPr>
          <w:rFonts w:eastAsiaTheme="majorEastAsia"/>
        </w:rPr>
        <w:t>social resistance</w:t>
      </w:r>
      <w:r w:rsidR="00B96B8E">
        <w:rPr>
          <w:rFonts w:eastAsiaTheme="majorEastAsia"/>
        </w:rPr>
        <w:t>)</w:t>
      </w:r>
      <w:r w:rsidR="0085627F">
        <w:rPr>
          <w:rFonts w:eastAsiaTheme="majorEastAsia"/>
        </w:rPr>
        <w:t xml:space="preserve"> </w:t>
      </w:r>
      <w:r>
        <w:rPr>
          <w:rFonts w:eastAsiaTheme="majorEastAsia"/>
        </w:rPr>
        <w:t>category contributes 16.62% to</w:t>
      </w:r>
      <w:r w:rsidR="00F20D8F">
        <w:rPr>
          <w:rFonts w:eastAsiaTheme="majorEastAsia"/>
        </w:rPr>
        <w:t xml:space="preserve"> the total</w:t>
      </w:r>
      <w:r>
        <w:rPr>
          <w:rFonts w:eastAsiaTheme="majorEastAsia"/>
        </w:rPr>
        <w:t xml:space="preserve"> crash count. This contribution is almost entirely driven </w:t>
      </w:r>
      <w:r w:rsidR="0085627F">
        <w:rPr>
          <w:rFonts w:eastAsiaTheme="majorEastAsia"/>
        </w:rPr>
        <w:t>by the “</w:t>
      </w:r>
      <w:r w:rsidR="0085627F" w:rsidRPr="00AC1A1A">
        <w:rPr>
          <w:rFonts w:eastAsiaTheme="majorEastAsia"/>
        </w:rPr>
        <w:t xml:space="preserve">% population with </w:t>
      </w:r>
      <w:r w:rsidR="00F20D8F">
        <w:rPr>
          <w:rFonts w:eastAsiaTheme="majorEastAsia"/>
        </w:rPr>
        <w:t>less than a</w:t>
      </w:r>
      <w:r w:rsidR="0085627F" w:rsidRPr="00AC1A1A">
        <w:rPr>
          <w:rFonts w:eastAsiaTheme="majorEastAsia"/>
        </w:rPr>
        <w:t xml:space="preserve"> High school diploma</w:t>
      </w:r>
      <w:r w:rsidR="0085627F" w:rsidRPr="0085627F">
        <w:rPr>
          <w:rFonts w:eastAsiaTheme="majorEastAsia"/>
        </w:rPr>
        <w:t>” variable</w:t>
      </w:r>
      <w:r>
        <w:rPr>
          <w:rFonts w:eastAsiaTheme="majorEastAsia"/>
        </w:rPr>
        <w:t>,</w:t>
      </w:r>
      <w:r w:rsidR="0085627F" w:rsidRPr="0085627F">
        <w:rPr>
          <w:rFonts w:eastAsiaTheme="majorEastAsia"/>
        </w:rPr>
        <w:t xml:space="preserve"> which has a </w:t>
      </w:r>
      <w:r w:rsidR="00327E5A">
        <w:rPr>
          <w:rFonts w:eastAsiaTheme="majorEastAsia"/>
        </w:rPr>
        <w:t>large</w:t>
      </w:r>
      <w:r w:rsidR="0085627F" w:rsidRPr="0085627F">
        <w:rPr>
          <w:rFonts w:eastAsiaTheme="majorEastAsia"/>
        </w:rPr>
        <w:t xml:space="preserve"> in-group contribution of 92.99%</w:t>
      </w:r>
      <w:r w:rsidR="0085627F">
        <w:rPr>
          <w:rFonts w:eastAsiaTheme="majorEastAsia"/>
        </w:rPr>
        <w:t xml:space="preserve">. Moreover, this variable has the highest </w:t>
      </w:r>
      <w:r w:rsidR="001F49BA">
        <w:rPr>
          <w:rFonts w:eastAsiaTheme="majorEastAsia"/>
        </w:rPr>
        <w:t xml:space="preserve">% ATE </w:t>
      </w:r>
      <w:r w:rsidR="0085627F">
        <w:rPr>
          <w:rFonts w:eastAsiaTheme="majorEastAsia"/>
        </w:rPr>
        <w:t>contribution</w:t>
      </w:r>
      <w:r>
        <w:rPr>
          <w:rFonts w:eastAsiaTheme="majorEastAsia"/>
        </w:rPr>
        <w:t xml:space="preserve"> of 38.06, with the corresponding highest relative contribution of any variable at </w:t>
      </w:r>
      <w:r w:rsidR="0085627F">
        <w:rPr>
          <w:rFonts w:eastAsiaTheme="majorEastAsia"/>
        </w:rPr>
        <w:t>15.46%</w:t>
      </w:r>
      <w:r w:rsidR="0085627F" w:rsidRPr="0085627F">
        <w:rPr>
          <w:rFonts w:eastAsiaTheme="majorEastAsia"/>
        </w:rPr>
        <w:t>.</w:t>
      </w:r>
      <w:r w:rsidR="0085627F">
        <w:rPr>
          <w:rFonts w:eastAsiaTheme="majorEastAsia"/>
        </w:rPr>
        <w:t xml:space="preserve"> This reveals </w:t>
      </w:r>
      <w:r w:rsidR="00FA0B6F">
        <w:rPr>
          <w:rFonts w:eastAsiaTheme="majorEastAsia"/>
        </w:rPr>
        <w:t xml:space="preserve">a </w:t>
      </w:r>
      <w:r w:rsidR="0085627F">
        <w:rPr>
          <w:rFonts w:eastAsiaTheme="majorEastAsia"/>
        </w:rPr>
        <w:t xml:space="preserve">sizable impact of socially resistant behavior. </w:t>
      </w:r>
      <w:r w:rsidR="009D4F73">
        <w:rPr>
          <w:rFonts w:eastAsiaTheme="majorEastAsia"/>
        </w:rPr>
        <w:t xml:space="preserve">In countering this effect, transportation planners must </w:t>
      </w:r>
      <w:r w:rsidR="001F49BA">
        <w:rPr>
          <w:rFonts w:eastAsiaTheme="majorEastAsia"/>
        </w:rPr>
        <w:t>consider more community involvement with social scientists, first and foremost</w:t>
      </w:r>
      <w:r w:rsidR="00AF02A9">
        <w:rPr>
          <w:rFonts w:eastAsiaTheme="majorEastAsia"/>
        </w:rPr>
        <w:t>,</w:t>
      </w:r>
      <w:r w:rsidR="001F49BA">
        <w:rPr>
          <w:rFonts w:eastAsiaTheme="majorEastAsia"/>
        </w:rPr>
        <w:t xml:space="preserve"> to understand </w:t>
      </w:r>
      <w:r w:rsidR="00F20D8F">
        <w:rPr>
          <w:rFonts w:eastAsiaTheme="majorEastAsia"/>
        </w:rPr>
        <w:t xml:space="preserve">the </w:t>
      </w:r>
      <w:r w:rsidR="001F49BA">
        <w:rPr>
          <w:rFonts w:eastAsiaTheme="majorEastAsia"/>
        </w:rPr>
        <w:t xml:space="preserve">underlying </w:t>
      </w:r>
      <w:r>
        <w:rPr>
          <w:rFonts w:eastAsiaTheme="majorEastAsia"/>
        </w:rPr>
        <w:t xml:space="preserve">reasons for this result. </w:t>
      </w:r>
      <w:r w:rsidR="00F20D8F" w:rsidRPr="00B07CF0">
        <w:rPr>
          <w:rFonts w:eastAsiaTheme="majorEastAsia"/>
        </w:rPr>
        <w:t xml:space="preserve">That is, while it is always good from a traffic design standpoint to hold road use information workshops and strive for simple signage practices, invoking such actions as a result of the finding of increased pedestrian crashes in areas with a high percentage of individuals holding less than a high school diploma immediately only feeds into the (legitimate) perception felt by many of the “elite wanting to educate the common” (which is nothing but prejudicial and a form of privilege shaming; see </w:t>
      </w:r>
      <w:bookmarkStart w:id="62" w:name="_Hlk110540005"/>
      <w:r w:rsidR="00F20D8F" w:rsidRPr="00B07CF0">
        <w:rPr>
          <w:rFonts w:eastAsiaTheme="majorEastAsia"/>
        </w:rPr>
        <w:fldChar w:fldCharType="begin"/>
      </w:r>
      <w:r w:rsidR="00F20D8F">
        <w:rPr>
          <w:rFonts w:eastAsiaTheme="majorEastAsia"/>
        </w:rPr>
        <w:instrText xml:space="preserve"> ADDIN ZOTERO_ITEM CSL_CITATION {"citationID":"uc9wYaJr","properties":{"formattedCitation":"(Bien-Aim\\uc0\\u233{}, 2017; Sandel, 2020)","plainCitation":"(Bien-Aimé, 2017; Sandel, 2020)","noteIndex":0},"citationItems":[{"id":894,"uris":["http://zotero.org/users/9292995/items/9PRKG7CX"],"itemData":{"id":894,"type":"webpage","container-title":"Conscious Style Guide","language":"en-US","title":"The False Divide Between “Well Educated” and “Less Educated”","URL":"https://consciousstyleguide.com/false-divide-well-educated-less-educated/","author":[{"family":"Bien-Aimé","given":"Steve"}],"accessed":{"date-parts":[["2022",8,1]]},"issued":{"date-parts":[["2017"]]}}},{"id":896,"uris":["http://zotero.org/users/9292995/items/TUE4UXB9"],"itemData":{"id":896,"type":"article-newspaper","abstract":"It’s having a corrosive effect on American life — and hurting the Democratic Party.","container-title":"The New York Times","ISSN":"0362-4331","language":"en-US","section":"Opinion","source":"NYTimes.com","title":"Disdain for the Less Educated Is the Last Acceptable Prejudice","URL":"https://www.nytimes.com/2020/09/02/opinion/education-prejudice.html","author":[{"family":"Sandel","given":"Michael J."}],"accessed":{"date-parts":[["2022",8,1]]},"issued":{"date-parts":[["2020"]]}}}],"schema":"https://github.com/citation-style-language/schema/raw/master/csl-citation.json"} </w:instrText>
      </w:r>
      <w:r w:rsidR="00F20D8F" w:rsidRPr="00B07CF0">
        <w:rPr>
          <w:rFonts w:eastAsiaTheme="majorEastAsia"/>
        </w:rPr>
        <w:fldChar w:fldCharType="separate"/>
      </w:r>
      <w:r w:rsidR="00F20D8F" w:rsidRPr="00F20D8F">
        <w:t>Bien-Aimé, 2017</w:t>
      </w:r>
      <w:r w:rsidR="00A40C0C">
        <w:t xml:space="preserve"> and</w:t>
      </w:r>
      <w:r w:rsidR="00F20D8F" w:rsidRPr="00F20D8F">
        <w:t xml:space="preserve"> Sandel, 2020)</w:t>
      </w:r>
      <w:r w:rsidR="00F20D8F" w:rsidRPr="00B07CF0">
        <w:rPr>
          <w:rFonts w:eastAsiaTheme="majorEastAsia"/>
        </w:rPr>
        <w:fldChar w:fldCharType="end"/>
      </w:r>
      <w:r w:rsidR="00F20D8F" w:rsidRPr="00B07CF0">
        <w:rPr>
          <w:rFonts w:eastAsiaTheme="majorEastAsia"/>
        </w:rPr>
        <w:t>.</w:t>
      </w:r>
      <w:r w:rsidR="00F20D8F">
        <w:rPr>
          <w:rFonts w:eastAsiaTheme="majorEastAsia"/>
        </w:rPr>
        <w:t xml:space="preserve"> </w:t>
      </w:r>
      <w:bookmarkEnd w:id="62"/>
      <w:r w:rsidR="0026030D">
        <w:rPr>
          <w:rFonts w:eastAsiaTheme="majorEastAsia"/>
        </w:rPr>
        <w:t xml:space="preserve">A deep engagement strategy </w:t>
      </w:r>
      <w:r w:rsidR="001F49BA">
        <w:rPr>
          <w:rFonts w:eastAsiaTheme="majorEastAsia"/>
        </w:rPr>
        <w:t>with community leaders</w:t>
      </w:r>
      <w:r w:rsidR="0026030D">
        <w:rPr>
          <w:rFonts w:eastAsiaTheme="majorEastAsia"/>
        </w:rPr>
        <w:t xml:space="preserve"> and elders to </w:t>
      </w:r>
      <w:r w:rsidR="001F49BA">
        <w:rPr>
          <w:rFonts w:eastAsiaTheme="majorEastAsia"/>
        </w:rPr>
        <w:t xml:space="preserve">show a </w:t>
      </w:r>
      <w:r w:rsidR="001F49BA">
        <w:rPr>
          <w:rFonts w:eastAsiaTheme="majorEastAsia"/>
        </w:rPr>
        <w:lastRenderedPageBreak/>
        <w:t>common caus</w:t>
      </w:r>
      <w:r w:rsidR="0026030D">
        <w:rPr>
          <w:rFonts w:eastAsiaTheme="majorEastAsia"/>
        </w:rPr>
        <w:t>e</w:t>
      </w:r>
      <w:r w:rsidR="001F49BA">
        <w:rPr>
          <w:rFonts w:eastAsiaTheme="majorEastAsia"/>
        </w:rPr>
        <w:t xml:space="preserve"> </w:t>
      </w:r>
      <w:r w:rsidR="0026030D">
        <w:rPr>
          <w:rFonts w:eastAsiaTheme="majorEastAsia"/>
        </w:rPr>
        <w:t>and earn trust with the right attitude is likely to be a necessary prerequisite before embarking</w:t>
      </w:r>
      <w:r w:rsidR="00D27153">
        <w:rPr>
          <w:rFonts w:eastAsiaTheme="majorEastAsia"/>
        </w:rPr>
        <w:t xml:space="preserve"> </w:t>
      </w:r>
      <w:r w:rsidR="00B96B8E">
        <w:rPr>
          <w:rFonts w:eastAsiaTheme="majorEastAsia"/>
        </w:rPr>
        <w:t xml:space="preserve">on </w:t>
      </w:r>
      <w:r w:rsidR="0026030D">
        <w:rPr>
          <w:rFonts w:eastAsiaTheme="majorEastAsia"/>
        </w:rPr>
        <w:t xml:space="preserve">policy actions. </w:t>
      </w:r>
    </w:p>
    <w:p w14:paraId="17ACDF2C" w14:textId="626D0ED8" w:rsidR="00682038" w:rsidRDefault="009D4F73" w:rsidP="00966F5E">
      <w:pPr>
        <w:spacing w:before="0" w:after="0" w:line="360" w:lineRule="auto"/>
        <w:ind w:firstLine="720"/>
        <w:rPr>
          <w:rFonts w:eastAsiaTheme="majorEastAsia"/>
        </w:rPr>
      </w:pPr>
      <w:bookmarkStart w:id="63" w:name="_Hlk117494679"/>
      <w:r>
        <w:rPr>
          <w:rFonts w:eastAsiaTheme="majorEastAsia"/>
        </w:rPr>
        <w:t xml:space="preserve">An increase in </w:t>
      </w:r>
      <w:r w:rsidR="00B60C83">
        <w:rPr>
          <w:rFonts w:eastAsiaTheme="majorEastAsia"/>
        </w:rPr>
        <w:t xml:space="preserve">the </w:t>
      </w:r>
      <w:r w:rsidR="00F20D8F">
        <w:rPr>
          <w:rFonts w:eastAsiaTheme="majorEastAsia"/>
        </w:rPr>
        <w:t>police-</w:t>
      </w:r>
      <w:r w:rsidR="00AF0BBF">
        <w:rPr>
          <w:rFonts w:eastAsiaTheme="majorEastAsia"/>
        </w:rPr>
        <w:t xml:space="preserve">reported </w:t>
      </w:r>
      <w:r>
        <w:rPr>
          <w:rFonts w:eastAsiaTheme="majorEastAsia"/>
        </w:rPr>
        <w:t>crime rate also results in more pedestrian crashes</w:t>
      </w:r>
      <w:r w:rsidR="00AF0BBF">
        <w:rPr>
          <w:rFonts w:eastAsiaTheme="majorEastAsia"/>
        </w:rPr>
        <w:t xml:space="preserve">, though the </w:t>
      </w:r>
      <w:r w:rsidR="00B96B8E">
        <w:rPr>
          <w:rFonts w:eastAsiaTheme="majorEastAsia"/>
        </w:rPr>
        <w:t xml:space="preserve">effect of this variable based on the metrics in Table 4 is rather minimal. </w:t>
      </w:r>
      <w:bookmarkEnd w:id="63"/>
      <w:r w:rsidR="00AF0BBF">
        <w:rPr>
          <w:rFonts w:eastAsiaTheme="majorEastAsia"/>
        </w:rPr>
        <w:t xml:space="preserve">To put things in </w:t>
      </w:r>
      <w:r w:rsidR="00AF0BBF" w:rsidRPr="003F53BF">
        <w:rPr>
          <w:rFonts w:eastAsiaTheme="majorEastAsia"/>
        </w:rPr>
        <w:t xml:space="preserve">perspective, the lower quartile of this variable is 0 reported crimes per </w:t>
      </w:r>
      <w:r w:rsidR="00B60C83" w:rsidRPr="003F53BF">
        <w:rPr>
          <w:rFonts w:eastAsiaTheme="majorEastAsia"/>
        </w:rPr>
        <w:t xml:space="preserve">0.1 </w:t>
      </w:r>
      <w:r w:rsidR="00AF0BBF" w:rsidRPr="003F53BF">
        <w:rPr>
          <w:rFonts w:eastAsiaTheme="majorEastAsia"/>
        </w:rPr>
        <w:t>capita, while the upper quartile is 0.0</w:t>
      </w:r>
      <w:r w:rsidR="00B60C83" w:rsidRPr="003F53BF">
        <w:rPr>
          <w:rFonts w:eastAsiaTheme="majorEastAsia"/>
        </w:rPr>
        <w:t>0</w:t>
      </w:r>
      <w:r w:rsidR="00AF0BBF" w:rsidRPr="003F53BF">
        <w:rPr>
          <w:rFonts w:eastAsiaTheme="majorEastAsia"/>
        </w:rPr>
        <w:t xml:space="preserve">5 reported crimes </w:t>
      </w:r>
      <w:r w:rsidRPr="003F53BF">
        <w:rPr>
          <w:rFonts w:eastAsiaTheme="majorEastAsia"/>
        </w:rPr>
        <w:t xml:space="preserve">per </w:t>
      </w:r>
      <w:r w:rsidR="00B60C83" w:rsidRPr="003F53BF">
        <w:rPr>
          <w:rFonts w:eastAsiaTheme="majorEastAsia"/>
        </w:rPr>
        <w:t xml:space="preserve">0.1 </w:t>
      </w:r>
      <w:r w:rsidRPr="003F53BF">
        <w:rPr>
          <w:rFonts w:eastAsiaTheme="majorEastAsia"/>
        </w:rPr>
        <w:t xml:space="preserve">capita (or 50 </w:t>
      </w:r>
      <w:r w:rsidR="00AF0BBF" w:rsidRPr="003F53BF">
        <w:rPr>
          <w:rFonts w:eastAsiaTheme="majorEastAsia"/>
        </w:rPr>
        <w:t xml:space="preserve">reported </w:t>
      </w:r>
      <w:r w:rsidRPr="003F53BF">
        <w:rPr>
          <w:rFonts w:eastAsiaTheme="majorEastAsia"/>
        </w:rPr>
        <w:t>crimes per 1000 residents)</w:t>
      </w:r>
      <w:r w:rsidR="00AF0BBF" w:rsidRPr="003F53BF">
        <w:rPr>
          <w:rFonts w:eastAsiaTheme="majorEastAsia"/>
        </w:rPr>
        <w:t xml:space="preserve">. That is, even an increase from 0 to 50 reported crimes per 1000 residents on an annual basis </w:t>
      </w:r>
      <w:r w:rsidRPr="003F53BF">
        <w:rPr>
          <w:rFonts w:eastAsiaTheme="majorEastAsia"/>
        </w:rPr>
        <w:t xml:space="preserve">increases the total number of crashes by </w:t>
      </w:r>
      <w:r w:rsidR="00AF0BBF" w:rsidRPr="003F53BF">
        <w:rPr>
          <w:rFonts w:eastAsiaTheme="majorEastAsia"/>
        </w:rPr>
        <w:t>less than 3% (note also from Table 1 that the average crime rate is about 40 crimes per 1000 residents in COH)</w:t>
      </w:r>
      <w:r w:rsidRPr="003F53BF">
        <w:rPr>
          <w:rFonts w:eastAsiaTheme="majorEastAsia"/>
        </w:rPr>
        <w:t xml:space="preserve">. </w:t>
      </w:r>
      <w:r w:rsidR="00AF0BBF" w:rsidRPr="003F53BF">
        <w:rPr>
          <w:rFonts w:eastAsiaTheme="majorEastAsia"/>
        </w:rPr>
        <w:t xml:space="preserve">The results suggest that </w:t>
      </w:r>
      <w:r w:rsidR="00D241BB" w:rsidRPr="003F53BF">
        <w:rPr>
          <w:rFonts w:eastAsiaTheme="majorEastAsia"/>
        </w:rPr>
        <w:t xml:space="preserve">perhaps police-reported crime </w:t>
      </w:r>
      <w:r w:rsidR="00AF0BBF" w:rsidRPr="003F53BF">
        <w:rPr>
          <w:rFonts w:eastAsiaTheme="majorEastAsia"/>
        </w:rPr>
        <w:t xml:space="preserve">measures </w:t>
      </w:r>
      <w:r w:rsidR="00D241BB" w:rsidRPr="003F53BF">
        <w:rPr>
          <w:rFonts w:eastAsiaTheme="majorEastAsia"/>
        </w:rPr>
        <w:t xml:space="preserve">are not the best indicators of actual crimes committed, or perhaps </w:t>
      </w:r>
      <w:r w:rsidR="00984012" w:rsidRPr="003F53BF">
        <w:rPr>
          <w:rFonts w:eastAsiaTheme="majorEastAsia"/>
        </w:rPr>
        <w:t xml:space="preserve">the “group” walking that is more prevalent </w:t>
      </w:r>
      <w:r w:rsidR="00D241BB" w:rsidRPr="003F53BF">
        <w:rPr>
          <w:rFonts w:eastAsiaTheme="majorEastAsia"/>
        </w:rPr>
        <w:t>in high</w:t>
      </w:r>
      <w:r w:rsidR="00D241BB">
        <w:rPr>
          <w:rFonts w:eastAsiaTheme="majorEastAsia"/>
        </w:rPr>
        <w:t xml:space="preserve"> </w:t>
      </w:r>
      <w:r w:rsidR="00D27153">
        <w:rPr>
          <w:rFonts w:eastAsiaTheme="majorEastAsia"/>
        </w:rPr>
        <w:t xml:space="preserve">reported </w:t>
      </w:r>
      <w:r w:rsidR="00D241BB">
        <w:rPr>
          <w:rFonts w:eastAsiaTheme="majorEastAsia"/>
        </w:rPr>
        <w:t>crime areas</w:t>
      </w:r>
      <w:r w:rsidR="00B60C83">
        <w:rPr>
          <w:rFonts w:eastAsiaTheme="majorEastAsia"/>
        </w:rPr>
        <w:t xml:space="preserve"> </w:t>
      </w:r>
      <w:bookmarkStart w:id="64" w:name="_Hlk110176698"/>
      <w:r w:rsidR="00B60C83">
        <w:rPr>
          <w:rFonts w:eastAsiaTheme="majorEastAsia"/>
        </w:rPr>
        <w:fldChar w:fldCharType="begin"/>
      </w:r>
      <w:r w:rsidR="00B60C83">
        <w:rPr>
          <w:rFonts w:eastAsiaTheme="majorEastAsia"/>
        </w:rPr>
        <w:instrText xml:space="preserve"> ADDIN ZOTERO_ITEM CSL_CITATION {"citationID":"hK4wUHxn","properties":{"formattedCitation":"(Ferraro &amp; LaGrange, 2017)","plainCitation":"(Ferraro &amp; LaGrange, 2017)","noteIndex":0},"citationItems":[{"id":891,"uris":["http://zotero.org/users/9292995/items/UD7EREP4"],"itemData":{"id":891,"type":"chapter","container-title":"The fear of crime","ISBN":"1-315-08661-1","page":"277-308","publisher":"Routledge","title":"The measurement of fear of crime","author":[{"family":"Ferraro","given":"Kenneth F"},{"family":"LaGrange","given":"Randy"}],"issued":{"date-parts":[["2017"]]}}}],"schema":"https://github.com/citation-style-language/schema/raw/master/csl-citation.json"} </w:instrText>
      </w:r>
      <w:r w:rsidR="00B60C83">
        <w:rPr>
          <w:rFonts w:eastAsiaTheme="majorEastAsia"/>
        </w:rPr>
        <w:fldChar w:fldCharType="separate"/>
      </w:r>
      <w:r w:rsidR="00B60C83" w:rsidRPr="00B60C83">
        <w:rPr>
          <w:rFonts w:eastAsiaTheme="majorEastAsia"/>
        </w:rPr>
        <w:t xml:space="preserve">(Ferraro </w:t>
      </w:r>
      <w:r w:rsidR="00B60C83">
        <w:rPr>
          <w:rFonts w:eastAsiaTheme="majorEastAsia"/>
        </w:rPr>
        <w:t>and</w:t>
      </w:r>
      <w:r w:rsidR="00B60C83" w:rsidRPr="00B60C83">
        <w:rPr>
          <w:rFonts w:eastAsiaTheme="majorEastAsia"/>
        </w:rPr>
        <w:t xml:space="preserve"> LaGrange, 2017)</w:t>
      </w:r>
      <w:r w:rsidR="00B60C83">
        <w:rPr>
          <w:rFonts w:eastAsiaTheme="majorEastAsia"/>
        </w:rPr>
        <w:fldChar w:fldCharType="end"/>
      </w:r>
      <w:r w:rsidR="00D241BB">
        <w:rPr>
          <w:rFonts w:eastAsiaTheme="majorEastAsia"/>
        </w:rPr>
        <w:t xml:space="preserve"> </w:t>
      </w:r>
      <w:bookmarkEnd w:id="64"/>
      <w:r w:rsidR="00984012">
        <w:rPr>
          <w:rFonts w:eastAsiaTheme="majorEastAsia"/>
        </w:rPr>
        <w:t xml:space="preserve">also </w:t>
      </w:r>
      <w:r w:rsidR="00D241BB">
        <w:rPr>
          <w:rFonts w:eastAsiaTheme="majorEastAsia"/>
        </w:rPr>
        <w:t xml:space="preserve">makes it less probable that motorists </w:t>
      </w:r>
      <w:r w:rsidR="00984012">
        <w:rPr>
          <w:rFonts w:eastAsiaTheme="majorEastAsia"/>
        </w:rPr>
        <w:t xml:space="preserve">will miss </w:t>
      </w:r>
      <w:r w:rsidR="00D241BB">
        <w:rPr>
          <w:rFonts w:eastAsiaTheme="majorEastAsia"/>
        </w:rPr>
        <w:t>pedestrians</w:t>
      </w:r>
      <w:r w:rsidR="00D27153">
        <w:rPr>
          <w:rFonts w:eastAsiaTheme="majorEastAsia"/>
        </w:rPr>
        <w:t xml:space="preserve"> during their driving</w:t>
      </w:r>
      <w:r w:rsidR="00D241BB">
        <w:rPr>
          <w:rFonts w:eastAsiaTheme="majorEastAsia"/>
        </w:rPr>
        <w:t>.</w:t>
      </w:r>
      <w:r w:rsidR="007E2999">
        <w:rPr>
          <w:rFonts w:eastAsiaTheme="majorEastAsia"/>
        </w:rPr>
        <w:t xml:space="preserve"> </w:t>
      </w:r>
    </w:p>
    <w:p w14:paraId="45312CEB" w14:textId="77777777" w:rsidR="000B2277" w:rsidRPr="000B2277" w:rsidRDefault="000B2277" w:rsidP="00966F5E">
      <w:pPr>
        <w:spacing w:before="0" w:after="0" w:line="360" w:lineRule="auto"/>
        <w:ind w:firstLine="720"/>
        <w:rPr>
          <w:rFonts w:eastAsiaTheme="majorEastAsia"/>
        </w:rPr>
      </w:pPr>
    </w:p>
    <w:p w14:paraId="26A2A59B" w14:textId="3F3CB9B3" w:rsidR="00D27153" w:rsidRDefault="00B96B8E" w:rsidP="00966F5E">
      <w:pPr>
        <w:pStyle w:val="Heading3"/>
        <w:spacing w:line="360" w:lineRule="auto"/>
      </w:pPr>
      <w:r w:rsidRPr="00D909B5">
        <w:t>BE F</w:t>
      </w:r>
      <w:r w:rsidR="009D54A2">
        <w:t>eatures</w:t>
      </w:r>
    </w:p>
    <w:p w14:paraId="5548C462" w14:textId="13E52B12" w:rsidR="00D27153" w:rsidRPr="00FF62E0" w:rsidRDefault="009D4F73" w:rsidP="007D5556">
      <w:pPr>
        <w:spacing w:before="0" w:after="0" w:line="360" w:lineRule="auto"/>
        <w:ind w:firstLine="720"/>
        <w:rPr>
          <w:rFonts w:eastAsiaTheme="majorEastAsia"/>
        </w:rPr>
      </w:pPr>
      <w:r>
        <w:rPr>
          <w:rFonts w:eastAsiaTheme="majorEastAsia"/>
        </w:rPr>
        <w:t>BE factors have the most influence on the total number of pedestrian crashes</w:t>
      </w:r>
      <w:r w:rsidR="00984012">
        <w:rPr>
          <w:rFonts w:eastAsiaTheme="majorEastAsia"/>
        </w:rPr>
        <w:t xml:space="preserve">, with a total category </w:t>
      </w:r>
      <w:r>
        <w:rPr>
          <w:rFonts w:eastAsiaTheme="majorEastAsia"/>
        </w:rPr>
        <w:t xml:space="preserve">contribution </w:t>
      </w:r>
      <w:r w:rsidR="00984012">
        <w:rPr>
          <w:rFonts w:eastAsiaTheme="majorEastAsia"/>
        </w:rPr>
        <w:t>of</w:t>
      </w:r>
      <w:r>
        <w:rPr>
          <w:rFonts w:eastAsiaTheme="majorEastAsia"/>
        </w:rPr>
        <w:t xml:space="preserve"> 54.69%. </w:t>
      </w:r>
      <w:r w:rsidR="00B96B8E">
        <w:rPr>
          <w:rFonts w:eastAsiaTheme="majorEastAsia"/>
        </w:rPr>
        <w:t>Thus, a</w:t>
      </w:r>
      <w:r>
        <w:rPr>
          <w:rFonts w:eastAsiaTheme="majorEastAsia"/>
        </w:rPr>
        <w:t xml:space="preserve">dding </w:t>
      </w:r>
      <w:r w:rsidR="00B96B8E">
        <w:rPr>
          <w:rFonts w:eastAsiaTheme="majorEastAsia"/>
        </w:rPr>
        <w:t>one</w:t>
      </w:r>
      <w:r>
        <w:rPr>
          <w:rFonts w:eastAsiaTheme="majorEastAsia"/>
        </w:rPr>
        <w:t xml:space="preserve"> school to a 1</w:t>
      </w:r>
      <w:r w:rsidR="00FF62E0">
        <w:rPr>
          <w:rFonts w:eastAsiaTheme="majorEastAsia"/>
        </w:rPr>
        <w:t>0</w:t>
      </w:r>
      <w:r>
        <w:rPr>
          <w:rFonts w:eastAsiaTheme="majorEastAsia"/>
        </w:rPr>
        <w:t>0-acre CBG that did not have any schools</w:t>
      </w:r>
      <w:r w:rsidR="00B96B8E">
        <w:rPr>
          <w:rFonts w:eastAsiaTheme="majorEastAsia"/>
        </w:rPr>
        <w:t xml:space="preserve"> (which was effectively the range between the lower and upper quartiles of this variable)</w:t>
      </w:r>
      <w:r>
        <w:rPr>
          <w:rFonts w:eastAsiaTheme="majorEastAsia"/>
        </w:rPr>
        <w:t xml:space="preserve">, increases </w:t>
      </w:r>
      <w:r w:rsidR="00DA3C84">
        <w:rPr>
          <w:rFonts w:eastAsiaTheme="majorEastAsia"/>
        </w:rPr>
        <w:t xml:space="preserve">the </w:t>
      </w:r>
      <w:r>
        <w:rPr>
          <w:rFonts w:eastAsiaTheme="majorEastAsia"/>
        </w:rPr>
        <w:t>total number of crashes by 16.68%. This is a substantial increase in the number</w:t>
      </w:r>
      <w:r w:rsidR="001865EB">
        <w:rPr>
          <w:rFonts w:eastAsiaTheme="majorEastAsia"/>
        </w:rPr>
        <w:t xml:space="preserve"> of</w:t>
      </w:r>
      <w:r>
        <w:rPr>
          <w:rFonts w:eastAsiaTheme="majorEastAsia"/>
        </w:rPr>
        <w:t xml:space="preserve"> crashes from just adding one school. Generous investments in Safe Routes to School initiatives and projects will be </w:t>
      </w:r>
      <w:r w:rsidR="00B96B8E">
        <w:rPr>
          <w:rFonts w:eastAsiaTheme="majorEastAsia"/>
        </w:rPr>
        <w:t>needed</w:t>
      </w:r>
      <w:r>
        <w:rPr>
          <w:rFonts w:eastAsiaTheme="majorEastAsia"/>
        </w:rPr>
        <w:t xml:space="preserve"> by state departments of transportation and local municipalities to ensure students have safe walking environments to </w:t>
      </w:r>
      <w:r w:rsidRPr="00FF62E0">
        <w:rPr>
          <w:rFonts w:eastAsiaTheme="majorEastAsia"/>
        </w:rPr>
        <w:t xml:space="preserve">access their schools. </w:t>
      </w:r>
    </w:p>
    <w:p w14:paraId="7CE0F0B4" w14:textId="4F7F44F6" w:rsidR="00EE21D4" w:rsidRDefault="00D27153" w:rsidP="00966F5E">
      <w:pPr>
        <w:spacing w:before="0" w:after="0" w:line="360" w:lineRule="auto"/>
        <w:ind w:firstLine="720"/>
        <w:rPr>
          <w:rFonts w:eastAsiaTheme="majorEastAsia"/>
        </w:rPr>
      </w:pPr>
      <w:r w:rsidRPr="00FF62E0">
        <w:rPr>
          <w:rFonts w:eastAsiaTheme="majorEastAsia"/>
        </w:rPr>
        <w:t>As already discussed, the “# bus stops per 10 acres” has a very high contribution to total crashes. But</w:t>
      </w:r>
      <w:r w:rsidR="009D4F73" w:rsidRPr="00FF62E0">
        <w:rPr>
          <w:rFonts w:eastAsiaTheme="majorEastAsia"/>
        </w:rPr>
        <w:t>, within BE factors, road design variables</w:t>
      </w:r>
      <w:r w:rsidR="00802823" w:rsidRPr="00FF62E0">
        <w:rPr>
          <w:rFonts w:eastAsiaTheme="majorEastAsia"/>
        </w:rPr>
        <w:t>, when all combined,</w:t>
      </w:r>
      <w:r w:rsidR="009D4F73" w:rsidRPr="00FF62E0">
        <w:rPr>
          <w:rFonts w:eastAsiaTheme="majorEastAsia"/>
        </w:rPr>
        <w:t xml:space="preserve"> have the highest </w:t>
      </w:r>
      <w:r w:rsidRPr="00FF62E0">
        <w:rPr>
          <w:rFonts w:eastAsiaTheme="majorEastAsia"/>
        </w:rPr>
        <w:t xml:space="preserve">overall </w:t>
      </w:r>
      <w:r w:rsidR="009D4F73" w:rsidRPr="00FF62E0">
        <w:rPr>
          <w:rFonts w:eastAsiaTheme="majorEastAsia"/>
        </w:rPr>
        <w:t>relative contribution of 34.95%.</w:t>
      </w:r>
      <w:r w:rsidR="00573BF3" w:rsidRPr="00966F5E">
        <w:rPr>
          <w:rFonts w:eastAsiaTheme="majorEastAsia"/>
        </w:rPr>
        <w:t xml:space="preserve"> </w:t>
      </w:r>
      <w:r w:rsidR="009D4F73" w:rsidRPr="00FF62E0">
        <w:rPr>
          <w:rFonts w:eastAsiaTheme="majorEastAsia"/>
        </w:rPr>
        <w:t>Within the road design</w:t>
      </w:r>
      <w:r w:rsidR="009D4F73">
        <w:rPr>
          <w:rFonts w:eastAsiaTheme="majorEastAsia"/>
        </w:rPr>
        <w:t xml:space="preserve"> sub-category, </w:t>
      </w:r>
      <w:r w:rsidR="00802823">
        <w:rPr>
          <w:rFonts w:eastAsiaTheme="majorEastAsia"/>
        </w:rPr>
        <w:t>de</w:t>
      </w:r>
      <w:r w:rsidR="009D4F73">
        <w:rPr>
          <w:rFonts w:eastAsiaTheme="majorEastAsia"/>
        </w:rPr>
        <w:t xml:space="preserve">creasing the intersection density from </w:t>
      </w:r>
      <w:r w:rsidR="00FA0B6F">
        <w:rPr>
          <w:rFonts w:eastAsiaTheme="majorEastAsia"/>
        </w:rPr>
        <w:t xml:space="preserve">the </w:t>
      </w:r>
      <w:r w:rsidR="00802823">
        <w:rPr>
          <w:rFonts w:eastAsiaTheme="majorEastAsia"/>
        </w:rPr>
        <w:t>7</w:t>
      </w:r>
      <w:r w:rsidR="009D4F73">
        <w:rPr>
          <w:rFonts w:eastAsiaTheme="majorEastAsia"/>
        </w:rPr>
        <w:t>5</w:t>
      </w:r>
      <w:r w:rsidR="009D4F73" w:rsidRPr="009D4F73">
        <w:rPr>
          <w:rFonts w:eastAsiaTheme="majorEastAsia"/>
          <w:vertAlign w:val="superscript"/>
        </w:rPr>
        <w:t>th</w:t>
      </w:r>
      <w:r w:rsidR="009D4F73">
        <w:rPr>
          <w:rFonts w:eastAsiaTheme="majorEastAsia"/>
        </w:rPr>
        <w:t xml:space="preserve"> to the </w:t>
      </w:r>
      <w:r w:rsidR="00802823">
        <w:rPr>
          <w:rFonts w:eastAsiaTheme="majorEastAsia"/>
        </w:rPr>
        <w:t>2</w:t>
      </w:r>
      <w:r w:rsidR="009D4F73">
        <w:rPr>
          <w:rFonts w:eastAsiaTheme="majorEastAsia"/>
        </w:rPr>
        <w:t>5</w:t>
      </w:r>
      <w:r w:rsidR="009D4F73" w:rsidRPr="009D4F73">
        <w:rPr>
          <w:rFonts w:eastAsiaTheme="majorEastAsia"/>
          <w:vertAlign w:val="superscript"/>
        </w:rPr>
        <w:t>th</w:t>
      </w:r>
      <w:r w:rsidR="009D4F73">
        <w:rPr>
          <w:rFonts w:eastAsiaTheme="majorEastAsia"/>
        </w:rPr>
        <w:t xml:space="preserve"> quartile results in a 13.87% </w:t>
      </w:r>
      <w:r w:rsidR="00802823">
        <w:rPr>
          <w:rFonts w:eastAsiaTheme="majorEastAsia"/>
        </w:rPr>
        <w:t xml:space="preserve">increase </w:t>
      </w:r>
      <w:r w:rsidR="009D4F73">
        <w:rPr>
          <w:rFonts w:eastAsiaTheme="majorEastAsia"/>
        </w:rPr>
        <w:t>in the total number of crashes</w:t>
      </w:r>
      <w:r w:rsidR="001942CC">
        <w:rPr>
          <w:rFonts w:eastAsiaTheme="majorEastAsia"/>
        </w:rPr>
        <w:t xml:space="preserve"> (conversely, increasing intersection density decreases crashes)</w:t>
      </w:r>
      <w:r w:rsidR="009D4F73">
        <w:rPr>
          <w:rFonts w:eastAsiaTheme="majorEastAsia"/>
        </w:rPr>
        <w:t xml:space="preserve">. </w:t>
      </w:r>
      <w:r w:rsidR="009D4F73">
        <w:t xml:space="preserve">Conversely, </w:t>
      </w:r>
      <w:r w:rsidR="001942CC">
        <w:rPr>
          <w:rFonts w:eastAsiaTheme="majorEastAsia"/>
        </w:rPr>
        <w:t xml:space="preserve">as </w:t>
      </w:r>
      <w:r w:rsidR="009D4F73">
        <w:rPr>
          <w:rFonts w:eastAsiaTheme="majorEastAsia"/>
        </w:rPr>
        <w:t xml:space="preserve">the percentage of four or more-leg intersections increases from </w:t>
      </w:r>
      <w:r w:rsidR="001942CC">
        <w:rPr>
          <w:rFonts w:eastAsiaTheme="majorEastAsia"/>
        </w:rPr>
        <w:t xml:space="preserve">56% (lower quartile value) </w:t>
      </w:r>
      <w:r w:rsidR="009D4F73">
        <w:rPr>
          <w:rFonts w:eastAsiaTheme="majorEastAsia"/>
        </w:rPr>
        <w:t xml:space="preserve">to </w:t>
      </w:r>
      <w:r w:rsidR="001942CC">
        <w:rPr>
          <w:rFonts w:eastAsiaTheme="majorEastAsia"/>
        </w:rPr>
        <w:t xml:space="preserve">76% (upper quartile value), </w:t>
      </w:r>
      <w:r w:rsidR="009D4F73">
        <w:rPr>
          <w:rFonts w:eastAsiaTheme="majorEastAsia"/>
        </w:rPr>
        <w:t>the total number of crashes increases by 15.90%</w:t>
      </w:r>
      <w:r w:rsidR="001942CC">
        <w:rPr>
          <w:rFonts w:eastAsiaTheme="majorEastAsia"/>
        </w:rPr>
        <w:t xml:space="preserve"> --</w:t>
      </w:r>
      <w:r w:rsidR="00AF02A9">
        <w:rPr>
          <w:rFonts w:eastAsiaTheme="majorEastAsia"/>
        </w:rPr>
        <w:t xml:space="preserve"> making it clear that</w:t>
      </w:r>
      <w:r w:rsidR="001942CC">
        <w:rPr>
          <w:rFonts w:eastAsiaTheme="majorEastAsia"/>
        </w:rPr>
        <w:t xml:space="preserve"> p</w:t>
      </w:r>
      <w:r w:rsidR="009D4F73">
        <w:rPr>
          <w:rFonts w:eastAsiaTheme="majorEastAsia"/>
        </w:rPr>
        <w:t xml:space="preserve">lanners </w:t>
      </w:r>
      <w:r w:rsidR="001942CC">
        <w:rPr>
          <w:rFonts w:eastAsiaTheme="majorEastAsia"/>
        </w:rPr>
        <w:t xml:space="preserve">need to </w:t>
      </w:r>
      <w:r w:rsidR="009D4F73">
        <w:rPr>
          <w:rFonts w:eastAsiaTheme="majorEastAsia"/>
        </w:rPr>
        <w:t>be</w:t>
      </w:r>
      <w:r w:rsidR="001942CC">
        <w:rPr>
          <w:rFonts w:eastAsiaTheme="majorEastAsia"/>
        </w:rPr>
        <w:t xml:space="preserve"> cautious when </w:t>
      </w:r>
      <w:r w:rsidR="009D4F73">
        <w:rPr>
          <w:rFonts w:eastAsiaTheme="majorEastAsia"/>
        </w:rPr>
        <w:t>proposing complex and multi-legged intersections. This is further exacerbate</w:t>
      </w:r>
      <w:r w:rsidR="00B60C83">
        <w:rPr>
          <w:rFonts w:eastAsiaTheme="majorEastAsia"/>
        </w:rPr>
        <w:t>d</w:t>
      </w:r>
      <w:r w:rsidR="009D4F73">
        <w:rPr>
          <w:rFonts w:eastAsiaTheme="majorEastAsia"/>
        </w:rPr>
        <w:t xml:space="preserve"> by the fact that equipping intersections with traffic signals does not alleviate the risks of complex crossing. Moreover, four or more-legged intersections are also more prevalent in </w:t>
      </w:r>
      <w:r w:rsidR="009D4F73" w:rsidRPr="009D4F73">
        <w:rPr>
          <w:rFonts w:eastAsiaTheme="majorEastAsia"/>
          <w:i/>
        </w:rPr>
        <w:t>MB</w:t>
      </w:r>
      <w:r w:rsidR="009D4F73">
        <w:rPr>
          <w:rFonts w:eastAsiaTheme="majorEastAsia"/>
        </w:rPr>
        <w:t xml:space="preserve"> CBGs </w:t>
      </w:r>
      <w:r w:rsidR="009D4F73">
        <w:rPr>
          <w:rFonts w:eastAsiaTheme="majorEastAsia"/>
        </w:rPr>
        <w:lastRenderedPageBreak/>
        <w:t xml:space="preserve">compared to </w:t>
      </w:r>
      <w:r w:rsidR="009D4F73" w:rsidRPr="009D4F73">
        <w:rPr>
          <w:rFonts w:eastAsiaTheme="majorEastAsia"/>
          <w:i/>
        </w:rPr>
        <w:t>NMB</w:t>
      </w:r>
      <w:r w:rsidR="009D4F73">
        <w:rPr>
          <w:rFonts w:eastAsiaTheme="majorEastAsia"/>
        </w:rPr>
        <w:t xml:space="preserve"> CBGs. </w:t>
      </w:r>
      <w:r w:rsidR="001942CC">
        <w:rPr>
          <w:rFonts w:eastAsiaTheme="majorEastAsia"/>
        </w:rPr>
        <w:t>P</w:t>
      </w:r>
      <w:r w:rsidR="009D4F73">
        <w:rPr>
          <w:rFonts w:eastAsiaTheme="majorEastAsia"/>
        </w:rPr>
        <w:t xml:space="preserve">olicies that limit this type of </w:t>
      </w:r>
      <w:r w:rsidR="0009526F">
        <w:rPr>
          <w:rFonts w:eastAsiaTheme="majorEastAsia"/>
        </w:rPr>
        <w:t xml:space="preserve">design for future </w:t>
      </w:r>
      <w:r w:rsidR="009D4F73">
        <w:rPr>
          <w:rFonts w:eastAsiaTheme="majorEastAsia"/>
        </w:rPr>
        <w:t>intersections</w:t>
      </w:r>
      <w:r w:rsidR="0009526F">
        <w:rPr>
          <w:rFonts w:eastAsiaTheme="majorEastAsia"/>
        </w:rPr>
        <w:t>,</w:t>
      </w:r>
      <w:r w:rsidR="009D4F73">
        <w:rPr>
          <w:rFonts w:eastAsiaTheme="majorEastAsia"/>
        </w:rPr>
        <w:t xml:space="preserve"> </w:t>
      </w:r>
      <w:r w:rsidR="001942CC">
        <w:rPr>
          <w:rFonts w:eastAsiaTheme="majorEastAsia"/>
        </w:rPr>
        <w:t xml:space="preserve">or </w:t>
      </w:r>
      <w:r w:rsidR="0009526F">
        <w:rPr>
          <w:rFonts w:eastAsiaTheme="majorEastAsia"/>
        </w:rPr>
        <w:t xml:space="preserve">that </w:t>
      </w:r>
      <w:r w:rsidR="001942CC">
        <w:rPr>
          <w:rFonts w:eastAsiaTheme="majorEastAsia"/>
        </w:rPr>
        <w:t>reconfigure intersections to reduce multiple approaches</w:t>
      </w:r>
      <w:r w:rsidR="0009526F">
        <w:rPr>
          <w:rFonts w:eastAsiaTheme="majorEastAsia"/>
        </w:rPr>
        <w:t>,</w:t>
      </w:r>
      <w:r w:rsidR="001942CC">
        <w:rPr>
          <w:rFonts w:eastAsiaTheme="majorEastAsia"/>
        </w:rPr>
        <w:t xml:space="preserve"> </w:t>
      </w:r>
      <w:r w:rsidR="009D4F73">
        <w:rPr>
          <w:rFonts w:eastAsiaTheme="majorEastAsia"/>
        </w:rPr>
        <w:t xml:space="preserve">can </w:t>
      </w:r>
      <w:r w:rsidR="00EE21D4">
        <w:rPr>
          <w:rFonts w:eastAsiaTheme="majorEastAsia"/>
        </w:rPr>
        <w:t>curtail</w:t>
      </w:r>
      <w:r w:rsidR="00B95D83">
        <w:rPr>
          <w:rFonts w:eastAsiaTheme="majorEastAsia"/>
        </w:rPr>
        <w:t xml:space="preserve"> the </w:t>
      </w:r>
      <w:r w:rsidR="00EE21D4">
        <w:rPr>
          <w:rFonts w:eastAsiaTheme="majorEastAsia"/>
        </w:rPr>
        <w:t xml:space="preserve">number of </w:t>
      </w:r>
      <w:r w:rsidR="00B95D83">
        <w:rPr>
          <w:rFonts w:eastAsiaTheme="majorEastAsia"/>
        </w:rPr>
        <w:t xml:space="preserve">pedestrian </w:t>
      </w:r>
      <w:r w:rsidR="00EE21D4">
        <w:rPr>
          <w:rFonts w:eastAsiaTheme="majorEastAsia"/>
        </w:rPr>
        <w:t xml:space="preserve">crashes </w:t>
      </w:r>
      <w:r w:rsidR="00B95D83">
        <w:rPr>
          <w:rFonts w:eastAsiaTheme="majorEastAsia"/>
        </w:rPr>
        <w:t xml:space="preserve">in </w:t>
      </w:r>
      <w:r w:rsidR="0009526F">
        <w:rPr>
          <w:rFonts w:eastAsiaTheme="majorEastAsia"/>
        </w:rPr>
        <w:t xml:space="preserve">any CBG and particularly in </w:t>
      </w:r>
      <w:r w:rsidR="00EE21D4" w:rsidRPr="00B60C83">
        <w:rPr>
          <w:rFonts w:eastAsiaTheme="majorEastAsia"/>
          <w:i/>
        </w:rPr>
        <w:t xml:space="preserve">MB </w:t>
      </w:r>
      <w:r w:rsidR="00EE21D4">
        <w:rPr>
          <w:rFonts w:eastAsiaTheme="majorEastAsia"/>
        </w:rPr>
        <w:t>CBGs</w:t>
      </w:r>
      <w:r w:rsidR="00B95D83">
        <w:rPr>
          <w:rFonts w:eastAsiaTheme="majorEastAsia"/>
        </w:rPr>
        <w:t xml:space="preserve">. </w:t>
      </w:r>
    </w:p>
    <w:p w14:paraId="48CA9EF4" w14:textId="08F28F5C" w:rsidR="00EE21D4" w:rsidRDefault="00EE21D4" w:rsidP="00966F5E">
      <w:pPr>
        <w:spacing w:before="0" w:after="0" w:line="360" w:lineRule="auto"/>
        <w:ind w:firstLine="720"/>
        <w:rPr>
          <w:rFonts w:eastAsiaTheme="majorEastAsia"/>
        </w:rPr>
      </w:pPr>
      <w:r>
        <w:rPr>
          <w:rFonts w:eastAsiaTheme="majorEastAsia"/>
        </w:rPr>
        <w:t>Relative</w:t>
      </w:r>
      <w:r w:rsidR="00B95D83">
        <w:rPr>
          <w:rFonts w:eastAsiaTheme="majorEastAsia"/>
        </w:rPr>
        <w:t xml:space="preserve"> to the other road design variables</w:t>
      </w:r>
      <w:r>
        <w:rPr>
          <w:rFonts w:eastAsiaTheme="majorEastAsia"/>
        </w:rPr>
        <w:t>,</w:t>
      </w:r>
      <w:r w:rsidR="00B95D83">
        <w:rPr>
          <w:rFonts w:eastAsiaTheme="majorEastAsia"/>
        </w:rPr>
        <w:t xml:space="preserve"> the percentages of freeway and principal arterial miles have a relatively low contribution to total crashes. While these high-speed and high-volume roads endanger pedestrian safety, they generally experience lower levels of pedestrian traffic. Conversely, the percentage of four or more lane road miles has a higher impact on crashes with an ATE of 8.63%. </w:t>
      </w:r>
      <w:r w:rsidR="00FF7E1E">
        <w:rPr>
          <w:rFonts w:eastAsiaTheme="majorEastAsia"/>
        </w:rPr>
        <w:t>Perhaps the number of lanes provide</w:t>
      </w:r>
      <w:r w:rsidR="00D305D6">
        <w:rPr>
          <w:rFonts w:eastAsiaTheme="majorEastAsia"/>
        </w:rPr>
        <w:t>s</w:t>
      </w:r>
      <w:r w:rsidR="00FF7E1E">
        <w:rPr>
          <w:rFonts w:eastAsiaTheme="majorEastAsia"/>
        </w:rPr>
        <w:t xml:space="preserve"> a better indication of travel speed and traffic volume compared to functional classification. Interestingly, four or more lane roads are </w:t>
      </w:r>
      <w:r w:rsidR="00D305D6">
        <w:rPr>
          <w:rFonts w:eastAsiaTheme="majorEastAsia"/>
        </w:rPr>
        <w:t xml:space="preserve">also </w:t>
      </w:r>
      <w:r w:rsidR="00B95D83">
        <w:rPr>
          <w:rFonts w:eastAsiaTheme="majorEastAsia"/>
        </w:rPr>
        <w:t xml:space="preserve">more prevalent in </w:t>
      </w:r>
      <w:r w:rsidR="00B95D83" w:rsidRPr="00B95D83">
        <w:rPr>
          <w:rFonts w:eastAsiaTheme="majorEastAsia"/>
          <w:i/>
        </w:rPr>
        <w:t>MB</w:t>
      </w:r>
      <w:r w:rsidR="00B95D83">
        <w:rPr>
          <w:rFonts w:eastAsiaTheme="majorEastAsia"/>
        </w:rPr>
        <w:t xml:space="preserve"> CBG</w:t>
      </w:r>
      <w:r w:rsidR="00FF7E1E">
        <w:rPr>
          <w:rFonts w:eastAsiaTheme="majorEastAsia"/>
        </w:rPr>
        <w:t>s</w:t>
      </w:r>
      <w:r w:rsidR="007971B5">
        <w:rPr>
          <w:rFonts w:eastAsiaTheme="majorEastAsia"/>
        </w:rPr>
        <w:t xml:space="preserve"> and</w:t>
      </w:r>
      <w:r w:rsidR="0009526F">
        <w:rPr>
          <w:rFonts w:eastAsiaTheme="majorEastAsia"/>
        </w:rPr>
        <w:t>,</w:t>
      </w:r>
      <w:r w:rsidR="007971B5">
        <w:rPr>
          <w:rFonts w:eastAsiaTheme="majorEastAsia"/>
        </w:rPr>
        <w:t xml:space="preserve"> as such</w:t>
      </w:r>
      <w:r w:rsidR="0009526F">
        <w:rPr>
          <w:rFonts w:eastAsiaTheme="majorEastAsia"/>
        </w:rPr>
        <w:t>,</w:t>
      </w:r>
      <w:r w:rsidR="00FF7E1E">
        <w:rPr>
          <w:rFonts w:eastAsiaTheme="majorEastAsia"/>
        </w:rPr>
        <w:t xml:space="preserve"> strategies that promote road diets will reduce crash counts </w:t>
      </w:r>
      <w:r>
        <w:rPr>
          <w:rFonts w:eastAsiaTheme="majorEastAsia"/>
        </w:rPr>
        <w:t xml:space="preserve">at </w:t>
      </w:r>
      <w:r w:rsidR="00FF7E1E">
        <w:rPr>
          <w:rFonts w:eastAsiaTheme="majorEastAsia"/>
        </w:rPr>
        <w:t>all CBG</w:t>
      </w:r>
      <w:r>
        <w:rPr>
          <w:rFonts w:eastAsiaTheme="majorEastAsia"/>
        </w:rPr>
        <w:t>s</w:t>
      </w:r>
      <w:r w:rsidR="00FF7E1E">
        <w:rPr>
          <w:rFonts w:eastAsiaTheme="majorEastAsia"/>
        </w:rPr>
        <w:t>, more</w:t>
      </w:r>
      <w:r w:rsidR="007971B5">
        <w:rPr>
          <w:rFonts w:eastAsiaTheme="majorEastAsia"/>
        </w:rPr>
        <w:t xml:space="preserve"> so</w:t>
      </w:r>
      <w:r w:rsidR="00FF7E1E">
        <w:rPr>
          <w:rFonts w:eastAsiaTheme="majorEastAsia"/>
        </w:rPr>
        <w:t xml:space="preserve"> in </w:t>
      </w:r>
      <w:r w:rsidR="00FF7E1E" w:rsidRPr="00FF7E1E">
        <w:rPr>
          <w:rFonts w:eastAsiaTheme="majorEastAsia"/>
          <w:i/>
        </w:rPr>
        <w:t>MB</w:t>
      </w:r>
      <w:r w:rsidR="00FF7E1E">
        <w:rPr>
          <w:rFonts w:eastAsiaTheme="majorEastAsia"/>
        </w:rPr>
        <w:t xml:space="preserve"> CBGs.</w:t>
      </w:r>
      <w:r w:rsidR="0029384D">
        <w:rPr>
          <w:rFonts w:eastAsiaTheme="majorEastAsia"/>
        </w:rPr>
        <w:t xml:space="preserve"> </w:t>
      </w:r>
    </w:p>
    <w:p w14:paraId="2040DEA5" w14:textId="53CC5D5E" w:rsidR="00EE21D4" w:rsidRDefault="00EE21D4" w:rsidP="00966F5E">
      <w:pPr>
        <w:spacing w:before="0" w:after="0" w:line="360" w:lineRule="auto"/>
        <w:ind w:firstLine="720"/>
        <w:rPr>
          <w:rFonts w:eastAsiaTheme="majorEastAsia"/>
        </w:rPr>
      </w:pPr>
      <w:r>
        <w:rPr>
          <w:rFonts w:eastAsiaTheme="majorEastAsia"/>
        </w:rPr>
        <w:t>The land-use diversity index variable has the second highest contribution to total crashes, with a 34.81%</w:t>
      </w:r>
      <w:r w:rsidR="00DA3C84">
        <w:rPr>
          <w:rFonts w:eastAsiaTheme="majorEastAsia"/>
        </w:rPr>
        <w:t xml:space="preserve"> </w:t>
      </w:r>
      <w:r>
        <w:rPr>
          <w:rFonts w:eastAsiaTheme="majorEastAsia"/>
        </w:rPr>
        <w:t xml:space="preserve">ATE, and a relative contribution among all variables of 14.14%. It also stands out as the single most important neighborhood/road design variable. Thus, while mixed land-use development may benefit accessibility to activity opportunities (especially in </w:t>
      </w:r>
      <w:r w:rsidRPr="0029384D">
        <w:rPr>
          <w:rFonts w:eastAsiaTheme="majorEastAsia"/>
          <w:i/>
        </w:rPr>
        <w:t>MB</w:t>
      </w:r>
      <w:r>
        <w:rPr>
          <w:rFonts w:eastAsiaTheme="majorEastAsia"/>
        </w:rPr>
        <w:t xml:space="preserve"> CBGs), any changes to zoning codes and mixed development actions must carefully review pedestrian safety considerations. Road network designs that reduce pedestrian-motorist conflict zones need to be seriously considered, as should the strict enforcement of motorist speed limits</w:t>
      </w:r>
      <w:r w:rsidR="00DA3C84" w:rsidRPr="00DA3C84">
        <w:rPr>
          <w:rFonts w:eastAsiaTheme="majorEastAsia"/>
        </w:rPr>
        <w:t>.</w:t>
      </w:r>
    </w:p>
    <w:p w14:paraId="6226B610" w14:textId="77777777" w:rsidR="00001C79" w:rsidRDefault="00001C79" w:rsidP="00966F5E">
      <w:pPr>
        <w:spacing w:before="0" w:after="0" w:line="360" w:lineRule="auto"/>
        <w:rPr>
          <w:rFonts w:eastAsiaTheme="majorEastAsia"/>
        </w:rPr>
      </w:pPr>
    </w:p>
    <w:p w14:paraId="0B68A404" w14:textId="56B979EF" w:rsidR="003332B5" w:rsidRDefault="003332B5" w:rsidP="00966F5E">
      <w:pPr>
        <w:pStyle w:val="Heading3"/>
        <w:spacing w:line="360" w:lineRule="auto"/>
      </w:pPr>
      <w:r>
        <w:t>S</w:t>
      </w:r>
      <w:r w:rsidR="00CF6711">
        <w:t>D</w:t>
      </w:r>
      <w:r>
        <w:t xml:space="preserve"> </w:t>
      </w:r>
      <w:r w:rsidR="009D54A2">
        <w:t>Factors</w:t>
      </w:r>
    </w:p>
    <w:p w14:paraId="10F33B9F" w14:textId="206FFE04" w:rsidR="0029384D" w:rsidRDefault="007971B5" w:rsidP="007D5556">
      <w:pPr>
        <w:spacing w:before="0" w:after="0" w:line="360" w:lineRule="auto"/>
        <w:ind w:firstLine="720"/>
        <w:rPr>
          <w:rFonts w:eastAsiaTheme="majorEastAsia"/>
        </w:rPr>
      </w:pPr>
      <w:r>
        <w:rPr>
          <w:rFonts w:eastAsiaTheme="majorEastAsia"/>
        </w:rPr>
        <w:t>Unlike other categories</w:t>
      </w:r>
      <w:r w:rsidR="00EE21D4">
        <w:rPr>
          <w:rFonts w:eastAsiaTheme="majorEastAsia"/>
        </w:rPr>
        <w:t>,</w:t>
      </w:r>
      <w:r>
        <w:rPr>
          <w:rFonts w:eastAsiaTheme="majorEastAsia"/>
        </w:rPr>
        <w:t xml:space="preserve"> </w:t>
      </w:r>
      <w:r w:rsidR="00CD5018">
        <w:rPr>
          <w:rFonts w:eastAsiaTheme="majorEastAsia"/>
        </w:rPr>
        <w:t xml:space="preserve">SD </w:t>
      </w:r>
      <w:r w:rsidR="0029384D">
        <w:rPr>
          <w:rFonts w:eastAsiaTheme="majorEastAsia"/>
        </w:rPr>
        <w:t>variables, which only include the percentage of young adults, ha</w:t>
      </w:r>
      <w:r w:rsidR="00CF6711">
        <w:rPr>
          <w:rFonts w:eastAsiaTheme="majorEastAsia"/>
        </w:rPr>
        <w:t>ve</w:t>
      </w:r>
      <w:r w:rsidR="0029384D">
        <w:rPr>
          <w:rFonts w:eastAsiaTheme="majorEastAsia"/>
        </w:rPr>
        <w:t xml:space="preserve"> the lowest contribution to total crashes. </w:t>
      </w:r>
    </w:p>
    <w:p w14:paraId="1F94871E" w14:textId="20103F40" w:rsidR="00A5133E" w:rsidRDefault="00A5133E" w:rsidP="00966F5E">
      <w:pPr>
        <w:spacing w:before="0" w:after="0" w:line="360" w:lineRule="auto"/>
        <w:rPr>
          <w:rFonts w:eastAsiaTheme="majorEastAsia"/>
        </w:rPr>
      </w:pPr>
    </w:p>
    <w:p w14:paraId="2A573A51" w14:textId="206BFA64" w:rsidR="00A5133E" w:rsidRPr="00CF6711" w:rsidRDefault="00A5133E" w:rsidP="00966F5E">
      <w:pPr>
        <w:spacing w:before="0" w:after="0" w:line="360" w:lineRule="auto"/>
        <w:rPr>
          <w:rFonts w:eastAsiaTheme="majorEastAsia"/>
          <w:b/>
          <w:u w:val="single"/>
        </w:rPr>
      </w:pPr>
      <w:r w:rsidRPr="00CF6711">
        <w:rPr>
          <w:rFonts w:eastAsiaTheme="majorEastAsia"/>
          <w:b/>
          <w:i/>
          <w:u w:val="single"/>
        </w:rPr>
        <w:t>MB-TC</w:t>
      </w:r>
      <w:r w:rsidRPr="00CF6711">
        <w:rPr>
          <w:rFonts w:eastAsiaTheme="majorEastAsia"/>
          <w:u w:val="single"/>
        </w:rPr>
        <w:t xml:space="preserve"> </w:t>
      </w:r>
      <w:r w:rsidRPr="00CF6711">
        <w:rPr>
          <w:rFonts w:eastAsiaTheme="majorEastAsia"/>
          <w:b/>
          <w:u w:val="single"/>
        </w:rPr>
        <w:t>Effect</w:t>
      </w:r>
    </w:p>
    <w:p w14:paraId="188FC869" w14:textId="0370A00C" w:rsidR="00381319" w:rsidRDefault="0029384D" w:rsidP="007D5556">
      <w:pPr>
        <w:spacing w:before="0" w:after="0" w:line="360" w:lineRule="auto"/>
        <w:ind w:firstLine="720"/>
      </w:pPr>
      <w:r>
        <w:rPr>
          <w:rFonts w:eastAsiaTheme="majorEastAsia"/>
        </w:rPr>
        <w:t>Finally, the</w:t>
      </w:r>
      <w:r w:rsidR="009D4F73">
        <w:t xml:space="preserve"> </w:t>
      </w:r>
      <w:r>
        <w:t xml:space="preserve">ATE analysis helps quantify the </w:t>
      </w:r>
      <w:r w:rsidRPr="00D909B5">
        <w:rPr>
          <w:i/>
        </w:rPr>
        <w:t>MB-TC</w:t>
      </w:r>
      <w:r w:rsidRPr="007632A9">
        <w:rPr>
          <w:i/>
        </w:rPr>
        <w:t xml:space="preserve"> </w:t>
      </w:r>
      <w:r>
        <w:t>effect</w:t>
      </w:r>
      <w:r w:rsidR="00CD5018">
        <w:t>,</w:t>
      </w:r>
      <w:r>
        <w:t xml:space="preserve"> which </w:t>
      </w:r>
      <w:r w:rsidR="00CD5018">
        <w:t xml:space="preserve">estimates </w:t>
      </w:r>
      <w:r>
        <w:t>the effect of a CBG’s racial composition on the total number of crashes</w:t>
      </w:r>
      <w:r w:rsidR="00CD5018">
        <w:t>, after controlling for CE, cultural, BE, and SD variables</w:t>
      </w:r>
      <w:r>
        <w:t>. Compared to a</w:t>
      </w:r>
      <w:r w:rsidR="00CD5018">
        <w:t>n</w:t>
      </w:r>
      <w:r>
        <w:t xml:space="preserve"> </w:t>
      </w:r>
      <w:r w:rsidRPr="0029384D">
        <w:rPr>
          <w:i/>
        </w:rPr>
        <w:t>NMB</w:t>
      </w:r>
      <w:r>
        <w:t xml:space="preserve"> CBG,</w:t>
      </w:r>
      <w:r w:rsidR="00CD5018">
        <w:t xml:space="preserve"> we estimate a </w:t>
      </w:r>
      <w:r>
        <w:t xml:space="preserve">16.62% </w:t>
      </w:r>
      <w:r w:rsidR="00CD5018">
        <w:t xml:space="preserve">higher prevalence of </w:t>
      </w:r>
      <w:r>
        <w:t>pedestrian crashes</w:t>
      </w:r>
      <w:r w:rsidR="00CD5018">
        <w:t xml:space="preserve"> in </w:t>
      </w:r>
      <w:r w:rsidR="00CD5018" w:rsidRPr="00626211">
        <w:rPr>
          <w:i/>
        </w:rPr>
        <w:t>MB</w:t>
      </w:r>
      <w:r w:rsidR="00CD5018">
        <w:t xml:space="preserve"> CBGs</w:t>
      </w:r>
      <w:r>
        <w:t xml:space="preserve">. </w:t>
      </w:r>
      <w:r w:rsidR="00CD5018">
        <w:t xml:space="preserve">When taken relative to all other variables, </w:t>
      </w:r>
      <w:r>
        <w:t xml:space="preserve">the </w:t>
      </w:r>
      <w:r w:rsidRPr="00D909B5">
        <w:rPr>
          <w:i/>
        </w:rPr>
        <w:t xml:space="preserve">MB-TC </w:t>
      </w:r>
      <w:r>
        <w:t xml:space="preserve">effect </w:t>
      </w:r>
      <w:r w:rsidR="00CD5018">
        <w:t>(</w:t>
      </w:r>
      <w:r>
        <w:t>driven by unobserved race-related factors</w:t>
      </w:r>
      <w:r w:rsidR="00CD5018">
        <w:t>)</w:t>
      </w:r>
      <w:r>
        <w:t xml:space="preserve"> contributes to </w:t>
      </w:r>
      <w:r w:rsidRPr="0029384D">
        <w:t>6.75</w:t>
      </w:r>
      <w:r>
        <w:t xml:space="preserve">% of total pedestrian crashes. Understanding the mechanisms that result in the </w:t>
      </w:r>
      <w:r w:rsidRPr="00D909B5">
        <w:rPr>
          <w:i/>
        </w:rPr>
        <w:t>MB-TC</w:t>
      </w:r>
      <w:r>
        <w:t xml:space="preserve"> effect requires further research</w:t>
      </w:r>
      <w:r w:rsidR="00C866BB">
        <w:t xml:space="preserve">. This paper is, to our knowledge, the first to start exploring this issue through the third model of the </w:t>
      </w:r>
      <w:r w:rsidR="00C866BB">
        <w:lastRenderedPageBreak/>
        <w:t xml:space="preserve">fraction of Black pedestrian crashes. Our results </w:t>
      </w:r>
      <w:r w:rsidR="0009526F">
        <w:t xml:space="preserve">from that model </w:t>
      </w:r>
      <w:r w:rsidR="00C866BB">
        <w:t xml:space="preserve">suggest that exposure (% commuting by transit) and crime rates appear to elevate Black pedestrian crashes, prompting </w:t>
      </w:r>
      <w:r w:rsidR="00DE6C33">
        <w:t xml:space="preserve">the need for </w:t>
      </w:r>
      <w:r w:rsidR="00C866BB">
        <w:t xml:space="preserve">further investigations into </w:t>
      </w:r>
      <w:r>
        <w:t>the effects of social resistance on pedestrian and driver behavior</w:t>
      </w:r>
      <w:r w:rsidR="00C866BB">
        <w:t>. Perhaps more importantly, our results</w:t>
      </w:r>
      <w:r w:rsidR="0009526F">
        <w:t xml:space="preserve"> indicate </w:t>
      </w:r>
      <w:r w:rsidR="00C866BB">
        <w:t>a</w:t>
      </w:r>
      <w:r w:rsidR="002C619E">
        <w:t xml:space="preserve"> clear and unambiguous </w:t>
      </w:r>
      <w:r w:rsidR="00C866BB">
        <w:t xml:space="preserve">elevated risk of Black pedestrian crashes in </w:t>
      </w:r>
      <w:r w:rsidR="00CF6711" w:rsidRPr="00CF6711">
        <w:rPr>
          <w:i/>
        </w:rPr>
        <w:t>NMB</w:t>
      </w:r>
      <w:r w:rsidR="00CF6711">
        <w:t xml:space="preserve"> </w:t>
      </w:r>
      <w:r w:rsidR="00C866BB">
        <w:t>CBGs</w:t>
      </w:r>
      <w:r w:rsidR="0009526F">
        <w:t xml:space="preserve"> (relative to </w:t>
      </w:r>
      <w:r w:rsidR="0009526F" w:rsidRPr="00626211">
        <w:rPr>
          <w:i/>
        </w:rPr>
        <w:t>MB</w:t>
      </w:r>
      <w:r w:rsidR="0009526F">
        <w:t xml:space="preserve"> CBGs).</w:t>
      </w:r>
      <w:r w:rsidR="00C866BB">
        <w:t xml:space="preserve"> </w:t>
      </w:r>
      <w:r w:rsidR="0009526F">
        <w:t>W</w:t>
      </w:r>
      <w:r w:rsidR="00C866BB">
        <w:t xml:space="preserve">hen taken in combination with other micro-level controlled experimental studies of yielding behavior, </w:t>
      </w:r>
      <w:r w:rsidR="0009526F">
        <w:t xml:space="preserve">this result </w:t>
      </w:r>
      <w:r w:rsidR="00C866BB">
        <w:t>strongly point</w:t>
      </w:r>
      <w:r w:rsidR="0009526F">
        <w:t>s</w:t>
      </w:r>
      <w:r w:rsidR="00C866BB">
        <w:t xml:space="preserve"> to </w:t>
      </w:r>
      <w:r>
        <w:t xml:space="preserve">the activation of implicit </w:t>
      </w:r>
      <w:r w:rsidR="00C866BB">
        <w:t xml:space="preserve">racial </w:t>
      </w:r>
      <w:r>
        <w:t xml:space="preserve">biases </w:t>
      </w:r>
      <w:r w:rsidR="00C866BB">
        <w:t xml:space="preserve">on the part of drivers as a reason for the over-representation of Black individuals in pedestrian crashes. </w:t>
      </w:r>
    </w:p>
    <w:p w14:paraId="3384793A" w14:textId="04D96290" w:rsidR="000B2277" w:rsidRDefault="00633EA2" w:rsidP="00966F5E">
      <w:pPr>
        <w:spacing w:before="0" w:after="0" w:line="360" w:lineRule="auto"/>
        <w:ind w:firstLine="720"/>
        <w:rPr>
          <w:rFonts w:eastAsiaTheme="majorEastAsia"/>
        </w:rPr>
      </w:pPr>
      <w:r>
        <w:t>T</w:t>
      </w:r>
      <w:r w:rsidR="00C866BB">
        <w:t xml:space="preserve">aken in totality, </w:t>
      </w:r>
      <w:r w:rsidR="00C866BB">
        <w:rPr>
          <w:rFonts w:eastAsiaTheme="majorEastAsia"/>
        </w:rPr>
        <w:t xml:space="preserve">our study underscores the importance of controlling for a range of exogenous variables before </w:t>
      </w:r>
      <w:r>
        <w:rPr>
          <w:rFonts w:eastAsiaTheme="majorEastAsia"/>
        </w:rPr>
        <w:t xml:space="preserve">ascribing the overrepresentation of Black individuals in pedestrian crashes to purely a racial “bias-on-the-road” effect. Exposure considerations, cultural issues, </w:t>
      </w:r>
      <w:r w:rsidR="00381319">
        <w:rPr>
          <w:rFonts w:eastAsiaTheme="majorEastAsia"/>
        </w:rPr>
        <w:t xml:space="preserve">the state of the </w:t>
      </w:r>
      <w:r>
        <w:rPr>
          <w:rFonts w:eastAsiaTheme="majorEastAsia"/>
        </w:rPr>
        <w:t>transportation infrastructure, and demographic factors all play a role. At the same time, and</w:t>
      </w:r>
      <w:r w:rsidR="001865EB">
        <w:rPr>
          <w:rFonts w:eastAsiaTheme="majorEastAsia"/>
        </w:rPr>
        <w:t xml:space="preserve"> just</w:t>
      </w:r>
      <w:r>
        <w:rPr>
          <w:rFonts w:eastAsiaTheme="majorEastAsia"/>
        </w:rPr>
        <w:t xml:space="preserve"> as importantly, there should be little doubt left that the</w:t>
      </w:r>
      <w:r w:rsidR="007E2999">
        <w:rPr>
          <w:rFonts w:eastAsiaTheme="majorEastAsia"/>
        </w:rPr>
        <w:t xml:space="preserve"> </w:t>
      </w:r>
      <w:r>
        <w:rPr>
          <w:rFonts w:eastAsiaTheme="majorEastAsia"/>
        </w:rPr>
        <w:t xml:space="preserve">transportation inequity in infrastructure provision </w:t>
      </w:r>
      <w:r w:rsidR="007E2999">
        <w:rPr>
          <w:rFonts w:eastAsiaTheme="majorEastAsia"/>
        </w:rPr>
        <w:t xml:space="preserve">in </w:t>
      </w:r>
      <w:r w:rsidR="007E2999" w:rsidRPr="00626211">
        <w:rPr>
          <w:rFonts w:eastAsiaTheme="majorEastAsia"/>
          <w:i/>
        </w:rPr>
        <w:t>MB</w:t>
      </w:r>
      <w:r w:rsidR="007E2999">
        <w:rPr>
          <w:rFonts w:eastAsiaTheme="majorEastAsia"/>
        </w:rPr>
        <w:t xml:space="preserve"> CBGs is a reason for the elevated pedestrian crashes in </w:t>
      </w:r>
      <w:r w:rsidR="007E2999" w:rsidRPr="00626211">
        <w:rPr>
          <w:rFonts w:eastAsiaTheme="majorEastAsia"/>
          <w:i/>
        </w:rPr>
        <w:t>MB</w:t>
      </w:r>
      <w:r w:rsidR="007E2999">
        <w:rPr>
          <w:rFonts w:eastAsiaTheme="majorEastAsia"/>
        </w:rPr>
        <w:t xml:space="preserve"> CBGs. The relative contribution of this category of variables to crashes is close to 55%, while this category of variables also explains 36% of the total variation of crash-relevant characteristics between </w:t>
      </w:r>
      <w:r w:rsidR="00CF6711" w:rsidRPr="00CF6711">
        <w:rPr>
          <w:rFonts w:eastAsiaTheme="majorEastAsia"/>
          <w:i/>
        </w:rPr>
        <w:t>MB</w:t>
      </w:r>
      <w:r w:rsidR="00CF6711">
        <w:rPr>
          <w:rFonts w:eastAsiaTheme="majorEastAsia"/>
        </w:rPr>
        <w:t xml:space="preserve"> and </w:t>
      </w:r>
      <w:r w:rsidR="00CF6711" w:rsidRPr="00CF6711">
        <w:rPr>
          <w:rFonts w:eastAsiaTheme="majorEastAsia"/>
          <w:i/>
        </w:rPr>
        <w:t>NMB</w:t>
      </w:r>
      <w:r w:rsidR="007E2999">
        <w:rPr>
          <w:rFonts w:eastAsiaTheme="majorEastAsia"/>
        </w:rPr>
        <w:t xml:space="preserve"> CBGs. </w:t>
      </w:r>
    </w:p>
    <w:p w14:paraId="22A6DCFF" w14:textId="77777777" w:rsidR="00103286" w:rsidRDefault="00103286" w:rsidP="00966F5E">
      <w:pPr>
        <w:spacing w:before="0" w:after="0" w:line="360" w:lineRule="auto"/>
        <w:rPr>
          <w:rFonts w:eastAsiaTheme="majorEastAsia"/>
        </w:rPr>
      </w:pPr>
    </w:p>
    <w:p w14:paraId="35EC0705" w14:textId="481B6CFD" w:rsidR="008E139A" w:rsidRDefault="00D909B5" w:rsidP="00966F5E">
      <w:pPr>
        <w:pStyle w:val="Heading1"/>
        <w:spacing w:line="360" w:lineRule="auto"/>
      </w:pPr>
      <w:r>
        <w:t>CONCLUSION</w:t>
      </w:r>
    </w:p>
    <w:p w14:paraId="324EFAD0" w14:textId="58A85788" w:rsidR="00E85D2A" w:rsidRDefault="00E70F5C" w:rsidP="007D5556">
      <w:pPr>
        <w:spacing w:before="0" w:after="0" w:line="360" w:lineRule="auto"/>
        <w:ind w:firstLine="720"/>
      </w:pPr>
      <w:bookmarkStart w:id="65" w:name="_Hlk110010298"/>
      <w:r>
        <w:t xml:space="preserve">The </w:t>
      </w:r>
      <w:r w:rsidR="00381319">
        <w:t xml:space="preserve">steep rise in pedestrian crashes in recent years, along with the </w:t>
      </w:r>
      <w:r>
        <w:t xml:space="preserve">overrepresentation of Black pedestrians in the pool of </w:t>
      </w:r>
      <w:r w:rsidR="00381319">
        <w:t xml:space="preserve">these </w:t>
      </w:r>
      <w:r>
        <w:t>crashes</w:t>
      </w:r>
      <w:r w:rsidR="00381319">
        <w:t>,</w:t>
      </w:r>
      <w:r>
        <w:t xml:space="preserve"> has gained significant attention in the past few years</w:t>
      </w:r>
      <w:r w:rsidR="00381319">
        <w:t xml:space="preserve">. While there have been many </w:t>
      </w:r>
      <w:r w:rsidR="0009526F">
        <w:t xml:space="preserve">earlier </w:t>
      </w:r>
      <w:r w:rsidR="00381319">
        <w:t xml:space="preserve">studies on pedestrian crash analysis, we are not aware of earlier studies that have unpacked the magnitude effects of individual crash determinants within a multivariate analysis framework. </w:t>
      </w:r>
      <w:r w:rsidR="00DE6C33">
        <w:t xml:space="preserve">Further, </w:t>
      </w:r>
      <w:r>
        <w:t xml:space="preserve">the mechanisms </w:t>
      </w:r>
      <w:r w:rsidRPr="00BF0844">
        <w:t xml:space="preserve">that link </w:t>
      </w:r>
      <w:r>
        <w:t>high</w:t>
      </w:r>
      <w:r w:rsidRPr="00BF0844">
        <w:t xml:space="preserve"> pedestrian crash</w:t>
      </w:r>
      <w:r>
        <w:t xml:space="preserve"> rates with people of color remain unclear</w:t>
      </w:r>
      <w:r w:rsidR="00DE6C33">
        <w:t>; r</w:t>
      </w:r>
      <w:r>
        <w:t xml:space="preserve">acial disparities in pedestrian crashes have been anecdotally attributed to crash exposure levels, unsafe pedestrian behavior, and deficient built environments, </w:t>
      </w:r>
      <w:r w:rsidR="00DE6C33">
        <w:t xml:space="preserve">but </w:t>
      </w:r>
      <w:r>
        <w:t xml:space="preserve">the literature lacks evidence-based studies that confirm these </w:t>
      </w:r>
      <w:r w:rsidR="00633EA2">
        <w:t>suppositions</w:t>
      </w:r>
      <w:r>
        <w:t xml:space="preserve">. In this paper, we have </w:t>
      </w:r>
      <w:r w:rsidR="0009526F">
        <w:t xml:space="preserve">contributed to </w:t>
      </w:r>
      <w:r>
        <w:t>fill</w:t>
      </w:r>
      <w:r w:rsidR="0009526F">
        <w:t xml:space="preserve">ing </w:t>
      </w:r>
      <w:r>
        <w:t>th</w:t>
      </w:r>
      <w:r w:rsidR="0009526F">
        <w:t xml:space="preserve">is </w:t>
      </w:r>
      <w:r>
        <w:t>gap</w:t>
      </w:r>
      <w:r w:rsidR="0009526F">
        <w:t xml:space="preserve">. </w:t>
      </w:r>
      <w:r>
        <w:t xml:space="preserve"> </w:t>
      </w:r>
    </w:p>
    <w:p w14:paraId="6CA73DE4" w14:textId="6BEB4071" w:rsidR="0009526F" w:rsidRDefault="00673A6B" w:rsidP="00966F5E">
      <w:pPr>
        <w:spacing w:before="0" w:after="0" w:line="360" w:lineRule="auto"/>
        <w:ind w:firstLine="720"/>
      </w:pPr>
      <w:r>
        <w:t xml:space="preserve">The findings of this study </w:t>
      </w:r>
      <w:r w:rsidR="00381319">
        <w:t xml:space="preserve">can </w:t>
      </w:r>
      <w:r>
        <w:t xml:space="preserve">enable policymakers and planners to develop more effective countermeasures </w:t>
      </w:r>
      <w:r w:rsidR="00381319">
        <w:t xml:space="preserve">and interventions </w:t>
      </w:r>
      <w:r>
        <w:t xml:space="preserve">to </w:t>
      </w:r>
      <w:r w:rsidR="00381319">
        <w:t xml:space="preserve">contain </w:t>
      </w:r>
      <w:r>
        <w:t xml:space="preserve">the </w:t>
      </w:r>
      <w:r w:rsidR="00381319">
        <w:t xml:space="preserve">growing number of pedestrian crashes in recent years, as well as </w:t>
      </w:r>
      <w:r>
        <w:t xml:space="preserve">racial disparities in pedestrian crashes. </w:t>
      </w:r>
      <w:r w:rsidR="002C619E">
        <w:t xml:space="preserve">In particular, our results indicate that social </w:t>
      </w:r>
      <w:r w:rsidR="002C619E">
        <w:lastRenderedPageBreak/>
        <w:t>resistance considerations, pedestrian facilities in</w:t>
      </w:r>
      <w:r w:rsidR="00A50BE2">
        <w:t xml:space="preserve"> </w:t>
      </w:r>
      <w:r w:rsidR="002C619E">
        <w:t xml:space="preserve">proximity </w:t>
      </w:r>
      <w:r w:rsidR="00A50BE2">
        <w:t>to</w:t>
      </w:r>
      <w:r w:rsidR="002C619E">
        <w:t xml:space="preserve"> transit stops, and road design considerations (in particular in and around areas with high land-use diversity) are the three most influential determinants of pedestrian crashes, particularly in </w:t>
      </w:r>
      <w:r w:rsidR="00843EA1" w:rsidRPr="00C37C8C">
        <w:rPr>
          <w:i/>
        </w:rPr>
        <w:t>MB</w:t>
      </w:r>
      <w:r w:rsidR="00843EA1">
        <w:t xml:space="preserve"> CBGs</w:t>
      </w:r>
      <w:r w:rsidR="002C619E">
        <w:t>.</w:t>
      </w:r>
      <w:r w:rsidR="00843EA1">
        <w:t xml:space="preserve"> </w:t>
      </w:r>
      <w:r w:rsidR="00DE6C33">
        <w:t xml:space="preserve">More generally, BE attributes stand out, by far, as the single most important category of variables influencing pedestrian crashes, </w:t>
      </w:r>
      <w:r w:rsidR="00843EA1">
        <w:t xml:space="preserve">while also being the most differentiating set of variables between </w:t>
      </w:r>
      <w:r w:rsidR="00843EA1" w:rsidRPr="00C37C8C">
        <w:rPr>
          <w:i/>
        </w:rPr>
        <w:t xml:space="preserve">MB </w:t>
      </w:r>
      <w:r w:rsidR="00843EA1">
        <w:t xml:space="preserve">and </w:t>
      </w:r>
      <w:r w:rsidR="00843EA1" w:rsidRPr="00C37C8C">
        <w:rPr>
          <w:i/>
        </w:rPr>
        <w:t>NMB</w:t>
      </w:r>
      <w:r w:rsidR="00843EA1">
        <w:t xml:space="preserve"> CBGs.</w:t>
      </w:r>
    </w:p>
    <w:p w14:paraId="3E563200" w14:textId="5D7EDDBB" w:rsidR="00A25E9B" w:rsidRDefault="0009526F" w:rsidP="00966F5E">
      <w:pPr>
        <w:spacing w:before="0" w:after="0" w:line="360" w:lineRule="auto"/>
        <w:ind w:firstLine="720"/>
      </w:pPr>
      <w:r>
        <w:t>I</w:t>
      </w:r>
      <w:r w:rsidR="00843EA1">
        <w:t xml:space="preserve">n addition to the association with </w:t>
      </w:r>
      <w:r w:rsidR="00133BF4">
        <w:t xml:space="preserve">the </w:t>
      </w:r>
      <w:r w:rsidR="00843EA1">
        <w:t xml:space="preserve">crash exposure, cultural, and infrastructure considerations </w:t>
      </w:r>
      <w:r>
        <w:t xml:space="preserve">that </w:t>
      </w:r>
      <w:r w:rsidR="00843EA1">
        <w:t>contribut</w:t>
      </w:r>
      <w:r>
        <w:t xml:space="preserve">e </w:t>
      </w:r>
      <w:r w:rsidR="00843EA1">
        <w:t xml:space="preserve">to disparities in crashes between </w:t>
      </w:r>
      <w:r w:rsidR="00843EA1" w:rsidRPr="00C37C8C">
        <w:rPr>
          <w:i/>
        </w:rPr>
        <w:t>MB</w:t>
      </w:r>
      <w:r w:rsidR="00843EA1">
        <w:t xml:space="preserve"> and </w:t>
      </w:r>
      <w:r w:rsidR="00843EA1" w:rsidRPr="00C37C8C">
        <w:rPr>
          <w:i/>
        </w:rPr>
        <w:t>NMB</w:t>
      </w:r>
      <w:r w:rsidR="00843EA1">
        <w:t xml:space="preserve"> CBGs, </w:t>
      </w:r>
      <w:r w:rsidR="00381319">
        <w:t xml:space="preserve">our study did find </w:t>
      </w:r>
      <w:r w:rsidR="00843EA1">
        <w:t xml:space="preserve">a remnant </w:t>
      </w:r>
      <w:r>
        <w:t>(</w:t>
      </w:r>
      <w:r w:rsidR="00A25E9B" w:rsidRPr="007632A9">
        <w:rPr>
          <w:i/>
        </w:rPr>
        <w:t>MB</w:t>
      </w:r>
      <w:r w:rsidR="00843EA1" w:rsidRPr="00D909B5">
        <w:rPr>
          <w:i/>
        </w:rPr>
        <w:t>-TC</w:t>
      </w:r>
      <w:r>
        <w:t>)</w:t>
      </w:r>
      <w:r w:rsidR="00843EA1">
        <w:t xml:space="preserve"> effect</w:t>
      </w:r>
      <w:r>
        <w:t xml:space="preserve"> that elevated crash risk at </w:t>
      </w:r>
      <w:r w:rsidRPr="00C37C8C">
        <w:rPr>
          <w:i/>
        </w:rPr>
        <w:t xml:space="preserve">MB </w:t>
      </w:r>
      <w:r>
        <w:t xml:space="preserve">relative to </w:t>
      </w:r>
      <w:r w:rsidRPr="00C37C8C">
        <w:rPr>
          <w:i/>
        </w:rPr>
        <w:t>NMB</w:t>
      </w:r>
      <w:r>
        <w:t xml:space="preserve"> CBGs</w:t>
      </w:r>
      <w:r w:rsidR="00843EA1">
        <w:t xml:space="preserve">. Our study also revealed that the fraction of Black pedestrian crashes in </w:t>
      </w:r>
      <w:r w:rsidR="00843EA1" w:rsidRPr="00C37C8C">
        <w:rPr>
          <w:i/>
        </w:rPr>
        <w:t>NMB</w:t>
      </w:r>
      <w:r w:rsidR="00843EA1">
        <w:t xml:space="preserve"> CBGs is substantially elevated, relative to </w:t>
      </w:r>
      <w:r w:rsidR="00843EA1" w:rsidRPr="00C37C8C">
        <w:rPr>
          <w:i/>
        </w:rPr>
        <w:t>MB</w:t>
      </w:r>
      <w:r w:rsidR="00843EA1">
        <w:t xml:space="preserve"> CBGs. These results support recent micro-scale controlled experimental studies that point to implicit racial bias </w:t>
      </w:r>
      <w:r w:rsidR="00A25E9B">
        <w:t>that makes walking more dangerous</w:t>
      </w:r>
      <w:r w:rsidR="00843EA1">
        <w:t xml:space="preserve"> </w:t>
      </w:r>
      <w:r w:rsidR="00A25E9B">
        <w:t xml:space="preserve">for Black pedestrians. However, this </w:t>
      </w:r>
      <w:r w:rsidR="00843EA1">
        <w:t xml:space="preserve">issue needs more exploration and understanding. </w:t>
      </w:r>
      <w:r w:rsidR="00A25E9B">
        <w:t xml:space="preserve">While we </w:t>
      </w:r>
      <w:r>
        <w:t xml:space="preserve">have </w:t>
      </w:r>
      <w:r w:rsidR="00A25E9B">
        <w:t>use</w:t>
      </w:r>
      <w:r>
        <w:t>d</w:t>
      </w:r>
      <w:r w:rsidR="00A25E9B">
        <w:t xml:space="preserve"> a comprehensive set of available variables, an improved dataset with an even richer set of exogenous variables may be able to explain some of the </w:t>
      </w:r>
      <w:r w:rsidR="00843EA1" w:rsidRPr="00D909B5">
        <w:rPr>
          <w:i/>
        </w:rPr>
        <w:t>MB-TC</w:t>
      </w:r>
      <w:r w:rsidR="00843EA1">
        <w:t xml:space="preserve"> effect </w:t>
      </w:r>
      <w:r w:rsidR="00A25E9B">
        <w:t>detected in this study</w:t>
      </w:r>
      <w:r w:rsidR="00843EA1">
        <w:t xml:space="preserve"> (though it could also point to an underestimation of this effect)</w:t>
      </w:r>
      <w:r w:rsidR="00A25E9B">
        <w:t xml:space="preserve">. For example, future research can benefit from including variables that better reflect the state of pedestrian infrastructure in a CBG such as the number of marked crosswalks, yield signs, and street light poles. Additionally, more indicators of social resistance, such as the number of </w:t>
      </w:r>
      <w:r w:rsidR="00843EA1">
        <w:t xml:space="preserve">reported </w:t>
      </w:r>
      <w:r w:rsidR="00A25E9B">
        <w:t>traffic violations in a CBG, can be used to better explain the cultural environmen</w:t>
      </w:r>
      <w:r w:rsidR="00A40C0C">
        <w:t>t</w:t>
      </w:r>
      <w:r w:rsidR="00A25E9B">
        <w:t>. Further, a better understanding of when, why, and how driver yielding bias occurs through experiments that correlate the likelihood of yielding bias to physical and social environments can provide additional support to the findings of this study. Finally, a closer examination of disaggregate pedestrian crash data that includes the race and age of both drivers and pedestrians</w:t>
      </w:r>
      <w:r>
        <w:t>,</w:t>
      </w:r>
      <w:r w:rsidR="00A25E9B">
        <w:t xml:space="preserve"> as well as the direct causes of a given crash would further help in investigating disparities in pedestrian crashes. </w:t>
      </w:r>
    </w:p>
    <w:p w14:paraId="5AA9BE11" w14:textId="3153605F" w:rsidR="009303A4" w:rsidRDefault="0054789C" w:rsidP="00966F5E">
      <w:pPr>
        <w:spacing w:before="0" w:after="0" w:line="360" w:lineRule="auto"/>
        <w:ind w:firstLine="720"/>
      </w:pPr>
      <w:r>
        <w:t>In closing, we</w:t>
      </w:r>
      <w:r w:rsidR="00974A3F">
        <w:t xml:space="preserve"> believe </w:t>
      </w:r>
      <w:r>
        <w:t>that it is important for transportation safety engineers to work with social scientists and engage with community leaders</w:t>
      </w:r>
      <w:r w:rsidR="00974A3F">
        <w:t xml:space="preserve"> to build trust</w:t>
      </w:r>
      <w:r>
        <w:t xml:space="preserve"> before </w:t>
      </w:r>
      <w:r w:rsidR="00974A3F">
        <w:t xml:space="preserve">leaping </w:t>
      </w:r>
      <w:r>
        <w:t xml:space="preserve">into </w:t>
      </w:r>
      <w:r w:rsidR="00974A3F">
        <w:t xml:space="preserve">implementing </w:t>
      </w:r>
      <w:r>
        <w:t xml:space="preserve">planning countermeasures and interventions. Issues of social resistance, in particular, need to be kept in mind.   </w:t>
      </w:r>
    </w:p>
    <w:p w14:paraId="2CADEDDB" w14:textId="278AA5E7" w:rsidR="003332B5" w:rsidRDefault="003332B5" w:rsidP="00966F5E">
      <w:pPr>
        <w:spacing w:before="0" w:after="0" w:line="360" w:lineRule="auto"/>
      </w:pPr>
    </w:p>
    <w:p w14:paraId="0D0B635E" w14:textId="51EF94DC" w:rsidR="003332B5" w:rsidRDefault="003332B5" w:rsidP="00966F5E">
      <w:pPr>
        <w:pStyle w:val="Heading1"/>
        <w:numPr>
          <w:ilvl w:val="0"/>
          <w:numId w:val="0"/>
        </w:numPr>
        <w:spacing w:line="360" w:lineRule="auto"/>
        <w:ind w:left="360" w:hanging="360"/>
      </w:pPr>
      <w:r>
        <w:lastRenderedPageBreak/>
        <w:t>ACKNOWLEDGEMENTS</w:t>
      </w:r>
    </w:p>
    <w:p w14:paraId="0B481BC6" w14:textId="6DB80AEA" w:rsidR="00A50BE2" w:rsidRPr="00BF757E" w:rsidRDefault="00A50BE2" w:rsidP="00966F5E">
      <w:pPr>
        <w:spacing w:before="0" w:after="0" w:line="360" w:lineRule="auto"/>
        <w:rPr>
          <w:color w:val="000000" w:themeColor="text1"/>
        </w:rPr>
      </w:pPr>
      <w:r w:rsidRPr="00BF757E">
        <w:rPr>
          <w:color w:val="000000" w:themeColor="text1"/>
        </w:rPr>
        <w:t>This research was partially supported by the UT Good Systems Grand Challenge through the Good Systems Core Research Project entitled “Artificial Intelligence and the Future of Racial Justice</w:t>
      </w:r>
      <w:r w:rsidR="002E26BA">
        <w:rPr>
          <w:color w:val="000000" w:themeColor="text1"/>
        </w:rPr>
        <w:t>,</w:t>
      </w:r>
      <w:r w:rsidRPr="00BF757E">
        <w:rPr>
          <w:color w:val="000000" w:themeColor="text1"/>
        </w:rPr>
        <w:t>”</w:t>
      </w:r>
      <w:r w:rsidR="004E0BD1">
        <w:rPr>
          <w:color w:val="000000" w:themeColor="text1"/>
        </w:rPr>
        <w:t xml:space="preserve"> and </w:t>
      </w:r>
      <w:r w:rsidR="004E0BD1" w:rsidRPr="006930F5">
        <w:t xml:space="preserve">by the </w:t>
      </w:r>
      <w:r w:rsidR="004E0BD1" w:rsidRPr="006930F5">
        <w:rPr>
          <w:bCs/>
        </w:rPr>
        <w:t>U.S. Department of Transportation (USDOT) under Grant 69A3552047138 for the C</w:t>
      </w:r>
      <w:r w:rsidR="004E0BD1" w:rsidRPr="006930F5">
        <w:t xml:space="preserve">enter for </w:t>
      </w:r>
      <w:r w:rsidR="004E0BD1" w:rsidRPr="006930F5">
        <w:rPr>
          <w:bCs/>
        </w:rPr>
        <w:t>A</w:t>
      </w:r>
      <w:r w:rsidR="004E0BD1" w:rsidRPr="006930F5">
        <w:t xml:space="preserve">utomated Vehicles </w:t>
      </w:r>
      <w:r w:rsidR="004E0BD1" w:rsidRPr="006930F5">
        <w:rPr>
          <w:bCs/>
        </w:rPr>
        <w:t>R</w:t>
      </w:r>
      <w:r w:rsidR="004E0BD1" w:rsidRPr="006930F5">
        <w:t xml:space="preserve">esearch with </w:t>
      </w:r>
      <w:r w:rsidR="004E0BD1" w:rsidRPr="006930F5">
        <w:rPr>
          <w:bCs/>
        </w:rPr>
        <w:t>M</w:t>
      </w:r>
      <w:r w:rsidR="004E0BD1" w:rsidRPr="006930F5">
        <w:t>ultimodal Assur</w:t>
      </w:r>
      <w:r w:rsidR="004E0BD1" w:rsidRPr="006930F5">
        <w:rPr>
          <w:bCs/>
        </w:rPr>
        <w:t>E</w:t>
      </w:r>
      <w:r w:rsidR="004E0BD1" w:rsidRPr="006930F5">
        <w:t xml:space="preserve">d </w:t>
      </w:r>
      <w:r w:rsidR="004E0BD1" w:rsidRPr="006930F5">
        <w:rPr>
          <w:bCs/>
        </w:rPr>
        <w:t>N</w:t>
      </w:r>
      <w:r w:rsidR="004E0BD1" w:rsidRPr="006930F5">
        <w:t>avigation</w:t>
      </w:r>
      <w:r w:rsidR="004E0BD1" w:rsidRPr="006930F5">
        <w:rPr>
          <w:i/>
        </w:rPr>
        <w:t xml:space="preserve"> </w:t>
      </w:r>
      <w:r w:rsidR="004E0BD1">
        <w:rPr>
          <w:bCs/>
        </w:rPr>
        <w:t>(</w:t>
      </w:r>
      <w:r w:rsidR="004E0BD1" w:rsidRPr="006930F5">
        <w:rPr>
          <w:bCs/>
        </w:rPr>
        <w:t>CARMEN</w:t>
      </w:r>
      <w:r w:rsidR="004E0BD1">
        <w:rPr>
          <w:bCs/>
        </w:rPr>
        <w:t>)</w:t>
      </w:r>
      <w:r w:rsidR="004E0BD1" w:rsidRPr="006930F5">
        <w:rPr>
          <w:bCs/>
        </w:rPr>
        <w:t xml:space="preserve"> University Transportation Center</w:t>
      </w:r>
      <w:r w:rsidR="004E0BD1" w:rsidRPr="00251E52">
        <w:t>.</w:t>
      </w:r>
      <w:r w:rsidR="00FC00AE">
        <w:t xml:space="preserve"> The authors are grateful to t</w:t>
      </w:r>
      <w:r w:rsidR="00455136">
        <w:t>hree</w:t>
      </w:r>
      <w:r w:rsidR="00FC00AE">
        <w:t xml:space="preserve"> anonymous reviewers who provided useful comments on an earlier version of the paper.</w:t>
      </w:r>
    </w:p>
    <w:p w14:paraId="2D32F810" w14:textId="77777777" w:rsidR="003332B5" w:rsidRPr="003332B5" w:rsidRDefault="003332B5" w:rsidP="0082167E">
      <w:pPr>
        <w:spacing w:before="0" w:after="0"/>
      </w:pPr>
    </w:p>
    <w:bookmarkEnd w:id="65"/>
    <w:p w14:paraId="27F6E200" w14:textId="77777777" w:rsidR="00966F5E" w:rsidRDefault="00D909B5" w:rsidP="00966F5E">
      <w:pPr>
        <w:pStyle w:val="Heading1"/>
        <w:numPr>
          <w:ilvl w:val="0"/>
          <w:numId w:val="0"/>
        </w:numPr>
        <w:spacing w:line="360" w:lineRule="auto"/>
        <w:ind w:left="360" w:hanging="360"/>
      </w:pPr>
      <w:r>
        <w:t>REFERENCES</w:t>
      </w:r>
    </w:p>
    <w:p w14:paraId="42A58316" w14:textId="77777777" w:rsidR="00966F5E" w:rsidRDefault="00966F5E" w:rsidP="00287120">
      <w:pPr>
        <w:spacing w:before="0" w:after="0" w:line="360" w:lineRule="auto"/>
        <w:ind w:left="540" w:hanging="540"/>
      </w:pPr>
      <w:r>
        <w:t xml:space="preserve">Adkins, A., </w:t>
      </w:r>
      <w:proofErr w:type="spellStart"/>
      <w:r>
        <w:t>Makarewicz</w:t>
      </w:r>
      <w:proofErr w:type="spellEnd"/>
      <w:r>
        <w:t xml:space="preserve">, C., </w:t>
      </w:r>
      <w:proofErr w:type="spellStart"/>
      <w:r>
        <w:t>Scanze</w:t>
      </w:r>
      <w:proofErr w:type="spellEnd"/>
      <w:r>
        <w:t xml:space="preserve">, M., Ingram, M., and </w:t>
      </w:r>
      <w:proofErr w:type="spellStart"/>
      <w:r>
        <w:t>Luhr</w:t>
      </w:r>
      <w:proofErr w:type="spellEnd"/>
      <w:r>
        <w:t xml:space="preserve">, G. (2017). Contextualizing walkability: Do relationships between built environments and walking vary by socioeconomic context? </w:t>
      </w:r>
      <w:r w:rsidRPr="00D3277A">
        <w:rPr>
          <w:i/>
        </w:rPr>
        <w:t>Journal of the American Planning Association</w:t>
      </w:r>
      <w:r>
        <w:t xml:space="preserve">, 83(3), 296–314. </w:t>
      </w:r>
    </w:p>
    <w:p w14:paraId="62A2C24D" w14:textId="77777777" w:rsidR="00966F5E" w:rsidRDefault="00966F5E" w:rsidP="00287120">
      <w:pPr>
        <w:spacing w:before="0" w:after="0" w:line="360" w:lineRule="auto"/>
        <w:ind w:left="540" w:hanging="540"/>
      </w:pPr>
      <w:proofErr w:type="spellStart"/>
      <w:r>
        <w:t>Agan</w:t>
      </w:r>
      <w:proofErr w:type="spellEnd"/>
      <w:r>
        <w:t>, A. Y., and Starr, S. B. (2020). Employer neighborhoods and racial discrimination. NBER Working Paper 28153, National Bureau of Economic Research.</w:t>
      </w:r>
    </w:p>
    <w:p w14:paraId="1904DF9D" w14:textId="77777777" w:rsidR="00966F5E" w:rsidRDefault="00966F5E" w:rsidP="00287120">
      <w:pPr>
        <w:spacing w:before="0" w:after="0" w:line="360" w:lineRule="auto"/>
        <w:ind w:left="540" w:hanging="540"/>
      </w:pPr>
      <w:r>
        <w:t xml:space="preserve">Anderson, M. (2016). Who relies on public transit in the U.S. </w:t>
      </w:r>
      <w:r w:rsidRPr="00D3277A">
        <w:rPr>
          <w:i/>
        </w:rPr>
        <w:t>Pew Research Center</w:t>
      </w:r>
      <w:r>
        <w:t xml:space="preserve">. https://www.pewresearch.org/fact-tank/2016/04/07/who-relies-on-public-transit-in-the-u-s/ </w:t>
      </w:r>
    </w:p>
    <w:p w14:paraId="6B034321" w14:textId="77777777" w:rsidR="00966F5E" w:rsidRDefault="00966F5E" w:rsidP="00287120">
      <w:pPr>
        <w:spacing w:before="0" w:after="0" w:line="360" w:lineRule="auto"/>
        <w:ind w:left="540" w:hanging="540"/>
      </w:pPr>
      <w:r>
        <w:t xml:space="preserve">Angrist, J., and </w:t>
      </w:r>
      <w:proofErr w:type="spellStart"/>
      <w:r>
        <w:t>Imbens</w:t>
      </w:r>
      <w:proofErr w:type="spellEnd"/>
      <w:r>
        <w:t>, G. (1991). Sources of identifying information in evaluation models. NBER Technical Working Paper 0117, National Bureau of Economic Research.</w:t>
      </w:r>
    </w:p>
    <w:p w14:paraId="7733328F" w14:textId="77777777" w:rsidR="00966F5E" w:rsidRDefault="00966F5E" w:rsidP="00287120">
      <w:pPr>
        <w:spacing w:before="0" w:after="0" w:line="360" w:lineRule="auto"/>
        <w:ind w:left="540" w:hanging="540"/>
      </w:pPr>
      <w:proofErr w:type="spellStart"/>
      <w:r>
        <w:t>Apardian</w:t>
      </w:r>
      <w:proofErr w:type="spellEnd"/>
      <w:r>
        <w:t xml:space="preserve">, R. E., and Smirnov, O. (2020). An analysis of pedestrian crashes using a spatial count data model. </w:t>
      </w:r>
      <w:r w:rsidRPr="00311D8A">
        <w:rPr>
          <w:i/>
        </w:rPr>
        <w:t>Papers in Regional Science</w:t>
      </w:r>
      <w:r>
        <w:t>, 99(5), 1317–1338.</w:t>
      </w:r>
    </w:p>
    <w:p w14:paraId="0227959C" w14:textId="77777777" w:rsidR="00966F5E" w:rsidRDefault="00966F5E" w:rsidP="00287120">
      <w:pPr>
        <w:spacing w:before="0" w:after="0" w:line="360" w:lineRule="auto"/>
        <w:ind w:left="540" w:hanging="540"/>
      </w:pPr>
      <w:r>
        <w:t xml:space="preserve">Archer, D. N. (2020). Transportation policy and the underdevelopment of Black communities. </w:t>
      </w:r>
      <w:r w:rsidRPr="00311D8A">
        <w:rPr>
          <w:i/>
        </w:rPr>
        <w:t>Iowa Law Review</w:t>
      </w:r>
      <w:r>
        <w:t>, 106, 2125.</w:t>
      </w:r>
    </w:p>
    <w:p w14:paraId="43A32650" w14:textId="77777777" w:rsidR="00966F5E" w:rsidRDefault="00966F5E" w:rsidP="00287120">
      <w:pPr>
        <w:spacing w:before="0" w:after="0" w:line="360" w:lineRule="auto"/>
        <w:ind w:left="540" w:hanging="540"/>
      </w:pPr>
      <w:r>
        <w:t xml:space="preserve">Baumgartner, F. R., Epp, D. A., and </w:t>
      </w:r>
      <w:proofErr w:type="spellStart"/>
      <w:r>
        <w:t>Shoub</w:t>
      </w:r>
      <w:proofErr w:type="spellEnd"/>
      <w:r>
        <w:t xml:space="preserve">, K. (2018). </w:t>
      </w:r>
      <w:r w:rsidRPr="00311D8A">
        <w:rPr>
          <w:i/>
        </w:rPr>
        <w:t>Suspect Citizens: What 20 million traffic stops tell us about policing and race</w:t>
      </w:r>
      <w:r>
        <w:t>. Cambridge University Press.</w:t>
      </w:r>
    </w:p>
    <w:p w14:paraId="65019E15" w14:textId="77777777" w:rsidR="00966F5E" w:rsidRDefault="00966F5E" w:rsidP="00287120">
      <w:pPr>
        <w:spacing w:before="0" w:after="0" w:line="360" w:lineRule="auto"/>
        <w:ind w:left="540" w:hanging="540"/>
      </w:pPr>
      <w:r>
        <w:t xml:space="preserve">Bell, C. N., Sacks, T. K., Tobin, C. S. T., and Thorpe Jr, R. J. (2020). Racial non-equivalence of socioeconomic status and self-rated health among African Americans and Whites. </w:t>
      </w:r>
      <w:r w:rsidRPr="00311D8A">
        <w:rPr>
          <w:i/>
        </w:rPr>
        <w:t>SSM-Population Health</w:t>
      </w:r>
      <w:r>
        <w:t>, 10, 100561.</w:t>
      </w:r>
    </w:p>
    <w:p w14:paraId="0A1A865D" w14:textId="77777777" w:rsidR="00966F5E" w:rsidRDefault="00966F5E" w:rsidP="00287120">
      <w:pPr>
        <w:spacing w:before="0" w:after="0" w:line="360" w:lineRule="auto"/>
        <w:ind w:left="540" w:hanging="540"/>
      </w:pPr>
      <w:r>
        <w:t xml:space="preserve">Bhat, C. R., Astroza, S., and Lavieri, P. S. (2017). A new spatial and flexible multivariate random-coefficients model for the analysis of pedestrian injury counts by severity level. </w:t>
      </w:r>
      <w:r w:rsidRPr="00311D8A">
        <w:rPr>
          <w:i/>
        </w:rPr>
        <w:t>Analytic Methods in Accident Research</w:t>
      </w:r>
      <w:r>
        <w:t xml:space="preserve">, 16, 1–22. </w:t>
      </w:r>
    </w:p>
    <w:p w14:paraId="36A1657E" w14:textId="77777777" w:rsidR="00966F5E" w:rsidRDefault="00966F5E" w:rsidP="00287120">
      <w:pPr>
        <w:spacing w:before="0" w:after="0" w:line="360" w:lineRule="auto"/>
        <w:ind w:left="540" w:hanging="540"/>
      </w:pPr>
      <w:r>
        <w:lastRenderedPageBreak/>
        <w:t xml:space="preserve">Bhat, C. R., and Gossen, R. (2004). A mixed multinomial logit model analysis of weekend recreational episode type choice. </w:t>
      </w:r>
      <w:r w:rsidRPr="00311D8A">
        <w:rPr>
          <w:i/>
        </w:rPr>
        <w:t>Transportation Research Part B</w:t>
      </w:r>
      <w:r>
        <w:t>, 38(9), 767–787.</w:t>
      </w:r>
    </w:p>
    <w:p w14:paraId="68BF6617" w14:textId="77777777" w:rsidR="00966F5E" w:rsidRDefault="00966F5E" w:rsidP="00287120">
      <w:pPr>
        <w:spacing w:before="0" w:after="0" w:line="360" w:lineRule="auto"/>
        <w:ind w:left="540" w:hanging="540"/>
      </w:pPr>
      <w:proofErr w:type="spellStart"/>
      <w:r>
        <w:t>Bhutta</w:t>
      </w:r>
      <w:proofErr w:type="spellEnd"/>
      <w:r>
        <w:t xml:space="preserve">, N., Chang, A. C., </w:t>
      </w:r>
      <w:proofErr w:type="spellStart"/>
      <w:r>
        <w:t>Dettling</w:t>
      </w:r>
      <w:proofErr w:type="spellEnd"/>
      <w:r>
        <w:t xml:space="preserve">, L. J., and J. W. Hsu (2020). Disparities in wealth by race and ethnicity in the 2019 Survey of Consumer Finances. FEDS Notes. Board of Governors of the Federal Reserve System, Washington D.C., https://doi.org/10.17016/2380-7172.2797. </w:t>
      </w:r>
    </w:p>
    <w:p w14:paraId="11BC7FF6" w14:textId="77777777" w:rsidR="00966F5E" w:rsidRDefault="00966F5E" w:rsidP="00287120">
      <w:pPr>
        <w:spacing w:before="0" w:after="0" w:line="360" w:lineRule="auto"/>
        <w:ind w:left="540" w:hanging="540"/>
      </w:pPr>
      <w:r>
        <w:t>Bien-</w:t>
      </w:r>
      <w:proofErr w:type="spellStart"/>
      <w:r>
        <w:t>Aimé</w:t>
      </w:r>
      <w:proofErr w:type="spellEnd"/>
      <w:r>
        <w:t xml:space="preserve">, S. (2017). The false divide between “well educated” and “less educated.” </w:t>
      </w:r>
      <w:r w:rsidRPr="00311D8A">
        <w:rPr>
          <w:i/>
        </w:rPr>
        <w:t>Conscious Style Guide</w:t>
      </w:r>
      <w:r>
        <w:t xml:space="preserve">. https://consciousstyleguide.com/false-divide-well-educated-less-educated/ </w:t>
      </w:r>
    </w:p>
    <w:p w14:paraId="0785C0A9" w14:textId="77777777" w:rsidR="00966F5E" w:rsidRDefault="00966F5E" w:rsidP="00287120">
      <w:pPr>
        <w:spacing w:before="0" w:after="0" w:line="360" w:lineRule="auto"/>
        <w:ind w:left="540" w:hanging="540"/>
      </w:pPr>
      <w:r>
        <w:t xml:space="preserve">Boehmer, T. K., Foster, S. L., Henry, J. R., </w:t>
      </w:r>
      <w:proofErr w:type="spellStart"/>
      <w:r>
        <w:t>Woghiren-Akinnifesi</w:t>
      </w:r>
      <w:proofErr w:type="spellEnd"/>
      <w:r>
        <w:t xml:space="preserve">, E. L., and Yip, F. Y. (2013). Residential proximity to major highways - United States, 2010. Centers for Disease Control and Prevention (CDC), </w:t>
      </w:r>
      <w:r w:rsidRPr="00311D8A">
        <w:rPr>
          <w:i/>
        </w:rPr>
        <w:t>MMWR Supplement</w:t>
      </w:r>
      <w:r>
        <w:t>, 62(3), 46–50.</w:t>
      </w:r>
    </w:p>
    <w:p w14:paraId="313CC107" w14:textId="77777777" w:rsidR="00966F5E" w:rsidRDefault="00966F5E" w:rsidP="00287120">
      <w:pPr>
        <w:spacing w:before="0" w:after="0" w:line="360" w:lineRule="auto"/>
        <w:ind w:left="540" w:hanging="540"/>
      </w:pPr>
      <w:r>
        <w:t xml:space="preserve">Bullard, R. D. (2003). Addressing urban transportation equity in the United States. </w:t>
      </w:r>
      <w:r w:rsidRPr="00311D8A">
        <w:rPr>
          <w:i/>
        </w:rPr>
        <w:t>Fordham Urban Law Journal</w:t>
      </w:r>
      <w:r>
        <w:t>, 31(5-2), 1183.</w:t>
      </w:r>
    </w:p>
    <w:p w14:paraId="02C5F4C6" w14:textId="77777777" w:rsidR="00966F5E" w:rsidRDefault="00966F5E" w:rsidP="00287120">
      <w:pPr>
        <w:spacing w:before="0" w:after="0" w:line="360" w:lineRule="auto"/>
        <w:ind w:left="540" w:hanging="540"/>
      </w:pPr>
      <w:r>
        <w:t xml:space="preserve">Butler, A. W., Mayer, E. J., and Weston, J. (2021). Racial discrimination in the auto loan market. Available at SSRN 3301009. https://ssrn.com/abstract=3301009.  </w:t>
      </w:r>
    </w:p>
    <w:p w14:paraId="7F4C117D" w14:textId="77777777" w:rsidR="00966F5E" w:rsidRDefault="00966F5E" w:rsidP="00287120">
      <w:pPr>
        <w:spacing w:before="0" w:after="0" w:line="360" w:lineRule="auto"/>
        <w:ind w:left="540" w:hanging="540"/>
      </w:pPr>
      <w:r>
        <w:t xml:space="preserve">CDC. (2020). </w:t>
      </w:r>
      <w:proofErr w:type="spellStart"/>
      <w:r>
        <w:t>QuickStats</w:t>
      </w:r>
      <w:proofErr w:type="spellEnd"/>
      <w:r>
        <w:t xml:space="preserve">: Age-Adjusted Pedestrian Death Rates, by Race/Ethnicity — National Vital Statistics System, United States, 2009 and 2018. MMWR. Morbidity and Mortality Weekly Report, 69. https://doi.org/10.15585/mmwr.mm6939a7 </w:t>
      </w:r>
    </w:p>
    <w:p w14:paraId="2447E625" w14:textId="77777777" w:rsidR="00966F5E" w:rsidRDefault="00966F5E" w:rsidP="00287120">
      <w:pPr>
        <w:spacing w:before="0" w:after="0" w:line="360" w:lineRule="auto"/>
        <w:ind w:left="540" w:hanging="540"/>
      </w:pPr>
      <w:r>
        <w:t xml:space="preserve">Chugh, D. (2004). Societal and managerial implications of implicit social cognition: Why milliseconds matter. </w:t>
      </w:r>
      <w:r w:rsidRPr="00311D8A">
        <w:rPr>
          <w:i/>
        </w:rPr>
        <w:t>Social Justice Research</w:t>
      </w:r>
      <w:r>
        <w:t>, 17(2), 203–222.</w:t>
      </w:r>
    </w:p>
    <w:p w14:paraId="7554DC0D" w14:textId="77777777" w:rsidR="00966F5E" w:rsidRDefault="00966F5E" w:rsidP="00287120">
      <w:pPr>
        <w:spacing w:before="0" w:after="0" w:line="360" w:lineRule="auto"/>
        <w:ind w:left="540" w:hanging="540"/>
      </w:pPr>
      <w:r>
        <w:t xml:space="preserve">Consumer Federation of America. (2017). Consumer expenditure survey data reveal disparate racial impacts related to auto insurance. Available at: https://consumerfed.org/wp-content/uploads/2017/06/Auto-Insurance-Disparate-Racial-Impacts_Report.pdf </w:t>
      </w:r>
    </w:p>
    <w:p w14:paraId="538ACAEB" w14:textId="77777777" w:rsidR="00966F5E" w:rsidRDefault="00966F5E" w:rsidP="00287120">
      <w:pPr>
        <w:spacing w:before="0" w:after="0" w:line="360" w:lineRule="auto"/>
        <w:ind w:left="540" w:hanging="540"/>
      </w:pPr>
      <w:proofErr w:type="spellStart"/>
      <w:r>
        <w:t>Cottrill</w:t>
      </w:r>
      <w:proofErr w:type="spellEnd"/>
      <w:r>
        <w:t>, C. D., and Thakuriah, P. (</w:t>
      </w:r>
      <w:proofErr w:type="spellStart"/>
      <w:r>
        <w:t>Vonu</w:t>
      </w:r>
      <w:proofErr w:type="spellEnd"/>
      <w:r>
        <w:t xml:space="preserve">). (2010). Evaluating pedestrian crashes in areas with high low-income or minority populations. </w:t>
      </w:r>
      <w:r w:rsidRPr="00311D8A">
        <w:rPr>
          <w:i/>
        </w:rPr>
        <w:t>Accident Analysis and Prevention</w:t>
      </w:r>
      <w:r>
        <w:t xml:space="preserve">, 42(6), 1718–1728. </w:t>
      </w:r>
    </w:p>
    <w:p w14:paraId="0E977E4E" w14:textId="77777777" w:rsidR="00966F5E" w:rsidRDefault="00966F5E" w:rsidP="00287120">
      <w:pPr>
        <w:spacing w:before="0" w:after="0" w:line="360" w:lineRule="auto"/>
        <w:ind w:left="540" w:hanging="540"/>
      </w:pPr>
      <w:r>
        <w:t xml:space="preserve">Coughenour, C., Clark, S., Singh, A., Claw, E., </w:t>
      </w:r>
      <w:proofErr w:type="spellStart"/>
      <w:r>
        <w:t>Abelar</w:t>
      </w:r>
      <w:proofErr w:type="spellEnd"/>
      <w:r>
        <w:t xml:space="preserve">, J., and Huebner, J. (2017). Examining racial bias as a potential factor in pedestrian crashes. </w:t>
      </w:r>
      <w:r w:rsidRPr="00311D8A">
        <w:rPr>
          <w:i/>
        </w:rPr>
        <w:t>Accident Analysis and Prevention</w:t>
      </w:r>
      <w:r>
        <w:t>, 98, 96–100.</w:t>
      </w:r>
    </w:p>
    <w:p w14:paraId="64D51D26" w14:textId="77777777" w:rsidR="00966F5E" w:rsidRDefault="00966F5E" w:rsidP="00287120">
      <w:pPr>
        <w:spacing w:before="0" w:after="0" w:line="360" w:lineRule="auto"/>
        <w:ind w:left="540" w:hanging="540"/>
      </w:pPr>
      <w:r>
        <w:t xml:space="preserve">Craig, C. M., Morris, N. L., Van Houten, R., and Mayou, D. (2019). Pedestrian safety and driver yielding near public transit stops. </w:t>
      </w:r>
      <w:r w:rsidRPr="00311D8A">
        <w:rPr>
          <w:i/>
        </w:rPr>
        <w:t>Transportation Research Record: Journal of the Transportation Research Board</w:t>
      </w:r>
      <w:r>
        <w:t>, 2673(1), 514–523.</w:t>
      </w:r>
    </w:p>
    <w:p w14:paraId="5ECC1817" w14:textId="77777777" w:rsidR="00966F5E" w:rsidRDefault="00966F5E" w:rsidP="00287120">
      <w:pPr>
        <w:spacing w:before="0" w:after="0" w:line="360" w:lineRule="auto"/>
        <w:ind w:left="540" w:hanging="540"/>
      </w:pPr>
      <w:r>
        <w:lastRenderedPageBreak/>
        <w:t xml:space="preserve">Dai, D., and Jaworski, D. (2016). Influence of built environment on pedestrian crashes: A network-based GIS analysis. </w:t>
      </w:r>
      <w:r w:rsidRPr="00311D8A">
        <w:rPr>
          <w:i/>
        </w:rPr>
        <w:t>Applied Geography</w:t>
      </w:r>
      <w:r>
        <w:t>, 73, 53–61.</w:t>
      </w:r>
    </w:p>
    <w:p w14:paraId="56C509AA" w14:textId="77777777" w:rsidR="00966F5E" w:rsidRDefault="00966F5E" w:rsidP="00287120">
      <w:pPr>
        <w:spacing w:before="0" w:after="0" w:line="360" w:lineRule="auto"/>
        <w:ind w:left="540" w:hanging="540"/>
      </w:pPr>
      <w:r>
        <w:t xml:space="preserve">Davidson, R. N. (2019). </w:t>
      </w:r>
      <w:r w:rsidRPr="00311D8A">
        <w:rPr>
          <w:i/>
        </w:rPr>
        <w:t>Crime and Environment</w:t>
      </w:r>
      <w:r>
        <w:t>. Routledge.</w:t>
      </w:r>
    </w:p>
    <w:p w14:paraId="60109A65" w14:textId="77777777" w:rsidR="00966F5E" w:rsidRDefault="00966F5E" w:rsidP="00287120">
      <w:pPr>
        <w:spacing w:before="0" w:after="0" w:line="360" w:lineRule="auto"/>
        <w:ind w:left="540" w:hanging="540"/>
      </w:pPr>
      <w:r>
        <w:t xml:space="preserve">Davis, M. (1992). The role of the amygdala in fear and anxiety. </w:t>
      </w:r>
      <w:r w:rsidRPr="00311D8A">
        <w:rPr>
          <w:i/>
        </w:rPr>
        <w:t>Annual Review of Neuroscience</w:t>
      </w:r>
      <w:r>
        <w:t>, 15(1), 353–375.</w:t>
      </w:r>
    </w:p>
    <w:p w14:paraId="77FFF426" w14:textId="77777777" w:rsidR="00966F5E" w:rsidRDefault="00966F5E" w:rsidP="00287120">
      <w:pPr>
        <w:spacing w:before="0" w:after="0" w:line="360" w:lineRule="auto"/>
        <w:ind w:left="540" w:hanging="540"/>
      </w:pPr>
      <w:proofErr w:type="spellStart"/>
      <w:r>
        <w:t>Demetriades</w:t>
      </w:r>
      <w:proofErr w:type="spellEnd"/>
      <w:r>
        <w:t xml:space="preserve">, D., Murray, J., Martin, M., </w:t>
      </w:r>
      <w:proofErr w:type="spellStart"/>
      <w:r>
        <w:t>Velmahos</w:t>
      </w:r>
      <w:proofErr w:type="spellEnd"/>
      <w:r>
        <w:t xml:space="preserve">, G., Salim, A., </w:t>
      </w:r>
      <w:proofErr w:type="spellStart"/>
      <w:r>
        <w:t>Alo</w:t>
      </w:r>
      <w:proofErr w:type="spellEnd"/>
      <w:r>
        <w:t xml:space="preserve">, K., and Rhee, P. (2004). Pedestrians injured by automobiles: Relationship of age to injury type and severity. </w:t>
      </w:r>
      <w:r w:rsidRPr="00311D8A">
        <w:rPr>
          <w:i/>
        </w:rPr>
        <w:t>Journal of the American College of Surgeons</w:t>
      </w:r>
      <w:r>
        <w:t>, 199(3), 382–387.</w:t>
      </w:r>
    </w:p>
    <w:p w14:paraId="31463F61" w14:textId="77777777" w:rsidR="00966F5E" w:rsidRDefault="00966F5E" w:rsidP="00287120">
      <w:pPr>
        <w:spacing w:before="0" w:after="0" w:line="360" w:lineRule="auto"/>
        <w:ind w:left="540" w:hanging="540"/>
      </w:pPr>
      <w:proofErr w:type="spellStart"/>
      <w:r>
        <w:t>Dumbaugh</w:t>
      </w:r>
      <w:proofErr w:type="spellEnd"/>
      <w:r>
        <w:t xml:space="preserve">, E., and Li, W. (2010). Designing for the safety of pedestrians, cyclists, and motorists in urban environments. </w:t>
      </w:r>
      <w:r w:rsidRPr="00311D8A">
        <w:rPr>
          <w:i/>
        </w:rPr>
        <w:t>Journal of the American Planning Association</w:t>
      </w:r>
      <w:r>
        <w:t>, 77(1), 69–88.</w:t>
      </w:r>
    </w:p>
    <w:p w14:paraId="6EFA4387" w14:textId="77777777" w:rsidR="00966F5E" w:rsidRDefault="00966F5E" w:rsidP="00287120">
      <w:pPr>
        <w:spacing w:before="0" w:after="0" w:line="360" w:lineRule="auto"/>
        <w:ind w:left="540" w:hanging="540"/>
      </w:pPr>
      <w:r>
        <w:t xml:space="preserve">Factor, R., </w:t>
      </w:r>
      <w:proofErr w:type="spellStart"/>
      <w:r>
        <w:t>Kawachi</w:t>
      </w:r>
      <w:proofErr w:type="spellEnd"/>
      <w:r>
        <w:t xml:space="preserve">, I., and Williams, D. R. (2011). Understanding high-risk behavior among non-dominant minorities: A social resistance framework. </w:t>
      </w:r>
      <w:r w:rsidRPr="00311D8A">
        <w:rPr>
          <w:i/>
        </w:rPr>
        <w:t>Social Science and Medicine</w:t>
      </w:r>
      <w:r>
        <w:t>, 73(9), 1292–1301.</w:t>
      </w:r>
    </w:p>
    <w:p w14:paraId="11FD8356" w14:textId="77777777" w:rsidR="00966F5E" w:rsidRDefault="00966F5E" w:rsidP="00287120">
      <w:pPr>
        <w:spacing w:before="0" w:after="0" w:line="360" w:lineRule="auto"/>
        <w:ind w:left="540" w:hanging="540"/>
      </w:pPr>
      <w:r>
        <w:t xml:space="preserve">Factor, R., Williams, D. R., and </w:t>
      </w:r>
      <w:proofErr w:type="spellStart"/>
      <w:r>
        <w:t>Kawachi</w:t>
      </w:r>
      <w:proofErr w:type="spellEnd"/>
      <w:r>
        <w:t xml:space="preserve">, I. (2013). Social resistance framework for understanding high-risk behavior among nondominant minorities: Preliminary evidence. </w:t>
      </w:r>
      <w:r w:rsidRPr="00311D8A">
        <w:rPr>
          <w:i/>
        </w:rPr>
        <w:t>American Journal of Public Health</w:t>
      </w:r>
      <w:r>
        <w:t>, 103(12), 2245–2251.</w:t>
      </w:r>
    </w:p>
    <w:p w14:paraId="45A4464B" w14:textId="77777777" w:rsidR="00966F5E" w:rsidRDefault="00966F5E" w:rsidP="00287120">
      <w:pPr>
        <w:spacing w:before="0" w:after="0" w:line="360" w:lineRule="auto"/>
        <w:ind w:left="540" w:hanging="540"/>
      </w:pPr>
      <w:r>
        <w:t xml:space="preserve">Fazio, R. H., and Olson, M. A. (2003). Implicit measures in social cognition. </w:t>
      </w:r>
      <w:r w:rsidRPr="00311D8A">
        <w:rPr>
          <w:i/>
        </w:rPr>
        <w:t>Annual Review of Psychology</w:t>
      </w:r>
      <w:r>
        <w:t>, 54, 297–327.</w:t>
      </w:r>
    </w:p>
    <w:p w14:paraId="4A299319" w14:textId="77777777" w:rsidR="00966F5E" w:rsidRDefault="00966F5E" w:rsidP="00287120">
      <w:pPr>
        <w:spacing w:before="0" w:after="0" w:line="360" w:lineRule="auto"/>
        <w:ind w:left="540" w:hanging="540"/>
      </w:pPr>
      <w:r>
        <w:t xml:space="preserve">Ferdous, N., Eluru, N., Bhat, C. R., and </w:t>
      </w:r>
      <w:proofErr w:type="spellStart"/>
      <w:r>
        <w:t>Meloni</w:t>
      </w:r>
      <w:proofErr w:type="spellEnd"/>
      <w:r>
        <w:t xml:space="preserve">, I. (2010). A multivariate ordered-response model system for adults’ weekday activity episode generation by activity purpose and social context. </w:t>
      </w:r>
      <w:r w:rsidRPr="00311D8A">
        <w:rPr>
          <w:i/>
        </w:rPr>
        <w:t>Transportation Research Part B</w:t>
      </w:r>
      <w:r>
        <w:t>, 44(8–9), 922–943.</w:t>
      </w:r>
    </w:p>
    <w:p w14:paraId="37FCF67B" w14:textId="77777777" w:rsidR="00966F5E" w:rsidRDefault="00966F5E" w:rsidP="00287120">
      <w:pPr>
        <w:spacing w:before="0" w:after="0" w:line="360" w:lineRule="auto"/>
        <w:ind w:left="540" w:hanging="540"/>
      </w:pPr>
      <w:r>
        <w:t xml:space="preserve">Ferraro, K. F., and LaGrange, R. (2017). The measurement of fear of crime. In </w:t>
      </w:r>
      <w:r w:rsidRPr="00311D8A">
        <w:rPr>
          <w:i/>
        </w:rPr>
        <w:t>The Fear of Crime</w:t>
      </w:r>
      <w:r>
        <w:t xml:space="preserve">, (J. Ditton and S. </w:t>
      </w:r>
      <w:proofErr w:type="spellStart"/>
      <w:r>
        <w:t>Farrall</w:t>
      </w:r>
      <w:proofErr w:type="spellEnd"/>
      <w:r>
        <w:t xml:space="preserve"> eds.), Routledge, pp. 277–308.</w:t>
      </w:r>
    </w:p>
    <w:p w14:paraId="7E88A2B3" w14:textId="77777777" w:rsidR="00966F5E" w:rsidRDefault="00966F5E" w:rsidP="00287120">
      <w:pPr>
        <w:spacing w:before="0" w:after="0" w:line="360" w:lineRule="auto"/>
        <w:ind w:left="540" w:hanging="540"/>
      </w:pPr>
      <w:r>
        <w:t xml:space="preserve">Fordham, S., and </w:t>
      </w:r>
      <w:proofErr w:type="spellStart"/>
      <w:r>
        <w:t>Ogbu</w:t>
      </w:r>
      <w:proofErr w:type="spellEnd"/>
      <w:r>
        <w:t xml:space="preserve">, J. U. (1986). Black students’ school success: Coping with the “burden of ‘acting white.’” </w:t>
      </w:r>
      <w:r w:rsidRPr="00311D8A">
        <w:rPr>
          <w:i/>
        </w:rPr>
        <w:t>The Urban Review</w:t>
      </w:r>
      <w:r>
        <w:t>, 18(3), 176–206.</w:t>
      </w:r>
    </w:p>
    <w:p w14:paraId="760321BC" w14:textId="77777777" w:rsidR="00966F5E" w:rsidRDefault="00966F5E" w:rsidP="00287120">
      <w:pPr>
        <w:spacing w:before="0" w:after="0" w:line="360" w:lineRule="auto"/>
        <w:ind w:left="540" w:hanging="540"/>
      </w:pPr>
      <w:r>
        <w:t xml:space="preserve">George, K. A. (1970). Transportation compatible land uses and bus-stop location. </w:t>
      </w:r>
      <w:r w:rsidRPr="00311D8A">
        <w:rPr>
          <w:i/>
        </w:rPr>
        <w:t>WIT Transactions on the Built Environment</w:t>
      </w:r>
      <w:r>
        <w:t>, 44.</w:t>
      </w:r>
    </w:p>
    <w:p w14:paraId="713211BF" w14:textId="77777777" w:rsidR="00966F5E" w:rsidRDefault="00966F5E" w:rsidP="00287120">
      <w:pPr>
        <w:spacing w:before="0" w:after="0" w:line="360" w:lineRule="auto"/>
        <w:ind w:left="540" w:hanging="540"/>
      </w:pPr>
      <w:r>
        <w:t xml:space="preserve">Gibbs, K., Slater, S. J., Nicholson, N., Barker, D. C., and </w:t>
      </w:r>
      <w:proofErr w:type="spellStart"/>
      <w:r>
        <w:t>Chaloupka</w:t>
      </w:r>
      <w:proofErr w:type="spellEnd"/>
      <w:r>
        <w:t xml:space="preserve">, F. J. (2012). Income disparities in street features that encourage walking – A BTG Research Brief. Bridging the Gap Program, Health Policy Center, Institute for Health Research and Policy, University of Illinois at Chicago. </w:t>
      </w:r>
      <w:r>
        <w:lastRenderedPageBreak/>
        <w:t>https://bridgingthegap.ihrp.uic.edu/_asset/02fpi3/btg_street_walkability_FINAL_03-09-12.pdf.</w:t>
      </w:r>
    </w:p>
    <w:p w14:paraId="46211A5C" w14:textId="4922650E" w:rsidR="00D3277A" w:rsidRDefault="00D3277A" w:rsidP="00D3277A">
      <w:pPr>
        <w:spacing w:before="0" w:after="0" w:line="360" w:lineRule="auto"/>
        <w:ind w:left="540" w:hanging="540"/>
      </w:pPr>
      <w:proofErr w:type="spellStart"/>
      <w:r>
        <w:t>Glassbrenner</w:t>
      </w:r>
      <w:proofErr w:type="spellEnd"/>
      <w:r>
        <w:t xml:space="preserve">, D., Herbert, G., </w:t>
      </w:r>
      <w:proofErr w:type="spellStart"/>
      <w:r>
        <w:t>Reish</w:t>
      </w:r>
      <w:proofErr w:type="spellEnd"/>
      <w:r>
        <w:t>, L., Webb, C., and Lindsey, T. (2022). Evaluating disparities in traffic fatalities by race, ethnicity, and income (Report No. DOT HS 813 188). National Highway Traffic Safety Administration.</w:t>
      </w:r>
    </w:p>
    <w:p w14:paraId="28DFAE52" w14:textId="196EAE4A" w:rsidR="00966F5E" w:rsidRDefault="00966F5E" w:rsidP="00287120">
      <w:pPr>
        <w:spacing w:before="0" w:after="0" w:line="360" w:lineRule="auto"/>
        <w:ind w:left="540" w:hanging="540"/>
      </w:pPr>
      <w:r>
        <w:t xml:space="preserve">Goddard, T., Kahn, K. B., and Adkins, A. (2015). Racial bias in driver yielding behavior at crosswalks. </w:t>
      </w:r>
      <w:r w:rsidRPr="00311D8A">
        <w:rPr>
          <w:i/>
        </w:rPr>
        <w:t>Transportation Research Part F</w:t>
      </w:r>
      <w:r>
        <w:t>, 33, 1–6.</w:t>
      </w:r>
    </w:p>
    <w:p w14:paraId="282F42DA" w14:textId="62E97CE7" w:rsidR="00966F5E" w:rsidRDefault="00966F5E" w:rsidP="00287120">
      <w:pPr>
        <w:spacing w:before="0" w:after="0" w:line="360" w:lineRule="auto"/>
        <w:ind w:left="540" w:hanging="540"/>
      </w:pPr>
      <w:r>
        <w:t xml:space="preserve">Greene, W. H. (2017). Binary </w:t>
      </w:r>
      <w:r w:rsidR="00311D8A">
        <w:t>o</w:t>
      </w:r>
      <w:r>
        <w:t xml:space="preserve">utcomes and </w:t>
      </w:r>
      <w:r w:rsidR="00311D8A">
        <w:t>d</w:t>
      </w:r>
      <w:r>
        <w:t xml:space="preserve">iscrete </w:t>
      </w:r>
      <w:r w:rsidR="00311D8A">
        <w:t>c</w:t>
      </w:r>
      <w:r>
        <w:t xml:space="preserve">hoices. In </w:t>
      </w:r>
      <w:r w:rsidRPr="00311D8A">
        <w:rPr>
          <w:i/>
        </w:rPr>
        <w:t xml:space="preserve">Econometric </w:t>
      </w:r>
      <w:r w:rsidR="00311D8A" w:rsidRPr="00311D8A">
        <w:rPr>
          <w:i/>
        </w:rPr>
        <w:t>A</w:t>
      </w:r>
      <w:r w:rsidRPr="00311D8A">
        <w:rPr>
          <w:i/>
        </w:rPr>
        <w:t>nalysis</w:t>
      </w:r>
      <w:r>
        <w:t xml:space="preserve"> (8th ed.). Pearson.</w:t>
      </w:r>
    </w:p>
    <w:p w14:paraId="38246E7A" w14:textId="77777777" w:rsidR="00966F5E" w:rsidRDefault="00966F5E" w:rsidP="00287120">
      <w:pPr>
        <w:spacing w:before="0" w:after="0" w:line="360" w:lineRule="auto"/>
        <w:ind w:left="540" w:hanging="540"/>
      </w:pPr>
      <w:r>
        <w:t xml:space="preserve">Guerra, E., Dong, X., and Kondo, M. (2019). Do denser neighborhoods have safer streets? Population density and traffic safety in the Philadelphia Region. </w:t>
      </w:r>
      <w:r w:rsidRPr="00311D8A">
        <w:rPr>
          <w:i/>
        </w:rPr>
        <w:t>Journal of Planning Education and Research</w:t>
      </w:r>
      <w:r>
        <w:t>, 0739456X19845043.</w:t>
      </w:r>
    </w:p>
    <w:p w14:paraId="68AF0A85" w14:textId="77777777" w:rsidR="00966F5E" w:rsidRDefault="00966F5E" w:rsidP="00287120">
      <w:pPr>
        <w:spacing w:before="0" w:after="0" w:line="360" w:lineRule="auto"/>
        <w:ind w:left="540" w:hanging="540"/>
      </w:pPr>
      <w:r>
        <w:t xml:space="preserve">Hamann, C., Peek-Asa, C., and Butcher, B. (2020). Racial disparities in pedestrian-related injury hospitalizations in the United States. </w:t>
      </w:r>
      <w:r w:rsidRPr="00311D8A">
        <w:rPr>
          <w:i/>
        </w:rPr>
        <w:t>BMC Public Health</w:t>
      </w:r>
      <w:r>
        <w:t>, 20, 1459.</w:t>
      </w:r>
    </w:p>
    <w:p w14:paraId="1E33861B" w14:textId="77777777" w:rsidR="00966F5E" w:rsidRDefault="00966F5E" w:rsidP="00287120">
      <w:pPr>
        <w:spacing w:before="0" w:after="0" w:line="360" w:lineRule="auto"/>
        <w:ind w:left="540" w:hanging="540"/>
      </w:pPr>
      <w:r>
        <w:t>Hamdan, H. (2013). Racial/ethnic differences in fatality rates from motor vehicle crashes: An analysis from a behavioral and cultural perspective. MS Thesis, Department of Sociology, Virginia Commonwealth University.</w:t>
      </w:r>
    </w:p>
    <w:p w14:paraId="39AC81F7" w14:textId="77777777" w:rsidR="00966F5E" w:rsidRDefault="00966F5E" w:rsidP="00287120">
      <w:pPr>
        <w:spacing w:before="0" w:after="0" w:line="360" w:lineRule="auto"/>
        <w:ind w:left="540" w:hanging="540"/>
      </w:pPr>
      <w:r>
        <w:t xml:space="preserve">Heckman, J. J., and </w:t>
      </w:r>
      <w:proofErr w:type="spellStart"/>
      <w:r>
        <w:t>Vytlacil</w:t>
      </w:r>
      <w:proofErr w:type="spellEnd"/>
      <w:r>
        <w:t xml:space="preserve">, E. J. (2000). The relationship between treatment parameters within a latent variable framework. </w:t>
      </w:r>
      <w:r w:rsidRPr="00311D8A">
        <w:rPr>
          <w:i/>
        </w:rPr>
        <w:t>Economics Letters</w:t>
      </w:r>
      <w:r>
        <w:t>, 66(1), 33–39.</w:t>
      </w:r>
    </w:p>
    <w:p w14:paraId="2A02B780" w14:textId="73182ECE" w:rsidR="00966F5E" w:rsidRDefault="00966F5E" w:rsidP="00287120">
      <w:pPr>
        <w:spacing w:before="0" w:after="0" w:line="360" w:lineRule="auto"/>
        <w:ind w:left="540" w:hanging="540"/>
      </w:pPr>
      <w:r>
        <w:t xml:space="preserve">Hengen, K. M., </w:t>
      </w:r>
      <w:r w:rsidR="00311D8A">
        <w:t>and</w:t>
      </w:r>
      <w:r>
        <w:t xml:space="preserve"> Alpers, G. W. (2021). Stress makes the difference: Social stress and social anxiety in decision-making under uncertainty. </w:t>
      </w:r>
      <w:r w:rsidRPr="00311D8A">
        <w:rPr>
          <w:i/>
        </w:rPr>
        <w:t xml:space="preserve">Frontiers in </w:t>
      </w:r>
      <w:r w:rsidR="00311D8A" w:rsidRPr="00311D8A">
        <w:rPr>
          <w:i/>
        </w:rPr>
        <w:t>P</w:t>
      </w:r>
      <w:r w:rsidRPr="00311D8A">
        <w:rPr>
          <w:i/>
        </w:rPr>
        <w:t>sychology</w:t>
      </w:r>
      <w:r>
        <w:t>, 12, 578293.</w:t>
      </w:r>
    </w:p>
    <w:p w14:paraId="45466A03" w14:textId="77777777" w:rsidR="00966F5E" w:rsidRDefault="00966F5E" w:rsidP="00287120">
      <w:pPr>
        <w:spacing w:before="0" w:after="0" w:line="360" w:lineRule="auto"/>
        <w:ind w:left="540" w:hanging="540"/>
      </w:pPr>
      <w:r>
        <w:t xml:space="preserve">Iceland, J. (2004). The multigroup entropy index (also known as Theil’s H or the information theory index). U.S. Census Bureau. Available at: https://www2.census.gov/programs-surveys/demo/about/housing-patterns/multigroup_entropy.pdf. </w:t>
      </w:r>
    </w:p>
    <w:p w14:paraId="395DDDFD" w14:textId="77777777" w:rsidR="00966F5E" w:rsidRDefault="00966F5E" w:rsidP="00287120">
      <w:pPr>
        <w:spacing w:before="0" w:after="0" w:line="360" w:lineRule="auto"/>
        <w:ind w:left="540" w:hanging="540"/>
      </w:pPr>
      <w:proofErr w:type="spellStart"/>
      <w:r>
        <w:t>Jermprapai</w:t>
      </w:r>
      <w:proofErr w:type="spellEnd"/>
      <w:r>
        <w:t xml:space="preserve">, K., and Srinivasan, S. (2014). Planning-level model for assessing pedestrian safety. </w:t>
      </w:r>
      <w:r w:rsidRPr="00311D8A">
        <w:rPr>
          <w:i/>
        </w:rPr>
        <w:t>Transportation Research Record: Journal of the Transportation Research Board</w:t>
      </w:r>
      <w:r>
        <w:t xml:space="preserve">, 2464(1), 109–117. </w:t>
      </w:r>
    </w:p>
    <w:p w14:paraId="611A1823" w14:textId="77777777" w:rsidR="00966F5E" w:rsidRDefault="00966F5E" w:rsidP="00287120">
      <w:pPr>
        <w:spacing w:before="0" w:after="0" w:line="360" w:lineRule="auto"/>
        <w:ind w:left="540" w:hanging="540"/>
      </w:pPr>
      <w:r>
        <w:t xml:space="preserve">Jia, X., Zhu, H., Sun, G., Meng, H., and Zhao, Y. (2021). Socioeconomic status and risk-taking behavior among Chinese adolescents: The mediating role of psychological capital and self-control. </w:t>
      </w:r>
      <w:r w:rsidRPr="00311D8A">
        <w:rPr>
          <w:i/>
        </w:rPr>
        <w:t>Frontiers in Psychology</w:t>
      </w:r>
      <w:r>
        <w:t xml:space="preserve">, 12. https://doi.org/10.3389/fpsyg.2021.760968 </w:t>
      </w:r>
    </w:p>
    <w:p w14:paraId="411CDFC4" w14:textId="77777777" w:rsidR="00966F5E" w:rsidRDefault="00966F5E" w:rsidP="00287120">
      <w:pPr>
        <w:spacing w:before="0" w:after="0" w:line="360" w:lineRule="auto"/>
        <w:ind w:left="540" w:hanging="540"/>
      </w:pPr>
      <w:r>
        <w:lastRenderedPageBreak/>
        <w:t xml:space="preserve">Kahn, K. B., McMahon, J. M., Goddard, T., and Adkins, A. (2017). Racial bias in drivers’ yielding behavior at crosswalks: Understanding the effect. NITC-RR-869, Transportation Research and Education Center (TREC), Portland, OR. https://doi.org/10.15760/trec.185 </w:t>
      </w:r>
    </w:p>
    <w:p w14:paraId="0BC12F02" w14:textId="77777777" w:rsidR="00966F5E" w:rsidRDefault="00966F5E" w:rsidP="00287120">
      <w:pPr>
        <w:spacing w:before="0" w:after="0" w:line="360" w:lineRule="auto"/>
        <w:ind w:left="540" w:hanging="540"/>
      </w:pPr>
      <w:r>
        <w:t xml:space="preserve">Karner, A., Golub, A., Martens, K., and Robinson, G. (2017). Transportation and environmental justice: History and emerging practice. In </w:t>
      </w:r>
      <w:r w:rsidRPr="00311D8A">
        <w:rPr>
          <w:i/>
        </w:rPr>
        <w:t>The Routledge Handbook of Environmental Justice</w:t>
      </w:r>
      <w:r>
        <w:t xml:space="preserve"> (pp. 400–411). Routledge.</w:t>
      </w:r>
    </w:p>
    <w:p w14:paraId="0D351A2D" w14:textId="77777777" w:rsidR="00966F5E" w:rsidRDefault="00966F5E" w:rsidP="00287120">
      <w:pPr>
        <w:spacing w:before="0" w:after="0" w:line="360" w:lineRule="auto"/>
        <w:ind w:left="540" w:hanging="540"/>
      </w:pPr>
      <w:r>
        <w:t xml:space="preserve">Lai, C. K., and </w:t>
      </w:r>
      <w:proofErr w:type="spellStart"/>
      <w:r>
        <w:t>Banaji</w:t>
      </w:r>
      <w:proofErr w:type="spellEnd"/>
      <w:r>
        <w:t xml:space="preserve">, M. R. (2020). The psychology of implicit intergroup bias and the prospect of change. In </w:t>
      </w:r>
      <w:r w:rsidRPr="00311D8A">
        <w:rPr>
          <w:i/>
        </w:rPr>
        <w:t>Difference without Domination: Pursuing Justice in Diverse Democracies</w:t>
      </w:r>
      <w:r>
        <w:t xml:space="preserve">, Allen, D., and R. </w:t>
      </w:r>
      <w:proofErr w:type="spellStart"/>
      <w:r>
        <w:t>Somanathan</w:t>
      </w:r>
      <w:proofErr w:type="spellEnd"/>
      <w:r>
        <w:t xml:space="preserve"> (eds), University of Chicago Press, pp. 115–146.</w:t>
      </w:r>
    </w:p>
    <w:p w14:paraId="4939D789" w14:textId="77777777" w:rsidR="00966F5E" w:rsidRDefault="00966F5E" w:rsidP="00287120">
      <w:pPr>
        <w:spacing w:before="0" w:after="0" w:line="360" w:lineRule="auto"/>
        <w:ind w:left="540" w:hanging="540"/>
      </w:pPr>
      <w:r>
        <w:t xml:space="preserve">Lai, C. K., and Wilson, M. E. (2021). Measuring implicit intergroup biases. </w:t>
      </w:r>
      <w:r w:rsidRPr="00311D8A">
        <w:rPr>
          <w:i/>
        </w:rPr>
        <w:t>Social and Personality Psychology Compass</w:t>
      </w:r>
      <w:r>
        <w:t>, 15(1), e12573.</w:t>
      </w:r>
    </w:p>
    <w:p w14:paraId="4B0E7C89" w14:textId="77777777" w:rsidR="00966F5E" w:rsidRDefault="00966F5E" w:rsidP="00287120">
      <w:pPr>
        <w:spacing w:before="0" w:after="0" w:line="360" w:lineRule="auto"/>
        <w:ind w:left="540" w:hanging="540"/>
      </w:pPr>
      <w:r>
        <w:t xml:space="preserve">Lee, J., Abdel-Aty, M., Huang, H., and Cai, Q. (2019). Transportation safety planning approach for pedestrians: An integrated framework of modeling walking duration and pedestrian fatalities. </w:t>
      </w:r>
      <w:r w:rsidRPr="00311D8A">
        <w:rPr>
          <w:i/>
        </w:rPr>
        <w:t>Transportation Research Record: Journal of the Transportation Research Board</w:t>
      </w:r>
      <w:r>
        <w:t xml:space="preserve">, 2673(4), 898–906. </w:t>
      </w:r>
    </w:p>
    <w:p w14:paraId="05CC5E7A" w14:textId="77777777" w:rsidR="00966F5E" w:rsidRDefault="00966F5E" w:rsidP="00287120">
      <w:pPr>
        <w:spacing w:before="0" w:after="0" w:line="360" w:lineRule="auto"/>
        <w:ind w:left="540" w:hanging="540"/>
      </w:pPr>
      <w:r>
        <w:t>Lennon, A., Oviedo-</w:t>
      </w:r>
      <w:proofErr w:type="spellStart"/>
      <w:r>
        <w:t>Trespalacios</w:t>
      </w:r>
      <w:proofErr w:type="spellEnd"/>
      <w:r>
        <w:t xml:space="preserve">, O., and Matthews, S. (2017). Pedestrian self-reported use of smart phones: Positive attitudes and high exposure influence intentions to cross the road while distracted. </w:t>
      </w:r>
      <w:r w:rsidRPr="00311D8A">
        <w:rPr>
          <w:i/>
        </w:rPr>
        <w:t>Accident Analysis and Prevention</w:t>
      </w:r>
      <w:r>
        <w:t>, 98, 338–347.</w:t>
      </w:r>
    </w:p>
    <w:p w14:paraId="0C512579" w14:textId="77777777" w:rsidR="00966F5E" w:rsidRDefault="00966F5E" w:rsidP="00287120">
      <w:pPr>
        <w:spacing w:before="0" w:after="0" w:line="360" w:lineRule="auto"/>
        <w:ind w:left="540" w:hanging="540"/>
      </w:pPr>
      <w:r>
        <w:t xml:space="preserve">Li, Y., and Fan, W. (2019). Pedestrian injury severities in pedestrian-vehicle crashes and the partial proportional odds logit model: Accounting for age difference. </w:t>
      </w:r>
      <w:r w:rsidRPr="00311D8A">
        <w:rPr>
          <w:i/>
        </w:rPr>
        <w:t>Transportation Research Record: Journal of the Transportation Research Board</w:t>
      </w:r>
      <w:r>
        <w:t>, 2673(5), 731–746.</w:t>
      </w:r>
    </w:p>
    <w:p w14:paraId="20173A72" w14:textId="77777777" w:rsidR="00966F5E" w:rsidRDefault="00966F5E" w:rsidP="00287120">
      <w:pPr>
        <w:spacing w:before="0" w:after="0" w:line="360" w:lineRule="auto"/>
        <w:ind w:left="540" w:hanging="540"/>
      </w:pPr>
      <w:r>
        <w:t xml:space="preserve">Lodge, E. K., </w:t>
      </w:r>
      <w:proofErr w:type="spellStart"/>
      <w:r>
        <w:t>Hoyo</w:t>
      </w:r>
      <w:proofErr w:type="spellEnd"/>
      <w:r>
        <w:t xml:space="preserve">, C., Gutierrez, C. M., </w:t>
      </w:r>
      <w:proofErr w:type="spellStart"/>
      <w:r>
        <w:t>Rappazzo</w:t>
      </w:r>
      <w:proofErr w:type="spellEnd"/>
      <w:r>
        <w:t xml:space="preserve">, K. M., </w:t>
      </w:r>
      <w:proofErr w:type="spellStart"/>
      <w:r>
        <w:t>Emch</w:t>
      </w:r>
      <w:proofErr w:type="spellEnd"/>
      <w:r>
        <w:t xml:space="preserve">, M. E., and Martin, C. L. (2021). Estimating exposure to neighborhood crime by race and ethnicity for public health research. </w:t>
      </w:r>
      <w:r w:rsidRPr="00311D8A">
        <w:rPr>
          <w:i/>
        </w:rPr>
        <w:t>BMC Public Health</w:t>
      </w:r>
      <w:r>
        <w:t>, 21(1), 1–13.</w:t>
      </w:r>
    </w:p>
    <w:p w14:paraId="3629F6B0" w14:textId="77777777" w:rsidR="00966F5E" w:rsidRDefault="00966F5E" w:rsidP="00287120">
      <w:pPr>
        <w:spacing w:before="0" w:after="0" w:line="360" w:lineRule="auto"/>
        <w:ind w:left="540" w:hanging="540"/>
      </w:pPr>
      <w:r>
        <w:t xml:space="preserve">MacDonald, J. M., and Stokes, R. J. (2020). Gentrification, land use, and crime. </w:t>
      </w:r>
      <w:r w:rsidRPr="00311D8A">
        <w:rPr>
          <w:i/>
        </w:rPr>
        <w:t>Annual Review of Criminology</w:t>
      </w:r>
      <w:r>
        <w:t>, 3, 121–138.</w:t>
      </w:r>
    </w:p>
    <w:p w14:paraId="02E99E86" w14:textId="77777777" w:rsidR="00966F5E" w:rsidRDefault="00966F5E" w:rsidP="00287120">
      <w:pPr>
        <w:spacing w:before="0" w:after="0" w:line="360" w:lineRule="auto"/>
        <w:ind w:left="540" w:hanging="540"/>
      </w:pPr>
      <w:r>
        <w:t xml:space="preserve">McGuckin, N., and </w:t>
      </w:r>
      <w:proofErr w:type="spellStart"/>
      <w:r>
        <w:t>Fucci</w:t>
      </w:r>
      <w:proofErr w:type="spellEnd"/>
      <w:r>
        <w:t xml:space="preserve">, A. (2018). Summary of Travel Trends: 2017 National Household Travel Survey. Report No. FHWA-PL-18-019, Federal Highway Administration. https://nhts.ornl.gov/assets/2017_nhts_summary_travel_trends.pdf </w:t>
      </w:r>
    </w:p>
    <w:p w14:paraId="57733353" w14:textId="77777777" w:rsidR="00966F5E" w:rsidRDefault="00966F5E" w:rsidP="00287120">
      <w:pPr>
        <w:spacing w:before="0" w:after="0" w:line="360" w:lineRule="auto"/>
        <w:ind w:left="540" w:hanging="540"/>
      </w:pPr>
      <w:r>
        <w:t xml:space="preserve">McKelvey, R. D., and Zavoina, W. (1975). A statistical model for the analysis of ordinal level dependent variables. </w:t>
      </w:r>
      <w:r w:rsidRPr="00311D8A">
        <w:rPr>
          <w:i/>
        </w:rPr>
        <w:t>Journal of Mathematical Sociology</w:t>
      </w:r>
      <w:r>
        <w:t>, 4(1), 103–120.</w:t>
      </w:r>
    </w:p>
    <w:p w14:paraId="7984DD47" w14:textId="77777777" w:rsidR="00966F5E" w:rsidRDefault="00966F5E" w:rsidP="00287120">
      <w:pPr>
        <w:spacing w:before="0" w:after="0" w:line="360" w:lineRule="auto"/>
        <w:ind w:left="540" w:hanging="540"/>
      </w:pPr>
      <w:r>
        <w:lastRenderedPageBreak/>
        <w:t xml:space="preserve">Merlin, L. A., Guerra, E., and </w:t>
      </w:r>
      <w:proofErr w:type="spellStart"/>
      <w:r>
        <w:t>Dumbaugh</w:t>
      </w:r>
      <w:proofErr w:type="spellEnd"/>
      <w:r>
        <w:t xml:space="preserve">, E. (2020). Crash risk, crash exposure, and the built environment: A conceptual review. </w:t>
      </w:r>
      <w:r w:rsidRPr="00311D8A">
        <w:rPr>
          <w:i/>
        </w:rPr>
        <w:t>Accident Analysis and Prevention</w:t>
      </w:r>
      <w:r>
        <w:t>, 134, 105244.</w:t>
      </w:r>
    </w:p>
    <w:p w14:paraId="7929F3BC" w14:textId="77777777" w:rsidR="00966F5E" w:rsidRDefault="00966F5E" w:rsidP="00287120">
      <w:pPr>
        <w:spacing w:before="0" w:after="0" w:line="360" w:lineRule="auto"/>
        <w:ind w:left="540" w:hanging="540"/>
      </w:pPr>
      <w:r>
        <w:t>Miranda-Moreno, L. F., Morency, P., and El-</w:t>
      </w:r>
      <w:proofErr w:type="spellStart"/>
      <w:r>
        <w:t>Geneidy</w:t>
      </w:r>
      <w:proofErr w:type="spellEnd"/>
      <w:r>
        <w:t xml:space="preserve">, A. M. (2011). The link between built environment, pedestrian activity and pedestrian–vehicle collision occurrence at signalized intersections. </w:t>
      </w:r>
      <w:r w:rsidRPr="00311D8A">
        <w:rPr>
          <w:i/>
        </w:rPr>
        <w:t>Accident Analysis and Prevention</w:t>
      </w:r>
      <w:r>
        <w:t>, 43(5), 1624–1634.</w:t>
      </w:r>
    </w:p>
    <w:p w14:paraId="597878BE" w14:textId="77777777" w:rsidR="00966F5E" w:rsidRDefault="00966F5E" w:rsidP="00287120">
      <w:pPr>
        <w:spacing w:before="0" w:after="0" w:line="360" w:lineRule="auto"/>
        <w:ind w:left="540" w:hanging="540"/>
      </w:pPr>
      <w:proofErr w:type="spellStart"/>
      <w:r>
        <w:t>Mirhashemi</w:t>
      </w:r>
      <w:proofErr w:type="spellEnd"/>
      <w:r>
        <w:t xml:space="preserve">, A., </w:t>
      </w:r>
      <w:proofErr w:type="spellStart"/>
      <w:r>
        <w:t>Amirifar</w:t>
      </w:r>
      <w:proofErr w:type="spellEnd"/>
      <w:r>
        <w:t xml:space="preserve">, S., </w:t>
      </w:r>
      <w:proofErr w:type="spellStart"/>
      <w:r>
        <w:t>Kashani</w:t>
      </w:r>
      <w:proofErr w:type="spellEnd"/>
      <w:r>
        <w:t xml:space="preserve">, A. T., and Zou, X. (2022). Macro-level literature analysis on pedestrian safety: Bibliometric overview, conceptual frames, and trends. </w:t>
      </w:r>
      <w:r w:rsidRPr="00311D8A">
        <w:rPr>
          <w:i/>
        </w:rPr>
        <w:t>Accident Analysis and Prevention</w:t>
      </w:r>
      <w:r>
        <w:t>, 174, 106720.</w:t>
      </w:r>
    </w:p>
    <w:p w14:paraId="7DBCFE31" w14:textId="77777777" w:rsidR="00966F5E" w:rsidRDefault="00966F5E" w:rsidP="00287120">
      <w:pPr>
        <w:spacing w:before="0" w:after="0" w:line="360" w:lineRule="auto"/>
        <w:ind w:left="540" w:hanging="540"/>
      </w:pPr>
      <w:r>
        <w:t xml:space="preserve">Morency, P., Gauvin, L., Plante, C., Fournier, M., and Morency, C. (2012). Neighborhood social inequalities in road traffic injuries: The influence of traffic volume and road design. </w:t>
      </w:r>
      <w:r w:rsidRPr="00311D8A">
        <w:rPr>
          <w:i/>
        </w:rPr>
        <w:t>American Journal of Public Health</w:t>
      </w:r>
      <w:r>
        <w:t>, 102(6), 1112–1119.</w:t>
      </w:r>
    </w:p>
    <w:p w14:paraId="56709097" w14:textId="77777777" w:rsidR="00966F5E" w:rsidRDefault="00966F5E" w:rsidP="00287120">
      <w:pPr>
        <w:spacing w:before="0" w:after="0" w:line="360" w:lineRule="auto"/>
        <w:ind w:left="540" w:hanging="540"/>
      </w:pPr>
      <w:r>
        <w:t xml:space="preserve">Morin, R. (2015). Exploring racial bias among biracial and single-race adults: The IAT. </w:t>
      </w:r>
      <w:r w:rsidRPr="00311D8A">
        <w:rPr>
          <w:i/>
        </w:rPr>
        <w:t>Pew Research Center</w:t>
      </w:r>
      <w:r>
        <w:t xml:space="preserve">. https://www.pewresearch.org/social-trends/2015/08/19/exploring-racial-bias-among-biracial-and-single-race-adults-the-iat/.  </w:t>
      </w:r>
    </w:p>
    <w:p w14:paraId="3767D52F" w14:textId="77777777" w:rsidR="00966F5E" w:rsidRDefault="00966F5E" w:rsidP="00287120">
      <w:pPr>
        <w:spacing w:before="0" w:after="0" w:line="360" w:lineRule="auto"/>
        <w:ind w:left="540" w:hanging="540"/>
      </w:pPr>
      <w:r>
        <w:t>National Center for Statistics and Analysis (2022). Pedestrians: 2020 data. Traffic Safety Facts, Report No. DOT HS 813 310, National Highway Traffic Safety Administration.</w:t>
      </w:r>
    </w:p>
    <w:p w14:paraId="7A480552" w14:textId="77777777" w:rsidR="00966F5E" w:rsidRDefault="00966F5E" w:rsidP="00287120">
      <w:pPr>
        <w:spacing w:before="0" w:after="0" w:line="360" w:lineRule="auto"/>
        <w:ind w:left="540" w:hanging="540"/>
      </w:pPr>
      <w:r>
        <w:t xml:space="preserve">Osama, A., and Sayed, T. (2017). Evaluating the impact of connectivity, continuity, and topography of sidewalk network on pedestrian safety. </w:t>
      </w:r>
      <w:r w:rsidRPr="00311D8A">
        <w:rPr>
          <w:i/>
        </w:rPr>
        <w:t>Accident Analysis and Prevention</w:t>
      </w:r>
      <w:r>
        <w:t>, 107, 117–125.</w:t>
      </w:r>
    </w:p>
    <w:p w14:paraId="38011D77" w14:textId="77777777" w:rsidR="00966F5E" w:rsidRDefault="00966F5E" w:rsidP="00287120">
      <w:pPr>
        <w:spacing w:before="0" w:after="0" w:line="360" w:lineRule="auto"/>
        <w:ind w:left="540" w:hanging="540"/>
      </w:pPr>
      <w:r>
        <w:t xml:space="preserve">Papke, L. E., and Wooldridge, J. M. (1996). Econometric methods for fractional response variables with an application to 401 (k) plan participation rates. </w:t>
      </w:r>
      <w:r w:rsidRPr="00311D8A">
        <w:rPr>
          <w:i/>
        </w:rPr>
        <w:t>Journal of Applied Econometrics</w:t>
      </w:r>
      <w:r>
        <w:t>, 11(6), 619–632.</w:t>
      </w:r>
    </w:p>
    <w:p w14:paraId="1DD42FAE" w14:textId="77777777" w:rsidR="00966F5E" w:rsidRDefault="00966F5E" w:rsidP="00287120">
      <w:pPr>
        <w:spacing w:before="0" w:after="0" w:line="360" w:lineRule="auto"/>
        <w:ind w:left="540" w:hanging="540"/>
      </w:pPr>
      <w:r>
        <w:t xml:space="preserve">Peeters, M., </w:t>
      </w:r>
      <w:proofErr w:type="spellStart"/>
      <w:r>
        <w:t>Oldehinkel</w:t>
      </w:r>
      <w:proofErr w:type="spellEnd"/>
      <w:r>
        <w:t xml:space="preserve">, T., and </w:t>
      </w:r>
      <w:proofErr w:type="spellStart"/>
      <w:r>
        <w:t>Vollebergh</w:t>
      </w:r>
      <w:proofErr w:type="spellEnd"/>
      <w:r>
        <w:t xml:space="preserve">, W. (2017). Behavioral control and reward sensitivity in adolescents’ risk taking behavior: A longitudinal TRAILS study. </w:t>
      </w:r>
      <w:r w:rsidRPr="00311D8A">
        <w:rPr>
          <w:i/>
        </w:rPr>
        <w:t>Frontiers in Psychology</w:t>
      </w:r>
      <w:r>
        <w:t>, 8, 231.</w:t>
      </w:r>
    </w:p>
    <w:p w14:paraId="7035EAB1" w14:textId="77777777" w:rsidR="00966F5E" w:rsidRDefault="00966F5E" w:rsidP="00287120">
      <w:pPr>
        <w:spacing w:before="0" w:after="0" w:line="360" w:lineRule="auto"/>
        <w:ind w:left="540" w:hanging="540"/>
      </w:pPr>
      <w:r>
        <w:t xml:space="preserve">Perry, A., Romer, C., and Barr, A. (2021). Why is life expectancy so low in Black neighborhoods? The Brookings Institution. https://www.brookings.edu/blog/the-avenue/2021/12/20/why-is-life-expectancy-so-low-in-black-neighborhoods/#:~:text=Black-majority%20neighborhoods%20have%20a,compared%20to%20the%20national%20average. </w:t>
      </w:r>
    </w:p>
    <w:p w14:paraId="5F798940" w14:textId="77777777" w:rsidR="00966F5E" w:rsidRDefault="00966F5E" w:rsidP="00287120">
      <w:pPr>
        <w:spacing w:before="0" w:after="0" w:line="360" w:lineRule="auto"/>
        <w:ind w:left="540" w:hanging="540"/>
      </w:pPr>
      <w:r>
        <w:lastRenderedPageBreak/>
        <w:t xml:space="preserve">Pierson, E., </w:t>
      </w:r>
      <w:proofErr w:type="spellStart"/>
      <w:r>
        <w:t>Simoiu</w:t>
      </w:r>
      <w:proofErr w:type="spellEnd"/>
      <w:r>
        <w:t xml:space="preserve">, C., </w:t>
      </w:r>
      <w:proofErr w:type="spellStart"/>
      <w:r>
        <w:t>Overgoor</w:t>
      </w:r>
      <w:proofErr w:type="spellEnd"/>
      <w:r>
        <w:t xml:space="preserve">, J., Corbett-Davies, S., Jenson, D., Shoemaker, A., Ramachandran, V., </w:t>
      </w:r>
      <w:proofErr w:type="spellStart"/>
      <w:r>
        <w:t>Barghouty</w:t>
      </w:r>
      <w:proofErr w:type="spellEnd"/>
      <w:r>
        <w:t xml:space="preserve">, P., Phillips, C., and Shroff, R. (2020). A large-scale analysis of racial disparities in police stops across the United States. </w:t>
      </w:r>
      <w:r w:rsidRPr="00311D8A">
        <w:rPr>
          <w:i/>
        </w:rPr>
        <w:t>Nature Human Behaviour</w:t>
      </w:r>
      <w:r>
        <w:t>, 4(7), 736–745.</w:t>
      </w:r>
    </w:p>
    <w:p w14:paraId="54934D51" w14:textId="77777777" w:rsidR="00966F5E" w:rsidRDefault="00966F5E" w:rsidP="00287120">
      <w:pPr>
        <w:spacing w:before="0" w:after="0" w:line="360" w:lineRule="auto"/>
        <w:ind w:left="540" w:hanging="540"/>
      </w:pPr>
      <w:r>
        <w:t xml:space="preserve">Piotrowska, P. J., Stride, C. B., Croft, S. E., and Rowe, R. (2015). Socioeconomic status and antisocial </w:t>
      </w:r>
      <w:proofErr w:type="spellStart"/>
      <w:r>
        <w:t>behaviour</w:t>
      </w:r>
      <w:proofErr w:type="spellEnd"/>
      <w:r>
        <w:t xml:space="preserve"> among children and adolescents: A systematic review and meta-analysis. </w:t>
      </w:r>
      <w:r w:rsidRPr="00311D8A">
        <w:rPr>
          <w:i/>
        </w:rPr>
        <w:t>Clinical Psychology Review</w:t>
      </w:r>
      <w:r>
        <w:t>, 35, 47–55.</w:t>
      </w:r>
    </w:p>
    <w:p w14:paraId="3209F9F0" w14:textId="77777777" w:rsidR="00966F5E" w:rsidRDefault="00966F5E" w:rsidP="00287120">
      <w:pPr>
        <w:spacing w:before="0" w:after="0" w:line="360" w:lineRule="auto"/>
        <w:ind w:left="540" w:hanging="540"/>
      </w:pPr>
      <w:r>
        <w:t xml:space="preserve">Ratcliff, R., and Smith, P. L. (2021). Estimating systematic and random sources of variability in perceptual decision-making: A reply to Evans, Tillman, and </w:t>
      </w:r>
      <w:proofErr w:type="spellStart"/>
      <w:r>
        <w:t>Wagenmakers</w:t>
      </w:r>
      <w:proofErr w:type="spellEnd"/>
      <w:r>
        <w:t xml:space="preserve"> (2020). </w:t>
      </w:r>
      <w:r w:rsidRPr="00311D8A">
        <w:rPr>
          <w:i/>
        </w:rPr>
        <w:t>Psychological Review</w:t>
      </w:r>
      <w:r>
        <w:t>, 128(5), 988–994.</w:t>
      </w:r>
    </w:p>
    <w:p w14:paraId="3C08ED90" w14:textId="77777777" w:rsidR="007C47C6" w:rsidRDefault="00966F5E" w:rsidP="007C47C6">
      <w:pPr>
        <w:spacing w:before="0" w:after="0" w:line="360" w:lineRule="auto"/>
        <w:ind w:left="540" w:hanging="540"/>
      </w:pPr>
      <w:r>
        <w:t xml:space="preserve">Roll, J., and McNeil, N. (2022). Race and income disparities in pedestrian injuries: Factors influencing pedestrian safety inequity. </w:t>
      </w:r>
      <w:r w:rsidRPr="007C47C6">
        <w:rPr>
          <w:i/>
        </w:rPr>
        <w:t>Transportation Research Part D</w:t>
      </w:r>
      <w:r>
        <w:t xml:space="preserve">, 107, 103294. </w:t>
      </w:r>
    </w:p>
    <w:p w14:paraId="3089BC5D" w14:textId="1F23D0AB" w:rsidR="00EB13E0" w:rsidRDefault="00EB13E0" w:rsidP="007C47C6">
      <w:pPr>
        <w:spacing w:before="0" w:after="0" w:line="360" w:lineRule="auto"/>
        <w:ind w:left="540" w:hanging="540"/>
      </w:pPr>
      <w:r>
        <w:t xml:space="preserve">Rottenstreich, Y., and Hsee, C. K. (2001). Money, kisses, and electric shocks: On the affective psychology of risk. </w:t>
      </w:r>
      <w:r w:rsidRPr="007C47C6">
        <w:rPr>
          <w:i/>
        </w:rPr>
        <w:t>Psychological Science</w:t>
      </w:r>
      <w:r>
        <w:t>, 12(3), 185–190.</w:t>
      </w:r>
    </w:p>
    <w:p w14:paraId="26AD60E9" w14:textId="77777777" w:rsidR="00966F5E" w:rsidRDefault="00966F5E" w:rsidP="00287120">
      <w:pPr>
        <w:spacing w:before="0" w:after="0" w:line="360" w:lineRule="auto"/>
        <w:ind w:left="540" w:hanging="540"/>
      </w:pPr>
      <w:r>
        <w:t xml:space="preserve">Rowangould, G. M. (2013). A census of the US near-roadway population: Public health and environmental justice considerations. </w:t>
      </w:r>
      <w:r w:rsidRPr="007C47C6">
        <w:rPr>
          <w:i/>
        </w:rPr>
        <w:t>Transportation Research Part D</w:t>
      </w:r>
      <w:r>
        <w:t>, 25, 59–67.</w:t>
      </w:r>
    </w:p>
    <w:p w14:paraId="33CD7A61" w14:textId="746CB7D0" w:rsidR="00644505" w:rsidRDefault="00644505" w:rsidP="00287120">
      <w:pPr>
        <w:spacing w:before="0" w:after="0" w:line="360" w:lineRule="auto"/>
        <w:ind w:left="540" w:hanging="540"/>
      </w:pPr>
      <w:r>
        <w:t xml:space="preserve">Saeed, T. U., Hall, T., </w:t>
      </w:r>
      <w:proofErr w:type="spellStart"/>
      <w:r>
        <w:t>Baroud</w:t>
      </w:r>
      <w:proofErr w:type="spellEnd"/>
      <w:r>
        <w:t xml:space="preserve">, H., and </w:t>
      </w:r>
      <w:proofErr w:type="spellStart"/>
      <w:r>
        <w:t>Volovski</w:t>
      </w:r>
      <w:proofErr w:type="spellEnd"/>
      <w:r>
        <w:t xml:space="preserve">, M. J. (2019). Analyzing road crash frequencies with uncorrelated and correlated random-parameters count models: An empirical assessment of multilane highways. </w:t>
      </w:r>
      <w:r w:rsidRPr="00644505">
        <w:rPr>
          <w:i/>
        </w:rPr>
        <w:t xml:space="preserve">Analytic </w:t>
      </w:r>
      <w:r>
        <w:rPr>
          <w:i/>
        </w:rPr>
        <w:t>M</w:t>
      </w:r>
      <w:r w:rsidRPr="00644505">
        <w:rPr>
          <w:i/>
        </w:rPr>
        <w:t xml:space="preserve">ethods in </w:t>
      </w:r>
      <w:r>
        <w:rPr>
          <w:i/>
        </w:rPr>
        <w:t>A</w:t>
      </w:r>
      <w:r w:rsidRPr="00644505">
        <w:rPr>
          <w:i/>
        </w:rPr>
        <w:t xml:space="preserve">ccident </w:t>
      </w:r>
      <w:r>
        <w:rPr>
          <w:i/>
        </w:rPr>
        <w:t>R</w:t>
      </w:r>
      <w:r w:rsidRPr="00644505">
        <w:rPr>
          <w:i/>
        </w:rPr>
        <w:t>esearch</w:t>
      </w:r>
      <w:r>
        <w:t>, 23, 100101</w:t>
      </w:r>
    </w:p>
    <w:p w14:paraId="646B84DD" w14:textId="7268A6A2" w:rsidR="00966F5E" w:rsidRDefault="00966F5E" w:rsidP="00287120">
      <w:pPr>
        <w:spacing w:before="0" w:after="0" w:line="360" w:lineRule="auto"/>
        <w:ind w:left="540" w:hanging="540"/>
      </w:pPr>
      <w:r>
        <w:t xml:space="preserve">Samerei, S. A., </w:t>
      </w:r>
      <w:proofErr w:type="spellStart"/>
      <w:r>
        <w:t>Aghabayk</w:t>
      </w:r>
      <w:proofErr w:type="spellEnd"/>
      <w:r>
        <w:t xml:space="preserve">, K., </w:t>
      </w:r>
      <w:proofErr w:type="spellStart"/>
      <w:r>
        <w:t>Shiwakoti</w:t>
      </w:r>
      <w:proofErr w:type="spellEnd"/>
      <w:r>
        <w:t xml:space="preserve">, N., and Karimi, S. (2021). Modelling bus-pedestrian crash severity in the state of Victoria, Australia. </w:t>
      </w:r>
      <w:r w:rsidRPr="007C47C6">
        <w:rPr>
          <w:i/>
        </w:rPr>
        <w:t>International Journal of Injury Control and Safety Promotion</w:t>
      </w:r>
      <w:r>
        <w:t>, 28(2), 233–242.</w:t>
      </w:r>
    </w:p>
    <w:p w14:paraId="0BD4F14C" w14:textId="77777777" w:rsidR="00966F5E" w:rsidRDefault="00966F5E" w:rsidP="00287120">
      <w:pPr>
        <w:spacing w:before="0" w:after="0" w:line="360" w:lineRule="auto"/>
        <w:ind w:left="540" w:hanging="540"/>
      </w:pPr>
      <w:r>
        <w:t xml:space="preserve">Sandel, M. J. (2020). Disdain for the less educated is the last acceptable prejudice. </w:t>
      </w:r>
      <w:r w:rsidRPr="007C47C6">
        <w:rPr>
          <w:i/>
        </w:rPr>
        <w:t>The New York Times</w:t>
      </w:r>
      <w:r>
        <w:t xml:space="preserve">. https://www.nytimes.com/2020/09/02/opinion/education-prejudice.html </w:t>
      </w:r>
    </w:p>
    <w:p w14:paraId="0339B061" w14:textId="77777777" w:rsidR="00966F5E" w:rsidRDefault="00966F5E" w:rsidP="00287120">
      <w:pPr>
        <w:spacing w:before="0" w:after="0" w:line="360" w:lineRule="auto"/>
        <w:ind w:left="540" w:hanging="540"/>
      </w:pPr>
      <w:proofErr w:type="spellStart"/>
      <w:r>
        <w:t>Sandt</w:t>
      </w:r>
      <w:proofErr w:type="spellEnd"/>
      <w:r>
        <w:t>, L., Combs, T., and Cohn, J. (2016). Pursuing equity in pedestrian and bicycle planning. White Paper Series, Pedestrian and Bicycle Information Center, Chapel Hill, NC.</w:t>
      </w:r>
    </w:p>
    <w:p w14:paraId="57301C74" w14:textId="77777777" w:rsidR="00966F5E" w:rsidRDefault="00966F5E" w:rsidP="00287120">
      <w:pPr>
        <w:spacing w:before="0" w:after="0" w:line="360" w:lineRule="auto"/>
        <w:ind w:left="540" w:hanging="540"/>
      </w:pPr>
      <w:r>
        <w:t xml:space="preserve">Schneider, R. J., </w:t>
      </w:r>
      <w:proofErr w:type="spellStart"/>
      <w:r>
        <w:t>Sanatizadeh</w:t>
      </w:r>
      <w:proofErr w:type="spellEnd"/>
      <w:r>
        <w:t xml:space="preserve">, A., </w:t>
      </w:r>
      <w:proofErr w:type="spellStart"/>
      <w:r>
        <w:t>Shaon</w:t>
      </w:r>
      <w:proofErr w:type="spellEnd"/>
      <w:r>
        <w:t xml:space="preserve">, M. R. R., He, Z., and Qin, X. (2018). Exploratory analysis of driver yielding at low-speed, uncontrolled crosswalks in Milwaukee, Wisconsin. </w:t>
      </w:r>
      <w:r w:rsidRPr="007C47C6">
        <w:rPr>
          <w:i/>
        </w:rPr>
        <w:t>Transportation Research Record: Journal of the Transportation Research Board</w:t>
      </w:r>
      <w:r>
        <w:t>, 2672(35), 21–32.</w:t>
      </w:r>
    </w:p>
    <w:p w14:paraId="6BC07637" w14:textId="77777777" w:rsidR="00966F5E" w:rsidRDefault="00966F5E" w:rsidP="00287120">
      <w:pPr>
        <w:spacing w:before="0" w:after="0" w:line="360" w:lineRule="auto"/>
        <w:ind w:left="540" w:hanging="540"/>
      </w:pPr>
      <w:r>
        <w:lastRenderedPageBreak/>
        <w:t xml:space="preserve">Schultz, C. L., Sayers, S. P., Wilhelm </w:t>
      </w:r>
      <w:proofErr w:type="spellStart"/>
      <w:r>
        <w:t>Stanis</w:t>
      </w:r>
      <w:proofErr w:type="spellEnd"/>
      <w:r>
        <w:t xml:space="preserve">, S. A., Thombs, L. A., Thomas, I. M., and Canfield, S. M. (2015). The impact of a signalized crosswalk on traffic speed and street-crossing behaviors of residents in an underserved neighborhood. </w:t>
      </w:r>
      <w:r w:rsidRPr="007C47C6">
        <w:rPr>
          <w:i/>
        </w:rPr>
        <w:t>Journal of Urban Health</w:t>
      </w:r>
      <w:r>
        <w:t xml:space="preserve">, 92(5), 910–922. </w:t>
      </w:r>
    </w:p>
    <w:p w14:paraId="51841849" w14:textId="77777777" w:rsidR="00966F5E" w:rsidRDefault="00966F5E" w:rsidP="00287120">
      <w:pPr>
        <w:spacing w:before="0" w:after="0" w:line="360" w:lineRule="auto"/>
        <w:ind w:left="540" w:hanging="540"/>
      </w:pPr>
      <w:r>
        <w:t xml:space="preserve">Siddiqui, C., Abdel-Aty, M., and Choi, K. (2012). Macroscopic spatial analysis of pedestrian and bicycle crashes. </w:t>
      </w:r>
      <w:r w:rsidRPr="007C47C6">
        <w:rPr>
          <w:i/>
        </w:rPr>
        <w:t>Accident Analysis and Prevention</w:t>
      </w:r>
      <w:r>
        <w:t>, 45, 382–391.</w:t>
      </w:r>
    </w:p>
    <w:p w14:paraId="53A48F8C" w14:textId="77777777" w:rsidR="00966F5E" w:rsidRDefault="00966F5E" w:rsidP="00287120">
      <w:pPr>
        <w:spacing w:before="0" w:after="0" w:line="360" w:lineRule="auto"/>
        <w:ind w:left="540" w:hanging="540"/>
      </w:pPr>
      <w:r>
        <w:t xml:space="preserve">Sivakumar, A., and Bhat, C. (2002). Fractional split-distribution model for statewide commodity-flow analysis. </w:t>
      </w:r>
      <w:r w:rsidRPr="007C47C6">
        <w:rPr>
          <w:i/>
        </w:rPr>
        <w:t>Transportation Research Record: Journal of the Transportation Research Board</w:t>
      </w:r>
      <w:r>
        <w:t>, 1790(1), 80–88.</w:t>
      </w:r>
    </w:p>
    <w:p w14:paraId="6B23BE54" w14:textId="77777777" w:rsidR="00966F5E" w:rsidRDefault="00966F5E" w:rsidP="00287120">
      <w:pPr>
        <w:spacing w:before="0" w:after="0" w:line="360" w:lineRule="auto"/>
        <w:ind w:left="540" w:hanging="540"/>
      </w:pPr>
      <w:r>
        <w:t xml:space="preserve">Smart Growth America. (2021). Dangerous by Design 2021. https://smartgrowthamerica.org/wp-content/uploads/2021/03/Dangerous-By-Design-2021-update.pdf. </w:t>
      </w:r>
    </w:p>
    <w:p w14:paraId="55499FDD" w14:textId="77777777" w:rsidR="00966F5E" w:rsidRDefault="00966F5E" w:rsidP="00287120">
      <w:pPr>
        <w:spacing w:before="0" w:after="0" w:line="360" w:lineRule="auto"/>
        <w:ind w:left="540" w:hanging="540"/>
      </w:pPr>
      <w:r>
        <w:t xml:space="preserve">Statista. (2022). Population of the United States 1610-2020. Statista. https://www.statista.com/statistics/1067138/population-united-states-historical/ </w:t>
      </w:r>
    </w:p>
    <w:p w14:paraId="0486CB2A" w14:textId="0645F5E3" w:rsidR="00966F5E" w:rsidRDefault="00966F5E" w:rsidP="00287120">
      <w:pPr>
        <w:spacing w:before="0" w:after="0" w:line="360" w:lineRule="auto"/>
        <w:ind w:left="540" w:hanging="540"/>
      </w:pPr>
      <w:r>
        <w:t>Steimer, T. (2022). The biology of fear-</w:t>
      </w:r>
      <w:r w:rsidR="007C47C6">
        <w:t xml:space="preserve"> </w:t>
      </w:r>
      <w:r>
        <w:t xml:space="preserve">and anxiety-related behaviors. </w:t>
      </w:r>
      <w:r w:rsidRPr="007C47C6">
        <w:rPr>
          <w:i/>
        </w:rPr>
        <w:t xml:space="preserve">Dialogues in </w:t>
      </w:r>
      <w:r w:rsidR="007C47C6" w:rsidRPr="007C47C6">
        <w:rPr>
          <w:i/>
        </w:rPr>
        <w:t>C</w:t>
      </w:r>
      <w:r w:rsidRPr="007C47C6">
        <w:rPr>
          <w:i/>
        </w:rPr>
        <w:t xml:space="preserve">linical </w:t>
      </w:r>
      <w:r w:rsidR="007C47C6" w:rsidRPr="007C47C6">
        <w:rPr>
          <w:i/>
        </w:rPr>
        <w:t>N</w:t>
      </w:r>
      <w:r w:rsidRPr="007C47C6">
        <w:rPr>
          <w:i/>
        </w:rPr>
        <w:t>euroscience</w:t>
      </w:r>
      <w:r w:rsidR="007C47C6">
        <w:t xml:space="preserve">, </w:t>
      </w:r>
      <w:r w:rsidR="007C47C6" w:rsidRPr="007C47C6">
        <w:t>4(3), 231–249</w:t>
      </w:r>
      <w:r>
        <w:t>.</w:t>
      </w:r>
    </w:p>
    <w:p w14:paraId="422CB09F" w14:textId="77777777" w:rsidR="00966F5E" w:rsidRDefault="00966F5E" w:rsidP="00287120">
      <w:pPr>
        <w:spacing w:before="0" w:after="0" w:line="360" w:lineRule="auto"/>
        <w:ind w:left="540" w:hanging="540"/>
      </w:pPr>
      <w:r>
        <w:t xml:space="preserve">Su, J., Sze, N., and Bai, L. (2021). A joint probability model for pedestrian crashes at macroscopic level: Roles of environment, traffic, and population characteristics. </w:t>
      </w:r>
      <w:r w:rsidRPr="007C47C6">
        <w:rPr>
          <w:i/>
        </w:rPr>
        <w:t>Accident Analysis and Prevention</w:t>
      </w:r>
      <w:r>
        <w:t>, 150, 105898.</w:t>
      </w:r>
    </w:p>
    <w:p w14:paraId="47809D9A" w14:textId="77777777" w:rsidR="00966F5E" w:rsidRDefault="00966F5E" w:rsidP="00287120">
      <w:pPr>
        <w:spacing w:before="0" w:after="0" w:line="360" w:lineRule="auto"/>
        <w:ind w:left="540" w:hanging="540"/>
      </w:pPr>
      <w:r>
        <w:t xml:space="preserve">Sung, H., Lee, S., </w:t>
      </w:r>
      <w:proofErr w:type="spellStart"/>
      <w:r>
        <w:t>Cheon</w:t>
      </w:r>
      <w:proofErr w:type="spellEnd"/>
      <w:r>
        <w:t xml:space="preserve">, S., and Yoon, J. (2022). Pedestrian safety in compact and mixed-use urban environments: Evaluation of 5D measures on pedestrian crashes. </w:t>
      </w:r>
      <w:r w:rsidRPr="007C47C6">
        <w:rPr>
          <w:i/>
        </w:rPr>
        <w:t>Sustainability</w:t>
      </w:r>
      <w:r>
        <w:t>, 14(2), 646.</w:t>
      </w:r>
    </w:p>
    <w:p w14:paraId="2C2AEE9E" w14:textId="197AC1AA" w:rsidR="00966F5E" w:rsidRDefault="00966F5E" w:rsidP="00287120">
      <w:pPr>
        <w:spacing w:before="0" w:after="0" w:line="360" w:lineRule="auto"/>
        <w:ind w:left="540" w:hanging="540"/>
      </w:pPr>
      <w:r>
        <w:t xml:space="preserve">Tamir, C. (2021). The </w:t>
      </w:r>
      <w:r w:rsidR="00D3277A">
        <w:t>g</w:t>
      </w:r>
      <w:r>
        <w:t xml:space="preserve">rowing </w:t>
      </w:r>
      <w:r w:rsidR="00D3277A">
        <w:t>d</w:t>
      </w:r>
      <w:r>
        <w:t xml:space="preserve">iversity of Black America. </w:t>
      </w:r>
      <w:r w:rsidR="00D3277A" w:rsidRPr="00D3277A">
        <w:rPr>
          <w:i/>
        </w:rPr>
        <w:t>Pew Research Center</w:t>
      </w:r>
      <w:r w:rsidR="00D3277A">
        <w:t xml:space="preserve"> </w:t>
      </w:r>
      <w:r>
        <w:t xml:space="preserve">https://www.pewresearch.org/social-trends/2021/03/25/the-growing-diversity-of-black-america/. </w:t>
      </w:r>
    </w:p>
    <w:p w14:paraId="0610FCCB" w14:textId="77777777" w:rsidR="00966F5E" w:rsidRDefault="00966F5E" w:rsidP="00287120">
      <w:pPr>
        <w:spacing w:before="0" w:after="0" w:line="360" w:lineRule="auto"/>
        <w:ind w:left="540" w:hanging="540"/>
      </w:pPr>
      <w:r>
        <w:t xml:space="preserve">The Governors Highway Safety Association. (2021). An Analysis of Traffic Fatalities by Race and Ethnicity. https://www.ghsa.org/sites/default/files/2021-06/An%20Analysis%20of%20Traffic%20Fatalities%20by%20Race%20and%20Ethnicity.pdf. </w:t>
      </w:r>
    </w:p>
    <w:p w14:paraId="54BE9F9B" w14:textId="77777777" w:rsidR="00966F5E" w:rsidRDefault="00966F5E" w:rsidP="00287120">
      <w:pPr>
        <w:spacing w:before="0" w:after="0" w:line="360" w:lineRule="auto"/>
        <w:ind w:left="540" w:hanging="540"/>
      </w:pPr>
      <w:r>
        <w:t xml:space="preserve">The National Equity Atlas. (2019). Car access: Everyone needs reliable transportation access and in most American communities that means a car. https://nationalequityatlas.org/indicators/Car_access#/?geo=01000000000000000. </w:t>
      </w:r>
    </w:p>
    <w:p w14:paraId="2FFDEF6D" w14:textId="77777777" w:rsidR="00966F5E" w:rsidRDefault="00966F5E" w:rsidP="00287120">
      <w:pPr>
        <w:spacing w:before="0" w:after="0" w:line="360" w:lineRule="auto"/>
        <w:ind w:left="540" w:hanging="540"/>
      </w:pPr>
      <w:r>
        <w:lastRenderedPageBreak/>
        <w:t xml:space="preserve">Thomas, M., Riemann, B., and Jones, J. (2019). Epidemiology of alcohol and drug screening among pedestrian fatalities in the United States, 2014–2016. </w:t>
      </w:r>
      <w:r w:rsidRPr="007C47C6">
        <w:rPr>
          <w:i/>
        </w:rPr>
        <w:t>Traffic Injury Prevention</w:t>
      </w:r>
      <w:r>
        <w:t>, 20(6), 557–562.</w:t>
      </w:r>
    </w:p>
    <w:p w14:paraId="3BD6F493" w14:textId="77777777" w:rsidR="00966F5E" w:rsidRDefault="00966F5E" w:rsidP="00287120">
      <w:pPr>
        <w:spacing w:before="0" w:after="0" w:line="360" w:lineRule="auto"/>
        <w:ind w:left="540" w:hanging="540"/>
      </w:pPr>
      <w:r>
        <w:t xml:space="preserve">Thornton, C. M., Conway, T. L., Cain, K. L., </w:t>
      </w:r>
      <w:proofErr w:type="spellStart"/>
      <w:r>
        <w:t>Gavand</w:t>
      </w:r>
      <w:proofErr w:type="spellEnd"/>
      <w:r>
        <w:t xml:space="preserve">, K. A., </w:t>
      </w:r>
      <w:proofErr w:type="spellStart"/>
      <w:r>
        <w:t>Saelens</w:t>
      </w:r>
      <w:proofErr w:type="spellEnd"/>
      <w:r>
        <w:t xml:space="preserve">, B. E., Frank, L. D., </w:t>
      </w:r>
      <w:proofErr w:type="spellStart"/>
      <w:r>
        <w:t>Geremia</w:t>
      </w:r>
      <w:proofErr w:type="spellEnd"/>
      <w:r>
        <w:t xml:space="preserve">, C. M., Glanz, K., King, A. C., and </w:t>
      </w:r>
      <w:proofErr w:type="spellStart"/>
      <w:r>
        <w:t>Sallis</w:t>
      </w:r>
      <w:proofErr w:type="spellEnd"/>
      <w:r>
        <w:t>, J. F. (2016). Disparities in pedestrian streetscape environments by income and race/ethnicity</w:t>
      </w:r>
      <w:r w:rsidRPr="007C47C6">
        <w:rPr>
          <w:i/>
        </w:rPr>
        <w:t>. SSM - Population Health</w:t>
      </w:r>
      <w:r>
        <w:t>, 2, 206–216.</w:t>
      </w:r>
    </w:p>
    <w:p w14:paraId="40718C49" w14:textId="77777777" w:rsidR="00966F5E" w:rsidRDefault="00966F5E" w:rsidP="00287120">
      <w:pPr>
        <w:spacing w:before="0" w:after="0" w:line="360" w:lineRule="auto"/>
        <w:ind w:left="540" w:hanging="540"/>
      </w:pPr>
      <w:r>
        <w:t xml:space="preserve">Transportation Choices (2020, June 5). There is no mobility justice without racial justice. </w:t>
      </w:r>
      <w:r w:rsidRPr="007C47C6">
        <w:rPr>
          <w:i/>
        </w:rPr>
        <w:t>Transportation Choices Coalition</w:t>
      </w:r>
      <w:r>
        <w:t xml:space="preserve">. https://transportationchoices.org/there-is-no-mobility-justice-without-racial-justice/. </w:t>
      </w:r>
    </w:p>
    <w:p w14:paraId="5F1FA109" w14:textId="77777777" w:rsidR="00966F5E" w:rsidRDefault="00966F5E" w:rsidP="00287120">
      <w:pPr>
        <w:spacing w:before="0" w:after="0" w:line="360" w:lineRule="auto"/>
        <w:ind w:left="540" w:hanging="540"/>
      </w:pPr>
      <w:proofErr w:type="spellStart"/>
      <w:r>
        <w:t>Ukkusuri</w:t>
      </w:r>
      <w:proofErr w:type="spellEnd"/>
      <w:r>
        <w:t xml:space="preserve">, S., Hasan, S., and Aziz, H. A. (2011). Random parameter model used to explain effects of built-environment characteristics on pedestrian crash frequency. </w:t>
      </w:r>
      <w:r w:rsidRPr="007C47C6">
        <w:rPr>
          <w:i/>
        </w:rPr>
        <w:t>Transportation Research Record: Journal of the Transportation Research Board</w:t>
      </w:r>
      <w:r>
        <w:t>, 2237(1), 98–106.</w:t>
      </w:r>
    </w:p>
    <w:p w14:paraId="5B71D246" w14:textId="77777777" w:rsidR="00966F5E" w:rsidRDefault="00966F5E" w:rsidP="00287120">
      <w:pPr>
        <w:spacing w:before="0" w:after="0" w:line="360" w:lineRule="auto"/>
        <w:ind w:left="540" w:hanging="540"/>
      </w:pPr>
      <w:proofErr w:type="spellStart"/>
      <w:r>
        <w:t>Ukkusuri</w:t>
      </w:r>
      <w:proofErr w:type="spellEnd"/>
      <w:r>
        <w:t xml:space="preserve">, S., Miranda-Moreno, L. F., Ramadurai, G., and Isa-Tavarez, J. (2012). The role of built environment on pedestrian crash frequency. </w:t>
      </w:r>
      <w:r w:rsidRPr="007C47C6">
        <w:rPr>
          <w:i/>
        </w:rPr>
        <w:t>Safety Science</w:t>
      </w:r>
      <w:r>
        <w:t xml:space="preserve">, 50(4), 1141–1151. </w:t>
      </w:r>
    </w:p>
    <w:p w14:paraId="389CB8DF" w14:textId="77777777" w:rsidR="00966F5E" w:rsidRDefault="00966F5E" w:rsidP="00287120">
      <w:pPr>
        <w:spacing w:before="0" w:after="0" w:line="360" w:lineRule="auto"/>
        <w:ind w:left="540" w:hanging="540"/>
      </w:pPr>
      <w:r>
        <w:t>U.S. Census Bureau (2020). Data. Census.Gov. https://www.census.gov/data.</w:t>
      </w:r>
    </w:p>
    <w:p w14:paraId="47FE689C" w14:textId="77777777" w:rsidR="00966F5E" w:rsidRDefault="00966F5E" w:rsidP="00287120">
      <w:pPr>
        <w:spacing w:before="0" w:after="0" w:line="360" w:lineRule="auto"/>
        <w:ind w:left="540" w:hanging="540"/>
      </w:pPr>
      <w:proofErr w:type="spellStart"/>
      <w:r>
        <w:t>Voas</w:t>
      </w:r>
      <w:proofErr w:type="spellEnd"/>
      <w:r>
        <w:t xml:space="preserve">, R. B., </w:t>
      </w:r>
      <w:proofErr w:type="spellStart"/>
      <w:r>
        <w:t>Tippetts</w:t>
      </w:r>
      <w:proofErr w:type="spellEnd"/>
      <w:r>
        <w:t>, A. S., and Fisher, D. A. (2000). Ethnicity and alcohol-related fatalities: 1990 to 1994. Report No. DOT HS 809 068, National Highway Traffic Safety Administration.</w:t>
      </w:r>
    </w:p>
    <w:p w14:paraId="05FFF9D3" w14:textId="77777777" w:rsidR="00966F5E" w:rsidRDefault="00966F5E" w:rsidP="00287120">
      <w:pPr>
        <w:spacing w:before="0" w:after="0" w:line="360" w:lineRule="auto"/>
        <w:ind w:left="540" w:hanging="540"/>
      </w:pPr>
      <w:r>
        <w:t xml:space="preserve">Wang, X., Zheng, X., Zhang, Q., Wang, T., and Shen, D. (2016). Crowdsourcing in ITS: The state of the work and the networking. </w:t>
      </w:r>
      <w:r w:rsidRPr="00FC00AE">
        <w:rPr>
          <w:i/>
        </w:rPr>
        <w:t>IEEE Transactions on Intelligent Transportation Systems</w:t>
      </w:r>
      <w:r>
        <w:t xml:space="preserve">, 17(6), 1596–1605. </w:t>
      </w:r>
    </w:p>
    <w:p w14:paraId="481FBC43" w14:textId="77777777" w:rsidR="00966F5E" w:rsidRDefault="00966F5E" w:rsidP="00287120">
      <w:pPr>
        <w:spacing w:before="0" w:after="0" w:line="360" w:lineRule="auto"/>
        <w:ind w:left="540" w:hanging="540"/>
      </w:pPr>
      <w:proofErr w:type="spellStart"/>
      <w:r>
        <w:t>Wier</w:t>
      </w:r>
      <w:proofErr w:type="spellEnd"/>
      <w:r>
        <w:t xml:space="preserve">, M., Weintraub, J., Humphreys, E. H., </w:t>
      </w:r>
      <w:proofErr w:type="spellStart"/>
      <w:r>
        <w:t>Seto</w:t>
      </w:r>
      <w:proofErr w:type="spellEnd"/>
      <w:r>
        <w:t xml:space="preserve">, E., and Bhatia, R. (2009). An area-level model of vehicle-pedestrian injury collisions with implications for land use and transportation planning. </w:t>
      </w:r>
      <w:r w:rsidRPr="00FC00AE">
        <w:rPr>
          <w:i/>
        </w:rPr>
        <w:t>Accident Analysis and Prevention</w:t>
      </w:r>
      <w:r>
        <w:t>, 41(1), 137–145.</w:t>
      </w:r>
    </w:p>
    <w:p w14:paraId="0486416B" w14:textId="77777777" w:rsidR="00966F5E" w:rsidRDefault="00966F5E" w:rsidP="00287120">
      <w:pPr>
        <w:spacing w:before="0" w:after="0" w:line="360" w:lineRule="auto"/>
        <w:ind w:left="540" w:hanging="540"/>
      </w:pPr>
      <w:r>
        <w:t xml:space="preserve">Wontorczyk, A., and Gaca, S. (2021). Study on the relationship between drivers’ personal characters and non-standard traffic signs comprehensibility. </w:t>
      </w:r>
      <w:r w:rsidRPr="00FC00AE">
        <w:rPr>
          <w:i/>
        </w:rPr>
        <w:t>International Journal of Environmental Research and Public Health</w:t>
      </w:r>
      <w:r>
        <w:t>, 18(5), 2678.</w:t>
      </w:r>
    </w:p>
    <w:p w14:paraId="2D8848A4" w14:textId="77777777" w:rsidR="00966F5E" w:rsidRDefault="00966F5E" w:rsidP="00287120">
      <w:pPr>
        <w:spacing w:before="0" w:after="0" w:line="360" w:lineRule="auto"/>
        <w:ind w:left="540" w:hanging="540"/>
      </w:pPr>
      <w:r>
        <w:t xml:space="preserve">Wu, J., Song, Y., Liang, J., Wang, Q., and Lin, J. (2018). Impact of mixed land use on housing values in high-density areas: Evidence from Beijing. </w:t>
      </w:r>
      <w:r w:rsidRPr="00FC00AE">
        <w:rPr>
          <w:i/>
        </w:rPr>
        <w:t>Journal of Urban Planning and Development</w:t>
      </w:r>
      <w:r>
        <w:t>, 144(1), 05017019.</w:t>
      </w:r>
    </w:p>
    <w:p w14:paraId="605779D8" w14:textId="77777777" w:rsidR="00966F5E" w:rsidRDefault="00966F5E" w:rsidP="00287120">
      <w:pPr>
        <w:spacing w:before="0" w:after="0" w:line="360" w:lineRule="auto"/>
        <w:ind w:left="540" w:hanging="540"/>
      </w:pPr>
      <w:r>
        <w:lastRenderedPageBreak/>
        <w:t xml:space="preserve">Yu, C.-Y., Zhu, X., and Lee, C. (2022). Income and racial disparity and the role of the built environment in pedestrian injuries. </w:t>
      </w:r>
      <w:r w:rsidRPr="00FC00AE">
        <w:rPr>
          <w:i/>
        </w:rPr>
        <w:t>Journal of Planning Education and Research</w:t>
      </w:r>
      <w:r>
        <w:t>, 42(2), 136–149.</w:t>
      </w:r>
    </w:p>
    <w:p w14:paraId="16EA2B23" w14:textId="77777777" w:rsidR="00966F5E" w:rsidRDefault="00966F5E" w:rsidP="00287120">
      <w:pPr>
        <w:spacing w:before="0" w:after="0" w:line="360" w:lineRule="auto"/>
        <w:ind w:left="540" w:hanging="540"/>
      </w:pPr>
      <w:r>
        <w:t xml:space="preserve">Zhu, D., Sze, N., and Bai, L. (2021). Roles of personal and environmental factors in the red light running propensity of pedestrian: Case study at the urban crosswalks. </w:t>
      </w:r>
      <w:r w:rsidRPr="00FC00AE">
        <w:rPr>
          <w:i/>
        </w:rPr>
        <w:t>Transportation Research Part F</w:t>
      </w:r>
      <w:r>
        <w:t>, 76, 47–58.</w:t>
      </w:r>
    </w:p>
    <w:p w14:paraId="487D7AE5" w14:textId="60A62D6D" w:rsidR="008C00D5" w:rsidRPr="0082167E" w:rsidRDefault="00966F5E" w:rsidP="008F1581">
      <w:pPr>
        <w:spacing w:before="0" w:after="0" w:line="360" w:lineRule="auto"/>
        <w:ind w:left="540" w:hanging="540"/>
      </w:pPr>
      <w:proofErr w:type="spellStart"/>
      <w:r>
        <w:t>Ziakopoulos</w:t>
      </w:r>
      <w:proofErr w:type="spellEnd"/>
      <w:r>
        <w:t xml:space="preserve">, A., and Yannis, G. (2020). A review of spatial approaches in road safety. </w:t>
      </w:r>
      <w:r w:rsidRPr="00FC00AE">
        <w:rPr>
          <w:i/>
        </w:rPr>
        <w:t>Accident Analysis and Prevention</w:t>
      </w:r>
      <w:r>
        <w:t>, 135, 105323.</w:t>
      </w:r>
    </w:p>
    <w:sectPr w:rsidR="008C00D5" w:rsidRPr="0082167E" w:rsidSect="005C3A4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71C6" w14:textId="77777777" w:rsidR="00180C44" w:rsidRDefault="00180C44">
      <w:pPr>
        <w:spacing w:before="0" w:after="0" w:line="240" w:lineRule="auto"/>
      </w:pPr>
      <w:r>
        <w:separator/>
      </w:r>
    </w:p>
  </w:endnote>
  <w:endnote w:type="continuationSeparator" w:id="0">
    <w:p w14:paraId="6597D125" w14:textId="77777777" w:rsidR="00180C44" w:rsidRDefault="00180C44">
      <w:pPr>
        <w:spacing w:before="0" w:after="0" w:line="240" w:lineRule="auto"/>
      </w:pPr>
      <w:r>
        <w:continuationSeparator/>
      </w:r>
    </w:p>
  </w:endnote>
  <w:endnote w:type="continuationNotice" w:id="1">
    <w:p w14:paraId="756C7881" w14:textId="77777777" w:rsidR="00180C44" w:rsidRDefault="00180C4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4F3" w14:textId="4C802391" w:rsidR="00180C44" w:rsidRDefault="00180C44" w:rsidP="0082167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574381"/>
      <w:docPartObj>
        <w:docPartGallery w:val="Page Numbers (Bottom of Page)"/>
        <w:docPartUnique/>
      </w:docPartObj>
    </w:sdtPr>
    <w:sdtEndPr>
      <w:rPr>
        <w:noProof/>
      </w:rPr>
    </w:sdtEndPr>
    <w:sdtContent>
      <w:p w14:paraId="37373FF3" w14:textId="17426B7F" w:rsidR="00180C44" w:rsidRDefault="00180C44" w:rsidP="00821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08462" w14:textId="77777777" w:rsidR="00180C44" w:rsidRDefault="00180C44">
      <w:pPr>
        <w:spacing w:before="0" w:after="0" w:line="240" w:lineRule="auto"/>
      </w:pPr>
      <w:r>
        <w:separator/>
      </w:r>
    </w:p>
  </w:footnote>
  <w:footnote w:type="continuationSeparator" w:id="0">
    <w:p w14:paraId="63252077" w14:textId="77777777" w:rsidR="00180C44" w:rsidRDefault="00180C44">
      <w:pPr>
        <w:spacing w:before="0" w:after="0" w:line="240" w:lineRule="auto"/>
      </w:pPr>
      <w:r>
        <w:continuationSeparator/>
      </w:r>
    </w:p>
  </w:footnote>
  <w:footnote w:type="continuationNotice" w:id="1">
    <w:p w14:paraId="2819E77E" w14:textId="77777777" w:rsidR="00180C44" w:rsidRDefault="00180C44">
      <w:pPr>
        <w:spacing w:before="0" w:after="0" w:line="240" w:lineRule="auto"/>
      </w:pPr>
    </w:p>
  </w:footnote>
  <w:footnote w:id="2">
    <w:p w14:paraId="6F47BD22" w14:textId="28103CA4" w:rsidR="00180C44" w:rsidRDefault="00180C44">
      <w:pPr>
        <w:pStyle w:val="FootnoteText"/>
      </w:pPr>
      <w:r w:rsidRPr="00BE6CA0">
        <w:rPr>
          <w:rStyle w:val="FootnoteReference"/>
        </w:rPr>
        <w:footnoteRef/>
      </w:r>
      <w:r>
        <w:t xml:space="preserve"> To be sure, we are not suggesting here that individual responsibility and actions are not important. Indeed, taking away individual responsibility and putting the onus squarely on “cultural” issues invites stereotyping bias, which is anything but our intent. The point we are making is that, as scholars and fair-minded citizens, moving us toward an equitable and just society requires that we take a broader viewpoint of human behaviors, including taking account of historical and explicit racism, rather than putting the onus squarely on the individual.  </w:t>
      </w:r>
    </w:p>
  </w:footnote>
  <w:footnote w:id="3">
    <w:p w14:paraId="65CA3643" w14:textId="55CFBA00" w:rsidR="00180C44" w:rsidRDefault="00180C44" w:rsidP="00885A1B">
      <w:pPr>
        <w:pStyle w:val="FootnoteText"/>
      </w:pPr>
      <w:r w:rsidRPr="00BE6CA0">
        <w:rPr>
          <w:rStyle w:val="FootnoteReference"/>
        </w:rPr>
        <w:footnoteRef/>
      </w:r>
      <w:r>
        <w:t xml:space="preserve"> </w:t>
      </w:r>
      <w:r w:rsidRPr="00D616EC">
        <w:t>EJ areas are those with high proportions of minority and low-income households</w:t>
      </w:r>
      <w:r>
        <w:t xml:space="preserve"> (</w:t>
      </w:r>
      <w:r w:rsidRPr="00D616EC">
        <w:t>Cottrill and Thakuriah</w:t>
      </w:r>
      <w:r>
        <w:t xml:space="preserve">, </w:t>
      </w:r>
      <w:r w:rsidRPr="00D616EC">
        <w:t>2010</w:t>
      </w:r>
      <w:r>
        <w:t>).</w:t>
      </w:r>
    </w:p>
  </w:footnote>
  <w:footnote w:id="4">
    <w:p w14:paraId="3D666443" w14:textId="77777777" w:rsidR="00180C44" w:rsidRPr="00FC00AE" w:rsidRDefault="00180C44" w:rsidP="00FC00AE">
      <w:pPr>
        <w:keepLines/>
        <w:spacing w:before="0" w:after="0" w:line="240" w:lineRule="auto"/>
        <w:rPr>
          <w:sz w:val="20"/>
          <w:szCs w:val="20"/>
        </w:rPr>
      </w:pPr>
      <w:r w:rsidRPr="00A40C0C">
        <w:rPr>
          <w:rStyle w:val="FootnoteReference"/>
        </w:rPr>
        <w:footnoteRef/>
      </w:r>
      <w:r w:rsidRPr="00A40C0C">
        <w:t xml:space="preserve"> </w:t>
      </w:r>
      <w:r w:rsidRPr="00FC00AE">
        <w:rPr>
          <w:sz w:val="20"/>
          <w:szCs w:val="20"/>
        </w:rPr>
        <w:t xml:space="preserve">We should note here that the ADVMT and ADT figures from TxDOT include travel on freeways; thus, the higher values for these in </w:t>
      </w:r>
      <w:r w:rsidRPr="00FC00AE">
        <w:rPr>
          <w:i/>
          <w:sz w:val="20"/>
          <w:szCs w:val="20"/>
        </w:rPr>
        <w:t>MB</w:t>
      </w:r>
      <w:r w:rsidRPr="00FC00AE">
        <w:rPr>
          <w:sz w:val="20"/>
          <w:szCs w:val="20"/>
        </w:rPr>
        <w:t xml:space="preserve"> CBGs in Table 2 should not be a surprise,</w:t>
      </w:r>
      <w:bookmarkStart w:id="37" w:name="_Hlk109858345"/>
      <w:r w:rsidRPr="00FC00AE">
        <w:rPr>
          <w:sz w:val="20"/>
          <w:szCs w:val="20"/>
        </w:rPr>
        <w:t xml:space="preserve"> because freeways were built through more of Black neighborhoods in urban areas (Archer, 2020, and Boehmer et al., 2013</w:t>
      </w:r>
      <w:bookmarkEnd w:id="37"/>
      <w:r w:rsidRPr="00FC00AE">
        <w:rPr>
          <w:sz w:val="20"/>
          <w:szCs w:val="20"/>
        </w:rPr>
        <w:t xml:space="preserve">; see also the higher % of freeways in MB CBGs in Table 2). But pedestrian travel is illegal on freeways. As a result, VMT and ADT would not be good exposure measures for pedestrian crash risk. Indeed, the VMT and ADT variables did not turn out to be statistically significant in our empirical specification. However, car ownership levels and commuting shares appeared to be good controls for exposure not only for pedestrian volumes, but also motorized traffic volumes in our empirical analysis.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8C58" w14:textId="77777777" w:rsidR="00180C44" w:rsidRDefault="00180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510F"/>
    <w:multiLevelType w:val="multilevel"/>
    <w:tmpl w:val="FF7A92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E76C38"/>
    <w:multiLevelType w:val="hybridMultilevel"/>
    <w:tmpl w:val="B1DCB910"/>
    <w:lvl w:ilvl="0" w:tplc="0302E5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073A7"/>
    <w:multiLevelType w:val="hybridMultilevel"/>
    <w:tmpl w:val="2E34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236B3"/>
    <w:multiLevelType w:val="hybridMultilevel"/>
    <w:tmpl w:val="4C7CB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1294B"/>
    <w:multiLevelType w:val="hybridMultilevel"/>
    <w:tmpl w:val="9B50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9319E"/>
    <w:multiLevelType w:val="multilevel"/>
    <w:tmpl w:val="4F5E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05672"/>
    <w:multiLevelType w:val="hybridMultilevel"/>
    <w:tmpl w:val="597A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F79A9"/>
    <w:multiLevelType w:val="multilevel"/>
    <w:tmpl w:val="9ED6E966"/>
    <w:lvl w:ilvl="0">
      <w:start w:val="1"/>
      <w:numFmt w:val="decimal"/>
      <w:pStyle w:val="Heading1"/>
      <w:lvlText w:val="%1."/>
      <w:lvlJc w:val="left"/>
      <w:pPr>
        <w:ind w:left="720" w:hanging="360"/>
      </w:pPr>
    </w:lvl>
    <w:lvl w:ilvl="1">
      <w:start w:val="1"/>
      <w:numFmt w:val="decimal"/>
      <w:pStyle w:val="Heading2"/>
      <w:lvlText w:val="%1.%2."/>
      <w:lvlJc w:val="left"/>
      <w:pPr>
        <w:ind w:left="297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7"/>
  </w:num>
  <w:num w:numId="2">
    <w:abstractNumId w:val="0"/>
  </w:num>
  <w:num w:numId="3">
    <w:abstractNumId w:val="2"/>
  </w:num>
  <w:num w:numId="4">
    <w:abstractNumId w:val="1"/>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3MzE1MjU3MzQ2MrNQ0lEKTi0uzszPAykwNKkFADS8I9ktAAAA"/>
  </w:docVars>
  <w:rsids>
    <w:rsidRoot w:val="00536120"/>
    <w:rsid w:val="00001C79"/>
    <w:rsid w:val="00002706"/>
    <w:rsid w:val="00002EF7"/>
    <w:rsid w:val="00012137"/>
    <w:rsid w:val="00014592"/>
    <w:rsid w:val="00017DD6"/>
    <w:rsid w:val="00022575"/>
    <w:rsid w:val="000311FB"/>
    <w:rsid w:val="00031A83"/>
    <w:rsid w:val="00040107"/>
    <w:rsid w:val="00040A0F"/>
    <w:rsid w:val="00040A1A"/>
    <w:rsid w:val="000430C9"/>
    <w:rsid w:val="000465C2"/>
    <w:rsid w:val="00052E88"/>
    <w:rsid w:val="00055C53"/>
    <w:rsid w:val="00062815"/>
    <w:rsid w:val="00075535"/>
    <w:rsid w:val="00080B50"/>
    <w:rsid w:val="0008104B"/>
    <w:rsid w:val="00090D9F"/>
    <w:rsid w:val="00092174"/>
    <w:rsid w:val="0009526F"/>
    <w:rsid w:val="000A03B6"/>
    <w:rsid w:val="000A1A04"/>
    <w:rsid w:val="000A35B4"/>
    <w:rsid w:val="000A500E"/>
    <w:rsid w:val="000A5E5D"/>
    <w:rsid w:val="000B097B"/>
    <w:rsid w:val="000B2277"/>
    <w:rsid w:val="000C05EA"/>
    <w:rsid w:val="000C0AF7"/>
    <w:rsid w:val="000C0B65"/>
    <w:rsid w:val="000D3AE0"/>
    <w:rsid w:val="000D4677"/>
    <w:rsid w:val="000D6465"/>
    <w:rsid w:val="000E006D"/>
    <w:rsid w:val="000E2EA1"/>
    <w:rsid w:val="000E3967"/>
    <w:rsid w:val="000E6413"/>
    <w:rsid w:val="000F1918"/>
    <w:rsid w:val="000F30B6"/>
    <w:rsid w:val="000F5449"/>
    <w:rsid w:val="00101294"/>
    <w:rsid w:val="001028F4"/>
    <w:rsid w:val="00103286"/>
    <w:rsid w:val="00107408"/>
    <w:rsid w:val="0011118E"/>
    <w:rsid w:val="001130F8"/>
    <w:rsid w:val="0011402A"/>
    <w:rsid w:val="00114E05"/>
    <w:rsid w:val="001154FC"/>
    <w:rsid w:val="0011552A"/>
    <w:rsid w:val="0012359E"/>
    <w:rsid w:val="00125553"/>
    <w:rsid w:val="00126D1A"/>
    <w:rsid w:val="00133BF4"/>
    <w:rsid w:val="0014196D"/>
    <w:rsid w:val="00142419"/>
    <w:rsid w:val="00143EE6"/>
    <w:rsid w:val="00144975"/>
    <w:rsid w:val="001512C8"/>
    <w:rsid w:val="001562E1"/>
    <w:rsid w:val="00156CA0"/>
    <w:rsid w:val="00160996"/>
    <w:rsid w:val="00163345"/>
    <w:rsid w:val="00166A2D"/>
    <w:rsid w:val="00166A74"/>
    <w:rsid w:val="00171A12"/>
    <w:rsid w:val="00173BEF"/>
    <w:rsid w:val="00174A44"/>
    <w:rsid w:val="00176044"/>
    <w:rsid w:val="00177962"/>
    <w:rsid w:val="00180C44"/>
    <w:rsid w:val="0018273D"/>
    <w:rsid w:val="00183D6C"/>
    <w:rsid w:val="0018543C"/>
    <w:rsid w:val="001865EB"/>
    <w:rsid w:val="00187612"/>
    <w:rsid w:val="00190E98"/>
    <w:rsid w:val="001936E3"/>
    <w:rsid w:val="001942CC"/>
    <w:rsid w:val="0019711A"/>
    <w:rsid w:val="001A0976"/>
    <w:rsid w:val="001B2E46"/>
    <w:rsid w:val="001B78B7"/>
    <w:rsid w:val="001C3103"/>
    <w:rsid w:val="001D01F0"/>
    <w:rsid w:val="001D06EE"/>
    <w:rsid w:val="001D2BCD"/>
    <w:rsid w:val="001D50D2"/>
    <w:rsid w:val="001D7707"/>
    <w:rsid w:val="001D7941"/>
    <w:rsid w:val="001E124C"/>
    <w:rsid w:val="001E2414"/>
    <w:rsid w:val="001E4515"/>
    <w:rsid w:val="001F3CDF"/>
    <w:rsid w:val="001F49BA"/>
    <w:rsid w:val="001F4E51"/>
    <w:rsid w:val="001F7556"/>
    <w:rsid w:val="00201AB9"/>
    <w:rsid w:val="0020374B"/>
    <w:rsid w:val="0020653B"/>
    <w:rsid w:val="00210977"/>
    <w:rsid w:val="0021108C"/>
    <w:rsid w:val="00211AE1"/>
    <w:rsid w:val="002126CA"/>
    <w:rsid w:val="002178AB"/>
    <w:rsid w:val="00217D81"/>
    <w:rsid w:val="002221B2"/>
    <w:rsid w:val="00224D3D"/>
    <w:rsid w:val="002319BC"/>
    <w:rsid w:val="0023300F"/>
    <w:rsid w:val="002336E5"/>
    <w:rsid w:val="00233EE1"/>
    <w:rsid w:val="00236B88"/>
    <w:rsid w:val="00240D3C"/>
    <w:rsid w:val="00250405"/>
    <w:rsid w:val="00250F9C"/>
    <w:rsid w:val="00255D83"/>
    <w:rsid w:val="00257755"/>
    <w:rsid w:val="002601B4"/>
    <w:rsid w:val="0026030D"/>
    <w:rsid w:val="00263EF9"/>
    <w:rsid w:val="00276B43"/>
    <w:rsid w:val="00277C73"/>
    <w:rsid w:val="00280B8E"/>
    <w:rsid w:val="00280EF4"/>
    <w:rsid w:val="002840DF"/>
    <w:rsid w:val="00287120"/>
    <w:rsid w:val="0029025E"/>
    <w:rsid w:val="002912AA"/>
    <w:rsid w:val="0029384D"/>
    <w:rsid w:val="002950E5"/>
    <w:rsid w:val="0029724B"/>
    <w:rsid w:val="002A2117"/>
    <w:rsid w:val="002A64E2"/>
    <w:rsid w:val="002B052B"/>
    <w:rsid w:val="002B1F22"/>
    <w:rsid w:val="002B24E4"/>
    <w:rsid w:val="002B3A82"/>
    <w:rsid w:val="002B4BA6"/>
    <w:rsid w:val="002C3368"/>
    <w:rsid w:val="002C4686"/>
    <w:rsid w:val="002C619E"/>
    <w:rsid w:val="002C6FDC"/>
    <w:rsid w:val="002D032A"/>
    <w:rsid w:val="002D1F63"/>
    <w:rsid w:val="002D2BD2"/>
    <w:rsid w:val="002D746F"/>
    <w:rsid w:val="002E1F85"/>
    <w:rsid w:val="002E26BA"/>
    <w:rsid w:val="002E3091"/>
    <w:rsid w:val="002E4FEB"/>
    <w:rsid w:val="002F2715"/>
    <w:rsid w:val="002F7902"/>
    <w:rsid w:val="00305BA2"/>
    <w:rsid w:val="00307B66"/>
    <w:rsid w:val="0031086A"/>
    <w:rsid w:val="0031149B"/>
    <w:rsid w:val="00311D8A"/>
    <w:rsid w:val="0031234D"/>
    <w:rsid w:val="003156FB"/>
    <w:rsid w:val="0032030F"/>
    <w:rsid w:val="00321C82"/>
    <w:rsid w:val="00327B56"/>
    <w:rsid w:val="00327E5A"/>
    <w:rsid w:val="003332B5"/>
    <w:rsid w:val="00342D93"/>
    <w:rsid w:val="00343B0D"/>
    <w:rsid w:val="003468A0"/>
    <w:rsid w:val="00353C49"/>
    <w:rsid w:val="00354213"/>
    <w:rsid w:val="0035479D"/>
    <w:rsid w:val="0035516A"/>
    <w:rsid w:val="00356416"/>
    <w:rsid w:val="003577CF"/>
    <w:rsid w:val="0036725F"/>
    <w:rsid w:val="003702B0"/>
    <w:rsid w:val="003775A3"/>
    <w:rsid w:val="00381319"/>
    <w:rsid w:val="00381604"/>
    <w:rsid w:val="00381E3E"/>
    <w:rsid w:val="00383804"/>
    <w:rsid w:val="00383AF0"/>
    <w:rsid w:val="003848D4"/>
    <w:rsid w:val="003856B4"/>
    <w:rsid w:val="00386CAC"/>
    <w:rsid w:val="0039206B"/>
    <w:rsid w:val="00395DD3"/>
    <w:rsid w:val="00396352"/>
    <w:rsid w:val="003976E0"/>
    <w:rsid w:val="003976E8"/>
    <w:rsid w:val="003A1A34"/>
    <w:rsid w:val="003B0AEF"/>
    <w:rsid w:val="003B28BB"/>
    <w:rsid w:val="003B32E5"/>
    <w:rsid w:val="003B4361"/>
    <w:rsid w:val="003B46B5"/>
    <w:rsid w:val="003C127E"/>
    <w:rsid w:val="003C2A79"/>
    <w:rsid w:val="003C3C83"/>
    <w:rsid w:val="003C5D5E"/>
    <w:rsid w:val="003D2EB8"/>
    <w:rsid w:val="003D43A1"/>
    <w:rsid w:val="003E2C91"/>
    <w:rsid w:val="003F06BD"/>
    <w:rsid w:val="003F1576"/>
    <w:rsid w:val="003F53BF"/>
    <w:rsid w:val="00402F93"/>
    <w:rsid w:val="004119A6"/>
    <w:rsid w:val="004164F6"/>
    <w:rsid w:val="00423FC9"/>
    <w:rsid w:val="004307F9"/>
    <w:rsid w:val="00432BEC"/>
    <w:rsid w:val="00443681"/>
    <w:rsid w:val="004449FF"/>
    <w:rsid w:val="00445A14"/>
    <w:rsid w:val="004503C1"/>
    <w:rsid w:val="004518FC"/>
    <w:rsid w:val="00451BBC"/>
    <w:rsid w:val="00455136"/>
    <w:rsid w:val="00455C5F"/>
    <w:rsid w:val="00466601"/>
    <w:rsid w:val="00466F34"/>
    <w:rsid w:val="00473BA6"/>
    <w:rsid w:val="00482E5C"/>
    <w:rsid w:val="00483017"/>
    <w:rsid w:val="00484E68"/>
    <w:rsid w:val="00485C93"/>
    <w:rsid w:val="00487E7A"/>
    <w:rsid w:val="00495DDE"/>
    <w:rsid w:val="00495E10"/>
    <w:rsid w:val="00496D96"/>
    <w:rsid w:val="004A02EB"/>
    <w:rsid w:val="004A6612"/>
    <w:rsid w:val="004B3F70"/>
    <w:rsid w:val="004B4C06"/>
    <w:rsid w:val="004C10E9"/>
    <w:rsid w:val="004C12F4"/>
    <w:rsid w:val="004C1A35"/>
    <w:rsid w:val="004C4C46"/>
    <w:rsid w:val="004C6FF8"/>
    <w:rsid w:val="004D0B0F"/>
    <w:rsid w:val="004D0E0C"/>
    <w:rsid w:val="004D3F65"/>
    <w:rsid w:val="004D44A4"/>
    <w:rsid w:val="004D4C2E"/>
    <w:rsid w:val="004D4EFA"/>
    <w:rsid w:val="004D5148"/>
    <w:rsid w:val="004E0BD1"/>
    <w:rsid w:val="004E14AA"/>
    <w:rsid w:val="004E1503"/>
    <w:rsid w:val="004E7C28"/>
    <w:rsid w:val="004F009E"/>
    <w:rsid w:val="004F159F"/>
    <w:rsid w:val="004F37F6"/>
    <w:rsid w:val="004F4427"/>
    <w:rsid w:val="004F65A4"/>
    <w:rsid w:val="0050333B"/>
    <w:rsid w:val="00503ED9"/>
    <w:rsid w:val="00510C46"/>
    <w:rsid w:val="00510F3A"/>
    <w:rsid w:val="00511052"/>
    <w:rsid w:val="0051143F"/>
    <w:rsid w:val="005118D4"/>
    <w:rsid w:val="0051421E"/>
    <w:rsid w:val="005153D1"/>
    <w:rsid w:val="0052252A"/>
    <w:rsid w:val="005228A1"/>
    <w:rsid w:val="00531C63"/>
    <w:rsid w:val="005349A7"/>
    <w:rsid w:val="00536120"/>
    <w:rsid w:val="00541979"/>
    <w:rsid w:val="0054241D"/>
    <w:rsid w:val="00546030"/>
    <w:rsid w:val="0054789C"/>
    <w:rsid w:val="00550D8E"/>
    <w:rsid w:val="005667FB"/>
    <w:rsid w:val="00573BF3"/>
    <w:rsid w:val="005750EF"/>
    <w:rsid w:val="005770A2"/>
    <w:rsid w:val="005810B3"/>
    <w:rsid w:val="005824F3"/>
    <w:rsid w:val="005927FF"/>
    <w:rsid w:val="005964FB"/>
    <w:rsid w:val="005A4E8E"/>
    <w:rsid w:val="005B3E77"/>
    <w:rsid w:val="005B72E3"/>
    <w:rsid w:val="005C0331"/>
    <w:rsid w:val="005C1CD3"/>
    <w:rsid w:val="005C2B03"/>
    <w:rsid w:val="005C2F6F"/>
    <w:rsid w:val="005C3A48"/>
    <w:rsid w:val="005C7B3F"/>
    <w:rsid w:val="005C7FAA"/>
    <w:rsid w:val="005E0EFD"/>
    <w:rsid w:val="005E5579"/>
    <w:rsid w:val="005E588A"/>
    <w:rsid w:val="005F068E"/>
    <w:rsid w:val="005F1CFF"/>
    <w:rsid w:val="005F3EE1"/>
    <w:rsid w:val="005F4994"/>
    <w:rsid w:val="006055F2"/>
    <w:rsid w:val="00607753"/>
    <w:rsid w:val="00612BB3"/>
    <w:rsid w:val="00612E6A"/>
    <w:rsid w:val="006140DF"/>
    <w:rsid w:val="006204BD"/>
    <w:rsid w:val="00625932"/>
    <w:rsid w:val="00626211"/>
    <w:rsid w:val="006276FE"/>
    <w:rsid w:val="006323FF"/>
    <w:rsid w:val="00633CD2"/>
    <w:rsid w:val="00633EA2"/>
    <w:rsid w:val="00636FB3"/>
    <w:rsid w:val="006373CF"/>
    <w:rsid w:val="00643D69"/>
    <w:rsid w:val="00644505"/>
    <w:rsid w:val="00646191"/>
    <w:rsid w:val="00655815"/>
    <w:rsid w:val="00656510"/>
    <w:rsid w:val="006574CD"/>
    <w:rsid w:val="00665826"/>
    <w:rsid w:val="00671618"/>
    <w:rsid w:val="00673A6B"/>
    <w:rsid w:val="00674B0F"/>
    <w:rsid w:val="006810D7"/>
    <w:rsid w:val="00681547"/>
    <w:rsid w:val="00681A7F"/>
    <w:rsid w:val="00682038"/>
    <w:rsid w:val="00683F04"/>
    <w:rsid w:val="00685B94"/>
    <w:rsid w:val="00694D91"/>
    <w:rsid w:val="00695242"/>
    <w:rsid w:val="00696DD0"/>
    <w:rsid w:val="006A04BC"/>
    <w:rsid w:val="006A1D9E"/>
    <w:rsid w:val="006A644E"/>
    <w:rsid w:val="006A653B"/>
    <w:rsid w:val="006B0BE0"/>
    <w:rsid w:val="006B25A7"/>
    <w:rsid w:val="006B3DFB"/>
    <w:rsid w:val="006B3E12"/>
    <w:rsid w:val="006C3943"/>
    <w:rsid w:val="006C502E"/>
    <w:rsid w:val="006C5803"/>
    <w:rsid w:val="006D61CD"/>
    <w:rsid w:val="006D67DE"/>
    <w:rsid w:val="006E2CA8"/>
    <w:rsid w:val="006E37ED"/>
    <w:rsid w:val="006E70E5"/>
    <w:rsid w:val="006F0A57"/>
    <w:rsid w:val="006F211B"/>
    <w:rsid w:val="00702A27"/>
    <w:rsid w:val="00703A21"/>
    <w:rsid w:val="00704E3C"/>
    <w:rsid w:val="00714F90"/>
    <w:rsid w:val="0071600B"/>
    <w:rsid w:val="007206E7"/>
    <w:rsid w:val="0072340C"/>
    <w:rsid w:val="00723504"/>
    <w:rsid w:val="00723C30"/>
    <w:rsid w:val="00735D62"/>
    <w:rsid w:val="00740AF6"/>
    <w:rsid w:val="00741BEB"/>
    <w:rsid w:val="00742528"/>
    <w:rsid w:val="00742530"/>
    <w:rsid w:val="00743A98"/>
    <w:rsid w:val="00745192"/>
    <w:rsid w:val="0075162A"/>
    <w:rsid w:val="007533B7"/>
    <w:rsid w:val="00754E53"/>
    <w:rsid w:val="00756C75"/>
    <w:rsid w:val="0076050E"/>
    <w:rsid w:val="007632A9"/>
    <w:rsid w:val="00763B15"/>
    <w:rsid w:val="007667C2"/>
    <w:rsid w:val="007703FD"/>
    <w:rsid w:val="00770A92"/>
    <w:rsid w:val="0077306B"/>
    <w:rsid w:val="00774887"/>
    <w:rsid w:val="00781480"/>
    <w:rsid w:val="00781835"/>
    <w:rsid w:val="007853BC"/>
    <w:rsid w:val="00786A15"/>
    <w:rsid w:val="007910C4"/>
    <w:rsid w:val="007971B5"/>
    <w:rsid w:val="00797D80"/>
    <w:rsid w:val="007A2D0F"/>
    <w:rsid w:val="007A33A5"/>
    <w:rsid w:val="007A4C47"/>
    <w:rsid w:val="007A5615"/>
    <w:rsid w:val="007A5B17"/>
    <w:rsid w:val="007A67F4"/>
    <w:rsid w:val="007B0B55"/>
    <w:rsid w:val="007B34BE"/>
    <w:rsid w:val="007B5D41"/>
    <w:rsid w:val="007B6473"/>
    <w:rsid w:val="007C0B8B"/>
    <w:rsid w:val="007C23D6"/>
    <w:rsid w:val="007C328B"/>
    <w:rsid w:val="007C47C6"/>
    <w:rsid w:val="007C7A87"/>
    <w:rsid w:val="007D0266"/>
    <w:rsid w:val="007D5556"/>
    <w:rsid w:val="007E2999"/>
    <w:rsid w:val="007E65AC"/>
    <w:rsid w:val="007F04BF"/>
    <w:rsid w:val="007F31C3"/>
    <w:rsid w:val="007F551C"/>
    <w:rsid w:val="0080109C"/>
    <w:rsid w:val="00802823"/>
    <w:rsid w:val="00802935"/>
    <w:rsid w:val="00803D0F"/>
    <w:rsid w:val="00805C06"/>
    <w:rsid w:val="008060A8"/>
    <w:rsid w:val="00806E49"/>
    <w:rsid w:val="00810391"/>
    <w:rsid w:val="00810B04"/>
    <w:rsid w:val="00810CDF"/>
    <w:rsid w:val="00811D2B"/>
    <w:rsid w:val="00816D34"/>
    <w:rsid w:val="0081748A"/>
    <w:rsid w:val="00817DA0"/>
    <w:rsid w:val="0082167E"/>
    <w:rsid w:val="00823D3F"/>
    <w:rsid w:val="008250B7"/>
    <w:rsid w:val="008279FC"/>
    <w:rsid w:val="00827A36"/>
    <w:rsid w:val="00831251"/>
    <w:rsid w:val="00832614"/>
    <w:rsid w:val="00832E90"/>
    <w:rsid w:val="00836224"/>
    <w:rsid w:val="00840FF0"/>
    <w:rsid w:val="00841007"/>
    <w:rsid w:val="00841ED2"/>
    <w:rsid w:val="00842C4E"/>
    <w:rsid w:val="00843EA1"/>
    <w:rsid w:val="00844EEC"/>
    <w:rsid w:val="00845B4E"/>
    <w:rsid w:val="008466D1"/>
    <w:rsid w:val="00846D33"/>
    <w:rsid w:val="008524F9"/>
    <w:rsid w:val="0085627F"/>
    <w:rsid w:val="00861B13"/>
    <w:rsid w:val="00870AC1"/>
    <w:rsid w:val="00870E34"/>
    <w:rsid w:val="00871371"/>
    <w:rsid w:val="008779E0"/>
    <w:rsid w:val="00880623"/>
    <w:rsid w:val="00880E0C"/>
    <w:rsid w:val="00882B07"/>
    <w:rsid w:val="00883370"/>
    <w:rsid w:val="00884D61"/>
    <w:rsid w:val="00885A1B"/>
    <w:rsid w:val="00890FA3"/>
    <w:rsid w:val="008968EC"/>
    <w:rsid w:val="008A16C1"/>
    <w:rsid w:val="008B1235"/>
    <w:rsid w:val="008B2EA3"/>
    <w:rsid w:val="008B60C1"/>
    <w:rsid w:val="008C00D5"/>
    <w:rsid w:val="008C0AEA"/>
    <w:rsid w:val="008C306F"/>
    <w:rsid w:val="008D053C"/>
    <w:rsid w:val="008D305D"/>
    <w:rsid w:val="008D4B40"/>
    <w:rsid w:val="008D5D3E"/>
    <w:rsid w:val="008D6D6A"/>
    <w:rsid w:val="008D7772"/>
    <w:rsid w:val="008E139A"/>
    <w:rsid w:val="008E5671"/>
    <w:rsid w:val="008F08ED"/>
    <w:rsid w:val="008F1581"/>
    <w:rsid w:val="008F20CA"/>
    <w:rsid w:val="008F2820"/>
    <w:rsid w:val="009010DC"/>
    <w:rsid w:val="00901A0A"/>
    <w:rsid w:val="00904C5C"/>
    <w:rsid w:val="00906285"/>
    <w:rsid w:val="00913102"/>
    <w:rsid w:val="00914825"/>
    <w:rsid w:val="00917AAA"/>
    <w:rsid w:val="009227BC"/>
    <w:rsid w:val="00922E43"/>
    <w:rsid w:val="00926194"/>
    <w:rsid w:val="009303A4"/>
    <w:rsid w:val="00930CA2"/>
    <w:rsid w:val="0093232D"/>
    <w:rsid w:val="009323CE"/>
    <w:rsid w:val="009360EE"/>
    <w:rsid w:val="009378FE"/>
    <w:rsid w:val="00937A88"/>
    <w:rsid w:val="00940BE7"/>
    <w:rsid w:val="00945946"/>
    <w:rsid w:val="009460AB"/>
    <w:rsid w:val="009614A8"/>
    <w:rsid w:val="00963411"/>
    <w:rsid w:val="00966F5E"/>
    <w:rsid w:val="0097381F"/>
    <w:rsid w:val="00974A3F"/>
    <w:rsid w:val="00983C24"/>
    <w:rsid w:val="00984012"/>
    <w:rsid w:val="00985106"/>
    <w:rsid w:val="00986AD5"/>
    <w:rsid w:val="00992D33"/>
    <w:rsid w:val="009933DD"/>
    <w:rsid w:val="009A0321"/>
    <w:rsid w:val="009A0472"/>
    <w:rsid w:val="009A1534"/>
    <w:rsid w:val="009A2437"/>
    <w:rsid w:val="009A304A"/>
    <w:rsid w:val="009A4AA7"/>
    <w:rsid w:val="009B075F"/>
    <w:rsid w:val="009B6574"/>
    <w:rsid w:val="009C3EC4"/>
    <w:rsid w:val="009D48D6"/>
    <w:rsid w:val="009D4F34"/>
    <w:rsid w:val="009D4F73"/>
    <w:rsid w:val="009D545F"/>
    <w:rsid w:val="009D54A2"/>
    <w:rsid w:val="009E3844"/>
    <w:rsid w:val="009E5562"/>
    <w:rsid w:val="009F49E0"/>
    <w:rsid w:val="00A00118"/>
    <w:rsid w:val="00A00A7A"/>
    <w:rsid w:val="00A03E8A"/>
    <w:rsid w:val="00A112E4"/>
    <w:rsid w:val="00A11E7B"/>
    <w:rsid w:val="00A22D3A"/>
    <w:rsid w:val="00A23483"/>
    <w:rsid w:val="00A25B2A"/>
    <w:rsid w:val="00A25E9B"/>
    <w:rsid w:val="00A31D96"/>
    <w:rsid w:val="00A33E39"/>
    <w:rsid w:val="00A40C0C"/>
    <w:rsid w:val="00A415E6"/>
    <w:rsid w:val="00A503F8"/>
    <w:rsid w:val="00A506DD"/>
    <w:rsid w:val="00A50BE2"/>
    <w:rsid w:val="00A5133E"/>
    <w:rsid w:val="00A56516"/>
    <w:rsid w:val="00A56856"/>
    <w:rsid w:val="00A5768D"/>
    <w:rsid w:val="00A57B2A"/>
    <w:rsid w:val="00A60314"/>
    <w:rsid w:val="00A604A7"/>
    <w:rsid w:val="00A716AA"/>
    <w:rsid w:val="00A74F1D"/>
    <w:rsid w:val="00A74FE1"/>
    <w:rsid w:val="00A96C12"/>
    <w:rsid w:val="00AA1FA4"/>
    <w:rsid w:val="00AA5A86"/>
    <w:rsid w:val="00AB7DCA"/>
    <w:rsid w:val="00AC06E5"/>
    <w:rsid w:val="00AC1A1A"/>
    <w:rsid w:val="00AC2193"/>
    <w:rsid w:val="00AC3884"/>
    <w:rsid w:val="00AC3D0F"/>
    <w:rsid w:val="00AD3AAB"/>
    <w:rsid w:val="00AE38B6"/>
    <w:rsid w:val="00AE3A74"/>
    <w:rsid w:val="00AE3E90"/>
    <w:rsid w:val="00AE680E"/>
    <w:rsid w:val="00AE690A"/>
    <w:rsid w:val="00AF02A9"/>
    <w:rsid w:val="00AF0BBF"/>
    <w:rsid w:val="00AF241A"/>
    <w:rsid w:val="00AF24C3"/>
    <w:rsid w:val="00AF46AE"/>
    <w:rsid w:val="00AF4B59"/>
    <w:rsid w:val="00AF6E21"/>
    <w:rsid w:val="00B01027"/>
    <w:rsid w:val="00B117E3"/>
    <w:rsid w:val="00B13FB5"/>
    <w:rsid w:val="00B21210"/>
    <w:rsid w:val="00B25BC5"/>
    <w:rsid w:val="00B27A72"/>
    <w:rsid w:val="00B35ACA"/>
    <w:rsid w:val="00B402E4"/>
    <w:rsid w:val="00B438AC"/>
    <w:rsid w:val="00B443F6"/>
    <w:rsid w:val="00B4471B"/>
    <w:rsid w:val="00B45A7C"/>
    <w:rsid w:val="00B465CC"/>
    <w:rsid w:val="00B51AC4"/>
    <w:rsid w:val="00B52869"/>
    <w:rsid w:val="00B53F04"/>
    <w:rsid w:val="00B552AE"/>
    <w:rsid w:val="00B55549"/>
    <w:rsid w:val="00B60C83"/>
    <w:rsid w:val="00B70710"/>
    <w:rsid w:val="00B7287A"/>
    <w:rsid w:val="00B803DE"/>
    <w:rsid w:val="00B8117C"/>
    <w:rsid w:val="00B95D83"/>
    <w:rsid w:val="00B96B8E"/>
    <w:rsid w:val="00BA2F86"/>
    <w:rsid w:val="00BA31DA"/>
    <w:rsid w:val="00BA34F5"/>
    <w:rsid w:val="00BA3946"/>
    <w:rsid w:val="00BA43BD"/>
    <w:rsid w:val="00BA45DF"/>
    <w:rsid w:val="00BA5350"/>
    <w:rsid w:val="00BA606A"/>
    <w:rsid w:val="00BA62F2"/>
    <w:rsid w:val="00BA65B3"/>
    <w:rsid w:val="00BA7D91"/>
    <w:rsid w:val="00BB243C"/>
    <w:rsid w:val="00BB296F"/>
    <w:rsid w:val="00BB7819"/>
    <w:rsid w:val="00BB7C91"/>
    <w:rsid w:val="00BC05A9"/>
    <w:rsid w:val="00BC4E04"/>
    <w:rsid w:val="00BD23A1"/>
    <w:rsid w:val="00BD23F0"/>
    <w:rsid w:val="00BD4018"/>
    <w:rsid w:val="00BD46A6"/>
    <w:rsid w:val="00BE232B"/>
    <w:rsid w:val="00BE446A"/>
    <w:rsid w:val="00BE6AF0"/>
    <w:rsid w:val="00BE6CA0"/>
    <w:rsid w:val="00BF16EA"/>
    <w:rsid w:val="00BF23C3"/>
    <w:rsid w:val="00BF5098"/>
    <w:rsid w:val="00BF6B9C"/>
    <w:rsid w:val="00C00E7B"/>
    <w:rsid w:val="00C07E75"/>
    <w:rsid w:val="00C107D1"/>
    <w:rsid w:val="00C15B76"/>
    <w:rsid w:val="00C22A59"/>
    <w:rsid w:val="00C23485"/>
    <w:rsid w:val="00C2538B"/>
    <w:rsid w:val="00C27481"/>
    <w:rsid w:val="00C30D6A"/>
    <w:rsid w:val="00C32D74"/>
    <w:rsid w:val="00C37C8C"/>
    <w:rsid w:val="00C452C5"/>
    <w:rsid w:val="00C51828"/>
    <w:rsid w:val="00C51CB1"/>
    <w:rsid w:val="00C52923"/>
    <w:rsid w:val="00C53AF3"/>
    <w:rsid w:val="00C53B58"/>
    <w:rsid w:val="00C5589B"/>
    <w:rsid w:val="00C5682B"/>
    <w:rsid w:val="00C62237"/>
    <w:rsid w:val="00C656F3"/>
    <w:rsid w:val="00C73CCD"/>
    <w:rsid w:val="00C7687A"/>
    <w:rsid w:val="00C801D7"/>
    <w:rsid w:val="00C8123C"/>
    <w:rsid w:val="00C85136"/>
    <w:rsid w:val="00C8564A"/>
    <w:rsid w:val="00C866BB"/>
    <w:rsid w:val="00C9279D"/>
    <w:rsid w:val="00C93804"/>
    <w:rsid w:val="00CA19E6"/>
    <w:rsid w:val="00CA4EE2"/>
    <w:rsid w:val="00CA680C"/>
    <w:rsid w:val="00CB0719"/>
    <w:rsid w:val="00CB151A"/>
    <w:rsid w:val="00CB29A9"/>
    <w:rsid w:val="00CB46C8"/>
    <w:rsid w:val="00CB7069"/>
    <w:rsid w:val="00CB7419"/>
    <w:rsid w:val="00CB7B3E"/>
    <w:rsid w:val="00CC0A18"/>
    <w:rsid w:val="00CC2E44"/>
    <w:rsid w:val="00CC5F65"/>
    <w:rsid w:val="00CD0593"/>
    <w:rsid w:val="00CD3814"/>
    <w:rsid w:val="00CD3A9F"/>
    <w:rsid w:val="00CD5018"/>
    <w:rsid w:val="00CE36A9"/>
    <w:rsid w:val="00CE7622"/>
    <w:rsid w:val="00CF104A"/>
    <w:rsid w:val="00CF6711"/>
    <w:rsid w:val="00D03E47"/>
    <w:rsid w:val="00D05E2E"/>
    <w:rsid w:val="00D122CC"/>
    <w:rsid w:val="00D12569"/>
    <w:rsid w:val="00D1279A"/>
    <w:rsid w:val="00D13DE0"/>
    <w:rsid w:val="00D15484"/>
    <w:rsid w:val="00D16DF4"/>
    <w:rsid w:val="00D23CCC"/>
    <w:rsid w:val="00D241BB"/>
    <w:rsid w:val="00D25032"/>
    <w:rsid w:val="00D264D0"/>
    <w:rsid w:val="00D27153"/>
    <w:rsid w:val="00D274FC"/>
    <w:rsid w:val="00D305D6"/>
    <w:rsid w:val="00D3277A"/>
    <w:rsid w:val="00D34B3C"/>
    <w:rsid w:val="00D3569E"/>
    <w:rsid w:val="00D3765A"/>
    <w:rsid w:val="00D41FC7"/>
    <w:rsid w:val="00D51F88"/>
    <w:rsid w:val="00D52881"/>
    <w:rsid w:val="00D57315"/>
    <w:rsid w:val="00D61322"/>
    <w:rsid w:val="00D6165D"/>
    <w:rsid w:val="00D616EC"/>
    <w:rsid w:val="00D633AF"/>
    <w:rsid w:val="00D66833"/>
    <w:rsid w:val="00D727DC"/>
    <w:rsid w:val="00D74455"/>
    <w:rsid w:val="00D7445C"/>
    <w:rsid w:val="00D75C20"/>
    <w:rsid w:val="00D83020"/>
    <w:rsid w:val="00D841CF"/>
    <w:rsid w:val="00D86E44"/>
    <w:rsid w:val="00D909B5"/>
    <w:rsid w:val="00D95D01"/>
    <w:rsid w:val="00DA373C"/>
    <w:rsid w:val="00DA3C84"/>
    <w:rsid w:val="00DA66FD"/>
    <w:rsid w:val="00DC1FF8"/>
    <w:rsid w:val="00DD0A36"/>
    <w:rsid w:val="00DD124B"/>
    <w:rsid w:val="00DD171B"/>
    <w:rsid w:val="00DD4621"/>
    <w:rsid w:val="00DD4D2F"/>
    <w:rsid w:val="00DD6AEA"/>
    <w:rsid w:val="00DD6FAE"/>
    <w:rsid w:val="00DE1E18"/>
    <w:rsid w:val="00DE400F"/>
    <w:rsid w:val="00DE5388"/>
    <w:rsid w:val="00DE6C33"/>
    <w:rsid w:val="00DF2612"/>
    <w:rsid w:val="00DF30AB"/>
    <w:rsid w:val="00E02098"/>
    <w:rsid w:val="00E053C3"/>
    <w:rsid w:val="00E102E7"/>
    <w:rsid w:val="00E165B0"/>
    <w:rsid w:val="00E25D6B"/>
    <w:rsid w:val="00E2604E"/>
    <w:rsid w:val="00E2716C"/>
    <w:rsid w:val="00E27B07"/>
    <w:rsid w:val="00E32B7B"/>
    <w:rsid w:val="00E32EB0"/>
    <w:rsid w:val="00E334B8"/>
    <w:rsid w:val="00E37FA5"/>
    <w:rsid w:val="00E500F0"/>
    <w:rsid w:val="00E54573"/>
    <w:rsid w:val="00E55928"/>
    <w:rsid w:val="00E566EB"/>
    <w:rsid w:val="00E602AC"/>
    <w:rsid w:val="00E6218B"/>
    <w:rsid w:val="00E70053"/>
    <w:rsid w:val="00E70F5C"/>
    <w:rsid w:val="00E753C7"/>
    <w:rsid w:val="00E8016C"/>
    <w:rsid w:val="00E83E5E"/>
    <w:rsid w:val="00E84819"/>
    <w:rsid w:val="00E855FC"/>
    <w:rsid w:val="00E85D2A"/>
    <w:rsid w:val="00E92B7F"/>
    <w:rsid w:val="00E9366E"/>
    <w:rsid w:val="00E93E4D"/>
    <w:rsid w:val="00E94A9D"/>
    <w:rsid w:val="00E96E1D"/>
    <w:rsid w:val="00EA1A7E"/>
    <w:rsid w:val="00EA59D1"/>
    <w:rsid w:val="00EA6FE7"/>
    <w:rsid w:val="00EA7AE3"/>
    <w:rsid w:val="00EB13E0"/>
    <w:rsid w:val="00EB1977"/>
    <w:rsid w:val="00EB34BD"/>
    <w:rsid w:val="00EB45A5"/>
    <w:rsid w:val="00EB4CA9"/>
    <w:rsid w:val="00EB55A0"/>
    <w:rsid w:val="00EC02ED"/>
    <w:rsid w:val="00EC3552"/>
    <w:rsid w:val="00EC5054"/>
    <w:rsid w:val="00EC53F2"/>
    <w:rsid w:val="00EC7E7F"/>
    <w:rsid w:val="00ED1202"/>
    <w:rsid w:val="00ED2947"/>
    <w:rsid w:val="00ED72CA"/>
    <w:rsid w:val="00EE21D4"/>
    <w:rsid w:val="00EE21E1"/>
    <w:rsid w:val="00EE3F04"/>
    <w:rsid w:val="00EE5A0D"/>
    <w:rsid w:val="00EE6292"/>
    <w:rsid w:val="00EF0CDC"/>
    <w:rsid w:val="00EF1774"/>
    <w:rsid w:val="00EF1864"/>
    <w:rsid w:val="00EF2DA2"/>
    <w:rsid w:val="00EF7FCA"/>
    <w:rsid w:val="00F01EE9"/>
    <w:rsid w:val="00F02A9E"/>
    <w:rsid w:val="00F10F1D"/>
    <w:rsid w:val="00F12B2F"/>
    <w:rsid w:val="00F1630E"/>
    <w:rsid w:val="00F1640B"/>
    <w:rsid w:val="00F20D8F"/>
    <w:rsid w:val="00F2328D"/>
    <w:rsid w:val="00F25947"/>
    <w:rsid w:val="00F31F5A"/>
    <w:rsid w:val="00F332CD"/>
    <w:rsid w:val="00F34D23"/>
    <w:rsid w:val="00F35A0F"/>
    <w:rsid w:val="00F449B6"/>
    <w:rsid w:val="00F466DA"/>
    <w:rsid w:val="00F46DF8"/>
    <w:rsid w:val="00F47457"/>
    <w:rsid w:val="00F5200B"/>
    <w:rsid w:val="00F60CCE"/>
    <w:rsid w:val="00F63924"/>
    <w:rsid w:val="00F64845"/>
    <w:rsid w:val="00F648B3"/>
    <w:rsid w:val="00F8070C"/>
    <w:rsid w:val="00F80D09"/>
    <w:rsid w:val="00F80EF0"/>
    <w:rsid w:val="00F8308F"/>
    <w:rsid w:val="00F94BB1"/>
    <w:rsid w:val="00F96B97"/>
    <w:rsid w:val="00F975E8"/>
    <w:rsid w:val="00FA0B6F"/>
    <w:rsid w:val="00FA45B8"/>
    <w:rsid w:val="00FA5EB1"/>
    <w:rsid w:val="00FB0D08"/>
    <w:rsid w:val="00FB1C57"/>
    <w:rsid w:val="00FB3934"/>
    <w:rsid w:val="00FB3D52"/>
    <w:rsid w:val="00FC00AE"/>
    <w:rsid w:val="00FC05F0"/>
    <w:rsid w:val="00FC30AD"/>
    <w:rsid w:val="00FC682B"/>
    <w:rsid w:val="00FC769B"/>
    <w:rsid w:val="00FD2824"/>
    <w:rsid w:val="00FD44DC"/>
    <w:rsid w:val="00FE0C37"/>
    <w:rsid w:val="00FE0FD8"/>
    <w:rsid w:val="00FE564D"/>
    <w:rsid w:val="00FE7031"/>
    <w:rsid w:val="00FF1663"/>
    <w:rsid w:val="00FF61BE"/>
    <w:rsid w:val="00FF62E0"/>
    <w:rsid w:val="00FF6504"/>
    <w:rsid w:val="00FF7B8B"/>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ADDEE8"/>
  <w15:docId w15:val="{35478E62-3941-4CB7-A415-8054407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before="240" w:after="24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140"/>
    <w:rPr>
      <w:color w:val="000000"/>
    </w:rPr>
  </w:style>
  <w:style w:type="paragraph" w:styleId="Heading1">
    <w:name w:val="heading 1"/>
    <w:basedOn w:val="Normal"/>
    <w:next w:val="Normal"/>
    <w:link w:val="Heading1Char"/>
    <w:uiPriority w:val="9"/>
    <w:qFormat/>
    <w:rsid w:val="00432BEC"/>
    <w:pPr>
      <w:keepNext/>
      <w:keepLines/>
      <w:numPr>
        <w:numId w:val="1"/>
      </w:numPr>
      <w:spacing w:before="0" w:after="0"/>
      <w:ind w:left="360"/>
      <w:jc w:val="left"/>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EF0CDC"/>
    <w:pPr>
      <w:numPr>
        <w:ilvl w:val="1"/>
        <w:numId w:val="1"/>
      </w:numPr>
      <w:spacing w:after="0"/>
      <w:ind w:left="360"/>
      <w:contextualSpacing/>
      <w:jc w:val="left"/>
      <w:outlineLvl w:val="1"/>
    </w:pPr>
    <w:rPr>
      <w:b/>
    </w:rPr>
  </w:style>
  <w:style w:type="paragraph" w:styleId="Heading3">
    <w:name w:val="heading 3"/>
    <w:basedOn w:val="Normal"/>
    <w:next w:val="Normal"/>
    <w:link w:val="Heading3Char"/>
    <w:uiPriority w:val="9"/>
    <w:unhideWhenUsed/>
    <w:qFormat/>
    <w:rsid w:val="009A424A"/>
    <w:pPr>
      <w:keepNext/>
      <w:keepLines/>
      <w:spacing w:before="40" w:after="0"/>
      <w:outlineLvl w:val="2"/>
    </w:pPr>
    <w:rPr>
      <w:rFonts w:eastAsiaTheme="majorEastAsia"/>
      <w:b/>
      <w:color w:val="000000" w:themeColor="text1"/>
      <w:u w:val="single"/>
    </w:rPr>
  </w:style>
  <w:style w:type="paragraph" w:styleId="Heading4">
    <w:name w:val="heading 4"/>
    <w:basedOn w:val="Normal"/>
    <w:next w:val="Normal"/>
    <w:uiPriority w:val="9"/>
    <w:semiHidden/>
    <w:unhideWhenUsed/>
    <w:qFormat/>
    <w:pPr>
      <w:keepNext/>
      <w:keepLines/>
      <w:spacing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432BEC"/>
    <w:rPr>
      <w:rFonts w:eastAsiaTheme="majorEastAsia"/>
      <w:b/>
      <w:color w:val="000000" w:themeColor="text1"/>
    </w:rPr>
  </w:style>
  <w:style w:type="character" w:customStyle="1" w:styleId="Heading2Char">
    <w:name w:val="Heading 2 Char"/>
    <w:basedOn w:val="DefaultParagraphFont"/>
    <w:link w:val="Heading2"/>
    <w:uiPriority w:val="9"/>
    <w:rsid w:val="00EF0CDC"/>
    <w:rPr>
      <w:b/>
      <w:color w:val="000000"/>
    </w:rPr>
  </w:style>
  <w:style w:type="paragraph" w:styleId="ListParagraph">
    <w:name w:val="List Paragraph"/>
    <w:basedOn w:val="Normal"/>
    <w:qFormat/>
    <w:rsid w:val="00976BA6"/>
    <w:pPr>
      <w:ind w:left="720"/>
      <w:contextualSpacing/>
    </w:pPr>
  </w:style>
  <w:style w:type="character" w:styleId="Hyperlink">
    <w:name w:val="Hyperlink"/>
    <w:basedOn w:val="DefaultParagraphFont"/>
    <w:uiPriority w:val="99"/>
    <w:unhideWhenUsed/>
    <w:rsid w:val="00976BA6"/>
    <w:rPr>
      <w:color w:val="0563C1" w:themeColor="hyperlink"/>
      <w:u w:val="single"/>
    </w:rPr>
  </w:style>
  <w:style w:type="character" w:styleId="UnresolvedMention">
    <w:name w:val="Unresolved Mention"/>
    <w:basedOn w:val="DefaultParagraphFont"/>
    <w:uiPriority w:val="99"/>
    <w:semiHidden/>
    <w:unhideWhenUsed/>
    <w:rsid w:val="00976BA6"/>
    <w:rPr>
      <w:color w:val="605E5C"/>
      <w:shd w:val="clear" w:color="auto" w:fill="E1DFDD"/>
    </w:rPr>
  </w:style>
  <w:style w:type="character" w:styleId="CommentReference">
    <w:name w:val="annotation reference"/>
    <w:basedOn w:val="DefaultParagraphFont"/>
    <w:uiPriority w:val="99"/>
    <w:semiHidden/>
    <w:unhideWhenUsed/>
    <w:rsid w:val="00976BA6"/>
    <w:rPr>
      <w:sz w:val="16"/>
      <w:szCs w:val="16"/>
    </w:rPr>
  </w:style>
  <w:style w:type="paragraph" w:styleId="CommentText">
    <w:name w:val="annotation text"/>
    <w:basedOn w:val="Normal"/>
    <w:link w:val="CommentTextChar"/>
    <w:uiPriority w:val="99"/>
    <w:unhideWhenUsed/>
    <w:rsid w:val="00976BA6"/>
    <w:pPr>
      <w:spacing w:line="240" w:lineRule="auto"/>
    </w:pPr>
    <w:rPr>
      <w:sz w:val="20"/>
      <w:szCs w:val="20"/>
    </w:rPr>
  </w:style>
  <w:style w:type="character" w:customStyle="1" w:styleId="CommentTextChar">
    <w:name w:val="Comment Text Char"/>
    <w:basedOn w:val="DefaultParagraphFont"/>
    <w:link w:val="CommentText"/>
    <w:uiPriority w:val="99"/>
    <w:rsid w:val="00976BA6"/>
    <w:rPr>
      <w:sz w:val="20"/>
      <w:szCs w:val="20"/>
    </w:rPr>
  </w:style>
  <w:style w:type="paragraph" w:styleId="BalloonText">
    <w:name w:val="Balloon Text"/>
    <w:basedOn w:val="Normal"/>
    <w:link w:val="BalloonTextChar"/>
    <w:uiPriority w:val="99"/>
    <w:semiHidden/>
    <w:unhideWhenUsed/>
    <w:rsid w:val="00976B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BA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F595B"/>
    <w:rPr>
      <w:b/>
      <w:bCs/>
    </w:rPr>
  </w:style>
  <w:style w:type="character" w:customStyle="1" w:styleId="CommentSubjectChar">
    <w:name w:val="Comment Subject Char"/>
    <w:basedOn w:val="CommentTextChar"/>
    <w:link w:val="CommentSubject"/>
    <w:uiPriority w:val="99"/>
    <w:semiHidden/>
    <w:rsid w:val="001F595B"/>
    <w:rPr>
      <w:rFonts w:ascii="Times New Roman" w:eastAsia="Times New Roman" w:hAnsi="Times New Roman" w:cs="Times New Roman"/>
      <w:b/>
      <w:bCs/>
      <w:color w:val="000000"/>
      <w:sz w:val="20"/>
      <w:szCs w:val="20"/>
    </w:rPr>
  </w:style>
  <w:style w:type="character" w:customStyle="1" w:styleId="Heading3Char">
    <w:name w:val="Heading 3 Char"/>
    <w:basedOn w:val="DefaultParagraphFont"/>
    <w:link w:val="Heading3"/>
    <w:uiPriority w:val="9"/>
    <w:rsid w:val="009A424A"/>
    <w:rPr>
      <w:rFonts w:ascii="Times New Roman" w:eastAsiaTheme="majorEastAsia" w:hAnsi="Times New Roman" w:cs="Times New Roman"/>
      <w:b/>
      <w:color w:val="000000" w:themeColor="text1"/>
      <w:sz w:val="24"/>
      <w:szCs w:val="24"/>
      <w:u w:val="single"/>
    </w:rPr>
  </w:style>
  <w:style w:type="paragraph" w:styleId="Header">
    <w:name w:val="header"/>
    <w:basedOn w:val="Normal"/>
    <w:link w:val="HeaderChar"/>
    <w:uiPriority w:val="99"/>
    <w:unhideWhenUsed/>
    <w:rsid w:val="003E5DD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E5DD0"/>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3E5DD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E5DD0"/>
    <w:rPr>
      <w:rFonts w:ascii="Times New Roman" w:eastAsia="Times New Roman" w:hAnsi="Times New Roman" w:cs="Times New Roman"/>
      <w:color w:val="000000"/>
      <w:sz w:val="24"/>
      <w:szCs w:val="24"/>
    </w:rPr>
  </w:style>
  <w:style w:type="paragraph" w:styleId="Bibliography">
    <w:name w:val="Bibliography"/>
    <w:basedOn w:val="Normal"/>
    <w:next w:val="Normal"/>
    <w:uiPriority w:val="37"/>
    <w:unhideWhenUsed/>
    <w:rsid w:val="00A2761B"/>
    <w:pPr>
      <w:spacing w:after="0" w:line="480" w:lineRule="auto"/>
      <w:ind w:left="720" w:hanging="720"/>
    </w:pPr>
  </w:style>
  <w:style w:type="paragraph" w:styleId="Caption">
    <w:name w:val="caption"/>
    <w:basedOn w:val="Normal"/>
    <w:next w:val="Normal"/>
    <w:uiPriority w:val="35"/>
    <w:unhideWhenUsed/>
    <w:qFormat/>
    <w:rsid w:val="00720E3C"/>
    <w:pPr>
      <w:spacing w:before="0" w:after="200" w:line="240" w:lineRule="auto"/>
      <w:jc w:val="center"/>
    </w:pPr>
    <w:rPr>
      <w:b/>
      <w:iCs/>
      <w:color w:val="auto"/>
      <w:sz w:val="18"/>
      <w:szCs w:val="18"/>
    </w:rPr>
  </w:style>
  <w:style w:type="table" w:styleId="TableGrid">
    <w:name w:val="Table Grid"/>
    <w:basedOn w:val="TableNormal"/>
    <w:uiPriority w:val="39"/>
    <w:rsid w:val="00A2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4363"/>
    <w:rPr>
      <w:color w:val="808080"/>
    </w:rPr>
  </w:style>
  <w:style w:type="paragraph" w:styleId="NoSpacing">
    <w:name w:val="No Spacing"/>
    <w:uiPriority w:val="1"/>
    <w:qFormat/>
    <w:rsid w:val="000D0F38"/>
    <w:pPr>
      <w:spacing w:after="0" w:line="240" w:lineRule="auto"/>
    </w:pPr>
    <w:rPr>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FootnoteText">
    <w:name w:val="footnote text"/>
    <w:basedOn w:val="Normal"/>
    <w:link w:val="FootnoteTextChar"/>
    <w:uiPriority w:val="99"/>
    <w:unhideWhenUsed/>
    <w:rsid w:val="00D616EC"/>
    <w:pPr>
      <w:spacing w:before="0" w:after="0" w:line="240" w:lineRule="auto"/>
    </w:pPr>
    <w:rPr>
      <w:sz w:val="20"/>
      <w:szCs w:val="20"/>
    </w:rPr>
  </w:style>
  <w:style w:type="character" w:customStyle="1" w:styleId="FootnoteTextChar">
    <w:name w:val="Footnote Text Char"/>
    <w:basedOn w:val="DefaultParagraphFont"/>
    <w:link w:val="FootnoteText"/>
    <w:uiPriority w:val="99"/>
    <w:qFormat/>
    <w:rsid w:val="00D616EC"/>
    <w:rPr>
      <w:color w:val="000000"/>
      <w:sz w:val="20"/>
      <w:szCs w:val="20"/>
    </w:rPr>
  </w:style>
  <w:style w:type="character" w:styleId="FootnoteReference">
    <w:name w:val="footnote reference"/>
    <w:basedOn w:val="DefaultParagraphFont"/>
    <w:uiPriority w:val="99"/>
    <w:semiHidden/>
    <w:unhideWhenUsed/>
    <w:rsid w:val="00D616EC"/>
    <w:rPr>
      <w:vertAlign w:val="superscript"/>
    </w:rPr>
  </w:style>
  <w:style w:type="paragraph" w:customStyle="1" w:styleId="MTDisplayEquation">
    <w:name w:val="MTDisplayEquation"/>
    <w:basedOn w:val="Normal"/>
    <w:next w:val="Normal"/>
    <w:link w:val="MTDisplayEquationChar"/>
    <w:rsid w:val="00AC1A1A"/>
    <w:pPr>
      <w:tabs>
        <w:tab w:val="center" w:pos="4680"/>
        <w:tab w:val="right" w:pos="9360"/>
      </w:tabs>
    </w:pPr>
  </w:style>
  <w:style w:type="character" w:customStyle="1" w:styleId="MTDisplayEquationChar">
    <w:name w:val="MTDisplayEquation Char"/>
    <w:basedOn w:val="DefaultParagraphFont"/>
    <w:link w:val="MTDisplayEquation"/>
    <w:rsid w:val="00AC1A1A"/>
    <w:rPr>
      <w:color w:val="000000"/>
    </w:rPr>
  </w:style>
  <w:style w:type="paragraph" w:styleId="EndnoteText">
    <w:name w:val="endnote text"/>
    <w:basedOn w:val="Normal"/>
    <w:link w:val="EndnoteTextChar"/>
    <w:uiPriority w:val="99"/>
    <w:semiHidden/>
    <w:unhideWhenUsed/>
    <w:rsid w:val="009D4F7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D4F73"/>
    <w:rPr>
      <w:color w:val="000000"/>
      <w:sz w:val="20"/>
      <w:szCs w:val="20"/>
    </w:rPr>
  </w:style>
  <w:style w:type="character" w:styleId="EndnoteReference">
    <w:name w:val="endnote reference"/>
    <w:basedOn w:val="DefaultParagraphFont"/>
    <w:uiPriority w:val="99"/>
    <w:semiHidden/>
    <w:unhideWhenUsed/>
    <w:rsid w:val="009D4F73"/>
    <w:rPr>
      <w:vertAlign w:val="superscript"/>
    </w:rPr>
  </w:style>
  <w:style w:type="paragraph" w:styleId="Revision">
    <w:name w:val="Revision"/>
    <w:hidden/>
    <w:uiPriority w:val="99"/>
    <w:semiHidden/>
    <w:rsid w:val="00451BBC"/>
    <w:pPr>
      <w:spacing w:before="0" w:after="0" w:line="240" w:lineRule="auto"/>
      <w:jc w:val="left"/>
    </w:pPr>
    <w:rPr>
      <w:color w:val="000000"/>
    </w:rPr>
  </w:style>
  <w:style w:type="character" w:customStyle="1" w:styleId="Style1Char">
    <w:name w:val="Style1 Char"/>
    <w:basedOn w:val="DefaultParagraphFont"/>
    <w:link w:val="Style1"/>
    <w:locked/>
    <w:rsid w:val="00AF46AE"/>
    <w:rPr>
      <w:rFonts w:eastAsiaTheme="majorEastAsia"/>
      <w:b/>
      <w:bCs/>
    </w:rPr>
  </w:style>
  <w:style w:type="paragraph" w:customStyle="1" w:styleId="Style1">
    <w:name w:val="Style1"/>
    <w:basedOn w:val="Heading1"/>
    <w:link w:val="Style1Char"/>
    <w:qFormat/>
    <w:rsid w:val="00AF46AE"/>
    <w:pPr>
      <w:numPr>
        <w:numId w:val="0"/>
      </w:numPr>
      <w:tabs>
        <w:tab w:val="left" w:pos="540"/>
      </w:tabs>
      <w:jc w:val="both"/>
    </w:pPr>
    <w:rPr>
      <w:bCs/>
      <w:color w:val="auto"/>
    </w:rPr>
  </w:style>
  <w:style w:type="character" w:styleId="LineNumber">
    <w:name w:val="line number"/>
    <w:basedOn w:val="DefaultParagraphFont"/>
    <w:uiPriority w:val="99"/>
    <w:semiHidden/>
    <w:unhideWhenUsed/>
    <w:rsid w:val="008F2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9690">
      <w:bodyDiv w:val="1"/>
      <w:marLeft w:val="0"/>
      <w:marRight w:val="0"/>
      <w:marTop w:val="0"/>
      <w:marBottom w:val="0"/>
      <w:divBdr>
        <w:top w:val="none" w:sz="0" w:space="0" w:color="auto"/>
        <w:left w:val="none" w:sz="0" w:space="0" w:color="auto"/>
        <w:bottom w:val="none" w:sz="0" w:space="0" w:color="auto"/>
        <w:right w:val="none" w:sz="0" w:space="0" w:color="auto"/>
      </w:divBdr>
    </w:div>
    <w:div w:id="265043125">
      <w:bodyDiv w:val="1"/>
      <w:marLeft w:val="0"/>
      <w:marRight w:val="0"/>
      <w:marTop w:val="0"/>
      <w:marBottom w:val="0"/>
      <w:divBdr>
        <w:top w:val="none" w:sz="0" w:space="0" w:color="auto"/>
        <w:left w:val="none" w:sz="0" w:space="0" w:color="auto"/>
        <w:bottom w:val="none" w:sz="0" w:space="0" w:color="auto"/>
        <w:right w:val="none" w:sz="0" w:space="0" w:color="auto"/>
      </w:divBdr>
    </w:div>
    <w:div w:id="350421501">
      <w:bodyDiv w:val="1"/>
      <w:marLeft w:val="0"/>
      <w:marRight w:val="0"/>
      <w:marTop w:val="0"/>
      <w:marBottom w:val="0"/>
      <w:divBdr>
        <w:top w:val="none" w:sz="0" w:space="0" w:color="auto"/>
        <w:left w:val="none" w:sz="0" w:space="0" w:color="auto"/>
        <w:bottom w:val="none" w:sz="0" w:space="0" w:color="auto"/>
        <w:right w:val="none" w:sz="0" w:space="0" w:color="auto"/>
      </w:divBdr>
    </w:div>
    <w:div w:id="519007574">
      <w:bodyDiv w:val="1"/>
      <w:marLeft w:val="0"/>
      <w:marRight w:val="0"/>
      <w:marTop w:val="0"/>
      <w:marBottom w:val="0"/>
      <w:divBdr>
        <w:top w:val="none" w:sz="0" w:space="0" w:color="auto"/>
        <w:left w:val="none" w:sz="0" w:space="0" w:color="auto"/>
        <w:bottom w:val="none" w:sz="0" w:space="0" w:color="auto"/>
        <w:right w:val="none" w:sz="0" w:space="0" w:color="auto"/>
      </w:divBdr>
    </w:div>
    <w:div w:id="1077899335">
      <w:bodyDiv w:val="1"/>
      <w:marLeft w:val="0"/>
      <w:marRight w:val="0"/>
      <w:marTop w:val="0"/>
      <w:marBottom w:val="0"/>
      <w:divBdr>
        <w:top w:val="none" w:sz="0" w:space="0" w:color="auto"/>
        <w:left w:val="none" w:sz="0" w:space="0" w:color="auto"/>
        <w:bottom w:val="none" w:sz="0" w:space="0" w:color="auto"/>
        <w:right w:val="none" w:sz="0" w:space="0" w:color="auto"/>
      </w:divBdr>
    </w:div>
    <w:div w:id="1356466826">
      <w:bodyDiv w:val="1"/>
      <w:marLeft w:val="0"/>
      <w:marRight w:val="0"/>
      <w:marTop w:val="0"/>
      <w:marBottom w:val="0"/>
      <w:divBdr>
        <w:top w:val="none" w:sz="0" w:space="0" w:color="auto"/>
        <w:left w:val="none" w:sz="0" w:space="0" w:color="auto"/>
        <w:bottom w:val="none" w:sz="0" w:space="0" w:color="auto"/>
        <w:right w:val="none" w:sz="0" w:space="0" w:color="auto"/>
      </w:divBdr>
    </w:div>
    <w:div w:id="1378509778">
      <w:bodyDiv w:val="1"/>
      <w:marLeft w:val="0"/>
      <w:marRight w:val="0"/>
      <w:marTop w:val="0"/>
      <w:marBottom w:val="0"/>
      <w:divBdr>
        <w:top w:val="none" w:sz="0" w:space="0" w:color="auto"/>
        <w:left w:val="none" w:sz="0" w:space="0" w:color="auto"/>
        <w:bottom w:val="none" w:sz="0" w:space="0" w:color="auto"/>
        <w:right w:val="none" w:sz="0" w:space="0" w:color="auto"/>
      </w:divBdr>
    </w:div>
    <w:div w:id="1407147263">
      <w:bodyDiv w:val="1"/>
      <w:marLeft w:val="0"/>
      <w:marRight w:val="0"/>
      <w:marTop w:val="0"/>
      <w:marBottom w:val="0"/>
      <w:divBdr>
        <w:top w:val="none" w:sz="0" w:space="0" w:color="auto"/>
        <w:left w:val="none" w:sz="0" w:space="0" w:color="auto"/>
        <w:bottom w:val="none" w:sz="0" w:space="0" w:color="auto"/>
        <w:right w:val="none" w:sz="0" w:space="0" w:color="auto"/>
      </w:divBdr>
    </w:div>
    <w:div w:id="1483694316">
      <w:bodyDiv w:val="1"/>
      <w:marLeft w:val="0"/>
      <w:marRight w:val="0"/>
      <w:marTop w:val="0"/>
      <w:marBottom w:val="0"/>
      <w:divBdr>
        <w:top w:val="none" w:sz="0" w:space="0" w:color="auto"/>
        <w:left w:val="none" w:sz="0" w:space="0" w:color="auto"/>
        <w:bottom w:val="none" w:sz="0" w:space="0" w:color="auto"/>
        <w:right w:val="none" w:sz="0" w:space="0" w:color="auto"/>
      </w:divBdr>
    </w:div>
    <w:div w:id="1694527721">
      <w:bodyDiv w:val="1"/>
      <w:marLeft w:val="0"/>
      <w:marRight w:val="0"/>
      <w:marTop w:val="0"/>
      <w:marBottom w:val="0"/>
      <w:divBdr>
        <w:top w:val="none" w:sz="0" w:space="0" w:color="auto"/>
        <w:left w:val="none" w:sz="0" w:space="0" w:color="auto"/>
        <w:bottom w:val="none" w:sz="0" w:space="0" w:color="auto"/>
        <w:right w:val="none" w:sz="0" w:space="0" w:color="auto"/>
      </w:divBdr>
    </w:div>
    <w:div w:id="1751922819">
      <w:bodyDiv w:val="1"/>
      <w:marLeft w:val="0"/>
      <w:marRight w:val="0"/>
      <w:marTop w:val="0"/>
      <w:marBottom w:val="0"/>
      <w:divBdr>
        <w:top w:val="none" w:sz="0" w:space="0" w:color="auto"/>
        <w:left w:val="none" w:sz="0" w:space="0" w:color="auto"/>
        <w:bottom w:val="none" w:sz="0" w:space="0" w:color="auto"/>
        <w:right w:val="none" w:sz="0" w:space="0" w:color="auto"/>
      </w:divBdr>
    </w:div>
    <w:div w:id="1823429875">
      <w:bodyDiv w:val="1"/>
      <w:marLeft w:val="0"/>
      <w:marRight w:val="0"/>
      <w:marTop w:val="0"/>
      <w:marBottom w:val="0"/>
      <w:divBdr>
        <w:top w:val="none" w:sz="0" w:space="0" w:color="auto"/>
        <w:left w:val="none" w:sz="0" w:space="0" w:color="auto"/>
        <w:bottom w:val="none" w:sz="0" w:space="0" w:color="auto"/>
        <w:right w:val="none" w:sz="0" w:space="0" w:color="auto"/>
      </w:divBdr>
    </w:div>
    <w:div w:id="1947233224">
      <w:bodyDiv w:val="1"/>
      <w:marLeft w:val="0"/>
      <w:marRight w:val="0"/>
      <w:marTop w:val="0"/>
      <w:marBottom w:val="0"/>
      <w:divBdr>
        <w:top w:val="none" w:sz="0" w:space="0" w:color="auto"/>
        <w:left w:val="none" w:sz="0" w:space="0" w:color="auto"/>
        <w:bottom w:val="none" w:sz="0" w:space="0" w:color="auto"/>
        <w:right w:val="none" w:sz="0" w:space="0" w:color="auto"/>
      </w:divBdr>
    </w:div>
    <w:div w:id="196380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oleObject" Target="embeddings/oleObject52.bin"/><Relationship Id="rId21" Type="http://schemas.openxmlformats.org/officeDocument/2006/relationships/oleObject" Target="embeddings/oleObject1.bin"/><Relationship Id="rId42" Type="http://schemas.openxmlformats.org/officeDocument/2006/relationships/image" Target="media/image12.wmf"/><Relationship Id="rId47" Type="http://schemas.openxmlformats.org/officeDocument/2006/relationships/oleObject" Target="embeddings/oleObject14.bin"/><Relationship Id="rId63" Type="http://schemas.openxmlformats.org/officeDocument/2006/relationships/image" Target="media/image22.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oleObject" Target="embeddings/oleObject36.bin"/><Relationship Id="rId112" Type="http://schemas.openxmlformats.org/officeDocument/2006/relationships/image" Target="media/image44.wmf"/><Relationship Id="rId16" Type="http://schemas.openxmlformats.org/officeDocument/2006/relationships/hyperlink" Target="mailto:craig.watkins@austin.utexas.edu" TargetMode="External"/><Relationship Id="rId107" Type="http://schemas.openxmlformats.org/officeDocument/2006/relationships/oleObject" Target="embeddings/oleObject46.bin"/><Relationship Id="rId11" Type="http://schemas.openxmlformats.org/officeDocument/2006/relationships/hyperlink" Target="mailto:bhat@mail.utexas.edu" TargetMode="External"/><Relationship Id="rId32" Type="http://schemas.openxmlformats.org/officeDocument/2006/relationships/oleObject" Target="embeddings/oleObject6.bin"/><Relationship Id="rId37" Type="http://schemas.openxmlformats.org/officeDocument/2006/relationships/oleObject" Target="embeddings/oleObject9.bin"/><Relationship Id="rId53" Type="http://schemas.openxmlformats.org/officeDocument/2006/relationships/image" Target="media/image17.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0.wmf"/><Relationship Id="rId102" Type="http://schemas.openxmlformats.org/officeDocument/2006/relationships/oleObject" Target="embeddings/oleObject43.bin"/><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39.bin"/><Relationship Id="rId22" Type="http://schemas.openxmlformats.org/officeDocument/2006/relationships/footer" Target="footer2.xml"/><Relationship Id="rId27" Type="http://schemas.openxmlformats.org/officeDocument/2006/relationships/image" Target="media/image5.wmf"/><Relationship Id="rId43" Type="http://schemas.openxmlformats.org/officeDocument/2006/relationships/oleObject" Target="embeddings/oleObject12.bin"/><Relationship Id="rId48" Type="http://schemas.openxmlformats.org/officeDocument/2006/relationships/image" Target="media/image15.wmf"/><Relationship Id="rId64" Type="http://schemas.openxmlformats.org/officeDocument/2006/relationships/oleObject" Target="embeddings/oleObject23.bin"/><Relationship Id="rId69" Type="http://schemas.openxmlformats.org/officeDocument/2006/relationships/image" Target="media/image25.wmf"/><Relationship Id="rId113" Type="http://schemas.openxmlformats.org/officeDocument/2006/relationships/oleObject" Target="embeddings/oleObject50.bin"/><Relationship Id="rId118" Type="http://schemas.openxmlformats.org/officeDocument/2006/relationships/image" Target="media/image47.wmf"/><Relationship Id="rId80" Type="http://schemas.openxmlformats.org/officeDocument/2006/relationships/oleObject" Target="embeddings/oleObject31.bin"/><Relationship Id="rId85" Type="http://schemas.openxmlformats.org/officeDocument/2006/relationships/image" Target="media/image33.wmf"/><Relationship Id="rId12" Type="http://schemas.openxmlformats.org/officeDocument/2006/relationships/hyperlink" Target="mailto:angie.zhang@austin.utexas.edu" TargetMode="External"/><Relationship Id="rId17" Type="http://schemas.openxmlformats.org/officeDocument/2006/relationships/header" Target="header1.xml"/><Relationship Id="rId33" Type="http://schemas.openxmlformats.org/officeDocument/2006/relationships/oleObject" Target="embeddings/oleObject7.bin"/><Relationship Id="rId38" Type="http://schemas.openxmlformats.org/officeDocument/2006/relationships/image" Target="media/image10.wmf"/><Relationship Id="rId59" Type="http://schemas.openxmlformats.org/officeDocument/2006/relationships/image" Target="media/image20.wmf"/><Relationship Id="rId103" Type="http://schemas.openxmlformats.org/officeDocument/2006/relationships/image" Target="media/image41.wmf"/><Relationship Id="rId108" Type="http://schemas.openxmlformats.org/officeDocument/2006/relationships/oleObject" Target="embeddings/oleObject47.bin"/><Relationship Id="rId54" Type="http://schemas.openxmlformats.org/officeDocument/2006/relationships/oleObject" Target="embeddings/oleObject18.bin"/><Relationship Id="rId70" Type="http://schemas.openxmlformats.org/officeDocument/2006/relationships/oleObject" Target="embeddings/oleObject26.bin"/><Relationship Id="rId75" Type="http://schemas.openxmlformats.org/officeDocument/2006/relationships/image" Target="media/image28.wmf"/><Relationship Id="rId91" Type="http://schemas.openxmlformats.org/officeDocument/2006/relationships/oleObject" Target="embeddings/oleObject37.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3.wmf"/><Relationship Id="rId28" Type="http://schemas.openxmlformats.org/officeDocument/2006/relationships/oleObject" Target="embeddings/oleObject4.bin"/><Relationship Id="rId49" Type="http://schemas.openxmlformats.org/officeDocument/2006/relationships/oleObject" Target="embeddings/oleObject15.bin"/><Relationship Id="rId114" Type="http://schemas.openxmlformats.org/officeDocument/2006/relationships/image" Target="media/image45.wmf"/><Relationship Id="rId119" Type="http://schemas.openxmlformats.org/officeDocument/2006/relationships/oleObject" Target="embeddings/oleObject53.bin"/><Relationship Id="rId44" Type="http://schemas.openxmlformats.org/officeDocument/2006/relationships/image" Target="media/image13.wmf"/><Relationship Id="rId60" Type="http://schemas.openxmlformats.org/officeDocument/2006/relationships/oleObject" Target="embeddings/oleObject21.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34.bin"/><Relationship Id="rId4" Type="http://schemas.openxmlformats.org/officeDocument/2006/relationships/styles" Target="styles.xml"/><Relationship Id="rId9" Type="http://schemas.openxmlformats.org/officeDocument/2006/relationships/hyperlink" Target="mailto:angela.haddad@utexas.edu" TargetMode="External"/><Relationship Id="rId13" Type="http://schemas.openxmlformats.org/officeDocument/2006/relationships/hyperlink" Target="mailto:madison.liao@utexas.edu" TargetMode="External"/><Relationship Id="rId18" Type="http://schemas.openxmlformats.org/officeDocument/2006/relationships/footer" Target="footer1.xml"/><Relationship Id="rId39" Type="http://schemas.openxmlformats.org/officeDocument/2006/relationships/oleObject" Target="embeddings/oleObject10.bin"/><Relationship Id="rId109" Type="http://schemas.openxmlformats.org/officeDocument/2006/relationships/oleObject" Target="embeddings/oleObject48.bin"/><Relationship Id="rId34" Type="http://schemas.openxmlformats.org/officeDocument/2006/relationships/image" Target="media/image8.wmf"/><Relationship Id="rId50" Type="http://schemas.openxmlformats.org/officeDocument/2006/relationships/oleObject" Target="embeddings/oleObject16.bin"/><Relationship Id="rId55" Type="http://schemas.openxmlformats.org/officeDocument/2006/relationships/image" Target="media/image18.wmf"/><Relationship Id="rId76" Type="http://schemas.openxmlformats.org/officeDocument/2006/relationships/oleObject" Target="embeddings/oleObject29.bin"/><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26.wmf"/><Relationship Id="rId92" Type="http://schemas.openxmlformats.org/officeDocument/2006/relationships/image" Target="media/image36.wmf"/><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oleObject" Target="embeddings/oleObject2.bin"/><Relationship Id="rId40" Type="http://schemas.openxmlformats.org/officeDocument/2006/relationships/image" Target="media/image11.wmf"/><Relationship Id="rId45" Type="http://schemas.openxmlformats.org/officeDocument/2006/relationships/oleObject" Target="embeddings/oleObject13.bin"/><Relationship Id="rId66" Type="http://schemas.openxmlformats.org/officeDocument/2006/relationships/oleObject" Target="embeddings/oleObject24.bin"/><Relationship Id="rId87" Type="http://schemas.openxmlformats.org/officeDocument/2006/relationships/image" Target="media/image34.wmf"/><Relationship Id="rId110" Type="http://schemas.openxmlformats.org/officeDocument/2006/relationships/image" Target="media/image43.wmf"/><Relationship Id="rId115" Type="http://schemas.openxmlformats.org/officeDocument/2006/relationships/oleObject" Target="embeddings/oleObject51.bin"/><Relationship Id="rId61" Type="http://schemas.openxmlformats.org/officeDocument/2006/relationships/image" Target="media/image21.wmf"/><Relationship Id="rId82" Type="http://schemas.openxmlformats.org/officeDocument/2006/relationships/oleObject" Target="embeddings/oleObject32.bin"/><Relationship Id="rId19" Type="http://schemas.openxmlformats.org/officeDocument/2006/relationships/image" Target="media/image1.png"/><Relationship Id="rId14" Type="http://schemas.openxmlformats.org/officeDocument/2006/relationships/hyperlink" Target="mailto:lisaweyant@mail.utexas.edu" TargetMode="External"/><Relationship Id="rId30" Type="http://schemas.openxmlformats.org/officeDocument/2006/relationships/oleObject" Target="embeddings/oleObject5.bin"/><Relationship Id="rId35" Type="http://schemas.openxmlformats.org/officeDocument/2006/relationships/oleObject" Target="embeddings/oleObject8.bin"/><Relationship Id="rId56" Type="http://schemas.openxmlformats.org/officeDocument/2006/relationships/oleObject" Target="embeddings/oleObject19.bin"/><Relationship Id="rId77" Type="http://schemas.openxmlformats.org/officeDocument/2006/relationships/image" Target="media/image29.wmf"/><Relationship Id="rId100" Type="http://schemas.openxmlformats.org/officeDocument/2006/relationships/oleObject" Target="embeddings/oleObject42.bin"/><Relationship Id="rId105" Type="http://schemas.openxmlformats.org/officeDocument/2006/relationships/image" Target="media/image42.wmf"/><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oleObject" Target="embeddings/oleObject27.bin"/><Relationship Id="rId93" Type="http://schemas.openxmlformats.org/officeDocument/2006/relationships/oleObject" Target="embeddings/oleObject38.bin"/><Relationship Id="rId98" Type="http://schemas.openxmlformats.org/officeDocument/2006/relationships/image" Target="media/image39.wmf"/><Relationship Id="rId121"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image" Target="media/image4.wmf"/><Relationship Id="rId46" Type="http://schemas.openxmlformats.org/officeDocument/2006/relationships/image" Target="media/image14.wmf"/><Relationship Id="rId67" Type="http://schemas.openxmlformats.org/officeDocument/2006/relationships/image" Target="media/image24.wmf"/><Relationship Id="rId116" Type="http://schemas.openxmlformats.org/officeDocument/2006/relationships/image" Target="media/image46.wmf"/><Relationship Id="rId20" Type="http://schemas.openxmlformats.org/officeDocument/2006/relationships/image" Target="media/image2.wmf"/><Relationship Id="rId41" Type="http://schemas.openxmlformats.org/officeDocument/2006/relationships/oleObject" Target="embeddings/oleObject11.bin"/><Relationship Id="rId62" Type="http://schemas.openxmlformats.org/officeDocument/2006/relationships/oleObject" Target="embeddings/oleObject22.bin"/><Relationship Id="rId83" Type="http://schemas.openxmlformats.org/officeDocument/2006/relationships/image" Target="media/image32.wmf"/><Relationship Id="rId88" Type="http://schemas.openxmlformats.org/officeDocument/2006/relationships/oleObject" Target="embeddings/oleObject35.bin"/><Relationship Id="rId111" Type="http://schemas.openxmlformats.org/officeDocument/2006/relationships/oleObject" Target="embeddings/oleObject49.bin"/><Relationship Id="rId15" Type="http://schemas.openxmlformats.org/officeDocument/2006/relationships/hyperlink" Target="mailto:minkyung.lee@austin.utexas.edu" TargetMode="External"/><Relationship Id="rId36" Type="http://schemas.openxmlformats.org/officeDocument/2006/relationships/image" Target="media/image9.wmf"/><Relationship Id="rId57" Type="http://schemas.openxmlformats.org/officeDocument/2006/relationships/image" Target="media/image19.wmf"/><Relationship Id="rId106" Type="http://schemas.openxmlformats.org/officeDocument/2006/relationships/oleObject" Target="embeddings/oleObject45.bin"/><Relationship Id="rId10" Type="http://schemas.openxmlformats.org/officeDocument/2006/relationships/hyperlink" Target="mailto:aupal.mondal@utexas.edu" TargetMode="External"/><Relationship Id="rId31" Type="http://schemas.openxmlformats.org/officeDocument/2006/relationships/image" Target="media/image7.wmf"/><Relationship Id="rId52"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oleObject" Target="embeddings/oleObject30.bin"/><Relationship Id="rId94" Type="http://schemas.openxmlformats.org/officeDocument/2006/relationships/image" Target="media/image37.wmf"/><Relationship Id="rId99" Type="http://schemas.openxmlformats.org/officeDocument/2006/relationships/oleObject" Target="embeddings/oleObject41.bin"/><Relationship Id="rId101"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Lm6/zGrDzx55ymi55NVMZby4nA==">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D4496-EFEA-43CF-91CD-2F61A44FE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32205</Words>
  <Characters>183569</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Angela</dc:creator>
  <cp:keywords/>
  <dc:description/>
  <cp:lastModifiedBy>Macias, Lisa J</cp:lastModifiedBy>
  <cp:revision>2</cp:revision>
  <cp:lastPrinted>2022-10-28T20:09:00Z</cp:lastPrinted>
  <dcterms:created xsi:type="dcterms:W3CDTF">2023-01-05T18:30:00Z</dcterms:created>
  <dcterms:modified xsi:type="dcterms:W3CDTF">2023-01-05T18:30:00Z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id="wB6ig8YL"/&gt;&lt;style id="http://www.zotero.org/styles/apa" locale="en-US" hasBibliography="1" bibliographyStyleHasBeenSet="1"/&gt;&lt;prefs&gt;&lt;pref name="fieldType" value="Field"/&gt;&lt;/prefs&gt;&lt;/data&gt;</vt:lpwstr>
  </property>
  <property fmtid="{D5CDD505-2E9C-101B-9397-08002B2CF9AE}" pid="3" name="MTWinEqns">
    <vt:bool>true</vt:bool>
  </property>
</Properties>
</file>