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D9E6C" w14:textId="61220536" w:rsidR="00DC7402" w:rsidRDefault="009C0217" w:rsidP="00DC7402">
      <w:pPr>
        <w:spacing w:after="0" w:line="240" w:lineRule="auto"/>
        <w:jc w:val="both"/>
        <w:rPr>
          <w:b/>
        </w:rPr>
      </w:pPr>
      <w:r>
        <w:rPr>
          <w:b/>
        </w:rPr>
        <w:fldChar w:fldCharType="begin"/>
      </w:r>
      <w:r>
        <w:rPr>
          <w:b/>
        </w:rPr>
        <w:instrText xml:space="preserve"> MACROBUTTON MTEditEquationSection2 </w:instrText>
      </w:r>
      <w:r w:rsidRPr="009C0217">
        <w:rPr>
          <w:rStyle w:val="MTEquationSection"/>
        </w:rPr>
        <w:instrText>Equation Chapter 1 Section 1</w:instrText>
      </w:r>
      <w:r>
        <w:rPr>
          <w:b/>
        </w:rPr>
        <w:fldChar w:fldCharType="begin"/>
      </w:r>
      <w:r>
        <w:rPr>
          <w:b/>
        </w:rPr>
        <w:instrText xml:space="preserve"> SEQ MTEqn \r \h \* MERGEFORMAT </w:instrText>
      </w:r>
      <w:r>
        <w:rPr>
          <w:b/>
        </w:rPr>
        <w:fldChar w:fldCharType="end"/>
      </w:r>
      <w:r>
        <w:rPr>
          <w:b/>
        </w:rPr>
        <w:fldChar w:fldCharType="begin"/>
      </w:r>
      <w:r>
        <w:rPr>
          <w:b/>
        </w:rPr>
        <w:instrText xml:space="preserve"> SEQ MTSec \r 1 \h \* MERGEFORMAT </w:instrText>
      </w:r>
      <w:r>
        <w:rPr>
          <w:b/>
        </w:rPr>
        <w:fldChar w:fldCharType="end"/>
      </w:r>
      <w:r>
        <w:rPr>
          <w:b/>
        </w:rPr>
        <w:fldChar w:fldCharType="begin"/>
      </w:r>
      <w:r>
        <w:rPr>
          <w:b/>
        </w:rPr>
        <w:instrText xml:space="preserve"> SEQ MTChap \r 1 \h \* MERGEFORMAT </w:instrText>
      </w:r>
      <w:r>
        <w:rPr>
          <w:b/>
        </w:rPr>
        <w:fldChar w:fldCharType="end"/>
      </w:r>
      <w:r>
        <w:rPr>
          <w:b/>
        </w:rPr>
        <w:fldChar w:fldCharType="end"/>
      </w:r>
    </w:p>
    <w:p w14:paraId="5A1137F4" w14:textId="56CD6DDE" w:rsidR="00DC7402" w:rsidRDefault="00DC7402" w:rsidP="00DC7402">
      <w:pPr>
        <w:spacing w:after="0" w:line="240" w:lineRule="auto"/>
        <w:jc w:val="both"/>
        <w:rPr>
          <w:b/>
        </w:rPr>
      </w:pPr>
    </w:p>
    <w:p w14:paraId="21FCCBA5" w14:textId="7A1D454A" w:rsidR="00D21858" w:rsidRDefault="00D21858" w:rsidP="00DC7402">
      <w:pPr>
        <w:spacing w:after="0" w:line="240" w:lineRule="auto"/>
        <w:jc w:val="both"/>
        <w:rPr>
          <w:b/>
        </w:rPr>
      </w:pPr>
    </w:p>
    <w:p w14:paraId="4FF82B9B" w14:textId="77777777" w:rsidR="00D21858" w:rsidRDefault="00D21858" w:rsidP="00DC7402">
      <w:pPr>
        <w:spacing w:after="0" w:line="240" w:lineRule="auto"/>
        <w:jc w:val="both"/>
        <w:rPr>
          <w:b/>
        </w:rPr>
      </w:pPr>
    </w:p>
    <w:p w14:paraId="2FA383E8" w14:textId="77777777" w:rsidR="00DC7402" w:rsidRDefault="00DC7402" w:rsidP="00DC7402">
      <w:pPr>
        <w:spacing w:after="0" w:line="240" w:lineRule="auto"/>
        <w:jc w:val="both"/>
        <w:rPr>
          <w:b/>
        </w:rPr>
      </w:pPr>
    </w:p>
    <w:p w14:paraId="2F08199F" w14:textId="5619F4FE" w:rsidR="00DC7402" w:rsidRPr="006807BB" w:rsidRDefault="00394EA4" w:rsidP="00D21858">
      <w:pPr>
        <w:spacing w:after="0" w:line="240" w:lineRule="auto"/>
        <w:jc w:val="center"/>
        <w:rPr>
          <w:b/>
        </w:rPr>
      </w:pPr>
      <w:r w:rsidRPr="0066264D">
        <w:rPr>
          <w:b/>
        </w:rPr>
        <w:t>An Investigation of</w:t>
      </w:r>
      <w:r w:rsidR="006202E4">
        <w:rPr>
          <w:b/>
        </w:rPr>
        <w:t xml:space="preserve"> Physical Participation </w:t>
      </w:r>
      <w:r w:rsidRPr="0066264D">
        <w:rPr>
          <w:b/>
        </w:rPr>
        <w:t>Dissonance</w:t>
      </w:r>
      <w:r w:rsidR="00A3757E">
        <w:rPr>
          <w:b/>
        </w:rPr>
        <w:t xml:space="preserve"> </w:t>
      </w:r>
      <w:bookmarkStart w:id="0" w:name="_Hlk166831087"/>
      <w:r w:rsidR="00A3757E">
        <w:rPr>
          <w:b/>
        </w:rPr>
        <w:t>and Virtual Activity Participation</w:t>
      </w:r>
    </w:p>
    <w:bookmarkEnd w:id="0"/>
    <w:p w14:paraId="64CBC765" w14:textId="77777777" w:rsidR="00DC7402" w:rsidRPr="006807BB" w:rsidRDefault="00DC7402" w:rsidP="00DC7402">
      <w:pPr>
        <w:spacing w:after="0" w:line="240" w:lineRule="auto"/>
        <w:jc w:val="both"/>
        <w:rPr>
          <w:bCs/>
        </w:rPr>
      </w:pPr>
    </w:p>
    <w:p w14:paraId="78AD5756" w14:textId="5C391E99" w:rsidR="00DC7402" w:rsidRDefault="00DC7402" w:rsidP="00DC7402">
      <w:pPr>
        <w:spacing w:after="0"/>
        <w:rPr>
          <w:b/>
        </w:rPr>
      </w:pPr>
    </w:p>
    <w:p w14:paraId="1657B3A5" w14:textId="5721FF8A" w:rsidR="00D21858" w:rsidRDefault="00D21858" w:rsidP="00DC7402">
      <w:pPr>
        <w:spacing w:after="0"/>
        <w:rPr>
          <w:b/>
        </w:rPr>
      </w:pPr>
    </w:p>
    <w:p w14:paraId="4E552B7F" w14:textId="3472833A" w:rsidR="00D21858" w:rsidRDefault="00D21858" w:rsidP="00DC7402">
      <w:pPr>
        <w:spacing w:after="0"/>
        <w:rPr>
          <w:b/>
        </w:rPr>
      </w:pPr>
    </w:p>
    <w:p w14:paraId="2821049D" w14:textId="7EADBFBB" w:rsidR="00D21858" w:rsidRDefault="00D21858" w:rsidP="00DC7402">
      <w:pPr>
        <w:spacing w:after="0"/>
        <w:rPr>
          <w:b/>
        </w:rPr>
      </w:pPr>
    </w:p>
    <w:p w14:paraId="6AA174BF" w14:textId="4F08C17E" w:rsidR="00D21858" w:rsidRDefault="00D21858" w:rsidP="00DC7402">
      <w:pPr>
        <w:spacing w:after="0"/>
        <w:rPr>
          <w:b/>
        </w:rPr>
      </w:pPr>
    </w:p>
    <w:p w14:paraId="1DF3CD27" w14:textId="77777777" w:rsidR="00D21858" w:rsidRDefault="00D21858" w:rsidP="00DC7402">
      <w:pPr>
        <w:spacing w:after="0"/>
        <w:rPr>
          <w:b/>
        </w:rPr>
      </w:pPr>
    </w:p>
    <w:p w14:paraId="3A2C7691" w14:textId="77777777" w:rsidR="00D21858" w:rsidRDefault="00D21858" w:rsidP="00DC7402">
      <w:pPr>
        <w:spacing w:after="0"/>
        <w:rPr>
          <w:b/>
        </w:rPr>
      </w:pPr>
    </w:p>
    <w:p w14:paraId="2CFC82CB" w14:textId="77777777" w:rsidR="00DC7402" w:rsidRDefault="00DC7402" w:rsidP="00DC7402">
      <w:pPr>
        <w:spacing w:after="0"/>
        <w:rPr>
          <w:b/>
        </w:rPr>
      </w:pPr>
      <w:r w:rsidRPr="00D0501E">
        <w:rPr>
          <w:b/>
        </w:rPr>
        <w:t xml:space="preserve">Dale Robbennolt </w:t>
      </w:r>
    </w:p>
    <w:p w14:paraId="6E3265A8" w14:textId="77777777" w:rsidR="00DC7402" w:rsidRPr="00AA05CA" w:rsidRDefault="00DC7402" w:rsidP="00DC7402">
      <w:pPr>
        <w:spacing w:after="0"/>
        <w:rPr>
          <w:bCs/>
        </w:rPr>
      </w:pPr>
      <w:r w:rsidRPr="00AA05CA">
        <w:rPr>
          <w:bCs/>
        </w:rPr>
        <w:t xml:space="preserve">The University of Texas at Austin </w:t>
      </w:r>
    </w:p>
    <w:p w14:paraId="1E72DBEA" w14:textId="77777777" w:rsidR="00DC7402" w:rsidRPr="00AA05CA" w:rsidRDefault="00DC7402" w:rsidP="00DC7402">
      <w:pPr>
        <w:spacing w:after="0"/>
        <w:rPr>
          <w:bCs/>
        </w:rPr>
      </w:pPr>
      <w:r w:rsidRPr="00AA05CA">
        <w:rPr>
          <w:bCs/>
        </w:rPr>
        <w:t xml:space="preserve">Department of Civil, Architectural and Environmental Engineering </w:t>
      </w:r>
    </w:p>
    <w:p w14:paraId="376B597B" w14:textId="77777777" w:rsidR="00DC7402" w:rsidRPr="00AA05CA" w:rsidRDefault="00DC7402" w:rsidP="00DC7402">
      <w:pPr>
        <w:spacing w:after="0"/>
        <w:rPr>
          <w:bCs/>
        </w:rPr>
      </w:pPr>
      <w:r w:rsidRPr="00AA05CA">
        <w:rPr>
          <w:bCs/>
        </w:rPr>
        <w:t xml:space="preserve">301 E. Dean Keeton St. Stop C1761, Austin TX 78712, USA </w:t>
      </w:r>
    </w:p>
    <w:p w14:paraId="2C548360" w14:textId="77777777" w:rsidR="00DC7402" w:rsidRDefault="00DC7402" w:rsidP="00DC7402">
      <w:pPr>
        <w:spacing w:after="0"/>
        <w:rPr>
          <w:bCs/>
        </w:rPr>
      </w:pPr>
      <w:r w:rsidRPr="00AA05CA">
        <w:rPr>
          <w:bCs/>
        </w:rPr>
        <w:t xml:space="preserve">Email: dar4836@utexas.edu </w:t>
      </w:r>
    </w:p>
    <w:p w14:paraId="046C11D7" w14:textId="77777777" w:rsidR="00B3211D" w:rsidRDefault="00B3211D" w:rsidP="00DC7402">
      <w:pPr>
        <w:spacing w:after="0"/>
        <w:rPr>
          <w:bCs/>
        </w:rPr>
      </w:pPr>
    </w:p>
    <w:p w14:paraId="035B11DE" w14:textId="15DD16DD" w:rsidR="00B3211D" w:rsidRDefault="00B3211D" w:rsidP="00B3211D">
      <w:pPr>
        <w:spacing w:after="0"/>
        <w:rPr>
          <w:b/>
        </w:rPr>
      </w:pPr>
      <w:r>
        <w:rPr>
          <w:b/>
        </w:rPr>
        <w:t>Anna Beliveau</w:t>
      </w:r>
    </w:p>
    <w:p w14:paraId="57C928CB" w14:textId="77777777" w:rsidR="00B3211D" w:rsidRPr="00AA05CA" w:rsidRDefault="00B3211D" w:rsidP="00B3211D">
      <w:pPr>
        <w:spacing w:after="0"/>
        <w:rPr>
          <w:bCs/>
        </w:rPr>
      </w:pPr>
      <w:r w:rsidRPr="00AA05CA">
        <w:rPr>
          <w:bCs/>
        </w:rPr>
        <w:t xml:space="preserve">The University of Texas at Austin </w:t>
      </w:r>
    </w:p>
    <w:p w14:paraId="5B2EE7F5" w14:textId="77777777" w:rsidR="00B3211D" w:rsidRPr="00AA05CA" w:rsidRDefault="00B3211D" w:rsidP="00B3211D">
      <w:pPr>
        <w:spacing w:after="0"/>
        <w:rPr>
          <w:bCs/>
        </w:rPr>
      </w:pPr>
      <w:r w:rsidRPr="00AA05CA">
        <w:rPr>
          <w:bCs/>
        </w:rPr>
        <w:t xml:space="preserve">Department of Civil, Architectural and Environmental Engineering </w:t>
      </w:r>
    </w:p>
    <w:p w14:paraId="318597A4" w14:textId="77777777" w:rsidR="00B3211D" w:rsidRPr="00AA05CA" w:rsidRDefault="00B3211D" w:rsidP="00B3211D">
      <w:pPr>
        <w:spacing w:after="0"/>
        <w:rPr>
          <w:bCs/>
        </w:rPr>
      </w:pPr>
      <w:r w:rsidRPr="00AA05CA">
        <w:rPr>
          <w:bCs/>
        </w:rPr>
        <w:t xml:space="preserve">301 E. Dean Keeton St. Stop C1761, Austin TX 78712, USA </w:t>
      </w:r>
    </w:p>
    <w:p w14:paraId="15AB9E94" w14:textId="1ADF3A6A" w:rsidR="00B3211D" w:rsidRPr="00AA05CA" w:rsidRDefault="00B3211D" w:rsidP="00DC7402">
      <w:pPr>
        <w:spacing w:after="0"/>
        <w:rPr>
          <w:bCs/>
        </w:rPr>
      </w:pPr>
      <w:r w:rsidRPr="00AA05CA">
        <w:rPr>
          <w:bCs/>
        </w:rPr>
        <w:t xml:space="preserve">Email: </w:t>
      </w:r>
      <w:r w:rsidR="0086050B" w:rsidRPr="0086050B">
        <w:rPr>
          <w:bCs/>
        </w:rPr>
        <w:t>annabeliveau</w:t>
      </w:r>
      <w:r w:rsidRPr="00AA05CA">
        <w:rPr>
          <w:bCs/>
        </w:rPr>
        <w:t xml:space="preserve">@utexas.edu </w:t>
      </w:r>
    </w:p>
    <w:p w14:paraId="6FB16F7A" w14:textId="77777777" w:rsidR="00DC7402" w:rsidRDefault="00DC7402" w:rsidP="00DC7402">
      <w:pPr>
        <w:spacing w:after="0"/>
        <w:rPr>
          <w:b/>
        </w:rPr>
      </w:pPr>
    </w:p>
    <w:p w14:paraId="050E8593" w14:textId="77777777" w:rsidR="00DC7402" w:rsidRDefault="00DC7402" w:rsidP="00DC7402">
      <w:pPr>
        <w:spacing w:after="0"/>
        <w:rPr>
          <w:b/>
        </w:rPr>
      </w:pPr>
      <w:r w:rsidRPr="00D0501E">
        <w:rPr>
          <w:b/>
        </w:rPr>
        <w:t xml:space="preserve">Chandra R. Bhat (corresponding author) </w:t>
      </w:r>
    </w:p>
    <w:p w14:paraId="19271253" w14:textId="77777777" w:rsidR="00DC7402" w:rsidRPr="00AA05CA" w:rsidRDefault="00DC7402" w:rsidP="00DC7402">
      <w:pPr>
        <w:spacing w:after="0"/>
        <w:rPr>
          <w:bCs/>
        </w:rPr>
      </w:pPr>
      <w:r w:rsidRPr="00AA05CA">
        <w:rPr>
          <w:bCs/>
        </w:rPr>
        <w:t xml:space="preserve">The University of Texas at Austin </w:t>
      </w:r>
    </w:p>
    <w:p w14:paraId="0AF6BD4B" w14:textId="77777777" w:rsidR="00DC7402" w:rsidRPr="00AA05CA" w:rsidRDefault="00DC7402" w:rsidP="00DC7402">
      <w:pPr>
        <w:spacing w:after="0"/>
        <w:rPr>
          <w:bCs/>
        </w:rPr>
      </w:pPr>
      <w:r w:rsidRPr="00AA05CA">
        <w:rPr>
          <w:bCs/>
        </w:rPr>
        <w:t xml:space="preserve">Department of Civil, Architectural and Environmental Engineering </w:t>
      </w:r>
    </w:p>
    <w:p w14:paraId="36C89022" w14:textId="77777777" w:rsidR="00DC7402" w:rsidRPr="00AA05CA" w:rsidRDefault="00DC7402" w:rsidP="00DC7402">
      <w:pPr>
        <w:spacing w:after="0"/>
        <w:rPr>
          <w:bCs/>
        </w:rPr>
      </w:pPr>
      <w:r w:rsidRPr="00AA05CA">
        <w:rPr>
          <w:bCs/>
        </w:rPr>
        <w:t xml:space="preserve">301 E. Dean Keeton St. Stop C1761, Austin TX 78712, USA </w:t>
      </w:r>
    </w:p>
    <w:p w14:paraId="474E306F" w14:textId="77777777" w:rsidR="00DC7402" w:rsidRPr="00AA05CA" w:rsidRDefault="00DC7402" w:rsidP="00DC7402">
      <w:pPr>
        <w:spacing w:after="0"/>
        <w:rPr>
          <w:bCs/>
        </w:rPr>
      </w:pPr>
      <w:r w:rsidRPr="00AA05CA">
        <w:rPr>
          <w:bCs/>
        </w:rPr>
        <w:t>Tel: +1-512-471-4535; Email: bhat@mail.utexas.edu</w:t>
      </w:r>
    </w:p>
    <w:p w14:paraId="5B802A0A" w14:textId="4DD9C9B8" w:rsidR="00F60E57" w:rsidRDefault="00F60E57">
      <w:pPr>
        <w:rPr>
          <w:b/>
        </w:rPr>
      </w:pPr>
      <w:r>
        <w:rPr>
          <w:b/>
        </w:rPr>
        <w:br w:type="page"/>
      </w:r>
    </w:p>
    <w:p w14:paraId="6F8FB342" w14:textId="77777777" w:rsidR="00F60E57" w:rsidRDefault="00F60E57" w:rsidP="00DE4E50">
      <w:pPr>
        <w:spacing w:after="0" w:line="240" w:lineRule="auto"/>
        <w:jc w:val="both"/>
        <w:rPr>
          <w:b/>
        </w:rPr>
      </w:pPr>
      <w:r>
        <w:rPr>
          <w:b/>
        </w:rPr>
        <w:lastRenderedPageBreak/>
        <w:t>ABSTRACT</w:t>
      </w:r>
    </w:p>
    <w:p w14:paraId="292C9842" w14:textId="20C22FC3" w:rsidR="00F60E57" w:rsidRDefault="00D24539" w:rsidP="001D5007">
      <w:pPr>
        <w:spacing w:after="0" w:line="240" w:lineRule="auto"/>
        <w:jc w:val="both"/>
        <w:rPr>
          <w:bCs/>
        </w:rPr>
      </w:pPr>
      <w:r>
        <w:t>P</w:t>
      </w:r>
      <w:r w:rsidR="0030362F">
        <w:t xml:space="preserve">hysical </w:t>
      </w:r>
      <w:r w:rsidR="00387D0B">
        <w:t xml:space="preserve">out-of-home (OH) activity </w:t>
      </w:r>
      <w:r w:rsidR="0030362F">
        <w:t>accessibility has been studied extensively in the transportation sector</w:t>
      </w:r>
      <w:r w:rsidR="00367982">
        <w:t>,</w:t>
      </w:r>
      <w:r w:rsidR="00322B1B">
        <w:t xml:space="preserve"> </w:t>
      </w:r>
      <w:r>
        <w:t xml:space="preserve">but </w:t>
      </w:r>
      <w:r w:rsidR="00322B1B">
        <w:t>the</w:t>
      </w:r>
      <w:r w:rsidR="00367982">
        <w:t xml:space="preserve"> recent growth in virtual</w:t>
      </w:r>
      <w:r w:rsidR="00387D0B">
        <w:t xml:space="preserve"> online</w:t>
      </w:r>
      <w:r w:rsidR="00367982">
        <w:t xml:space="preserve"> activit</w:t>
      </w:r>
      <w:r w:rsidR="007A5BCF">
        <w:t>ies</w:t>
      </w:r>
      <w:r w:rsidR="00367982">
        <w:t xml:space="preserve"> </w:t>
      </w:r>
      <w:r w:rsidR="00A6733C">
        <w:t xml:space="preserve">highlights the need to consider the </w:t>
      </w:r>
      <w:r w:rsidR="001C507D">
        <w:t>rich interplay</w:t>
      </w:r>
      <w:r w:rsidR="00A6733C">
        <w:t xml:space="preserve"> between physical and virtual </w:t>
      </w:r>
      <w:r w:rsidR="001C507D">
        <w:t>activity participation</w:t>
      </w:r>
      <w:r w:rsidR="00A6733C">
        <w:t xml:space="preserve">. </w:t>
      </w:r>
      <w:r w:rsidR="001C507D">
        <w:t>In particular, t</w:t>
      </w:r>
      <w:r w:rsidR="00FF5AFA">
        <w:t>elework</w:t>
      </w:r>
      <w:r w:rsidR="00A6733C">
        <w:t xml:space="preserve"> and delivery services </w:t>
      </w:r>
      <w:r w:rsidR="00367982">
        <w:t>present</w:t>
      </w:r>
      <w:r w:rsidR="00A6733C">
        <w:t xml:space="preserve"> </w:t>
      </w:r>
      <w:r w:rsidR="001722B3">
        <w:t xml:space="preserve">opportunities </w:t>
      </w:r>
      <w:r w:rsidR="007A5BCF">
        <w:t xml:space="preserve">for new modalities of </w:t>
      </w:r>
      <w:r w:rsidR="001C507D">
        <w:t xml:space="preserve">activity </w:t>
      </w:r>
      <w:r w:rsidR="00A6733C">
        <w:t>access</w:t>
      </w:r>
      <w:r w:rsidR="007A5BCF">
        <w:t xml:space="preserve">, </w:t>
      </w:r>
      <w:r w:rsidR="004C355B">
        <w:t xml:space="preserve">potentially </w:t>
      </w:r>
      <w:r w:rsidR="007A5BCF">
        <w:t xml:space="preserve">expanding </w:t>
      </w:r>
      <w:r w:rsidR="001C507D">
        <w:t xml:space="preserve">activity </w:t>
      </w:r>
      <w:r w:rsidR="004C355B">
        <w:t>opportunities</w:t>
      </w:r>
      <w:r w:rsidR="007A5BCF">
        <w:t xml:space="preserve"> for those with limited physical accessibility. </w:t>
      </w:r>
      <w:r w:rsidR="001C507D">
        <w:t>In this paper</w:t>
      </w:r>
      <w:r w:rsidR="001722B3">
        <w:t xml:space="preserve">, using data from the 2022 National Household Travel Survey, we investigate </w:t>
      </w:r>
      <w:r w:rsidR="00387D0B">
        <w:t>(a) the intensity (and heterogeneity across individuals in this intensity) of discord between how much individuals would like to partake in physical OH participation and how much they actually are able to (we refer to this discord as physical participation dissonance or PPD), (b) the subjective reasons for PPD (c) the intensity of, and heterogeneity across individuals in virtual participation (measured by the intensity of teleworking and home deliveries), and (d) whether or not virtual participation reduces or increases PPD</w:t>
      </w:r>
      <w:r w:rsidR="00B71551">
        <w:t>, and by how much</w:t>
      </w:r>
      <w:r w:rsidR="00387D0B">
        <w:t xml:space="preserve">. </w:t>
      </w:r>
      <w:r w:rsidR="001722B3">
        <w:t xml:space="preserve">Our results reveal that </w:t>
      </w:r>
      <w:r w:rsidR="00B71551">
        <w:t xml:space="preserve">individuals from </w:t>
      </w:r>
      <w:r w:rsidR="00316201">
        <w:t xml:space="preserve">zero-worker </w:t>
      </w:r>
      <w:r w:rsidR="00B71551">
        <w:t>households</w:t>
      </w:r>
      <w:r w:rsidR="00316201">
        <w:t xml:space="preserve">, </w:t>
      </w:r>
      <w:r w:rsidR="00522A5F">
        <w:t xml:space="preserve">households with </w:t>
      </w:r>
      <w:r w:rsidR="00B71551">
        <w:t xml:space="preserve">fewer vehicles than drivers, </w:t>
      </w:r>
      <w:r w:rsidR="001722B3">
        <w:t xml:space="preserve">low-income </w:t>
      </w:r>
      <w:r w:rsidR="00B71551">
        <w:t>households</w:t>
      </w:r>
      <w:r w:rsidR="001722B3">
        <w:t xml:space="preserve">, </w:t>
      </w:r>
      <w:r w:rsidR="00B71551">
        <w:t>rent</w:t>
      </w:r>
      <w:r w:rsidR="00316201">
        <w:t>ing households</w:t>
      </w:r>
      <w:r w:rsidR="00B71551">
        <w:t xml:space="preserve">, and </w:t>
      </w:r>
      <w:r w:rsidR="00522A5F">
        <w:t xml:space="preserve">households </w:t>
      </w:r>
      <w:r w:rsidR="00B71551">
        <w:t xml:space="preserve">residing in rural areas all manifest a higher PPD, as do older individuals, </w:t>
      </w:r>
      <w:r w:rsidR="001722B3">
        <w:t xml:space="preserve">racial minorities, </w:t>
      </w:r>
      <w:r w:rsidR="00B71551">
        <w:t xml:space="preserve">non-drivers, </w:t>
      </w:r>
      <w:r w:rsidR="001722B3">
        <w:t xml:space="preserve">and individuals with medical conditions. We find significant heterogeneity in the reasons for experiencing </w:t>
      </w:r>
      <w:r w:rsidR="004A7B2D">
        <w:t>PPD</w:t>
      </w:r>
      <w:r w:rsidR="00522A5F">
        <w:t xml:space="preserve"> and in virtual participation</w:t>
      </w:r>
      <w:r w:rsidR="001722B3">
        <w:t xml:space="preserve">. Finally, </w:t>
      </w:r>
      <w:r w:rsidR="004A7B2D">
        <w:t>virtual</w:t>
      </w:r>
      <w:r w:rsidR="001722B3">
        <w:t xml:space="preserve"> </w:t>
      </w:r>
      <w:r w:rsidR="004A7B2D">
        <w:t>participation</w:t>
      </w:r>
      <w:r w:rsidR="008565C1">
        <w:t xml:space="preserve"> </w:t>
      </w:r>
      <w:r w:rsidR="001722B3">
        <w:t>do</w:t>
      </w:r>
      <w:r w:rsidR="004A7B2D">
        <w:t>es</w:t>
      </w:r>
      <w:r w:rsidR="001722B3">
        <w:t xml:space="preserve"> seem to help reduce </w:t>
      </w:r>
      <w:r w:rsidR="004A7B2D">
        <w:t xml:space="preserve">PPD </w:t>
      </w:r>
      <w:r w:rsidR="001722B3">
        <w:t xml:space="preserve">for those </w:t>
      </w:r>
      <w:r w:rsidR="004A7B2D">
        <w:t xml:space="preserve">in households with fewer vehicles than drivers, women, older adults, and individuals </w:t>
      </w:r>
      <w:r w:rsidR="001722B3">
        <w:t>with medical conditions</w:t>
      </w:r>
      <w:r w:rsidR="004A7B2D">
        <w:t>,</w:t>
      </w:r>
      <w:r w:rsidR="001722B3">
        <w:t xml:space="preserve"> but </w:t>
      </w:r>
      <w:r w:rsidR="004A7B2D">
        <w:t>is not effective</w:t>
      </w:r>
      <w:r w:rsidR="00522A5F">
        <w:t xml:space="preserve"> in</w:t>
      </w:r>
      <w:r w:rsidR="004A7B2D">
        <w:t xml:space="preserve"> reduc</w:t>
      </w:r>
      <w:r w:rsidR="00522A5F">
        <w:t>ing</w:t>
      </w:r>
      <w:r w:rsidR="004A7B2D">
        <w:t xml:space="preserve"> PPD</w:t>
      </w:r>
      <w:r w:rsidR="001722B3">
        <w:t xml:space="preserve"> for those </w:t>
      </w:r>
      <w:r w:rsidR="00316201">
        <w:t xml:space="preserve">in low-income, renting, and rural-residing households, as well as for </w:t>
      </w:r>
      <w:r w:rsidR="001722B3" w:rsidRPr="00206544">
        <w:t>racial minorities</w:t>
      </w:r>
      <w:r w:rsidR="00316201">
        <w:t xml:space="preserve"> and non-drivers</w:t>
      </w:r>
      <w:r w:rsidR="001722B3" w:rsidRPr="00206544">
        <w:t xml:space="preserve">. </w:t>
      </w:r>
      <w:r w:rsidR="00F703B7">
        <w:t xml:space="preserve">These </w:t>
      </w:r>
      <w:r w:rsidR="008565C1">
        <w:t xml:space="preserve">findings </w:t>
      </w:r>
      <w:r w:rsidR="00BF4233">
        <w:t xml:space="preserve">suggest a growing need to consider the relationship between physical and virtual </w:t>
      </w:r>
      <w:r w:rsidR="00221E1C">
        <w:t>participation</w:t>
      </w:r>
      <w:r>
        <w:t>,</w:t>
      </w:r>
      <w:r w:rsidR="00221E1C">
        <w:t xml:space="preserve"> and</w:t>
      </w:r>
      <w:r w:rsidR="001D5007">
        <w:t xml:space="preserve"> provi</w:t>
      </w:r>
      <w:r w:rsidR="00316201">
        <w:t>de</w:t>
      </w:r>
      <w:r w:rsidR="001D5007">
        <w:t xml:space="preserve"> insights </w:t>
      </w:r>
      <w:r w:rsidR="00316201">
        <w:t xml:space="preserve">for policymakers and transportation planners </w:t>
      </w:r>
      <w:r w:rsidR="001D5007">
        <w:t xml:space="preserve">to </w:t>
      </w:r>
      <w:r w:rsidR="00316201">
        <w:t xml:space="preserve">improve overall activity accessibility (including </w:t>
      </w:r>
      <w:r w:rsidR="001D5007">
        <w:t>expand</w:t>
      </w:r>
      <w:r w:rsidR="00316201">
        <w:t>ing</w:t>
      </w:r>
      <w:r w:rsidR="001D5007">
        <w:t xml:space="preserve"> access to virtual opportunities</w:t>
      </w:r>
      <w:r w:rsidR="00316201">
        <w:t>)</w:t>
      </w:r>
      <w:r w:rsidR="001D5007">
        <w:t xml:space="preserve"> for disadvantaged populations. </w:t>
      </w:r>
    </w:p>
    <w:p w14:paraId="1E14EC43" w14:textId="77777777" w:rsidR="00F60E57" w:rsidRDefault="00F60E57" w:rsidP="00DE4E50">
      <w:pPr>
        <w:spacing w:after="0" w:line="240" w:lineRule="auto"/>
        <w:jc w:val="both"/>
        <w:rPr>
          <w:bCs/>
        </w:rPr>
      </w:pPr>
    </w:p>
    <w:p w14:paraId="6EAE83A6" w14:textId="325F79E9" w:rsidR="00F60E57" w:rsidRPr="00451BD5" w:rsidRDefault="00DE48AE" w:rsidP="00DE4E50">
      <w:pPr>
        <w:spacing w:after="0" w:line="240" w:lineRule="auto"/>
        <w:jc w:val="both"/>
        <w:rPr>
          <w:bCs/>
        </w:rPr>
      </w:pPr>
      <w:r>
        <w:rPr>
          <w:b/>
        </w:rPr>
        <w:t>Keywords</w:t>
      </w:r>
      <w:r w:rsidR="00FF5AFA">
        <w:rPr>
          <w:b/>
        </w:rPr>
        <w:t xml:space="preserve">: </w:t>
      </w:r>
      <w:r w:rsidR="000E3859" w:rsidRPr="00451BD5">
        <w:rPr>
          <w:bCs/>
        </w:rPr>
        <w:t xml:space="preserve">Perceived Accessibility, </w:t>
      </w:r>
      <w:r w:rsidR="00FF4DE5">
        <w:rPr>
          <w:bCs/>
        </w:rPr>
        <w:t xml:space="preserve">Physical and </w:t>
      </w:r>
      <w:r w:rsidR="000E3859" w:rsidRPr="00451BD5">
        <w:rPr>
          <w:bCs/>
        </w:rPr>
        <w:t xml:space="preserve">Virtual </w:t>
      </w:r>
      <w:r w:rsidR="00451BD5">
        <w:rPr>
          <w:bCs/>
        </w:rPr>
        <w:t>Activities</w:t>
      </w:r>
      <w:r w:rsidR="00451BD5" w:rsidRPr="00451BD5">
        <w:rPr>
          <w:bCs/>
        </w:rPr>
        <w:t xml:space="preserve">, </w:t>
      </w:r>
      <w:r w:rsidR="005A5C46">
        <w:rPr>
          <w:bCs/>
        </w:rPr>
        <w:t xml:space="preserve">Dissonance, </w:t>
      </w:r>
      <w:r w:rsidR="005D3443">
        <w:rPr>
          <w:bCs/>
        </w:rPr>
        <w:t>T</w:t>
      </w:r>
      <w:r w:rsidR="00D05FE0">
        <w:rPr>
          <w:bCs/>
        </w:rPr>
        <w:t xml:space="preserve">ransportation Equity, </w:t>
      </w:r>
      <w:r w:rsidR="00451BD5" w:rsidRPr="00451BD5">
        <w:rPr>
          <w:bCs/>
        </w:rPr>
        <w:t>Social Exclusion</w:t>
      </w:r>
    </w:p>
    <w:p w14:paraId="0CFF001B" w14:textId="77777777" w:rsidR="00FF5AFA" w:rsidRDefault="00FF5AFA" w:rsidP="00DE4E50">
      <w:pPr>
        <w:spacing w:after="0" w:line="240" w:lineRule="auto"/>
        <w:jc w:val="both"/>
        <w:rPr>
          <w:b/>
        </w:rPr>
      </w:pPr>
    </w:p>
    <w:p w14:paraId="6E5855A0" w14:textId="5B3BEC33" w:rsidR="00FF5AFA" w:rsidRPr="00FF5AFA" w:rsidRDefault="00FF5AFA" w:rsidP="00DE4E50">
      <w:pPr>
        <w:spacing w:after="0" w:line="240" w:lineRule="auto"/>
        <w:jc w:val="both"/>
        <w:rPr>
          <w:bCs/>
        </w:rPr>
        <w:sectPr w:rsidR="00FF5AFA" w:rsidRPr="00FF5AFA" w:rsidSect="00651843">
          <w:pgSz w:w="12240" w:h="15840"/>
          <w:pgMar w:top="1440" w:right="1440" w:bottom="1440" w:left="1440" w:header="720" w:footer="720" w:gutter="0"/>
          <w:cols w:space="720"/>
          <w:docGrid w:linePitch="360"/>
        </w:sectPr>
      </w:pPr>
    </w:p>
    <w:p w14:paraId="392D1D9A" w14:textId="0616AC07" w:rsidR="00071A0C" w:rsidRDefault="00034DB1" w:rsidP="00DE4E50">
      <w:pPr>
        <w:spacing w:after="0" w:line="240" w:lineRule="auto"/>
        <w:jc w:val="both"/>
      </w:pPr>
      <w:r>
        <w:rPr>
          <w:b/>
        </w:rPr>
        <w:lastRenderedPageBreak/>
        <w:t xml:space="preserve">1. </w:t>
      </w:r>
      <w:r w:rsidR="00DC7402">
        <w:rPr>
          <w:b/>
        </w:rPr>
        <w:t>INTRODUCTION</w:t>
      </w:r>
      <w:r w:rsidR="00C40EF7">
        <w:rPr>
          <w:b/>
        </w:rPr>
        <w:t xml:space="preserve"> </w:t>
      </w:r>
    </w:p>
    <w:p w14:paraId="28638083" w14:textId="383502CB" w:rsidR="009B1F2B" w:rsidRDefault="00F337C1" w:rsidP="00DE4E50">
      <w:pPr>
        <w:spacing w:after="0" w:line="240" w:lineRule="auto"/>
        <w:jc w:val="both"/>
      </w:pPr>
      <w:r>
        <w:t>Transportation a</w:t>
      </w:r>
      <w:r w:rsidR="009B1F2B">
        <w:t>ccessibility</w:t>
      </w:r>
      <w:r>
        <w:t xml:space="preserve"> plays a</w:t>
      </w:r>
      <w:r w:rsidR="00522A5F">
        <w:t>n important</w:t>
      </w:r>
      <w:r>
        <w:t xml:space="preserve"> role in </w:t>
      </w:r>
      <w:r w:rsidR="0039587B">
        <w:t xml:space="preserve">an individual’s ability to consume goods and services, as well as partake in out-of-home </w:t>
      </w:r>
      <w:r w:rsidR="006D30AE">
        <w:t xml:space="preserve">(OH) </w:t>
      </w:r>
      <w:r w:rsidR="0039587B">
        <w:t>activities</w:t>
      </w:r>
      <w:r w:rsidR="00522A5F">
        <w:t xml:space="preserve">, which then </w:t>
      </w:r>
      <w:r w:rsidR="0039587B">
        <w:t xml:space="preserve">has implications for economic </w:t>
      </w:r>
      <w:r w:rsidR="00DC69B3">
        <w:t>and</w:t>
      </w:r>
      <w:r w:rsidR="0039587B">
        <w:t xml:space="preserve"> health</w:t>
      </w:r>
      <w:r w:rsidR="00DC69B3">
        <w:t>-related</w:t>
      </w:r>
      <w:r w:rsidR="0039587B">
        <w:t xml:space="preserve"> well-bei</w:t>
      </w:r>
      <w:r w:rsidR="0039587B" w:rsidRPr="00B826B9">
        <w:t xml:space="preserve">ng. For instance, from an </w:t>
      </w:r>
      <w:r w:rsidR="0039587B" w:rsidRPr="00B826B9">
        <w:rPr>
          <w:u w:val="single"/>
        </w:rPr>
        <w:t>economic</w:t>
      </w:r>
      <w:r w:rsidR="0039587B" w:rsidRPr="00D21858">
        <w:t xml:space="preserve"> </w:t>
      </w:r>
      <w:r w:rsidR="0039587B" w:rsidRPr="00B826B9">
        <w:t>standpoint, access to employment centers is critical for stable employment</w:t>
      </w:r>
      <w:r w:rsidR="00B826B9" w:rsidRPr="00B826B9">
        <w:t xml:space="preserve"> and</w:t>
      </w:r>
      <w:r w:rsidR="00522A5F" w:rsidRPr="00B826B9">
        <w:t xml:space="preserve"> </w:t>
      </w:r>
      <w:r w:rsidR="0039587B" w:rsidRPr="00B826B9">
        <w:t xml:space="preserve">many studies have demonstrated that individuals with higher employment accessibility have improved labor market potential </w:t>
      </w:r>
      <w:r w:rsidR="0039587B" w:rsidRPr="00B826B9">
        <w:fldChar w:fldCharType="begin"/>
      </w:r>
      <w:r w:rsidR="0039587B" w:rsidRPr="00B826B9">
        <w:instrText xml:space="preserve"> ADDIN ZOTERO_ITEM CSL_CITATION {"citationID":"YexgUYjL","properties":{"formattedCitation":"(\\uc0\\u197{}slund et al., 2010; Hu, 2017)","plainCitation":"(Åslund et al., 2010; Hu, 2017)","dontUpdate":true,"noteIndex":0},"citationItems":[{"id":2117,"uris":["http://zotero.org/users/12832277/items/K9UI2Q69"],"itemData":{"id":2117,"type":"article-journal","abstract":"We study the impact of job proximity on individual employment and earnings. The analysis exploits a Swedish refugee dispersal policy to obtain exogenous variation in individual locations. Using very detailed data on the exact location of all residences and workplaces in Sweden, we find that having been placed in a location with poor job access in 1990–1991 adversely affected employment in 1999. Doubling the number of jobs in the initial location in 1990–1991 is associated with 2.9 percentage points higher employment probability in 1999. Considering that the 1999 employment rate was 43% among the refugees, this is a considerable effect. The analysis suggests that residential sorting leads to underestimation of the impact of job access.","container-title":"Journal of Economic Geography","DOI":"10.1093/jeg/lbp040","ISSN":"1468-2702","issue":"3","page":"389-422","source":"Silverchair","title":"How Important Is Access to Jobs? Old Question—Improved Answer","volume":"10","author":[{"family":"Åslund","given":"Olof"},{"family":"Östh","given":"John"},{"family":"Zenou","given":"Yves"}],"issued":{"date-parts":[["2010",5,1]]}}},{"id":2115,"uris":["http://zotero.org/users/12832277/items/ZRP6JNET"],"itemData":{"id":2115,"type":"article-journal","abstract":"Improving job accessibility can increase the probability for individual persons to be employed and reduce their commutes. Empirical research suggests that the relationship between job accessibility and employment outcomes differ across income groups, but no research has investigated the difference or explored which income groups benefit the most from job accessibility improvements. This research fills the gap by examining six income groups in the Los Angeles metropolitan area. Results show that job accessibility affects the employment status of medium-to-low income groups (household income between US$25,000 and US$75,000). For the lowest-income group (household income lower than US$25,000), owning a car significantly improves their chances to be employed, but job accessibility has no effect. On the other hand, higher job accessibility is associated with shorter commuting distance for the other five income groups, but not for the lowest-income group. These results suggest that transportation and land use policies need to address the specific needs of distinct population groups and underscore the importance of spatial access for the middle-class, which tends to be overlooked in the literature on transportation equity.","container-title":"Transportation","DOI":"10.1007/s11116-016-9708-4","ISSN":"1572-9435","issue":"6","language":"en","page":"1421-1443","source":"Springer Link","title":"Job Accessibility and Employment Outcomes: Which Income Groups Benefit the Most?","volume":"44","author":[{"family":"Hu","given":"Lingqian"}],"issued":{"date-parts":[["2017",11,1]]}}}],"schema":"https://github.com/citation-style-language/schema/raw/master/csl-citation.json"} </w:instrText>
      </w:r>
      <w:r w:rsidR="0039587B" w:rsidRPr="00B826B9">
        <w:fldChar w:fldCharType="separate"/>
      </w:r>
      <w:r w:rsidR="0039587B" w:rsidRPr="00B826B9">
        <w:t>(see Åslund et al., 2010; Hu, 2017)</w:t>
      </w:r>
      <w:r w:rsidR="0039587B" w:rsidRPr="00B826B9">
        <w:fldChar w:fldCharType="end"/>
      </w:r>
      <w:r w:rsidR="0039587B" w:rsidRPr="00B826B9">
        <w:t xml:space="preserve">. Access to a greater number of jobs can also serve as a proxy for the broader set of </w:t>
      </w:r>
      <w:r w:rsidR="009648C6" w:rsidRPr="00B826B9">
        <w:t xml:space="preserve">activity location </w:t>
      </w:r>
      <w:r w:rsidR="0039587B" w:rsidRPr="00B826B9">
        <w:t>attractions</w:t>
      </w:r>
      <w:r w:rsidR="0039587B" w:rsidRPr="00347801">
        <w:t xml:space="preserve"> that th</w:t>
      </w:r>
      <w:r w:rsidR="0039587B">
        <w:t>ose</w:t>
      </w:r>
      <w:r w:rsidR="0039587B" w:rsidRPr="00347801">
        <w:t xml:space="preserve"> jobs provide, </w:t>
      </w:r>
      <w:r w:rsidR="0039587B">
        <w:t xml:space="preserve">such as retail </w:t>
      </w:r>
      <w:r w:rsidR="009648C6">
        <w:t>sites</w:t>
      </w:r>
      <w:r w:rsidR="0039587B">
        <w:t xml:space="preserve">, restaurants, services, and social/leisure activities </w:t>
      </w:r>
      <w:r w:rsidR="0039587B">
        <w:fldChar w:fldCharType="begin"/>
      </w:r>
      <w:r w:rsidR="0039587B">
        <w:instrText xml:space="preserve"> ADDIN ZOTERO_ITEM CSL_CITATION {"citationID":"UIaibAP7","properties":{"formattedCitation":"(Kapatsila et al., 2023)","plainCitation":"(Kapatsila et al., 2023)","noteIndex":0},"citationItems":[{"id":2148,"uris":["http://zotero.org/users/12832277/items/WG7BQE3Z"],"itemData":{"id":2148,"type":"article-journal","abstract":"There is a lack of agreement regarding the theoretical framework that practitioners should use for accessibility assessment – a measure of transport and land-use systems performance. Cumulative measures are simple and easy to interpret, while gravity-based measures are more sophisticated, resourceful, and less intuitive approaches. As such, this study aims to investigate whether the estimates of a simple cumulative opportunity measure are significantly different from those made using advanced gravity-based measures to understand if the former can be a substitute for the latter in practice and if a certain threshold of travel time can be recommended for different regions. We estimated cumulative and gravity-based accessibility using decay-probability density functions, decay-cumulative density functions, Gaussian, and a Log-Logistic decay-cumulative density functions using census commuting flows, car congested travel time and public transit schedules from eight metropolitan regions across Canada – Toronto, Montreal, Vancouver, Edmonton, Quebec City, Winnipeg, London, and Halifax. These measures of accessibility were tested for correlation, and we found that a coefficient of approximately 0.90 is reached when the threshold to calculate cumulative opportunities accessibility is set to the average commute time for both low- and non-low-wage jobs accessibility analyses by transit and motor vehicles. The paper provides evidence to support the reliability of cumulative accessibility, facilitates its broader adoption for evaluation of transport and land use interactions in North American cities, as well as opens opportunities to advance the equitable distribution of transport system benefits.","container-title":"Journal of Transport Geography","DOI":"10.1016/j.jtrangeo.2023.103530","ISSN":"0966-6923","source":"ScienceDirect","title":"Resolving the Accessibility Dilemma: Comparing Cumulative and Gravity-Based Measures of Accessibility in Eight Canadian Cities","URL":"https://www.sciencedirect.com/science/article/pii/S0966692323000029","volume":"107","author":[{"family":"Kapatsila","given":"Bogdan"},{"family":"Palacios","given":"Manuel Santana"},{"family":"Grisé","given":"Emily"},{"family":"El-Geneidy","given":"Ahmed"}],"accessed":{"date-parts":[["2024",1,24]]},"issued":{"date-parts":[["2023",2,1]]}}}],"schema":"https://github.com/citation-style-language/schema/raw/master/csl-citation.json"} </w:instrText>
      </w:r>
      <w:r w:rsidR="0039587B">
        <w:fldChar w:fldCharType="separate"/>
      </w:r>
      <w:r w:rsidR="0039587B" w:rsidRPr="00036E2C">
        <w:t>(Kapatsila et al., 2023)</w:t>
      </w:r>
      <w:r w:rsidR="0039587B">
        <w:fldChar w:fldCharType="end"/>
      </w:r>
      <w:r w:rsidR="0039587B">
        <w:t xml:space="preserve">, </w:t>
      </w:r>
      <w:r w:rsidR="006D30AE">
        <w:t xml:space="preserve">further contributing to economic well-being through the elevated potential to be involved in productive income-generating </w:t>
      </w:r>
      <w:r w:rsidR="009648C6">
        <w:t>pursuits</w:t>
      </w:r>
      <w:r w:rsidR="006D30AE">
        <w:t xml:space="preserve">. From a </w:t>
      </w:r>
      <w:r w:rsidR="006D30AE" w:rsidRPr="00DC69B3">
        <w:rPr>
          <w:u w:val="single"/>
        </w:rPr>
        <w:t>health well-being</w:t>
      </w:r>
      <w:r w:rsidR="006D30AE">
        <w:t xml:space="preserve"> standpoint, the increased ability to consume</w:t>
      </w:r>
      <w:r w:rsidR="0039587B">
        <w:t xml:space="preserve"> good</w:t>
      </w:r>
      <w:r w:rsidR="006D30AE">
        <w:t>s/</w:t>
      </w:r>
      <w:r w:rsidR="0039587B">
        <w:t>services</w:t>
      </w:r>
      <w:r w:rsidR="00DD3E3D">
        <w:t>,</w:t>
      </w:r>
      <w:r w:rsidR="0039587B">
        <w:t xml:space="preserve"> and </w:t>
      </w:r>
      <w:r w:rsidR="006D30AE">
        <w:t>participate relatively easily (from both a time and cost standpoint) in desired OH activities of interest</w:t>
      </w:r>
      <w:r w:rsidR="00DD3E3D">
        <w:t>,</w:t>
      </w:r>
      <w:r w:rsidR="006D30AE">
        <w:t xml:space="preserve"> can promote</w:t>
      </w:r>
      <w:r w:rsidR="00DD3E3D">
        <w:t xml:space="preserve"> </w:t>
      </w:r>
      <w:r w:rsidR="006D30AE">
        <w:t>a sense of life fulfilment</w:t>
      </w:r>
      <w:r w:rsidR="00EB5D1F">
        <w:t xml:space="preserve">, </w:t>
      </w:r>
      <w:r w:rsidR="009648C6">
        <w:t xml:space="preserve">reduce </w:t>
      </w:r>
      <w:r w:rsidR="00EB5D1F">
        <w:t xml:space="preserve">stress, </w:t>
      </w:r>
      <w:r w:rsidR="006D30AE">
        <w:t xml:space="preserve">and </w:t>
      </w:r>
      <w:r w:rsidR="009648C6">
        <w:t xml:space="preserve">engender </w:t>
      </w:r>
      <w:r w:rsidR="006D30AE">
        <w:t xml:space="preserve">social </w:t>
      </w:r>
      <w:r w:rsidR="00DD3E3D">
        <w:t>in</w:t>
      </w:r>
      <w:r w:rsidR="006D30AE">
        <w:t xml:space="preserve">clusion </w:t>
      </w:r>
      <w:r w:rsidR="006D30AE">
        <w:fldChar w:fldCharType="begin"/>
      </w:r>
      <w:r w:rsidR="00DC69B3">
        <w:instrText xml:space="preserve"> ADDIN ZOTERO_ITEM CSL_CITATION {"citationID":"P4C38psk","properties":{"unsorted":true,"formattedCitation":"(Sen, 2000; Preston and Raj\\uc0\\u233{}, 2007; Currie et al., 2010; Bantis and Haworth, 2020; Luz and Portugal, 2022)","plainCitation":"(Sen, 2000; Preston and Rajé, 2007; Currie et al., 2010; Bantis and Haworth, 2020; Luz and Portugal, 2022)","noteIndex":0},"citationItems":[{"id":2166,"uris":["http://zotero.org/users/12832277/items/QJ98KM7K"],"itemData":{"id":2166,"type":"report","event-place":"Manila, Philippines","note":"publisher: Citeseer","number":"Social Development Papers No. 1","publisher":"Office of Environment and Social Development, Asian Development Bank","publisher-place":"Manila, Philippines","source":"Google Scholar","title":"Social exclusion: Concept, application, and scrutiny","title-short":"Social exclusion","URL":"https://citeseerx.ist.psu.edu/document?repid=rep1&amp;type=pdf&amp;doi=b45a19cadd11628fbac9caa13600de8b14ee805f","author":[{"family":"Sen","given":"Amartya"}],"accessed":{"date-parts":[["2024",1,31]]},"issued":{"date-parts":[["2000",6]]}}},{"id":2168,"uris":["http://zotero.org/users/12832277/items/WP5D9PER"],"itemData":{"id":2168,"type":"article-journal","abstract":"This paper briefly reviews the inexorable rise of the social exclusion policy paradigm and uses an adaptation of Amartya Sen’s theory of entitlement to determine appropriate policy responses. In particular, the promotion by the UK Department for Transport of accessibility planning is examined. Although this initiative is not totally without merit, the resulting analysis may be too aggregate, both spatially and socially. The weakness of such an approach is that transport-related social exclusion is not always a socially and spatially concentrated process. Instead we suggest a matrix of area accessibility, area mobility and individual mobility as a possible schema for identifying concentrated and scattered manifestations of social exclusion and inclusion and for suggesting appropriate policy responses. This schema helps produce a more spatially and socially differentiated conceptualisation of social exclusion, helps identify policy responses and most critically highlights that the problems of the socially excluded immobile should not be analysed in isolation from the socially included mobile.","container-title":"Journal of Transport Geography","DOI":"10.1016/j.jtrangeo.2006.05.002","ISSN":"0966-6923","issue":"3","page":"151-160","source":"ScienceDirect","title":"Accessibility, Mobility and Transport-Related Social Exclusion","volume":"15","author":[{"family":"Preston","given":"John"},{"family":"Rajé","given":"Fiona"}],"issued":{"date-parts":[["2007",5,1]]}}},{"id":2382,"uris":["http://zotero.org/users/12832277/items/JJPWSB43"],"itemData":{"id":2382,"type":"article-journal","abstract":"This paper updates results of an international study aimed at quantifying the links between transport disadvantage (TD), social exclusion (SE) and well-being (WB) in Melbourne, Australia. The study extends knowledge associated with SE and transport by quantify social and behavioural implications of lack of public and private transport and the nature of the social WB benefits associated with improving services. Study aims and methodology are outlined. Recent findings covered relate to car ownership on the urban fringe, patterns of transport disadvantage, the analysis of time poverty related to transport disadvantage, measuring the economic value of additional mobility and use of a Structural Equation Model (SEM) to relate WB and SE to TD and a series of explanatory factors. Overall results suggest that those without a car on the urban fringe adjust well with their circumstances by living close to activity centres. They demonstrate sustainable choices, trading off budgets and home location to balance mobility and accessibility. Poorer households with high car ownership value mobility and cheaper more remote fringe dwellings but demonstrate numerous strategies to reduce high car costs which are acknowledged as a significant burden. Analysis identifies 4 key types of transport disadvantage including a ‘vulnerable/impaired’ group which should be of much greater concern for targeted policy than others due to poor scoring on SE and WB scales. The economic value of new mobility is also explored with results suggesting $AUD 20 per average new trip which is four times larger than conventional values for generated travel. Analysis has also suggested that transport disadvantage can relate to socially advantaged as well as socially disadvantaged groups through time poverty. This was found to be an important mitigating factor when relating TD to WB. A statistically reliable structural equation model is developed suggesting the SE-WB link is strong (−.87) with a modest link between TD-SE (.27). Areas for future research in the project are also summarised.","collection-title":"Reforming Public Transport throughout the World","container-title":"Research in Transportation Economics","DOI":"10.1016/j.retrec.2010.07.036","ISSN":"0739-8859","issue":"1","page":"287-295","source":"ScienceDirect","title":"Investigating Links Between Transport Disadvantage, Social Exclusion and Well-Being in Melbourne – Updated Results","volume":"29","author":[{"family":"Currie","given":"Grahama"},{"family":"Richardson","given":"Tony"},{"family":"Smyth","given":"Paul"},{"family":"Vella-Brodrick","given":"Dianne"},{"family":"Hine","given":"Julian"},{"family":"Lucas","given":"Karen"},{"family":"Stanley","given":"Janet"},{"family":"Morris","given":"Jenny"},{"family":"Kinnear","given":"Ray"},{"family":"Stanley","given":"John"}],"issued":{"date-parts":[["2010",1,1]]}}},{"id":3383,"uris":["http://zotero.org/users/12832277/items/GVXFRQCX"],"itemData":{"id":3383,"type":"article-journal","abstract":"Accessibility is considered to be a valuable concept that can be used to generate insights on issues related to social exclusion due to limited access to transport options. Recently, researchers have attempted to link accessibility with popular theories of social justice such as Amartya Sen's Capabilities Approach (CA). Such studies have set the theoretical foundations on the way accessibility can be expressed through the CA, however, attempts to operationalise this approach remain fragmented and predominantly qualitative in nature. In this study, a novel framework of expressing accessibility at the level of an individual is proposed, based on the basic elements of the CA. In particular, dynamic Bayesian networks are used to express the causal relationship between capabilities, functionings, personal and environmental characteristics. This is done by introducing informative Dirichlet prior distributions constructed using data from traditional mobility surveys, modelling the transition probabilities with data related to place based characteristics and defining an observation model from unlabelled mobility data and places of interest (POI). We demonstrate the usefulness of the proposed framework by assessing the equality levels and their link to transport related social exclusion of different population groups in London, using unlabelled, service provider generated mobility data.","container-title":"Journal of Transport Geography","DOI":"10.1016/j.jtrangeo.2020.102673","ISSN":"0966-6923","source":"ScienceDirect","title":"Assessing Transport Related Social Exclusion Using a Capabilities Approach to Accessibility Framework: A Dynamic Bayesian Network Approach","URL":"https://www.sciencedirect.com/science/article/pii/S096669231930701X","volume":"84","author":[{"family":"Bantis","given":"Thanos"},{"family":"Haworth","given":"James"}],"accessed":{"date-parts":[["2024",5,30]]},"issued":{"date-parts":[["2020",4,1]]}}},{"id":3386,"uris":["http://zotero.org/users/12832277/items/Y62UMXI8"],"itemData":{"id":3386,"type":"article-journal","abstract":"The paper builds on the transport-related social exclusion (TRSE) literature and investigates how the insights provided by the Capability Approach can help to inform inclusive transport planning. To address the literature lack of conceptual clarity, we provided a framework that considers how individuals may be prevented from travelling and accessing valued opportunities and how this may lead to TRSE. Ten different dimensions of TRSE that individuals may experience are suggested. Although some dimensions were already proposed in past work, we contributed to this framework by expanding their scope and proposing a new dimension. The paper concludes that policies aimed at reducing TRSE should be concerned with increasing the capabilities of those in accessibility poverty to a sufficient level that enables individuals’ participation in key opportunities of the society. We identified that not every accessibility measure is suitable for assessing TRSE, and the selection of measures must pay attention to their alignment with the idea of accessibility as a human capability. We recommend that conducting an aggregated analysis may be helpful to identify a suitable accessibility measure and to identify regions at risk of TRSE; however, to have a deep understanding of an individual’s TRSE risk factors, a bottom-up analysis is necessary.","container-title":"Transport Reviews","DOI":"10.1080/01441647.2021.2005183","ISSN":"0144-1647","issue":"4","note":"publisher: Routledge\n_eprint: https://doi.org/10.1080/01441647.2021.2005183","page":"503–525","source":"Taylor and Francis+NEJM","title":"Understanding Transport-Related Social Exclusion Through the Lens of Capabilities Approach","volume":"42","author":[{"family":"Luz","given":"Gregório"},{"family":"Portugal","given":"Licinio"}],"issued":{"date-parts":[["2022",7,4]]}}}],"schema":"https://github.com/citation-style-language/schema/raw/master/csl-citation.json"} </w:instrText>
      </w:r>
      <w:r w:rsidR="006D30AE">
        <w:fldChar w:fldCharType="separate"/>
      </w:r>
      <w:r w:rsidR="00DC69B3" w:rsidRPr="00DC69B3">
        <w:t>(Sen, 2000; Preston and Rajé, 2007; Currie et al., 2010; Bantis and Haworth, 2020; Luz and Portugal, 2022)</w:t>
      </w:r>
      <w:r w:rsidR="006D30AE">
        <w:fldChar w:fldCharType="end"/>
      </w:r>
      <w:r w:rsidR="006D30AE">
        <w:t>.</w:t>
      </w:r>
      <w:r w:rsidR="00EB5D1F">
        <w:t xml:space="preserve"> </w:t>
      </w:r>
    </w:p>
    <w:p w14:paraId="673E1F5B" w14:textId="356EA1A0" w:rsidR="004E007B" w:rsidRDefault="002C506E" w:rsidP="002C506E">
      <w:pPr>
        <w:spacing w:after="0" w:line="240" w:lineRule="auto"/>
        <w:jc w:val="both"/>
      </w:pPr>
      <w:r>
        <w:tab/>
        <w:t xml:space="preserve">Since the 1950s, </w:t>
      </w:r>
      <w:r w:rsidR="00EB5D1F">
        <w:t xml:space="preserve">transportation accessibility </w:t>
      </w:r>
      <w:r w:rsidR="00A63BD1">
        <w:t xml:space="preserve">to OH activities </w:t>
      </w:r>
      <w:r w:rsidR="00EB5D1F">
        <w:t xml:space="preserve">has been captured through objective measures, primarily in the form of </w:t>
      </w:r>
      <w:r w:rsidR="003C6FED">
        <w:t xml:space="preserve">highway </w:t>
      </w:r>
      <w:r>
        <w:t xml:space="preserve">travel time costs of reaching </w:t>
      </w:r>
      <w:r w:rsidR="00EB5D1F">
        <w:t xml:space="preserve">activity locations </w:t>
      </w:r>
      <w:r>
        <w:t xml:space="preserve">and the relative attractiveness of those </w:t>
      </w:r>
      <w:r w:rsidR="00EB5D1F">
        <w:t>locations</w:t>
      </w:r>
      <w:r>
        <w:t xml:space="preserve"> </w:t>
      </w:r>
      <w:r>
        <w:fldChar w:fldCharType="begin"/>
      </w:r>
      <w:r w:rsidR="00DC69B3">
        <w:instrText xml:space="preserve"> ADDIN ZOTERO_ITEM CSL_CITATION {"citationID":"1BYv4bsm","properties":{"formattedCitation":"(Hansen, 1959)","plainCitation":"(Hansen, 1959)","noteIndex":0},"citationItems":[{"id":1884,"uris":["http://zotero.org/users/12832277/items/M2BMXNN7"],"itemData":{"id":1884,"type":"article-journal","abstract":"An empirical examination of the residential development patterns illustrates that accessibility and the availability of vacant developable land can be used as the basis of a residential land use model. The author presents an operational definition and suggests a method for determining accessibility patterns within metropolitan areas. This is a process of distributing forecasted metropolitan population to small areas within the metropolitan region. Although the model presented is not yet sufficiently well refined for estimating purposes, the concept and the approach may be potentially useful tools for metropolitan planning purposes.","container-title":"Journal of the American Institute of Planners","DOI":"10.1080/01944365908978307","ISSN":"0002-8991","issue":"2","note":"publisher: Routledge\n_eprint: https://doi.org/10.1080/01944365908978307","page":"73-76","source":"Taylor and Francis+NEJM","title":"How Accessibility Shapes Land Use","volume":"25","author":[{"family":"Hansen","given":"Walter G."}],"issued":{"date-parts":[["1959",5,1]]}}}],"schema":"https://github.com/citation-style-language/schema/raw/master/csl-citation.json"} </w:instrText>
      </w:r>
      <w:r>
        <w:fldChar w:fldCharType="separate"/>
      </w:r>
      <w:r w:rsidR="00DC69B3" w:rsidRPr="00DC69B3">
        <w:t>(Hansen, 1959)</w:t>
      </w:r>
      <w:r>
        <w:fldChar w:fldCharType="end"/>
      </w:r>
      <w:r>
        <w:t>. More r</w:t>
      </w:r>
      <w:r w:rsidR="003D5193">
        <w:t xml:space="preserve">ecently, </w:t>
      </w:r>
      <w:r>
        <w:t xml:space="preserve">this has grown into the concept of </w:t>
      </w:r>
      <w:r w:rsidR="003C6FED">
        <w:t xml:space="preserve">multi-modal </w:t>
      </w:r>
      <w:r>
        <w:t>perceived</w:t>
      </w:r>
      <w:r w:rsidR="003C6FED">
        <w:t xml:space="preserve"> </w:t>
      </w:r>
      <w:r>
        <w:t>accessibility</w:t>
      </w:r>
      <w:r w:rsidR="003C6FED">
        <w:t xml:space="preserve"> (MPA)</w:t>
      </w:r>
      <w:r>
        <w:t xml:space="preserve">, a broader multidimensional concept based </w:t>
      </w:r>
      <w:r w:rsidR="003C6FED">
        <w:t>not simply on objective measures</w:t>
      </w:r>
      <w:r w:rsidR="00BE5520">
        <w:t xml:space="preserve"> of reach to OH activities</w:t>
      </w:r>
      <w:r>
        <w:t xml:space="preserve">, </w:t>
      </w:r>
      <w:r w:rsidR="003C6FED">
        <w:t xml:space="preserve">but expanding to the consideration of </w:t>
      </w:r>
      <w:r>
        <w:t>the availability</w:t>
      </w:r>
      <w:r w:rsidR="003C6FED">
        <w:t>/</w:t>
      </w:r>
      <w:r>
        <w:t xml:space="preserve">quality of </w:t>
      </w:r>
      <w:r w:rsidR="003C6FED">
        <w:t>alternative</w:t>
      </w:r>
      <w:r>
        <w:t xml:space="preserve"> transportation modes and </w:t>
      </w:r>
      <w:r w:rsidR="009648C6">
        <w:t xml:space="preserve">individual </w:t>
      </w:r>
      <w:r w:rsidR="00DD3E3D">
        <w:t xml:space="preserve">perceptions of the </w:t>
      </w:r>
      <w:r>
        <w:t>transportation system</w:t>
      </w:r>
      <w:r w:rsidR="00A90438">
        <w:t xml:space="preserve"> </w:t>
      </w:r>
      <w:r w:rsidR="00A90438">
        <w:fldChar w:fldCharType="begin"/>
      </w:r>
      <w:r w:rsidR="00DC69B3">
        <w:instrText xml:space="preserve"> ADDIN ZOTERO_ITEM CSL_CITATION {"citationID":"n8NCHj0T","properties":{"unsorted":true,"formattedCitation":"(Miller, 2018; Levine et al., 2019; Handy, 2020; Siddiq and Taylor, 2021)","plainCitation":"(Miller, 2018; Levine et al., 2019; Handy, 2020; Siddiq and Taylor, 2021)","noteIndex":0},"citationItems":[{"id":1903,"uris":["http://zotero.org/users/12832277/items/EVVCV5SH"],"itemData":{"id":1903,"type":"article-journal","container-title":"Transport Reviews","DOI":"10.1080/01441647.2018.1492778","ISSN":"0144-1647","issue":"5","note":"publisher: Routledge\n_eprint: https://doi.org/10.1080/01441647.2018.1492778","page":"551-555","source":"Taylor and Francis+NEJM","title":"Accessibility: Measurement and Application in Transportation Planning","volume":"38","author":[{"family":"Miller","given":"Eric J."}],"issued":{"date-parts":[["2018",9,3]]}}},{"id":1907,"uris":["http://zotero.org/users/12832277/items/8H3V49W6"],"itemData":{"id":1907,"type":"book","publisher":"Cornell University Press","source":"Google Scholar","title":"From Mobility to Accessibility: Transforming Urban Transportation and Land-Use Planning","URL":"https://books.google.com/books?hl=en&amp;lr=&amp;id=OjmUDwAAQBAJ&amp;oi=fnd&amp;pg=PR7&amp;ots=o_fUi-4hFp&amp;sig=KVCEnUR03kK5iFAUrAuRFQ2O0v0","author":[{"family":"Levine","given":"Jonathan"},{"family":"Grengs","given":"Joe"},{"family":"Merlin","given":"Louis A."}],"accessed":{"date-parts":[["2024",1,15]]},"issued":{"date-parts":[["2019"]]}}},{"id":1900,"uris":["http://zotero.org/users/12832277/items/THGIRM87"],"itemData":{"id":1900,"type":"article-journal","abstract":"The idea that accessibility is the true goal for transportation planning goes back many decades, starting with notable writings in the 1950s, followed by a flurry of writings in the 1970s. Since then considerable academic work has gone into the development of accessibility measures, but their use in transportation planning is not yet pervasive. In this essay, I reflect on why progress toward the wholesale adoption of an accessibility-oriented approach in planning practice has been slow, review some of the promising efforts in recent years that suggest that transportation planning may be on the cusp of an accessibility era, and offer thoughts about the power of the accessibility concept as a framework for thinking about the urban environment.","container-title":"Transportation Research Part D: Transport and Environment","DOI":"10.1016/j.trd.2020.102319","ISSN":"1361-9209","source":"ScienceDirect","title":"Is Accessibility an Idea Whose Time Has Finally Come?","URL":"https://www.sciencedirect.com/science/article/pii/S1361920919315925","volume":"83","author":[{"family":"Handy","given":"Susan"}],"accessed":{"date-parts":[["2024",1,15]]},"issued":{"date-parts":[["2020",6,1]]}}},{"id":1905,"uris":["http://zotero.org/users/12832277/items/ESLMA3S6"],"itemData":{"id":1905,"type":"article-journal","container-title":"Journal of the American Planning Association","DOI":"10.1080/01944363.2021.1899036","ISSN":"0194-4363","issue":"4","note":"publisher: Routledge\n_eprint: https://doi.org/10.1080/01944363.2021.1899036","page":"497-511","source":"Taylor and Francis+NEJM","title":"Tools of the Trade?","volume":"87","author":[{"family":"Siddiq","given":"Fariba"},{"family":"Taylor","given":"Brian D."}],"issued":{"date-parts":[["2021",10,2]]}}}],"schema":"https://github.com/citation-style-language/schema/raw/master/csl-citation.json"} </w:instrText>
      </w:r>
      <w:r w:rsidR="00A90438">
        <w:fldChar w:fldCharType="separate"/>
      </w:r>
      <w:r w:rsidR="00DC69B3" w:rsidRPr="00DC69B3">
        <w:t>(Miller, 2018; Levine et al., 2019; Handy, 2020; Siddiq and Taylor, 2021)</w:t>
      </w:r>
      <w:r w:rsidR="00A90438">
        <w:fldChar w:fldCharType="end"/>
      </w:r>
      <w:r w:rsidR="00C732FE">
        <w:t xml:space="preserve">. </w:t>
      </w:r>
      <w:r>
        <w:t>In particular, this broader notion of</w:t>
      </w:r>
      <w:r w:rsidR="00750201">
        <w:t xml:space="preserve"> </w:t>
      </w:r>
      <w:r w:rsidR="003C6FED">
        <w:t xml:space="preserve">MPA </w:t>
      </w:r>
      <w:r>
        <w:t xml:space="preserve">includes subjective factors </w:t>
      </w:r>
      <w:r w:rsidR="00430741">
        <w:t>that</w:t>
      </w:r>
      <w:r>
        <w:t xml:space="preserve"> account for</w:t>
      </w:r>
      <w:r w:rsidR="00430741">
        <w:t xml:space="preserve"> </w:t>
      </w:r>
      <w:r w:rsidR="007C68F2">
        <w:t xml:space="preserve">an </w:t>
      </w:r>
      <w:r w:rsidR="00C340AA">
        <w:t>individual</w:t>
      </w:r>
      <w:r w:rsidR="007C68F2">
        <w:t>’s</w:t>
      </w:r>
      <w:r w:rsidR="00C340AA">
        <w:t xml:space="preserve"> abilities, personal experiences, travel attitudes,</w:t>
      </w:r>
      <w:r w:rsidR="007C68F2">
        <w:t xml:space="preserve"> and perceptions of travel options </w:t>
      </w:r>
      <w:r w:rsidR="00E206BE">
        <w:fldChar w:fldCharType="begin"/>
      </w:r>
      <w:r w:rsidR="00DC69B3">
        <w:instrText xml:space="preserve"> ADDIN ZOTERO_ITEM CSL_CITATION {"citationID":"JzpNSs5O","properties":{"unsorted":true,"formattedCitation":"(L\\uc0\\u228{}ttman et al., 2016; van der Vlugt et al., 2019; Tiznado-Aitken et al., 2020; De Vos et al., 2023)","plainCitation":"(Lättman et al., 2016; van der Vlugt et al., 2019; Tiznado-Aitken et al., 2020; De Vos et al., 2023)","noteIndex":0},"citationItems":[{"id":1910,"uris":["http://zotero.org/users/12832277/items/3NPHCZ8Q"],"itemData":{"id":1910,"type":"article-journal","abstract":"Katrin Lättman, Margareta Friman, Lars E. Olsson","container-title":"Social Inclusion","DOI":"10.17645/si.v4i3.481","ISSN":"2183-2803","issue":"3","language":"en","page":"36-45","source":"www.cogitatiopress.com","title":"Perceived Accessibility of Public Transport as a Potential Indicator of Social Inclusion","volume":"4","author":[{"family":"Lättman","given":"Katrin"},{"family":"Friman","given":"Margareta"},{"family":"Olsson","given":"Lars E."}],"issued":{"date-parts":[["2016",6,7]]}}},{"id":1916,"uris":["http://zotero.org/users/12832277/items/WWLGNE3D"],"itemData":{"id":1916,"type":"article-journal","abstract":"As a primary objective in transport planning urban neighbourhood accessibility plays an essential role in the sustainable transformation of cities and their infrastructure. In most studies, accessibility is objectively measured using aggregate travel time or generalised costs as an indicator of the separation of people from places. However, this approach does not reflect perceptions of residents, which ultimately shape mobility decisions and represent the “lived reality” of accessibility. This paper addresses this research gap, adding to a growing evidence base on understanding the relationship between perceived and objective measures of accessibility, and discusses opportunities for incorporating perceptions into measures of accessibility. We offer suggestions for how and why individual perceptions of accessibility differ from objective measures using data from Germany and the UK.","container-title":"Applied Mobilities","DOI":"10.1080/23800127.2019.1573450","ISSN":"2380-0127","issue":"2","note":"publisher: Routledge\n_eprint: https://doi.org/10.1080/23800127.2019.1573450","page":"142-162","source":"Taylor and Francis+NEJM","title":"What About the People? Developing Measures of Perceived Accessibility from Case Studies in Germany and the UK","volume":"4","author":[{"family":"Vlugt","given":"Anna-Lena","non-dropping-particle":"van der"},{"family":"Curl","given":"Angela"},{"family":"Wittowsky","given":"Dirk"}],"issued":{"date-parts":[["2019",5,4]]}}},{"id":1912,"uris":["http://zotero.org/users/12832277/items/BVEVMPY2"],"itemData":{"id":1912,"type":"article-journal","abstract":"The quantitative measurement of accessibility through public transport has become more complex and accurate over time. However, it lacks many of the deeper nuances of how people actually experience their travel environments. Our previous works have highlighted the importance of incorporating the lived travel experiences of passengers within accessibility indicators, considering the quality of the walking environment and different attributes of the public transport services. Building on these works, this mixed-method research seeks to further improve the characterization of accessibility according to users' travel experiences, as described by those attributes that inhibit or enhance access to opportunities within the city. We use content analysis of focus groups, data gathered in a brief survey and sociodemographic and public transport data for our analyses. Our main contributions are (i) to develop a conceptual framework to analyze qualitative data on how people relate and discuss their public transport accessibility experiences and (ii) to develop accessibility indicators differentiating user perceptions. We apply this novel conceptual framework and methods to the unique urban morphology of two municipalities of Santiago de Chile. We identified different ‘socially constructed’ narratives for buses and metro. The participants focused on barriers to accessibility, showing an important relationship between them, as well as substantial differences in their overarching positive perception of metro and negative for buses. However, when disaggregating the analysis by primary transport mode and location, we found ‘hidden’ values for buses, recognizing its capillarity and underlying connectivity with the metro system. Furthermore, we found a dissimilar perception of transport environments when disaggregating the analysis by gender, age and location, which translated into different accessibility profiles for the various public transport users. From these experiential qualitative perspectives, it was thus possible to determine some attributes that had been previously overlooked in more quantitative studies but which are important when analyzing public transport accessibility for different population groups.","container-title":"Journal of Transport Geography","DOI":"10.1016/j.jtrangeo.2020.102857","ISSN":"0966-6923","source":"ScienceDirect","title":"Understanding Accessibility Through Public Transport Users' Experiences: A Mixed Methods Approach","URL":"https://www.sciencedirect.com/science/article/pii/S0966692319306040","volume":"88","author":[{"family":"Tiznado-Aitken","given":"Ignacio"},{"family":"Lucas","given":"Karen"},{"family":"Muñoz","given":"Juan Carlos"},{"family":"Hurtubia","given":"Ricardo"}],"accessed":{"date-parts":[["2024",1,15]]},"issued":{"date-parts":[["2020",10,1]]}}},{"id":1908,"uris":["http://zotero.org/users/12832277/items/EUPYB3ZT"],"itemData":{"id":1908,"type":"article-journal","abstract":"For decades, accessibility – i.e. the ease of reaching destinations – has been an important concept in transport planning, resulting in many studies trying to measure it and put it into practice. Also walkability, a mode-specific type of accessibility referring to how easy it is to walk (to destinations) received increased attention in the last two decades. In recent years, a new focus has been on how people perceive their accessibility as this may be a stronger predictor of travel behaviour than objective elements of accessibility (such as built environment characteristics). Perceived walkability, i.e. how walk-friendly people experience a certain area, however, has only been explored by a limited number of studies. In this review paper, we give an overview of existing studies analysing perceived walkability, which mostly have focused on its effects on walking frequency/duration, physical activity and various aspects of mental well-being. Based on this literature review, a conceptual model is created, emphasising the determinants and effects of perceived walkability and how it is related to objective walkability. We end this paper by providing avenues for further research, including the introduction of a Short Perceived Walkability Scale (SPWS) and recommendations for data collection and analysis. Doing so can create new insights into perceived walkability and links with related elements, and therefore can contribute to stimulating walking trips and improving the experience of these trips.","container-title":"Transport Reviews","DOI":"10.1080/01441647.2022.2101072","ISSN":"0144-1647","issue":"2","note":"publisher: Routledge\n_eprint: https://doi.org/10.1080/01441647.2022.2101072","page":"303-324","source":"Taylor and Francis+NEJM","title":"Determinants and Effects of Perceived Walkability: A Literature Review, Conceptual Model and Research Agenda","volume":"43","author":[{"family":"De Vos","given":"Jonas"},{"family":"Lättman","given":"Katrin"},{"family":"Vlugt","given":"Anna-Lena","non-dropping-particle":"van der"},{"family":"Welsch","given":"Janina"},{"family":"Otsuka","given":"Noriko"}],"issued":{"date-parts":[["2023",3,4]]}}}],"schema":"https://github.com/citation-style-language/schema/raw/master/csl-citation.json"} </w:instrText>
      </w:r>
      <w:r w:rsidR="00E206BE">
        <w:fldChar w:fldCharType="separate"/>
      </w:r>
      <w:r w:rsidR="00DC69B3" w:rsidRPr="00DC69B3">
        <w:t>(Lättman et al., 2016; van der Vlugt et al., 2019; Tiznado-Aitken et al., 2020; De Vos et al., 2023)</w:t>
      </w:r>
      <w:r w:rsidR="00E206BE">
        <w:fldChar w:fldCharType="end"/>
      </w:r>
      <w:r w:rsidR="00CC3889">
        <w:t xml:space="preserve">. </w:t>
      </w:r>
      <w:r w:rsidR="003C6FED">
        <w:t>Examples include how an individual perceives safety from crashes, safety from crime, and cleanliness of different modal alternatives</w:t>
      </w:r>
      <w:r w:rsidR="00BE5520">
        <w:t>, based on the individual’s own health/disability conditions and personal prior experiences</w:t>
      </w:r>
      <w:r w:rsidR="008610CD">
        <w:t xml:space="preserve"> </w:t>
      </w:r>
      <w:r w:rsidR="008610CD">
        <w:fldChar w:fldCharType="begin"/>
      </w:r>
      <w:r w:rsidR="00DC69B3">
        <w:instrText xml:space="preserve"> ADDIN ZOTERO_ITEM CSL_CITATION {"citationID":"GNRgrfXC","properties":{"unsorted":true,"formattedCitation":"(Martens, 2016; Allen and Farber, 2020)","plainCitation":"(Martens, 2016; Allen and Farber, 2020)","noteIndex":0},"citationItems":[{"id":1926,"uris":["http://zotero.org/users/12832277/items/4FSA6BCK"],"itemData":{"id":1926,"type":"book","abstract":"Transport Justice develops a new paradigm for transportation planning based on principles of justice. Author Karel Martens starts from the observation that for the last fifty years the focus of transportation planning and policy has been on the performance of the transport system and ways to improve it, without much attention being paid to the persons actually using – or failing to use – that transport system. There are far-reaching consequences of this approach, with some enjoying the fruits of the improvements in the transport system, while others have experienced a substantial deterioration in their situation. The growing body of academic evidence on the resulting disparities in mobility and accessibility, have been paralleled by increasingly vocal calls for policy changes to address the inequities that have developed over time. Drawing on philosophies of social justice, Transport Justice argues that governments have the fundamental duty of providing virtually every person with adequate transportation and thus of mitigating the social disparities that have been created over the past decades.  Critical reading for transport planners and students of transportation planning, this book develops a new approach to transportation planning that takes people as its starting point, and justice as its end.","ISBN":"978-1-317-59958-6","language":"en","note":"Google-Books-ID: m0yTDAAAQBAJ","number-of-pages":"257","publisher":"Routledge","source":"Google Books","title":"Transport Justice: Designing Fair Transportation Systems","author":[{"family":"Martens","given":"Karel"}],"issued":{"date-parts":[["2016",7,1]]}}},{"id":1743,"uris":["http://zotero.org/users/12832277/items/UNPBDNB7"],"itemData":{"id":1743,"type":"article-journal","abstract":"Social equity is increasingly becoming an important objective in transport planning and project evaluation. This paper provides a framework and an empirical investigation in the Greater Toronto and Hamilton Area (GTHA) examining the links between public transit accessibility and the risks of social exclusion, simply understood as the suppressed ability to conduct daily activities at normal levels. Specifically, we use a large-sample travel survey to present a new transport-geography concept termed participation deserts, neighbourhood-level clusters of lower than expected activity participation. We then use multivariate models to estimate where, and for whom, improvements in transit accessibility will effectively increase activity participation and reduce risks of transport-related social exclusion. Our results show that neighbourhoods with high concentrations of low-income and zero-car households located outside of major transit corridors are the most sensitive to having improvements in accessibility increase daily activity participation rates. We contend that transit investments providing better connections to these neighbourhoods would have the greatest benefit in terms of alleviating existing inequalities and reducing the risks of social exclusion. The ability for transport investments to liberate suppressed activity participation is not currently being predicted or valued in existing transport evaluation methodologies, but there is great potential in doing so in order to capture the social equity benefits associated with increasing transit accessibility.","container-title":"Transportation Research Part D: Transport and Environment","DOI":"10.1016/j.trd.2019.102212","ISSN":"1361-9209","source":"ScienceDirect","title":"Planning Transport for Social Inclusion: An Accessibility-Activity Participation Approach","URL":"https://www.sciencedirect.com/science/article/pii/S1361920919308788","volume":"78","author":[{"family":"Allen","given":"Jeff"},{"family":"Farber","given":"Steven"}],"accessed":{"date-parts":[["2023",12,9]]},"issued":{"date-parts":[["2020",1,1]]}}}],"schema":"https://github.com/citation-style-language/schema/raw/master/csl-citation.json"} </w:instrText>
      </w:r>
      <w:r w:rsidR="008610CD">
        <w:fldChar w:fldCharType="separate"/>
      </w:r>
      <w:r w:rsidR="00DC69B3" w:rsidRPr="00DC69B3">
        <w:t>(Martens, 2016; Allen and Farber, 2020)</w:t>
      </w:r>
      <w:r w:rsidR="008610CD">
        <w:fldChar w:fldCharType="end"/>
      </w:r>
      <w:r w:rsidR="00AD2D44">
        <w:t>.</w:t>
      </w:r>
      <w:r w:rsidR="00942753">
        <w:t xml:space="preserve"> </w:t>
      </w:r>
      <w:r w:rsidR="000F508D">
        <w:t xml:space="preserve">From an equity perspective, it is important that these subjective factors </w:t>
      </w:r>
      <w:r w:rsidR="00BE5520">
        <w:t>be</w:t>
      </w:r>
      <w:r w:rsidR="000F508D">
        <w:t xml:space="preserve"> considered alongside </w:t>
      </w:r>
      <w:r w:rsidR="00BE5520">
        <w:t xml:space="preserve">objective </w:t>
      </w:r>
      <w:r w:rsidR="000F508D">
        <w:t>measures of accessibility</w:t>
      </w:r>
      <w:r w:rsidR="00BE5520">
        <w:t>,</w:t>
      </w:r>
      <w:r w:rsidR="000F508D">
        <w:t xml:space="preserve"> since they can play a significant role in traveler behavior, travel constraints, and potential social exclusion </w:t>
      </w:r>
      <w:r w:rsidR="000F508D">
        <w:fldChar w:fldCharType="begin"/>
      </w:r>
      <w:r w:rsidR="00DC69B3">
        <w:instrText xml:space="preserve"> ADDIN ZOTERO_ITEM CSL_CITATION {"citationID":"LwsvyX04","properties":{"unsorted":true,"formattedCitation":"(Lotfi and Koohsari, 2009; L\\uc0\\u228{}ttman et al., 2018; Lavieri et al., 2018; Pot et al., 2021)","plainCitation":"(Lotfi and Koohsari, 2009; Lättman et al., 2018; Lavieri et al., 2018; Pot et al., 2021)","noteIndex":0},"citationItems":[{"id":1948,"uris":["http://zotero.org/users/12832277/items/STURY4QQ"],"itemData":{"id":1948,"type":"article-journal","abstract":"The subject of urban quality of life and the promotion of its concept in particular, has always been the central focus of urban designers. This term is a multi-conceptual and dimensions. However most of the scholars have agreed that the concept consisted from two main dimensions; objective and subjective which these two approaches are used for its measuring. One of the important goals of urban designers is to create urban environment that all citizens have easy access to urban services, as accessibility reflects the quality of an urban environment. The present research intends to measure the public space accessibility by using objective approach in first and then by using the subjective approach for measuring in the study area to compare the results. The results revealed that there are considerable differences between objective and subjective measuring of urban quality of life in a urban space, therefore urban designers can not rely only on the results of objective measuring to understand such spaces for planning, if so, their attitudes towards urban spaces could not be an appropriate guide for explaining the quality of life for urban residents.","container-title":"Social Indicators Research","DOI":"10.1007/s11205-009-9438-5","ISSN":"1573-0921","issue":"3","language":"en","page":"417-435","source":"Springer Link","title":"Analyzing Accessibility Dimension of Urban Quality of Life: Where Urban Designers Face Duality Between Subjective and Objective Reading of Place","volume":"94","author":[{"family":"Lotfi","given":"Sedigheh"},{"family":"Koohsari","given":"M. J."}],"issued":{"date-parts":[["2009",12,1]]}}},{"id":1945,"uris":["http://zotero.org/users/12832277/items/WBNVSTCX"],"itemData":{"id":1945,"type":"article-journal","abstract":"Accessibility has conventionally been measured and evaluated ignoring user perceptions in favor of focusing on travel time and distance to a number of pre-determined destinations. Acknowledging this gap, we recently developed a scale for perceived accessibility PAC (Lättman, Friman, &amp; Olsson 2016b) aimed at capturing the individual perspective of accessibility with a certain travel mode. In this paper, we 1) further develop the PAC measure of perceived accessibility in order to capture how easy it is to live a satisfactory life with the help of the transport system, 2) compare levels of perceived accessibility between residential areas and main travel modes, and 3) compare residents’ perceived accessibility to the objective accessibility level for the same residential area. Data from 2711 residents of Malmö, Sweden show that perceived accessibility is consistently different from objective accessibility across 13 residential areas, with minor differences in levels of perceived accessibility between areas. Surprisingly, bicycle users rate their accessibility significantly higher than those who mainly use the car or public transport for daily travel, contrary to objective accessibility assumptions. These differences point at the importance of including perceived accessibility as a complementary tool when planning for and evaluating transport systems.","collection-title":"Competition and Ownership in Land Passenger Transport (selected papers from the Thredbo 15 conference)","container-title":"Research in Transportation Economics","DOI":"10.1016/j.retrec.2018.06.002","ISSN":"0739-8859","page":"501-511","source":"ScienceDirect","title":"A New Approach to Accessibility – Examining Perceived Accessibility in Contrast to Objectively Measured Accessibility in Daily Travel","volume":"69","author":[{"family":"Lättman","given":"Katrin"},{"family":"Olsson","given":"Lars E."},{"family":"Friman","given":"Margareta"}],"issued":{"date-parts":[["2018",9,1]]}}},{"id":2142,"uris":["http://zotero.org/users/12832277/items/XYAJ5E5M"],"itemData":{"id":2142,"type":"article-journal","abstract":"In this study, we propose a conceptual and analytic framework anchored on the concepts of physical and virtual accessibility (the “ease” with which opportunities or activities can be reached in the physical and in the virtual space, respectively) to investigate the rich interplay between virtual and physical activity engagements in multiple activity purposes, while controlling for information and communication technology (ICT) use measures, physical accessibility measures, and demographics. Our framework considers that activity-travel choices are consequences of individual, household, and work characteristics that are mediated by virtual accessibility and physical accessibility. As part of our analysis, we also analyze activity chaining characteristics during travel to study any fragmentation impacts caused by ICT use on activity engagement and scheduling. We use data from the 2011 and 2012 National Travel Survey in Great Britain and apply Bhat’s (2015) generalized heterogeneous data model (GHDM) to jointly model multiple activity and travel outcomes. Our results provide important insights for social welfare, work-life balance, and equity policies, and suggest that decisions regarding virtual activity participations and in-person out-of-home activity participations are determined as a package. Ignoring this package nature of choices can lead to misleading inferences about the effects of virtual activity participations on in-person out-of-home activity participations.","container-title":"Transportation Research Part A: Policy and Practice","DOI":"10.1016/j.tra.2018.08.042","ISSN":"0965-8564","page":"527-544","source":"ScienceDirect","title":"Using Virtual Accessibility and Physical Accessibility as Joint Predictors of Activity-Travel Behavior","volume":"118","author":[{"family":"Lavieri","given":"Patrícia S."},{"family":"Dai","given":"Qichun"},{"family":"Bhat","given":"Chandra R."}],"issued":{"date-parts":[["2018",12,1]]}}},{"id":1950,"uris":["http://zotero.org/users/12832277/items/F9E8DCUL"],"itemData":{"id":1950,"type":"article-journal","abstract":"Accessibility is usually evaluated using indicators calculated from spatial data. However, perceived accessibility, defined as the perceived potential to participate in spatially dispersed opportunities, is often poorly reflected by these calculated measures. This paper sets out to explain the mechanisms that lead to these mismatches. A conceptual model is constructed to establish what factors shape perceived accessibility. A schematic framework shows that mismatches between a calculated indicator and perceptions can stem from inaccuracies in awareness as well as from inaccuracies in the measure if the measure fails to take account of the subjective evaluations of accessibility components. When evaluating the performance of land-use and transport system configurations, calculated measures based on spatial and transport data only serve as proxies for how accessibility is actually experienced. This paper argues that bringing perceived accessibility to the fore of accessibility-based planning, by acknowledging and evaluating potential mismatches with calculated accessibility indicators, will advance the evolution from mobility-based to accessibility-based planning.","container-title":"Journal of Transport Geography","DOI":"10.1016/j.jtrangeo.2021.103090","ISSN":"0966-6923","source":"ScienceDirect","title":"Perceived Accessibility: What It Is and Why It Differs from Calculated Accessibility Measures Based on Spatial Data","URL":"https://www.sciencedirect.com/science/article/pii/S0966692321001435","volume":"94","author":[{"family":"Pot","given":"Felix Johan"},{"family":"Wee","given":"Bert","non-dropping-particle":"van"},{"family":"Tillema","given":"Taede"}],"accessed":{"date-parts":[["2024",1,17]]},"issued":{"date-parts":[["2021",6,1]]}}}],"schema":"https://github.com/citation-style-language/schema/raw/master/csl-citation.json"} </w:instrText>
      </w:r>
      <w:r w:rsidR="000F508D">
        <w:fldChar w:fldCharType="separate"/>
      </w:r>
      <w:r w:rsidR="00DC69B3" w:rsidRPr="00DC69B3">
        <w:t>(Lotfi and Koohsari, 2009; Lättman et al., 2018; Lavieri et al., 2018; Pot et al., 2021)</w:t>
      </w:r>
      <w:r w:rsidR="000F508D">
        <w:fldChar w:fldCharType="end"/>
      </w:r>
      <w:r w:rsidR="000F508D">
        <w:t>.</w:t>
      </w:r>
      <w:r w:rsidR="00B85827">
        <w:t xml:space="preserve"> </w:t>
      </w:r>
    </w:p>
    <w:p w14:paraId="01BFB661" w14:textId="4D9D3C77" w:rsidR="000348F6" w:rsidRDefault="009B1F2B" w:rsidP="00453B65">
      <w:pPr>
        <w:spacing w:after="0" w:line="240" w:lineRule="auto"/>
        <w:jc w:val="both"/>
      </w:pPr>
      <w:r>
        <w:tab/>
      </w:r>
      <w:r w:rsidR="00BE5520">
        <w:t xml:space="preserve">In recent years, another important </w:t>
      </w:r>
      <w:r w:rsidR="00DD3E3D">
        <w:t xml:space="preserve">activity accessibility </w:t>
      </w:r>
      <w:r w:rsidR="00BE5520">
        <w:t xml:space="preserve">factor </w:t>
      </w:r>
      <w:r w:rsidR="009648C6">
        <w:t xml:space="preserve">relates to virtual </w:t>
      </w:r>
      <w:r>
        <w:t>activity participation</w:t>
      </w:r>
      <w:r w:rsidR="00BE5520">
        <w:t xml:space="preserve">. </w:t>
      </w:r>
      <w:r w:rsidR="006402E9">
        <w:t xml:space="preserve">The interplay between physical in-person </w:t>
      </w:r>
      <w:r w:rsidR="00172FBB">
        <w:t xml:space="preserve">OH activity </w:t>
      </w:r>
      <w:r w:rsidR="006402E9">
        <w:t xml:space="preserve">participation </w:t>
      </w:r>
      <w:r w:rsidR="00172FBB">
        <w:t xml:space="preserve">(for ease, referred to simply as “physical participation” in the rest of this paper) </w:t>
      </w:r>
      <w:r w:rsidR="006402E9">
        <w:t>and online virtual participation</w:t>
      </w:r>
      <w:r w:rsidR="00172FBB">
        <w:t xml:space="preserve"> (for ease, referred to simply as “virtual participation” in the rest of this paper)</w:t>
      </w:r>
      <w:r w:rsidR="00DD3E3D">
        <w:t xml:space="preserve"> </w:t>
      </w:r>
      <w:r w:rsidR="00522A5F">
        <w:t>did</w:t>
      </w:r>
      <w:r w:rsidR="00DD3E3D">
        <w:t xml:space="preserve"> receive </w:t>
      </w:r>
      <w:r w:rsidR="006402E9">
        <w:t>attention even before the onset of the pandemic</w:t>
      </w:r>
      <w:r w:rsidR="00DC69B3">
        <w:t xml:space="preserve"> </w:t>
      </w:r>
      <w:r w:rsidR="00DC69B3">
        <w:fldChar w:fldCharType="begin"/>
      </w:r>
      <w:r w:rsidR="00374A3B">
        <w:instrText xml:space="preserve"> ADDIN ZOTERO_ITEM CSL_CITATION {"citationID":"t5cWGK4r","properties":{"unsorted":true,"formattedCitation":"(Lyons et al., 2008; Lavieri et al., 2018)","plainCitation":"(Lyons et al., 2008; Lavieri et al., 2018)","dontUpdate":true,"noteIndex":0},"citationItems":[{"id":3101,"uris":["http://zotero.org/users/12832277/items/GP8WJMBL"],"itemData":{"id":3101,"type":"chapter","abstract":"This chapter begins with a broad consideration of the issues associated with travel, communications and the relationships between them and thus possibilities","container-title":"The Implementation and Effectiveness of Transport Demand Management Measures","ISBN":"978-1-315-55679-6","note":"number-of-pages: 22","publisher":"Routledge","title":"The Substitution of Communications for Travel?","author":[{"family":"Lyons","given":"Glenn"},{"family":"Farag","given":"Sendy"},{"family":"Haddad","given":"Hebba"}],"issued":{"date-parts":[["2008"]]}}},{"id":2142,"uris":["http://zotero.org/users/12832277/items/XYAJ5E5M"],"itemData":{"id":2142,"type":"article-journal","abstract":"In this study, we propose a conceptual and analytic framework anchored on the concepts of physical and virtual accessibility (the “ease” with which opportunities or activities can be reached in the physical and in the virtual space, respectively) to investigate the rich interplay between virtual and physical activity engagements in multiple activity purposes, while controlling for information and communication technology (ICT) use measures, physical accessibility measures, and demographics. Our framework considers that activity-travel choices are consequences of individual, household, and work characteristics that are mediated by virtual accessibility and physical accessibility. As part of our analysis, we also analyze activity chaining characteristics during travel to study any fragmentation impacts caused by ICT use on activity engagement and scheduling. We use data from the 2011 and 2012 National Travel Survey in Great Britain and apply Bhat’s (2015) generalized heterogeneous data model (GHDM) to jointly model multiple activity and travel outcomes. Our results provide important insights for social welfare, work-life balance, and equity policies, and suggest that decisions regarding virtual activity participations and in-person out-of-home activity participations are determined as a package. Ignoring this package nature of choices can lead to misleading inferences about the effects of virtual activity participations on in-person out-of-home activity participations.","container-title":"Transportation Research Part A: Policy and Practice","DOI":"10.1016/j.tra.2018.08.042","ISSN":"0965-8564","page":"527-544","source":"ScienceDirect","title":"Using Virtual Accessibility and Physical Accessibility as Joint Predictors of Activity-Travel Behavior","volume":"118","author":[{"family":"Lavieri","given":"Patrícia S."},{"family":"Dai","given":"Qichun"},{"family":"Bhat","given":"Chandra R."}],"issued":{"date-parts":[["2018",12,1]]}}}],"schema":"https://github.com/citation-style-language/schema/raw/master/csl-citation.json"} </w:instrText>
      </w:r>
      <w:r w:rsidR="00DC69B3">
        <w:fldChar w:fldCharType="separate"/>
      </w:r>
      <w:r w:rsidR="00DC69B3" w:rsidRPr="00DC69B3">
        <w:t>(</w:t>
      </w:r>
      <w:r w:rsidR="00DC69B3">
        <w:t xml:space="preserve">see, for example, </w:t>
      </w:r>
      <w:r w:rsidR="00DC69B3" w:rsidRPr="00DC69B3">
        <w:t>Lyons et al., 2008; Lavieri et al., 2018)</w:t>
      </w:r>
      <w:r w:rsidR="00DC69B3">
        <w:fldChar w:fldCharType="end"/>
      </w:r>
      <w:r w:rsidR="009648C6">
        <w:t xml:space="preserve">. But this interplay </w:t>
      </w:r>
      <w:r w:rsidR="006402E9">
        <w:t>has taken on new significance in the aftermath of the pandemic</w:t>
      </w:r>
      <w:r w:rsidR="00522A5F">
        <w:t>, because, d</w:t>
      </w:r>
      <w:r w:rsidR="00560B35">
        <w:t>uring the pandemic,</w:t>
      </w:r>
      <w:r w:rsidR="00522A5F">
        <w:t xml:space="preserve"> </w:t>
      </w:r>
      <w:r w:rsidR="00560B35">
        <w:t>virtual participation became the</w:t>
      </w:r>
      <w:r w:rsidR="00172FBB">
        <w:t xml:space="preserve"> norm</w:t>
      </w:r>
      <w:r w:rsidR="00522A5F">
        <w:t xml:space="preserve"> for most individuals </w:t>
      </w:r>
      <w:r w:rsidR="00504AA6">
        <w:fldChar w:fldCharType="begin"/>
      </w:r>
      <w:r w:rsidR="00374A3B">
        <w:instrText xml:space="preserve"> ADDIN ZOTERO_ITEM CSL_CITATION {"citationID":"rGy2PejT","properties":{"formattedCitation":"(Morris et al., 2023)","plainCitation":"(Morris et al., 2023)","dontUpdate":true,"noteIndex":0},"citationItems":[{"id":3105,"uris":["http://zotero.org/users/12832277/items/6VY5CHHX"],"itemData":{"id":3105,"type":"article-journal","abstract":"The inexorable rise in personal travel in the 20th century has given way to stagnation in the 21st, a phenomenon some call “peak travel.” We use 2003–2019 data from the American Time Use Survey to explore whether and why personal travel per capita has stopped growing. We show that time spent on personal travel has been dropping consistently over these years, and suggest that one important cause is likely a dramatic and ongoing decline in the time Americans spend on out-of-home activities. We find significant changes in time spent on many of the 34 activities conducted inside and outside of the home that we examine. Many of these changes appear related to advances in information and communications technology (ICT), as this period saw the quality of in-home ICT continually rising and its real cost falling, resulting in ever-improving gaming, surfing, watching, and streaming options. For example, our data suggest that out-of-home work and shopping time fell significantly during our study period, while in-home time spent on work and education rose. Game playing (presumably mostly computer games) and TV watching in the home both increased dramatically, while attendance at live entertainment, arts, and sports activities fell. Reading and writing fell substantially both inside and outside the home, perhaps replaced by electronic communication. Our findings suggest that increased in-home ICT use may have been associated with 25–30% of the reduction of out-of-home time. We also find a significant increase in sleeping, and a decrease in time spent eating and drinking both inside and outside of the home. Although we deliberately chose to examine time use and travel prior to the COVID-19 pandemic, we suspect that, even as the pandemic fades, the trend toward more time at home and less time spent traveling may well increase further.","container-title":"Journal of Transport Geography","DOI":"10.1016/j.jtrangeo.2023.103620","ISSN":"0966-6923","source":"ScienceDirect","title":"Going Nowhere Fast: Might Changing Activity Patterns Help Explain Falling Travel?","URL":"https://www.sciencedirect.com/science/article/pii/S0966692323000923","volume":"110","author":[{"family":"Morris","given":"Eric A."},{"family":"Speroni","given":"Samuel"},{"family":"Taylor","given":"Brian D."}],"accessed":{"date-parts":[["2024",5,6]]},"issued":{"date-parts":[["2023",6,1]]}}}],"schema":"https://github.com/citation-style-language/schema/raw/master/csl-citation.json"} </w:instrText>
      </w:r>
      <w:r w:rsidR="00504AA6">
        <w:fldChar w:fldCharType="separate"/>
      </w:r>
      <w:r w:rsidR="00DC69B3" w:rsidRPr="00DC69B3">
        <w:t>(</w:t>
      </w:r>
      <w:r w:rsidR="00DC69B3">
        <w:t xml:space="preserve">see </w:t>
      </w:r>
      <w:r w:rsidR="00DC69B3" w:rsidRPr="00DC69B3">
        <w:t>Morris et al., 2023)</w:t>
      </w:r>
      <w:r w:rsidR="00504AA6">
        <w:fldChar w:fldCharType="end"/>
      </w:r>
      <w:r>
        <w:t>.</w:t>
      </w:r>
      <w:r w:rsidR="00957047">
        <w:t xml:space="preserve"> </w:t>
      </w:r>
      <w:r w:rsidR="00560B35">
        <w:t xml:space="preserve">For many, it also was the first experience of ordering goods, food, and services online. In the after-COVID landscape, with </w:t>
      </w:r>
      <w:r w:rsidR="00172FBB">
        <w:t xml:space="preserve">opportunities for physical participation </w:t>
      </w:r>
      <w:r w:rsidR="004D40CC">
        <w:t>reopening</w:t>
      </w:r>
      <w:r w:rsidR="00172FBB">
        <w:t xml:space="preserve">, individuals and households appear to more seamlessly integrate </w:t>
      </w:r>
      <w:r w:rsidR="009648C6">
        <w:t xml:space="preserve">physical and virtual </w:t>
      </w:r>
      <w:r w:rsidR="00172FBB">
        <w:t>participation. In this context,</w:t>
      </w:r>
      <w:r w:rsidR="00957047">
        <w:t xml:space="preserve"> individuals with low levels of physical accessibility may have increasing opportunities to substitute</w:t>
      </w:r>
      <w:r w:rsidR="000C0219">
        <w:t>/supplement</w:t>
      </w:r>
      <w:r w:rsidR="00957047">
        <w:t xml:space="preserve"> </w:t>
      </w:r>
      <w:r w:rsidR="00DD3E3D">
        <w:t xml:space="preserve">physical participation </w:t>
      </w:r>
      <w:r w:rsidR="00957047">
        <w:t xml:space="preserve">with </w:t>
      </w:r>
      <w:r w:rsidR="00DD3E3D">
        <w:t>virtual activities</w:t>
      </w:r>
      <w:r w:rsidR="000C0219">
        <w:t xml:space="preserve"> to achieve better overall accessibility </w:t>
      </w:r>
      <w:r w:rsidR="008D721D">
        <w:fldChar w:fldCharType="begin"/>
      </w:r>
      <w:r w:rsidR="00374A3B">
        <w:instrText xml:space="preserve"> ADDIN ZOTERO_ITEM CSL_CITATION {"citationID":"4dvBjgjz","properties":{"unsorted":true,"formattedCitation":"(Dias et al., 2020; Asmussen et al., 2023; Shah et al., 2024)","plainCitation":"(Dias et al., 2020; Asmussen et al., 2023; Shah et al., 2024)","noteIndex":0},"citationItems":[{"id":1939,"uris":["http://zotero.org/users/12832277/items/V4XWZC3E"],"itemData":{"id":1939,"type":"article-journal","abstract":"The virtual (online) and physical (in-person) worlds are increasingly inter-connected. Although there is considerable research into the effects of information and communication technologies (ICT) on activity-travel choices, there is little understanding of the inter-relationships between online and in-person activity participation and the extent to which the two worlds complement one another or substitute for one another. Shopping is one of the activity realms in which the virtual and physical spaces are increasingly interacting. This paper aims to unravel the relationships between online and in-person activity engagement in the shopping domain, while explicitly distinguishing between shopping for non-grocery goods, grocery products, and ready-to-eat meals. Data from the 2017 Puget Sound household travel survey is used to estimate a multivariate ordered probit model of the number of days in a week that a sample of households engages in in-person activity engagement and online activity engagement for each of these shopping activity types – leading to a model of six endogenous outcomes. Model results show that there are intricate complementary and substitution effects between in-person and online shopping activities, that these activities are considered as a single packaged bundle, and that the frequencies of these activities are significantly affected by income, built environment attributes, and household structure. The findings suggest that travel forecasting models should incorporate model components that capture the interplay between in-person and online shopping engagement and explicitly distinguish between non-grocery and grocery shopping activities. Policies that help bridge the digital divide so that households of all socio-economic strata can access goods and services in the virtual world would help improve quality of life for all. Finally, the paper highlights the need to bring passenger and freight demand modeling, at least within urban contexts, into a single integrated structure.","container-title":"Transportation Research Part C: Emerging Technologies","DOI":"10.1016/j.trc.2020.02.023","ISSN":"0968-090X","page":"643-656","source":"ScienceDirect","title":"A Comparison of Online and in-Person Activity Engagement: The Case of Shopping and Eating Meals","volume":"114","author":[{"family":"Dias","given":"Felipe F."},{"family":"Lavieri","given":"Patricia S."},{"family":"Sharda","given":"Shivam"},{"family":"Khoeini","given":"Sara"},{"family":"Bhat","given":"Chandra R."},{"family":"Pendyala","given":"Ram M."},{"family":"Pinjari","given":"Abdul R."},{"family":"Ramadurai","given":"Gitakrishnan"},{"family":"Srinivasan","given":"Karthik K."}],"issued":{"date-parts":[["2020",5,1]]}}},{"id":1944,"uris":["http://zotero.org/users/12832277/items/Y3TQLUZT"],"itemData":{"id":1944,"type":"article-journal","container-title":"Transportation Research Part C: Emerging Technologies","title":"The Interplay Between Teleworking Choice and Commute Distance","author":[{"family":"Asmussen","given":"Katherine"},{"family":"Mondal","given":"Aupal"},{"family":"Bhat","given":"Chandra R."}],"issued":{"date-parts":[["2023",12]]}}},{"id":3103,"uris":["http://zotero.org/users/12832277/items/83SCSL4F"],"itemData":{"id":3103,"type":"article-journal","abstract":"Large-scale adoption of telemobility, such as teleworking and online shopping, has affected travel patterns significantly. The impacts of teleworking and online shopping on travel have been studied separately and with trip-level analyses, thereby ignoring tour complexity, trip chaining, and activity scheduling. We aim to address this gap by investigating the interactions between online shopping, teleworking, and travel at a tour level, considering trip chaining and the importance of the activities involved. We classify tours into mandatory (e.g., travel for work, school), maintenance (e.g., travel for grocery shopping, appointments, errands), and discretionary (e.g., travel for non-grocery shopping, leisure, religious activities) tours according to the primary activity purpose. We then estimate a structural equation model using a one-week activity-travel diary from the 2019 Puget Sound Regional Travel Study. The results indicate that teleworking reduced mandatory and maintenance tours while increasing online shopping. Mandatory tours were negatively associated with both maintenance tours and online shopping, whereas the number of maintenance tours was positively associated with the number of discretionary tours. We did not find a statistically significant relationship between online shopping, maintenance tours, and discretionary tours. Overall, this study offers new insights into the effect of teleworking and online shopping on travel, with potential implications for travel demand modeling and management, as well as for the design of travel surveys that take such virtual activities into account.","container-title":"Transportation","DOI":"10.1007/s11116-022-10321-9","ISSN":"1572-9435","issue":"1","language":"en","page":"99-127","source":"Springer Link","title":"Impacts of Teleworking and Online Shopping on Travel: A Tour-Based Analysis","volume":"51","author":[{"family":"Shah","given":"Harsh"},{"family":"Carrel","given":"Andre L."},{"family":"Le","given":"Huyen T. K."}],"issued":{"date-parts":[["2024",2,1]]}}}],"schema":"https://github.com/citation-style-language/schema/raw/master/csl-citation.json"} </w:instrText>
      </w:r>
      <w:r w:rsidR="008D721D">
        <w:fldChar w:fldCharType="separate"/>
      </w:r>
      <w:r w:rsidR="000D4E78" w:rsidRPr="000D4E78">
        <w:t>(Dias et al., 2020; Asmussen et al., 2023; Shah et al., 2024)</w:t>
      </w:r>
      <w:r w:rsidR="008D721D">
        <w:fldChar w:fldCharType="end"/>
      </w:r>
      <w:r w:rsidR="00957047" w:rsidRPr="00557FE2">
        <w:rPr>
          <w:lang w:val="fr-FR"/>
        </w:rPr>
        <w:t>.</w:t>
      </w:r>
      <w:r w:rsidR="00DD3E3D">
        <w:rPr>
          <w:lang w:val="fr-FR"/>
        </w:rPr>
        <w:t xml:space="preserve"> </w:t>
      </w:r>
      <w:r w:rsidR="00453B65">
        <w:t xml:space="preserve">However, there are also wide variations in the level of virtual accessibility available to different </w:t>
      </w:r>
      <w:r w:rsidR="00453B65">
        <w:lastRenderedPageBreak/>
        <w:t>people and in different areas.</w:t>
      </w:r>
      <w:r w:rsidR="00DD3E3D">
        <w:rPr>
          <w:rStyle w:val="FootnoteReference"/>
        </w:rPr>
        <w:footnoteReference w:id="1"/>
      </w:r>
      <w:r w:rsidR="000C0219" w:rsidRPr="00557FE2">
        <w:rPr>
          <w:lang w:val="fr-FR"/>
        </w:rPr>
        <w:t xml:space="preserve"> </w:t>
      </w:r>
      <w:r w:rsidR="00453B65">
        <w:t>Access to internet-enabled devices, spatial availability of delivery services, and differential availability of</w:t>
      </w:r>
      <w:r w:rsidR="000C0219">
        <w:t xml:space="preserve"> </w:t>
      </w:r>
      <w:r w:rsidR="00453B65">
        <w:t xml:space="preserve">telework </w:t>
      </w:r>
      <w:r w:rsidR="000C0219">
        <w:t xml:space="preserve">opportunities, </w:t>
      </w:r>
      <w:r w:rsidR="00453B65">
        <w:t xml:space="preserve">all impact the extent to which </w:t>
      </w:r>
      <w:r w:rsidR="00DD3E3D">
        <w:t>virtual</w:t>
      </w:r>
      <w:r w:rsidR="00453B65">
        <w:t xml:space="preserve"> activities can </w:t>
      </w:r>
      <w:r w:rsidR="000C0219">
        <w:t xml:space="preserve">be pursued </w:t>
      </w:r>
      <w:r w:rsidR="008D721D">
        <w:t xml:space="preserve"> </w:t>
      </w:r>
      <w:r w:rsidR="008D721D">
        <w:fldChar w:fldCharType="begin"/>
      </w:r>
      <w:r w:rsidR="000D4E78">
        <w:instrText xml:space="preserve"> ADDIN ZOTERO_ITEM CSL_CITATION {"citationID":"RnDbCUpg","properties":{"unsorted":true,"formattedCitation":"(Lavieri et al., 2018; Etminani-Ghasrodashti and Hamidi, 2020)","plainCitation":"(Lavieri et al., 2018; Etminani-Ghasrodashti and Hamidi, 2020)","noteIndex":0},"citationItems":[{"id":2142,"uris":["http://zotero.org/users/12832277/items/XYAJ5E5M"],"itemData":{"id":2142,"type":"article-journal","abstract":"In this study, we propose a conceptual and analytic framework anchored on the concepts of physical and virtual accessibility (the “ease” with which opportunities or activities can be reached in the physical and in the virtual space, respectively) to investigate the rich interplay between virtual and physical activity engagements in multiple activity purposes, while controlling for information and communication technology (ICT) use measures, physical accessibility measures, and demographics. Our framework considers that activity-travel choices are consequences of individual, household, and work characteristics that are mediated by virtual accessibility and physical accessibility. As part of our analysis, we also analyze activity chaining characteristics during travel to study any fragmentation impacts caused by ICT use on activity engagement and scheduling. We use data from the 2011 and 2012 National Travel Survey in Great Britain and apply Bhat’s (2015) generalized heterogeneous data model (GHDM) to jointly model multiple activity and travel outcomes. Our results provide important insights for social welfare, work-life balance, and equity policies, and suggest that decisions regarding virtual activity participations and in-person out-of-home activity participations are determined as a package. Ignoring this package nature of choices can lead to misleading inferences about the effects of virtual activity participations on in-person out-of-home activity participations.","container-title":"Transportation Research Part A: Policy and Practice","DOI":"10.1016/j.tra.2018.08.042","ISSN":"0965-8564","page":"527-544","source":"ScienceDirect","title":"Using Virtual Accessibility and Physical Accessibility as Joint Predictors of Activity-Travel Behavior","volume":"118","author":[{"family":"Lavieri","given":"Patrícia S."},{"family":"Dai","given":"Qichun"},{"family":"Bhat","given":"Chandra R."}],"issued":{"date-parts":[["2018",12,1]]}}},{"id":3098,"uris":["http://zotero.org/users/12832277/items/U5U49G2D"],"itemData":{"id":3098,"type":"article-journal","abstract":"The rapid growth of information and communications technology (ICT) has brought significant changes in shopping-related travel behavior. However, little attention has been paid to remote connectivity-based options in non-Western countries in terms of individuals' travel behavior and willingness to shop online rather than travel to brick-and-mortar retailers. This study investigates the emergence of online shopping behavior among Iranian people, who have experienced a recent and transformative boom in internet usage. To explore shopping behaviors, online and in-store shopping frequencies were examined through a comprehensive survey which collected data from individuals in the Metropolitan of Shiraz. The predictive factors of online and in-store shopping include internet experience, in-store shopping attributes, attitudes, lifestyle, and built-environment measures. The proportion of online shopping among the study population is remarkable despite the barriers to access popular online applications in Iran. Employing Structural Equation Models, this study accounts for both direct and indirect effects of key variables on both online and in-store shopping frequencies. Overall, our results reveal that the most influential determinants of online versus in-store shopping frequencies include the built environment, store-specific attributes, consumers' lifestyles and general attitudes. Other notable predictors of online shopping are the frequency of pre-purchase online searching and driving as the primary travel mode. Results suggest that in-store shopping has a complementary, rather than a purely adversarial, relationship with online shopping frequency while online shopping also motivates individuals to do more in-store shopping. Thus, while the ICT alternatives improve travel options, it is not always able to reduce shopping-related travel frequencies in the regions with the cultural and economic situations such as Iran.","container-title":"Cities","DOI":"10.1016/j.cities.2020.102768","ISSN":"0264-2751","source":"ScienceDirect","title":"Online Shopping as a Substitute or Complement to in-Store Shopping Trips in Iran?","URL":"https://www.sciencedirect.com/science/article/pii/S0264275118314392","volume":"103","author":[{"family":"Etminani-Ghasrodashti","given":"Roya"},{"family":"Hamidi","given":"Shima"}],"accessed":{"date-parts":[["2024",5,6]]},"issued":{"date-parts":[["2020",8,1]]}}}],"schema":"https://github.com/citation-style-language/schema/raw/master/csl-citation.json"} </w:instrText>
      </w:r>
      <w:r w:rsidR="008D721D">
        <w:fldChar w:fldCharType="separate"/>
      </w:r>
      <w:r w:rsidR="000D4E78" w:rsidRPr="000D4E78">
        <w:t>(Lavieri et al., 2018; Etminani-Ghasrodashti and Hamidi, 2020)</w:t>
      </w:r>
      <w:r w:rsidR="008D721D">
        <w:fldChar w:fldCharType="end"/>
      </w:r>
      <w:r w:rsidR="00453B65">
        <w:t xml:space="preserve">. </w:t>
      </w:r>
    </w:p>
    <w:p w14:paraId="40F9AAED" w14:textId="303D9AA5" w:rsidR="00556A65" w:rsidRDefault="000348F6" w:rsidP="00556A65">
      <w:pPr>
        <w:spacing w:after="0" w:line="240" w:lineRule="auto"/>
        <w:jc w:val="both"/>
      </w:pPr>
      <w:r>
        <w:tab/>
      </w:r>
      <w:r w:rsidR="004B45E8">
        <w:t>Motivated by the discussion above</w:t>
      </w:r>
      <w:r>
        <w:t xml:space="preserve">, </w:t>
      </w:r>
      <w:r w:rsidR="00087751">
        <w:t xml:space="preserve">our focus is on the extent to which </w:t>
      </w:r>
      <w:r w:rsidR="009648C6">
        <w:t>virtual</w:t>
      </w:r>
      <w:r w:rsidR="00087751">
        <w:t xml:space="preserve"> activities </w:t>
      </w:r>
      <w:r w:rsidR="00990C9C">
        <w:t>influence o</w:t>
      </w:r>
      <w:r w:rsidR="00990C9C" w:rsidRPr="008C7E00">
        <w:t xml:space="preserve">verall accessibility of individuals, and how physical </w:t>
      </w:r>
      <w:r w:rsidR="006202E4" w:rsidRPr="008C7E00">
        <w:t xml:space="preserve">and virtual </w:t>
      </w:r>
      <w:r w:rsidR="00990C9C" w:rsidRPr="008C7E00">
        <w:t>participation</w:t>
      </w:r>
      <w:r w:rsidR="0005203A">
        <w:t xml:space="preserve"> modalities</w:t>
      </w:r>
      <w:r w:rsidR="00990C9C" w:rsidRPr="008C7E00">
        <w:t xml:space="preserve"> interact with each other. More specifically, we examine </w:t>
      </w:r>
      <w:r w:rsidR="00D82995" w:rsidRPr="008C7E00">
        <w:t>four</w:t>
      </w:r>
      <w:r w:rsidR="00990C9C" w:rsidRPr="008C7E00">
        <w:t xml:space="preserve"> separate dimensions of this interaction: (a) Is there a discord between how much individuals would like to partake in physical </w:t>
      </w:r>
      <w:r w:rsidR="00F15193">
        <w:t>activities</w:t>
      </w:r>
      <w:r w:rsidR="00990C9C" w:rsidRPr="008C7E00">
        <w:t xml:space="preserve"> and how much they </w:t>
      </w:r>
      <w:r w:rsidR="008C7E00" w:rsidRPr="008C7E00">
        <w:t>are actually able</w:t>
      </w:r>
      <w:r w:rsidR="00990C9C" w:rsidRPr="008C7E00">
        <w:t xml:space="preserve"> to, </w:t>
      </w:r>
      <w:r w:rsidR="00D82995" w:rsidRPr="008C7E00">
        <w:t>and does this discord vary across individuals? (b) What is the reason for the physical participation discord? (c) What is the intensity of virtual participation (measured in this paper by the intensity of teleworking and home deliveries) in the after-COVID era, and how does this virtual participation vary across individuals</w:t>
      </w:r>
      <w:r w:rsidR="008C7E00" w:rsidRPr="008C7E00">
        <w:t>?</w:t>
      </w:r>
      <w:r w:rsidR="00D82995" w:rsidRPr="008C7E00">
        <w:t xml:space="preserve"> (d)</w:t>
      </w:r>
      <w:r w:rsidR="00522A5F" w:rsidRPr="008C7E00">
        <w:t xml:space="preserve"> D</w:t>
      </w:r>
      <w:r w:rsidR="00D82995" w:rsidRPr="008C7E00">
        <w:t xml:space="preserve">oes virtual participation reduce </w:t>
      </w:r>
      <w:r w:rsidR="00975E55" w:rsidRPr="008C7E00">
        <w:t xml:space="preserve">or increase </w:t>
      </w:r>
      <w:r w:rsidR="00D82995" w:rsidRPr="008C7E00">
        <w:t xml:space="preserve">the intensity of discord in physical participation? </w:t>
      </w:r>
      <w:r w:rsidR="009B1F2B" w:rsidRPr="008C7E00">
        <w:t>Based</w:t>
      </w:r>
      <w:r w:rsidR="009B1F2B">
        <w:t xml:space="preserve"> on Festinger’s theory of cognitive dissonance </w:t>
      </w:r>
      <w:r w:rsidR="009B1F2B">
        <w:fldChar w:fldCharType="begin"/>
      </w:r>
      <w:r w:rsidR="009B1F2B">
        <w:instrText xml:space="preserve"> ADDIN ZOTERO_ITEM CSL_CITATION {"citationID":"m5VRRlQQ","properties":{"formattedCitation":"(1975)","plainCitation":"(1975)","noteIndex":0},"citationItems":[{"id":2165,"uris":["http://zotero.org/users/12832277/items/6EAQPRQI"],"itemData":{"id":2165,"type":"book","event-place":"Evanston, IL","publisher":"Row, Peterson, and Company","publisher-place":"Evanston, IL","title":"A Theory of Cognitive Dissonance","author":[{"family":"Festinger","given":"Lean"}],"issued":{"date-parts":[["1975"]]}},"label":"page","suppress-author":true}],"schema":"https://github.com/citation-style-language/schema/raw/master/csl-citation.json"} </w:instrText>
      </w:r>
      <w:r w:rsidR="009B1F2B">
        <w:fldChar w:fldCharType="separate"/>
      </w:r>
      <w:r w:rsidR="009B1F2B" w:rsidRPr="008C36C7">
        <w:t>(1975)</w:t>
      </w:r>
      <w:r w:rsidR="009B1F2B">
        <w:fldChar w:fldCharType="end"/>
      </w:r>
      <w:r w:rsidR="009B1F2B">
        <w:t xml:space="preserve">, </w:t>
      </w:r>
      <w:r w:rsidR="00D82995">
        <w:t xml:space="preserve">we also characterize the discord in physical participation as </w:t>
      </w:r>
      <w:r w:rsidR="005B262F">
        <w:t>“</w:t>
      </w:r>
      <w:r w:rsidR="00D82995">
        <w:t xml:space="preserve">physical participation </w:t>
      </w:r>
      <w:r w:rsidR="009B1F2B">
        <w:t>dissonance</w:t>
      </w:r>
      <w:r w:rsidR="005B262F">
        <w:t>” (PPD)</w:t>
      </w:r>
      <w:r w:rsidR="00D82995">
        <w:t>, which</w:t>
      </w:r>
      <w:r w:rsidR="009B1F2B">
        <w:t xml:space="preserve"> refers to instances where beliefs</w:t>
      </w:r>
      <w:r w:rsidR="00D82995">
        <w:t>, desires, and</w:t>
      </w:r>
      <w:r w:rsidR="009B1F2B">
        <w:t xml:space="preserve"> attitudes (in </w:t>
      </w:r>
      <w:r w:rsidR="00D82995">
        <w:t>our</w:t>
      </w:r>
      <w:r w:rsidR="009B1F2B">
        <w:t xml:space="preserve"> case about the need</w:t>
      </w:r>
      <w:r w:rsidR="005B262F">
        <w:t>/desire</w:t>
      </w:r>
      <w:r w:rsidR="009B1F2B">
        <w:t xml:space="preserve"> to</w:t>
      </w:r>
      <w:r w:rsidR="00F9437E">
        <w:t xml:space="preserve"> </w:t>
      </w:r>
      <w:r w:rsidR="009B1F2B">
        <w:t xml:space="preserve">undertake </w:t>
      </w:r>
      <w:r w:rsidR="00D82995">
        <w:t xml:space="preserve">OH </w:t>
      </w:r>
      <w:r w:rsidR="009B1F2B">
        <w:t>activit</w:t>
      </w:r>
      <w:r w:rsidR="00D82995">
        <w:t>ies</w:t>
      </w:r>
      <w:r w:rsidR="009B1F2B">
        <w:t xml:space="preserve">) </w:t>
      </w:r>
      <w:r w:rsidR="00D82995">
        <w:t xml:space="preserve">do not translate completely </w:t>
      </w:r>
      <w:r w:rsidR="009B1F2B">
        <w:t xml:space="preserve">to </w:t>
      </w:r>
      <w:r w:rsidR="00DD3E3D">
        <w:t xml:space="preserve">travel </w:t>
      </w:r>
      <w:r w:rsidR="009B1F2B">
        <w:t>behavior (</w:t>
      </w:r>
      <w:r w:rsidR="005B262F">
        <w:t xml:space="preserve">actual </w:t>
      </w:r>
      <w:r w:rsidR="00D82995">
        <w:t>participati</w:t>
      </w:r>
      <w:r w:rsidR="00F9437E">
        <w:t>on</w:t>
      </w:r>
      <w:r w:rsidR="00D82995">
        <w:t xml:space="preserve"> in OH activities</w:t>
      </w:r>
      <w:r w:rsidR="009B1F2B">
        <w:t xml:space="preserve">). </w:t>
      </w:r>
      <w:r w:rsidR="00556A65">
        <w:t xml:space="preserve">A key component of </w:t>
      </w:r>
      <w:r w:rsidR="005B262F">
        <w:t xml:space="preserve">Festinger’s cognitive </w:t>
      </w:r>
      <w:r w:rsidR="00556A65">
        <w:t xml:space="preserve">dissonance </w:t>
      </w:r>
      <w:r w:rsidR="005B262F">
        <w:t xml:space="preserve">theory </w:t>
      </w:r>
      <w:r w:rsidR="00556A65">
        <w:t>is that individuals attempt to relieve dissonance by adapting to their situation. In the transp</w:t>
      </w:r>
      <w:r w:rsidR="00556A65" w:rsidRPr="008C7E00">
        <w:t>ortation arena, there is ample evidence</w:t>
      </w:r>
      <w:r w:rsidR="009B1F2B" w:rsidRPr="008C7E00">
        <w:t xml:space="preserve"> demonstrating that individuals attempt to </w:t>
      </w:r>
      <w:r w:rsidR="005B262F" w:rsidRPr="008C7E00">
        <w:t xml:space="preserve">reduce </w:t>
      </w:r>
      <w:r w:rsidR="009B1F2B" w:rsidRPr="008C7E00">
        <w:t>dissonance</w:t>
      </w:r>
      <w:r w:rsidR="005B262F" w:rsidRPr="008C7E00">
        <w:t xml:space="preserve"> through </w:t>
      </w:r>
      <w:r w:rsidR="009B1F2B" w:rsidRPr="008C7E00">
        <w:t>adapt</w:t>
      </w:r>
      <w:r w:rsidR="005B262F" w:rsidRPr="008C7E00">
        <w:t>ing</w:t>
      </w:r>
      <w:r w:rsidR="009B1F2B" w:rsidRPr="008C7E00">
        <w:t xml:space="preserve"> t</w:t>
      </w:r>
      <w:r w:rsidR="009B1F2B" w:rsidRPr="00830E50">
        <w:t>o their travel constraints</w:t>
      </w:r>
      <w:r w:rsidR="009B1F2B">
        <w:t xml:space="preserve"> by</w:t>
      </w:r>
      <w:r w:rsidR="00DD3E3D">
        <w:t>, among other things,</w:t>
      </w:r>
      <w:r w:rsidR="009B1F2B">
        <w:t xml:space="preserve"> choosing </w:t>
      </w:r>
      <w:r w:rsidR="005B262F">
        <w:t xml:space="preserve">locations </w:t>
      </w:r>
      <w:r w:rsidR="009B1F2B">
        <w:t>that are readily available</w:t>
      </w:r>
      <w:r w:rsidR="005B262F">
        <w:t xml:space="preserve"> (even if not the most desirable)</w:t>
      </w:r>
      <w:r w:rsidR="00DD3E3D">
        <w:t xml:space="preserve"> and </w:t>
      </w:r>
      <w:r w:rsidR="009B1F2B">
        <w:t xml:space="preserve">reducing their travel </w:t>
      </w:r>
      <w:r w:rsidR="005B262F">
        <w:t xml:space="preserve">desires </w:t>
      </w:r>
      <w:r w:rsidR="009B1F2B">
        <w:t xml:space="preserve">to </w:t>
      </w:r>
      <w:r w:rsidR="00DD3E3D">
        <w:t xml:space="preserve">be more compatible with </w:t>
      </w:r>
      <w:r w:rsidR="009B1F2B">
        <w:t xml:space="preserve">their </w:t>
      </w:r>
      <w:r w:rsidR="005B262F">
        <w:t xml:space="preserve">mobility </w:t>
      </w:r>
      <w:r w:rsidR="009B1F2B">
        <w:t>constrain</w:t>
      </w:r>
      <w:r w:rsidR="009B1F2B" w:rsidRPr="00837D5D">
        <w:t xml:space="preserve">ts </w:t>
      </w:r>
      <w:r w:rsidR="00556A65">
        <w:fldChar w:fldCharType="begin"/>
      </w:r>
      <w:r w:rsidR="00374A3B">
        <w:instrText xml:space="preserve"> ADDIN ZOTERO_ITEM CSL_CITATION {"citationID":"ej7IF0zT","properties":{"unsorted":true,"formattedCitation":"(Martens, 2016; Dillahunt and Veinot, 2018; Landby, 2019)","plainCitation":"(Martens, 2016; Dillahunt and Veinot, 2018; Landby, 2019)","dontUpdate":true,"noteIndex":0},"citationItems":[{"id":1926,"uris":["http://zotero.org/users/12832277/items/4FSA6BCK"],"itemData":{"id":1926,"type":"book","abstract":"Transport Justice develops a new paradigm for transportation planning based on principles of justice. Author Karel Martens starts from the observation that for the last fifty years the focus of transportation planning and policy has been on the performance of the transport system and ways to improve it, without much attention being paid to the persons actually using – or failing to use – that transport system. There are far-reaching consequences of this approach, with some enjoying the fruits of the improvements in the transport system, while others have experienced a substantial deterioration in their situation. The growing body of academic evidence on the resulting disparities in mobility and accessibility, have been paralleled by increasingly vocal calls for policy changes to address the inequities that have developed over time. Drawing on philosophies of social justice, Transport Justice argues that governments have the fundamental duty of providing virtually every person with adequate transportation and thus of mitigating the social disparities that have been created over the past decades.  Critical reading for transport planners and students of transportation planning, this book develops a new approach to transportation planning that takes people as its starting point, and justice as its end.","ISBN":"978-1-317-59958-6","language":"en","note":"Google-Books-ID: m0yTDAAAQBAJ","number-of-pages":"257","publisher":"Routledge","source":"Google Books","title":"Transport Justice: Designing Fair Transportation Systems","author":[{"family":"Martens","given":"Karel"}],"issued":{"date-parts":[["2016",7,1]]}}},{"id":1956,"uris":["http://zotero.org/users/12832277/items/TBYVHS75"],"itemData":{"id":1956,"type":"article-journal","abstract":"Advances in Information and Communication Technologies (ICTs) offer new opportunities for addressing transportation needs; however, past research suggests that opportunities are not equally shared by millions of low-income Americans. We draw from four empirical studies and two case studies to contribute descriptions of the 11 everyday transportation models currently used by residents of low-income and underserved communities to enhance their access to health-enhancing resources. These models fell into personal, private, public, and interpersonal categories. We contribute insights regarding the following barriers and facilitators associated with these models: (1) affordability; (2) individual capabilities; (3) interpersonal trust, care and/or reciprocity; (4) trust in technology; (5) service availability/eligibility; (6) spatial and temporal matches; (7) match between transportation mode and physical needs; (8) service reliability and quality; and (9) infrastructure access. To address these barriers and build on these facilitators, we contribute six supportive policy and design principles. Operationalizing these principles, we propose four new ICT-enhanced models: (1) smart jitneys; (2) generalized, favor-based models; (3) expanded resource pooling; and (4) transportation clubs. The focus of these models on socio-technical integration with current capabilities and resources holds promise for enhancing access to jobs, food, and health care for residents of low-income communities.","container-title":"ACM Transactions on Computer-Human Interaction","DOI":"10.1145/3233985","ISSN":"1073-0516","issue":"5","page":"29:1–29:39","source":"ACM Digital Library","title":"Getting There: Barriers and Facilitators to Transportation Access in Underserved Communities","volume":"25","author":[{"family":"Dillahunt","given":"Tawanna R."},{"family":"Veinot","given":"Tiffany C."}],"issued":{"date-parts":[["2018",10,11]]}}},{"id":2392,"uris":["http://zotero.org/users/12832277/items/YFFWBYGB"],"itemData":{"id":2392,"type":"article-journal","abstract":"There is a norm assuming high mobility in the Western world today, which can increase the social and geographical exclusion of those who have limited possibilities to travel, such as people with disabilities. When it is a child who has the disability, travel-related constraints are likely to affect the whole family’s travel patterns. This study explores travel constraints among Swedish families with children with cerebral palsy who use wheelchairs. A time-geographical framework is employed. Interviews with parents show that these families’ everyday mobility is affected by authority, capacity and coupling constraints, and that it is often a combination of these constraints that makes travelling difficult. The families use different strategies to negotiate these constraints. In addition to strategies controlled by the families, the findings suggest that there is also a need for governmental support and a barrier-free transport system to enhance their mobility.","container-title":"Children's Geographies","DOI":"10.1080/14733285.2018.1528342","ISSN":"1473-3285","issue":"4","note":"publisher: Routledge\n_eprint: https://doi.org/10.1080/14733285.2018.1528342","page":"388-400","source":"Taylor and Francis+NEJM","title":"Everyday Travel for Families with Children Using Wheelchairs: Parents’ Perceptions of Constraints and Adaptation Strategies","volume":"17","author":[{"family":"Landby","given":"Emma"}],"issued":{"date-parts":[["2019",7,4]]}},"label":"page"}],"schema":"https://github.com/citation-style-language/schema/raw/master/csl-citation.json"} </w:instrText>
      </w:r>
      <w:r w:rsidR="00556A65">
        <w:fldChar w:fldCharType="separate"/>
      </w:r>
      <w:r w:rsidR="00DD3894" w:rsidRPr="00DD3894">
        <w:t>(</w:t>
      </w:r>
      <w:r w:rsidR="00DD3894">
        <w:t xml:space="preserve">see, for example, </w:t>
      </w:r>
      <w:r w:rsidR="00DD3894" w:rsidRPr="00DD3894">
        <w:t>Martens, 2016; Dillahunt and Veinot, 2018; Landby, 2019)</w:t>
      </w:r>
      <w:r w:rsidR="00556A65">
        <w:fldChar w:fldCharType="end"/>
      </w:r>
      <w:r w:rsidR="009B1F2B" w:rsidRPr="00837D5D">
        <w:t xml:space="preserve">. </w:t>
      </w:r>
      <w:r w:rsidR="00DD3E3D">
        <w:t>Virtual</w:t>
      </w:r>
      <w:r w:rsidR="00556A65">
        <w:t xml:space="preserve"> participation presents a potential new avenue to reduce </w:t>
      </w:r>
      <w:r w:rsidR="005B262F">
        <w:t>PPD</w:t>
      </w:r>
      <w:r w:rsidR="00556A65">
        <w:t xml:space="preserve">. This situation of </w:t>
      </w:r>
      <w:r w:rsidR="005B262F">
        <w:t xml:space="preserve">PPD </w:t>
      </w:r>
      <w:r w:rsidR="00556A65">
        <w:t xml:space="preserve">is depicted in Figure 1. </w:t>
      </w:r>
      <w:r w:rsidR="0000512D">
        <w:t xml:space="preserve">In this case, </w:t>
      </w:r>
      <w:r w:rsidR="00491635">
        <w:t>an</w:t>
      </w:r>
      <w:r w:rsidR="0000512D">
        <w:t xml:space="preserve"> </w:t>
      </w:r>
      <w:r w:rsidR="00AB2625">
        <w:t xml:space="preserve">individual </w:t>
      </w:r>
      <w:r w:rsidR="0000512D">
        <w:t>experience</w:t>
      </w:r>
      <w:r w:rsidR="00AB2625">
        <w:t>s</w:t>
      </w:r>
      <w:r w:rsidR="0000512D">
        <w:t xml:space="preserve"> dissonance because of a lack of access to </w:t>
      </w:r>
      <w:r w:rsidR="005B262F">
        <w:t xml:space="preserve">OH </w:t>
      </w:r>
      <w:r w:rsidR="0000512D">
        <w:t xml:space="preserve">activity-opportunity </w:t>
      </w:r>
      <w:r w:rsidR="00AB2625">
        <w:t xml:space="preserve">locations but may attempt to </w:t>
      </w:r>
      <w:r w:rsidR="0000512D">
        <w:t>reduce th</w:t>
      </w:r>
      <w:r w:rsidR="005B262F">
        <w:t>e</w:t>
      </w:r>
      <w:r w:rsidR="0000512D">
        <w:t xml:space="preserve"> dissonance</w:t>
      </w:r>
      <w:r w:rsidR="00AB2625">
        <w:t xml:space="preserve"> by</w:t>
      </w:r>
      <w:r w:rsidR="00D806AC">
        <w:t xml:space="preserve"> </w:t>
      </w:r>
      <w:r w:rsidR="0000512D">
        <w:t>substituting</w:t>
      </w:r>
      <w:r w:rsidR="00D24539">
        <w:t>/supplementing</w:t>
      </w:r>
      <w:r w:rsidR="0000512D">
        <w:t xml:space="preserve"> their physical </w:t>
      </w:r>
      <w:r w:rsidR="005B262F">
        <w:t>participation</w:t>
      </w:r>
      <w:r w:rsidR="0000512D">
        <w:t xml:space="preserve"> with </w:t>
      </w:r>
      <w:r w:rsidR="00230EE9">
        <w:t>virtual participation</w:t>
      </w:r>
      <w:r w:rsidR="0000512D">
        <w:t xml:space="preserve">. </w:t>
      </w:r>
    </w:p>
    <w:p w14:paraId="00D1791B" w14:textId="2786CC4A" w:rsidR="00B55048" w:rsidRDefault="000B4AAD" w:rsidP="007F3E32">
      <w:pPr>
        <w:spacing w:after="0" w:line="240" w:lineRule="auto"/>
        <w:ind w:firstLine="720"/>
        <w:jc w:val="both"/>
        <w:rPr>
          <w:bCs/>
        </w:rPr>
      </w:pPr>
      <w:r>
        <w:t>In this paper, we</w:t>
      </w:r>
      <w:r w:rsidR="00D511D3">
        <w:t xml:space="preserve"> use data from the 2022</w:t>
      </w:r>
      <w:r w:rsidR="00DE44D6">
        <w:t xml:space="preserve"> NextGen</w:t>
      </w:r>
      <w:r w:rsidR="00D511D3">
        <w:t xml:space="preserve"> National Household Travel Survey</w:t>
      </w:r>
      <w:r w:rsidR="001265E9">
        <w:t xml:space="preserve"> </w:t>
      </w:r>
      <w:r w:rsidR="00947578">
        <w:fldChar w:fldCharType="begin"/>
      </w:r>
      <w:r w:rsidR="00EA04E9">
        <w:instrText xml:space="preserve"> ADDIN ZOTERO_ITEM CSL_CITATION {"citationID":"9T7542Zh","properties":{"formattedCitation":"(Federal Highway Administration, 2023)","plainCitation":"(Federal Highway Administration, 2023)","noteIndex":0},"citationItems":[{"id":1959,"uris":["http://zotero.org/users/12832277/items/ZAYVS8KD"],"itemData":{"id":1959,"type":"dataset","DOI":"https://nhts.ornl.gov","publisher":"U.S. Department of Transportation, Washington, DC","title":"2022 NextGen National Household Travel Survey","author":[{"family":"Federal Highway Administration","given":""}],"issued":{"date-parts":[["2023",10]]}}}],"schema":"https://github.com/citation-style-language/schema/raw/master/csl-citation.json"} </w:instrText>
      </w:r>
      <w:r w:rsidR="00947578">
        <w:fldChar w:fldCharType="separate"/>
      </w:r>
      <w:r w:rsidR="00947578" w:rsidRPr="00947578">
        <w:t>(Federal Highway Administration, 2023)</w:t>
      </w:r>
      <w:r w:rsidR="00947578">
        <w:fldChar w:fldCharType="end"/>
      </w:r>
      <w:r w:rsidR="00D511D3">
        <w:t xml:space="preserve"> to </w:t>
      </w:r>
      <w:r w:rsidR="007F3E32">
        <w:t xml:space="preserve">investigate </w:t>
      </w:r>
      <w:r>
        <w:t xml:space="preserve">the </w:t>
      </w:r>
      <w:r w:rsidR="007F3E32">
        <w:t xml:space="preserve">four dimensions of the interaction between physical and </w:t>
      </w:r>
      <w:r w:rsidR="00522A5F">
        <w:t>virtual</w:t>
      </w:r>
      <w:r w:rsidR="007F3E32">
        <w:t xml:space="preserve"> participation</w:t>
      </w:r>
      <w:r w:rsidR="00EE20E8">
        <w:t xml:space="preserve"> modalities</w:t>
      </w:r>
      <w:r w:rsidR="007F3E32">
        <w:t xml:space="preserve">, as just discussed. </w:t>
      </w:r>
      <w:r w:rsidR="00B55048" w:rsidRPr="004E6FE3">
        <w:t xml:space="preserve">The rest of the paper is organized as follows. Section 2 provides an overview of the </w:t>
      </w:r>
      <w:r w:rsidR="005122C9" w:rsidRPr="004E6FE3">
        <w:t>relevant literature</w:t>
      </w:r>
      <w:r w:rsidR="00B55048" w:rsidRPr="00711F1B">
        <w:rPr>
          <w:bCs/>
        </w:rPr>
        <w:t xml:space="preserve">. Section 3 </w:t>
      </w:r>
      <w:r w:rsidR="007F3E32">
        <w:rPr>
          <w:bCs/>
        </w:rPr>
        <w:t>describes</w:t>
      </w:r>
      <w:r w:rsidR="00B55048" w:rsidRPr="00711F1B">
        <w:rPr>
          <w:bCs/>
        </w:rPr>
        <w:t xml:space="preserve"> the </w:t>
      </w:r>
      <w:r w:rsidR="007F3E32">
        <w:rPr>
          <w:bCs/>
        </w:rPr>
        <w:t xml:space="preserve">sample used </w:t>
      </w:r>
      <w:r w:rsidR="00B55048">
        <w:rPr>
          <w:bCs/>
        </w:rPr>
        <w:t xml:space="preserve">and </w:t>
      </w:r>
      <w:r w:rsidR="007F3E32">
        <w:rPr>
          <w:bCs/>
        </w:rPr>
        <w:t xml:space="preserve">the </w:t>
      </w:r>
      <w:r w:rsidR="00B55048">
        <w:rPr>
          <w:bCs/>
        </w:rPr>
        <w:t>modeling methodology</w:t>
      </w:r>
      <w:r w:rsidR="00B55048" w:rsidRPr="00711F1B">
        <w:rPr>
          <w:bCs/>
        </w:rPr>
        <w:t xml:space="preserve">. Section 4 </w:t>
      </w:r>
      <w:r w:rsidR="007F3E32">
        <w:rPr>
          <w:bCs/>
        </w:rPr>
        <w:t>presents</w:t>
      </w:r>
      <w:r w:rsidR="00B55048" w:rsidRPr="00711F1B">
        <w:rPr>
          <w:bCs/>
        </w:rPr>
        <w:t xml:space="preserve"> model estimation results and </w:t>
      </w:r>
      <w:r w:rsidR="00D73B1B">
        <w:rPr>
          <w:bCs/>
        </w:rPr>
        <w:t xml:space="preserve">goodness of fit measures. </w:t>
      </w:r>
      <w:r w:rsidR="00B55048" w:rsidRPr="00711F1B">
        <w:rPr>
          <w:bCs/>
        </w:rPr>
        <w:t xml:space="preserve">Section 5 discusses </w:t>
      </w:r>
      <w:r w:rsidR="007F3E32">
        <w:rPr>
          <w:bCs/>
        </w:rPr>
        <w:t xml:space="preserve">the </w:t>
      </w:r>
      <w:r w:rsidR="00B55048" w:rsidRPr="00711F1B">
        <w:rPr>
          <w:bCs/>
        </w:rPr>
        <w:t xml:space="preserve">implications of </w:t>
      </w:r>
      <w:r w:rsidR="007F3E32">
        <w:rPr>
          <w:bCs/>
        </w:rPr>
        <w:t>this</w:t>
      </w:r>
      <w:r w:rsidR="00B55048" w:rsidRPr="00711F1B">
        <w:rPr>
          <w:bCs/>
        </w:rPr>
        <w:t xml:space="preserve"> research </w:t>
      </w:r>
      <w:r w:rsidR="00D73B1B">
        <w:rPr>
          <w:bCs/>
        </w:rPr>
        <w:t xml:space="preserve">for </w:t>
      </w:r>
      <w:r w:rsidR="0081498F">
        <w:rPr>
          <w:bCs/>
        </w:rPr>
        <w:t xml:space="preserve">transportation </w:t>
      </w:r>
      <w:r w:rsidR="00D73B1B">
        <w:rPr>
          <w:bCs/>
        </w:rPr>
        <w:t>policy</w:t>
      </w:r>
      <w:r w:rsidR="007F3E32">
        <w:rPr>
          <w:bCs/>
        </w:rPr>
        <w:t xml:space="preserve"> and</w:t>
      </w:r>
      <w:r w:rsidR="0081498F">
        <w:rPr>
          <w:bCs/>
        </w:rPr>
        <w:t xml:space="preserve"> equity</w:t>
      </w:r>
      <w:r w:rsidR="00B55048" w:rsidRPr="00711F1B">
        <w:rPr>
          <w:bCs/>
        </w:rPr>
        <w:t>. Finally, Section 6 summar</w:t>
      </w:r>
      <w:r w:rsidR="007F3E32">
        <w:rPr>
          <w:bCs/>
        </w:rPr>
        <w:t xml:space="preserve">izes </w:t>
      </w:r>
      <w:r w:rsidR="00B55048" w:rsidRPr="00711F1B">
        <w:rPr>
          <w:bCs/>
        </w:rPr>
        <w:t xml:space="preserve">important findings </w:t>
      </w:r>
      <w:r w:rsidR="00B55048">
        <w:rPr>
          <w:bCs/>
        </w:rPr>
        <w:t>and</w:t>
      </w:r>
      <w:r w:rsidR="00B55048" w:rsidRPr="00711F1B">
        <w:rPr>
          <w:bCs/>
        </w:rPr>
        <w:t xml:space="preserve"> identifi</w:t>
      </w:r>
      <w:r w:rsidR="007F3E32">
        <w:rPr>
          <w:bCs/>
        </w:rPr>
        <w:t>es</w:t>
      </w:r>
      <w:r w:rsidR="006202E4">
        <w:rPr>
          <w:bCs/>
        </w:rPr>
        <w:t xml:space="preserve"> </w:t>
      </w:r>
      <w:r w:rsidR="00B55048" w:rsidRPr="00711F1B">
        <w:rPr>
          <w:bCs/>
        </w:rPr>
        <w:t>future research directions</w:t>
      </w:r>
      <w:r w:rsidR="00B55048">
        <w:rPr>
          <w:bCs/>
        </w:rPr>
        <w:t>.</w:t>
      </w:r>
    </w:p>
    <w:p w14:paraId="03F9DDD0" w14:textId="77777777" w:rsidR="00A705B3" w:rsidRDefault="00A705B3" w:rsidP="00DE4E50">
      <w:pPr>
        <w:spacing w:after="0" w:line="240" w:lineRule="auto"/>
        <w:jc w:val="both"/>
      </w:pPr>
    </w:p>
    <w:p w14:paraId="5BF0A5C1" w14:textId="3B7C9CF3" w:rsidR="008F196B" w:rsidRPr="00034DB1" w:rsidRDefault="00034DB1" w:rsidP="00DE4E50">
      <w:pPr>
        <w:spacing w:after="0" w:line="240" w:lineRule="auto"/>
        <w:jc w:val="both"/>
        <w:rPr>
          <w:b/>
        </w:rPr>
      </w:pPr>
      <w:r>
        <w:rPr>
          <w:b/>
        </w:rPr>
        <w:t xml:space="preserve">2. </w:t>
      </w:r>
      <w:r w:rsidR="00DC7402">
        <w:rPr>
          <w:b/>
        </w:rPr>
        <w:t>LITERATURE OVERVIEW</w:t>
      </w:r>
    </w:p>
    <w:p w14:paraId="3F1E834E" w14:textId="7957F198" w:rsidR="00675394" w:rsidRDefault="00C859CE" w:rsidP="00A61527">
      <w:pPr>
        <w:spacing w:after="0" w:line="240" w:lineRule="auto"/>
        <w:jc w:val="both"/>
      </w:pPr>
      <w:r>
        <w:t xml:space="preserve">There is a body of literature on </w:t>
      </w:r>
      <w:r w:rsidR="00522A5F">
        <w:t xml:space="preserve">physical accessibility </w:t>
      </w:r>
      <w:r w:rsidR="006202E4">
        <w:t xml:space="preserve">that is relevant to the current study, as this literature </w:t>
      </w:r>
      <w:r w:rsidR="003A6295">
        <w:t>reveals a wide range of barriers to</w:t>
      </w:r>
      <w:r w:rsidR="00230EE9">
        <w:t xml:space="preserve"> physical </w:t>
      </w:r>
      <w:r w:rsidR="008C5577">
        <w:t xml:space="preserve">participation. </w:t>
      </w:r>
      <w:r w:rsidR="00B36191">
        <w:t xml:space="preserve">Section 2.1 </w:t>
      </w:r>
      <w:r w:rsidR="006202E4">
        <w:t xml:space="preserve">provides </w:t>
      </w:r>
      <w:r w:rsidR="00B36191">
        <w:t xml:space="preserve">a broad overview of </w:t>
      </w:r>
      <w:r w:rsidR="00522A5F">
        <w:t>such studies</w:t>
      </w:r>
      <w:r w:rsidR="00B36191">
        <w:t>. In Section 2.2, we focus on the relationship between physical and virtual participation</w:t>
      </w:r>
      <w:r w:rsidR="006202E4">
        <w:t xml:space="preserve">. </w:t>
      </w:r>
    </w:p>
    <w:p w14:paraId="3095B592" w14:textId="77777777" w:rsidR="00EC2469" w:rsidRDefault="00EC2469" w:rsidP="00D73B1B">
      <w:pPr>
        <w:spacing w:after="0" w:line="240" w:lineRule="auto"/>
        <w:jc w:val="both"/>
      </w:pPr>
    </w:p>
    <w:p w14:paraId="00C6D2E5" w14:textId="2822826B" w:rsidR="00B25892" w:rsidRPr="00B25892" w:rsidRDefault="00B25892" w:rsidP="00D21858">
      <w:pPr>
        <w:keepNext/>
        <w:keepLines/>
        <w:spacing w:after="0" w:line="240" w:lineRule="auto"/>
        <w:jc w:val="both"/>
        <w:rPr>
          <w:b/>
          <w:bCs/>
        </w:rPr>
      </w:pPr>
      <w:r>
        <w:rPr>
          <w:b/>
          <w:bCs/>
        </w:rPr>
        <w:lastRenderedPageBreak/>
        <w:t>2.1 P</w:t>
      </w:r>
      <w:r w:rsidR="00382F34">
        <w:rPr>
          <w:b/>
          <w:bCs/>
        </w:rPr>
        <w:t xml:space="preserve">hysical Participation </w:t>
      </w:r>
      <w:r>
        <w:rPr>
          <w:b/>
          <w:bCs/>
        </w:rPr>
        <w:t xml:space="preserve">Accessibility </w:t>
      </w:r>
    </w:p>
    <w:p w14:paraId="1E377817" w14:textId="292E7730" w:rsidR="00B735BC" w:rsidRPr="006E0707" w:rsidRDefault="009213D5" w:rsidP="00D21858">
      <w:pPr>
        <w:keepNext/>
        <w:keepLines/>
        <w:spacing w:after="0" w:line="240" w:lineRule="auto"/>
        <w:jc w:val="both"/>
      </w:pPr>
      <w:r>
        <w:t xml:space="preserve">Although there </w:t>
      </w:r>
      <w:r w:rsidR="00E438B0">
        <w:t>is</w:t>
      </w:r>
      <w:r>
        <w:t xml:space="preserve"> a broad range of </w:t>
      </w:r>
      <w:r w:rsidR="00F113EF">
        <w:t>objective</w:t>
      </w:r>
      <w:r>
        <w:t xml:space="preserve"> </w:t>
      </w:r>
      <w:r w:rsidR="002C0A06">
        <w:t xml:space="preserve">physical </w:t>
      </w:r>
      <w:r>
        <w:t xml:space="preserve">accessibility measures, the most commonly used </w:t>
      </w:r>
      <w:r w:rsidR="002C0A06">
        <w:t xml:space="preserve">ones </w:t>
      </w:r>
      <w:r>
        <w:t xml:space="preserve">are cumulative measures and gravity-based measures </w:t>
      </w:r>
      <w:r w:rsidR="005D4A01">
        <w:fldChar w:fldCharType="begin"/>
      </w:r>
      <w:r w:rsidR="00BE586B">
        <w:instrText xml:space="preserve"> ADDIN ZOTERO_ITEM CSL_CITATION {"citationID":"JzhU9cER","properties":{"formattedCitation":"(Geurs and van Wee, 2004; Kapatsila et al., 2023)","plainCitation":"(Geurs and van Wee, 2004; Kapatsila et al., 2023)","noteIndex":0},"citationItems":[{"id":2177,"uris":["http://zotero.org/users/12832277/items/MNNW9CVB"],"itemData":{"id":2177,"type":"article-journal","abstract":"A review of accessibility measures is presented for assessing the usability of these measures in evaluations of land-use and transport strategies and developments. Accessibility measures are reviewed using a broad range of relevant criteria, including theoretical basis, interpretability and communicability, and data requirements of the measures. Accessibility impacts of land-use and transport strategies are often evaluated using accessibility measures, which researchers and policy makers can easily operationalise and interpret, such as travelling speed, but which generally do not satisfy theoretical criteria. More complex and disaggregated accessibility measures, however, increase complexity and the effort for calculations and the difficulty of interpretation. The current practice can be much improved by operationalising more advanced location-based and utility-based accessibility measures that are still relatively easy to interpret for researchers and policy makers, and can be computed with state-of-the-practice data and/or land-use and transport models. Research directions towards theoretically more advanced accessibility measures point towards the inclusion of individual's spatial–temporal constraints and feedback mechanisms between accessibility, land-use and travel behaviour. Furthermore, there is a need for theoretical and empirical research on relationships between accessibility, option values and non-user benefits, and the measurement of different components of accessibility.","container-title":"Journal of Transport Geography","DOI":"10.1016/j.jtrangeo.2003.10.005","ISSN":"0966-6923","issue":"2","page":"127-140","source":"ScienceDirect","title":"Accessibility Evaluation of Land-Use and Transport Strategies: Review and Research Directions","volume":"12","author":[{"family":"Geurs","given":"Karst T."},{"family":"Wee","given":"Bert","non-dropping-particle":"van"}],"issued":{"date-parts":[["2004",6,1]]}}},{"id":2148,"uris":["http://zotero.org/users/12832277/items/WG7BQE3Z"],"itemData":{"id":2148,"type":"article-journal","abstract":"There is a lack of agreement regarding the theoretical framework that practitioners should use for accessibility assessment – a measure of transport and land-use systems performance. Cumulative measures are simple and easy to interpret, while gravity-based measures are more sophisticated, resourceful, and less intuitive approaches. As such, this study aims to investigate whether the estimates of a simple cumulative opportunity measure are significantly different from those made using advanced gravity-based measures to understand if the former can be a substitute for the latter in practice and if a certain threshold of travel time can be recommended for different regions. We estimated cumulative and gravity-based accessibility using decay-probability density functions, decay-cumulative density functions, Gaussian, and a Log-Logistic decay-cumulative density functions using census commuting flows, car congested travel time and public transit schedules from eight metropolitan regions across Canada – Toronto, Montreal, Vancouver, Edmonton, Quebec City, Winnipeg, London, and Halifax. These measures of accessibility were tested for correlation, and we found that a coefficient of approximately 0.90 is reached when the threshold to calculate cumulative opportunities accessibility is set to the average commute time for both low- and non-low-wage jobs accessibility analyses by transit and motor vehicles. The paper provides evidence to support the reliability of cumulative accessibility, facilitates its broader adoption for evaluation of transport and land use interactions in North American cities, as well as opens opportunities to advance the equitable distribution of transport system benefits.","container-title":"Journal of Transport Geography","DOI":"10.1016/j.jtrangeo.2023.103530","ISSN":"0966-6923","source":"ScienceDirect","title":"Resolving the Accessibility Dilemma: Comparing Cumulative and Gravity-Based Measures of Accessibility in Eight Canadian Cities","URL":"https://www.sciencedirect.com/science/article/pii/S0966692323000029","volume":"107","author":[{"family":"Kapatsila","given":"Bogdan"},{"family":"Palacios","given":"Manuel Santana"},{"family":"Grisé","given":"Emily"},{"family":"El-Geneidy","given":"Ahmed"}],"accessed":{"date-parts":[["2024",1,24]]},"issued":{"date-parts":[["2023",2,1]]}}}],"schema":"https://github.com/citation-style-language/schema/raw/master/csl-citation.json"} </w:instrText>
      </w:r>
      <w:r w:rsidR="005D4A01">
        <w:fldChar w:fldCharType="separate"/>
      </w:r>
      <w:r w:rsidR="005D4A01" w:rsidRPr="005D4A01">
        <w:t>(Geurs and van Wee, 2004; Kapatsila et al., 2023)</w:t>
      </w:r>
      <w:r w:rsidR="005D4A01">
        <w:fldChar w:fldCharType="end"/>
      </w:r>
      <w:r w:rsidR="00F81BF0">
        <w:t>.</w:t>
      </w:r>
      <w:r w:rsidR="00C919E1">
        <w:t xml:space="preserve"> </w:t>
      </w:r>
      <w:r w:rsidR="00C919E1" w:rsidRPr="00C919E1">
        <w:rPr>
          <w:i/>
          <w:iCs/>
        </w:rPr>
        <w:t>C</w:t>
      </w:r>
      <w:r w:rsidR="00F81BF0" w:rsidRPr="00C919E1">
        <w:rPr>
          <w:i/>
          <w:iCs/>
        </w:rPr>
        <w:t>umulative</w:t>
      </w:r>
      <w:r w:rsidR="005734DD" w:rsidRPr="00C919E1">
        <w:rPr>
          <w:i/>
          <w:iCs/>
        </w:rPr>
        <w:t xml:space="preserve"> accessibility </w:t>
      </w:r>
      <w:r w:rsidR="00233D6F">
        <w:rPr>
          <w:i/>
          <w:iCs/>
        </w:rPr>
        <w:t xml:space="preserve">(CA) </w:t>
      </w:r>
      <w:r w:rsidR="005734DD" w:rsidRPr="00C919E1">
        <w:rPr>
          <w:i/>
          <w:iCs/>
        </w:rPr>
        <w:t>measures</w:t>
      </w:r>
      <w:r w:rsidR="005734DD">
        <w:t xml:space="preserve"> </w:t>
      </w:r>
      <w:r w:rsidR="006202E4">
        <w:t xml:space="preserve">emphasize </w:t>
      </w:r>
      <w:r w:rsidR="005734DD">
        <w:t xml:space="preserve">the number of </w:t>
      </w:r>
      <w:r w:rsidR="00382F34">
        <w:t xml:space="preserve">OH </w:t>
      </w:r>
      <w:r w:rsidR="00233D6F">
        <w:t xml:space="preserve">activity location </w:t>
      </w:r>
      <w:r w:rsidR="005734DD">
        <w:t xml:space="preserve">points of interest that can be accessed </w:t>
      </w:r>
      <w:r w:rsidR="00522A5F">
        <w:t>with</w:t>
      </w:r>
      <w:r w:rsidR="005734DD">
        <w:t xml:space="preserve">in a specified </w:t>
      </w:r>
      <w:r w:rsidR="00233D6F">
        <w:t>threshold</w:t>
      </w:r>
      <w:r w:rsidR="00522A5F">
        <w:t xml:space="preserve"> </w:t>
      </w:r>
      <w:r w:rsidR="00345F95">
        <w:t xml:space="preserve">of </w:t>
      </w:r>
      <w:r w:rsidR="00707A73">
        <w:t xml:space="preserve">distance or </w:t>
      </w:r>
      <w:r w:rsidR="005734DD">
        <w:t>time from a given point</w:t>
      </w:r>
      <w:r w:rsidR="00233D6F">
        <w:t xml:space="preserve"> in space</w:t>
      </w:r>
      <w:r w:rsidR="009E1252">
        <w:t xml:space="preserve"> </w:t>
      </w:r>
      <w:r w:rsidR="00BE6AD8">
        <w:fldChar w:fldCharType="begin"/>
      </w:r>
      <w:r w:rsidR="00BE586B">
        <w:instrText xml:space="preserve"> ADDIN ZOTERO_ITEM CSL_CITATION {"citationID":"OwI18XLa","properties":{"unsorted":true,"formattedCitation":"(Wachs and Kumagai, 1973; Kapatsila et al., 2023)","plainCitation":"(Wachs and Kumagai, 1973; Kapatsila et al., 2023)","noteIndex":0},"citationItems":[{"id":2256,"uris":["http://zotero.org/users/12832277/items/8WBU2RP2"],"itemData":{"id":2256,"type":"article-journal","abstract":"A discussion is presented of the ways in which accessibility to employment and urban services constitute an important measure of the quality of urban living, and how accessibility might, therefore, be included as an important component of a “social report” for a city or region. A conceptual framework is introduced for measuring accessibility in terms of the ease with which citizens may reach a variety of opportunities for employment and services. This framework is interpreted as an approach to evaluating transportation and regional plans which differs from approaches based upon travel volumes and travel times which are currently employed in urban transportation planning and evaluation. The use of the proposed measures of accessibility is illustrated with data on accessibility to employment and health care facilities in Los Angeles, and these data are interpreted to illustrate differences in accessibility as a function of spatial location of residence, and socio-economic status.","container-title":"Socio-Economic Planning Sciences","DOI":"10.1016/0038-0121(73)90041-4","ISSN":"0038-0121","issue":"5","page":"437-456","source":"ScienceDirect","title":"Physical Accessibility as a Social Indicator","volume":"7","author":[{"family":"Wachs","given":"Martin"},{"family":"Kumagai","given":"T. Gordon"}],"issued":{"date-parts":[["1973",10,1]]}}},{"id":2148,"uris":["http://zotero.org/users/12832277/items/WG7BQE3Z"],"itemData":{"id":2148,"type":"article-journal","abstract":"There is a lack of agreement regarding the theoretical framework that practitioners should use for accessibility assessment – a measure of transport and land-use systems performance. Cumulative measures are simple and easy to interpret, while gravity-based measures are more sophisticated, resourceful, and less intuitive approaches. As such, this study aims to investigate whether the estimates of a simple cumulative opportunity measure are significantly different from those made using advanced gravity-based measures to understand if the former can be a substitute for the latter in practice and if a certain threshold of travel time can be recommended for different regions. We estimated cumulative and gravity-based accessibility using decay-probability density functions, decay-cumulative density functions, Gaussian, and a Log-Logistic decay-cumulative density functions using census commuting flows, car congested travel time and public transit schedules from eight metropolitan regions across Canada – Toronto, Montreal, Vancouver, Edmonton, Quebec City, Winnipeg, London, and Halifax. These measures of accessibility were tested for correlation, and we found that a coefficient of approximately 0.90 is reached when the threshold to calculate cumulative opportunities accessibility is set to the average commute time for both low- and non-low-wage jobs accessibility analyses by transit and motor vehicles. The paper provides evidence to support the reliability of cumulative accessibility, facilitates its broader adoption for evaluation of transport and land use interactions in North American cities, as well as opens opportunities to advance the equitable distribution of transport system benefits.","container-title":"Journal of Transport Geography","DOI":"10.1016/j.jtrangeo.2023.103530","ISSN":"0966-6923","source":"ScienceDirect","title":"Resolving the Accessibility Dilemma: Comparing Cumulative and Gravity-Based Measures of Accessibility in Eight Canadian Cities","URL":"https://www.sciencedirect.com/science/article/pii/S0966692323000029","volume":"107","author":[{"family":"Kapatsila","given":"Bogdan"},{"family":"Palacios","given":"Manuel Santana"},{"family":"Grisé","given":"Emily"},{"family":"El-Geneidy","given":"Ahmed"}],"accessed":{"date-parts":[["2024",1,24]]},"issued":{"date-parts":[["2023",2,1]]}}}],"schema":"https://github.com/citation-style-language/schema/raw/master/csl-citation.json"} </w:instrText>
      </w:r>
      <w:r w:rsidR="00BE6AD8">
        <w:fldChar w:fldCharType="separate"/>
      </w:r>
      <w:r w:rsidR="0002620E" w:rsidRPr="0002620E">
        <w:t>(Wachs and Kumagai, 1973; Kapatsila et al., 2023)</w:t>
      </w:r>
      <w:r w:rsidR="00BE6AD8">
        <w:fldChar w:fldCharType="end"/>
      </w:r>
      <w:r w:rsidR="005734DD">
        <w:t>.</w:t>
      </w:r>
      <w:r w:rsidR="00382F34">
        <w:rPr>
          <w:i/>
          <w:iCs/>
        </w:rPr>
        <w:t xml:space="preserve"> G</w:t>
      </w:r>
      <w:r w:rsidR="009767E9" w:rsidRPr="00C919E1">
        <w:rPr>
          <w:i/>
          <w:iCs/>
        </w:rPr>
        <w:t xml:space="preserve">ravity </w:t>
      </w:r>
      <w:r w:rsidR="00233D6F">
        <w:rPr>
          <w:i/>
          <w:iCs/>
        </w:rPr>
        <w:t xml:space="preserve">(GR) </w:t>
      </w:r>
      <w:r w:rsidR="009767E9" w:rsidRPr="00C919E1">
        <w:rPr>
          <w:i/>
          <w:iCs/>
        </w:rPr>
        <w:t>measures</w:t>
      </w:r>
      <w:r w:rsidR="00382F34" w:rsidRPr="00397C46">
        <w:t>, in contrast</w:t>
      </w:r>
      <w:r w:rsidR="00382F34">
        <w:rPr>
          <w:i/>
          <w:iCs/>
        </w:rPr>
        <w:t>,</w:t>
      </w:r>
      <w:r w:rsidR="009767E9">
        <w:t xml:space="preserve"> </w:t>
      </w:r>
      <w:r w:rsidR="00382F34">
        <w:t>develop a measure of OH activity reach by normalizing the intensity (attractiveness) of activity opportunities by distance</w:t>
      </w:r>
      <w:r w:rsidR="002C0A06">
        <w:t xml:space="preserve"> or time</w:t>
      </w:r>
      <w:r w:rsidR="00382F34">
        <w:t xml:space="preserve">, </w:t>
      </w:r>
      <w:r w:rsidR="007B2C5F">
        <w:t xml:space="preserve">giving higher weights to </w:t>
      </w:r>
      <w:r w:rsidR="00382F34">
        <w:t>locations</w:t>
      </w:r>
      <w:r w:rsidR="007B2C5F">
        <w:t xml:space="preserve"> closer to </w:t>
      </w:r>
      <w:r w:rsidR="00382F34">
        <w:t xml:space="preserve">a given point </w:t>
      </w:r>
      <w:r w:rsidR="007B2C5F">
        <w:t>and less to those that are f</w:t>
      </w:r>
      <w:r w:rsidR="00382F34">
        <w:t>a</w:t>
      </w:r>
      <w:r w:rsidR="007B2C5F">
        <w:t xml:space="preserve">rther away </w:t>
      </w:r>
      <w:r w:rsidR="007108C4">
        <w:rPr>
          <w:b/>
          <w:bCs/>
        </w:rPr>
        <w:fldChar w:fldCharType="begin"/>
      </w:r>
      <w:r w:rsidR="00302987">
        <w:rPr>
          <w:b/>
          <w:bCs/>
        </w:rPr>
        <w:instrText xml:space="preserve"> ADDIN ZOTERO_ITEM CSL_CITATION {"citationID":"FxXG4Gcc","properties":{"unsorted":true,"formattedCitation":"(Siddiq and Taylor, 2021; Palacios and El-Geneidy, 2022)","plainCitation":"(Siddiq and Taylor, 2021; Palacios and El-Geneidy, 2022)","noteIndex":0},"citationItems":[{"id":1905,"uris":["http://zotero.org/users/12832277/items/ESLMA3S6"],"itemData":{"id":1905,"type":"article-journal","container-title":"Journal of the American Planning Association","DOI":"10.1080/01944363.2021.1899036","ISSN":"0194-4363","issue":"4","note":"publisher: Routledge\n_eprint: https://doi.org/10.1080/01944363.2021.1899036","page":"497-511","source":"Taylor and Francis+NEJM","title":"Tools of the Trade?","volume":"87","author":[{"family":"Siddiq","given":"Fariba"},{"family":"Taylor","given":"Brian D."}],"issued":{"date-parts":[["2021",10,2]]}}},{"id":2254,"uris":["http://zotero.org/users/12832277/items/BVVVLRAC"],"itemData":{"id":2254,"type":"article-journal","abstract":"This paper compares two popular approaches to calculate access to jobs by public transport: gravity and cumulative opportunities. Using data on commute patterns and public transport schedules from Montreal, Canada, we find cumulative opportunities-based measures estimated at the mean transit commute time and gravity-based measures generated through various decay functions are highly correlated -- all above 0.9. This finding holds even when replicating the analysis for low- and non-low-wage jobs available in the same metropolitan region. These findings strongly suggest that easy-to-communicate and -operationalize cumulative opportunities accessibility constructs measured at the mean commute time perform similarly to more theoretically-sound gravity-based measures.","container-title":"Findings","DOI":"10.32866/001c.32444","language":"en","note":"publisher: Findings Press","source":"findingspress.org","title":"Cumulative Versus Gravity-Based Accessibility Measures: Which One to Use?","URL":"https://findingspress.org/article/32444-cumulative-versus-gravity-based-accessibility-measures-which-one-to-use","author":[{"family":"Palacios","given":"Manuel Santana"},{"family":"El-Geneidy","given":"Ahmed"}],"accessed":{"date-parts":[["2024",2,8]]},"issued":{"date-parts":[["2022",2,10]]}}}],"schema":"https://github.com/citation-style-language/schema/raw/master/csl-citation.json"} </w:instrText>
      </w:r>
      <w:r w:rsidR="007108C4">
        <w:rPr>
          <w:b/>
          <w:bCs/>
        </w:rPr>
        <w:fldChar w:fldCharType="separate"/>
      </w:r>
      <w:r w:rsidR="00302987" w:rsidRPr="00302987">
        <w:t>(Siddiq and Taylor, 2021; Palacios and El-Geneidy, 2022)</w:t>
      </w:r>
      <w:r w:rsidR="007108C4">
        <w:rPr>
          <w:b/>
          <w:bCs/>
        </w:rPr>
        <w:fldChar w:fldCharType="end"/>
      </w:r>
      <w:r w:rsidR="007B2C5F">
        <w:t xml:space="preserve">. </w:t>
      </w:r>
      <w:r w:rsidR="00382F34">
        <w:t>While the earliest</w:t>
      </w:r>
      <w:r w:rsidR="00233D6F">
        <w:t xml:space="preserve"> CA and GR </w:t>
      </w:r>
      <w:r w:rsidR="00382F34">
        <w:t xml:space="preserve">measures </w:t>
      </w:r>
      <w:r w:rsidR="00233D6F">
        <w:t xml:space="preserve">were aggregate in nature and </w:t>
      </w:r>
      <w:r w:rsidR="00382F34">
        <w:t xml:space="preserve">did not differentiate based on </w:t>
      </w:r>
      <w:r w:rsidR="00707A73">
        <w:t xml:space="preserve">travel mode alternatives </w:t>
      </w:r>
      <w:r w:rsidR="002C0A06">
        <w:t xml:space="preserve">or </w:t>
      </w:r>
      <w:r w:rsidR="00382F34">
        <w:t>individual characteristics/experiences,</w:t>
      </w:r>
      <w:r w:rsidR="009648C6">
        <w:t xml:space="preserve"> these </w:t>
      </w:r>
      <w:r w:rsidR="00707A73">
        <w:t>measures</w:t>
      </w:r>
      <w:r w:rsidR="00233D6F">
        <w:t xml:space="preserve"> </w:t>
      </w:r>
      <w:r w:rsidR="009648C6">
        <w:t>may be</w:t>
      </w:r>
      <w:r w:rsidR="00233D6F">
        <w:t xml:space="preserve"> easily extended to consider </w:t>
      </w:r>
      <w:r w:rsidR="00707A73">
        <w:t xml:space="preserve">such </w:t>
      </w:r>
      <w:r w:rsidR="00233D6F">
        <w:t>variations. In particular, the way to</w:t>
      </w:r>
      <w:r w:rsidR="00094A52">
        <w:t xml:space="preserve"> </w:t>
      </w:r>
      <w:r w:rsidR="002C0A06">
        <w:t xml:space="preserve">represent </w:t>
      </w:r>
      <w:r w:rsidR="00233D6F">
        <w:t xml:space="preserve">the number of OH </w:t>
      </w:r>
      <w:r w:rsidR="00094A52">
        <w:t xml:space="preserve">activity locations </w:t>
      </w:r>
      <w:r w:rsidR="002C0A06">
        <w:t>for CA measures</w:t>
      </w:r>
      <w:r w:rsidR="00886095">
        <w:t>,</w:t>
      </w:r>
      <w:r w:rsidR="002C0A06">
        <w:t xml:space="preserve"> and the attractiveness of OH activity locations for GR measures</w:t>
      </w:r>
      <w:r w:rsidR="00886095">
        <w:t>,</w:t>
      </w:r>
      <w:r w:rsidR="002C0A06">
        <w:t xml:space="preserve"> </w:t>
      </w:r>
      <w:r w:rsidR="00094A52">
        <w:t>can be varied across individuals</w:t>
      </w:r>
      <w:r w:rsidR="00A63BD1">
        <w:t xml:space="preserve"> based on such attributes as occupation (for instance, only counting jobs of a specific occupation </w:t>
      </w:r>
      <w:r w:rsidR="00886095">
        <w:t xml:space="preserve">as keyed to </w:t>
      </w:r>
      <w:r w:rsidR="00A63BD1">
        <w:t>an individual’s occupation)</w:t>
      </w:r>
      <w:r w:rsidR="00886095">
        <w:t>. Alternatively,</w:t>
      </w:r>
      <w:r w:rsidR="00094A52">
        <w:t xml:space="preserve"> the </w:t>
      </w:r>
      <w:r w:rsidR="00233D6F">
        <w:t xml:space="preserve">thresholds for determining the number of OH points of interest </w:t>
      </w:r>
      <w:r w:rsidR="002C0A06">
        <w:t>for CA measures</w:t>
      </w:r>
      <w:r w:rsidR="00886095">
        <w:t>,</w:t>
      </w:r>
      <w:r w:rsidR="002C0A06">
        <w:t xml:space="preserve"> and the separation representation for GR measures</w:t>
      </w:r>
      <w:r w:rsidR="00886095">
        <w:t>,</w:t>
      </w:r>
      <w:r w:rsidR="002C0A06">
        <w:t xml:space="preserve"> </w:t>
      </w:r>
      <w:r w:rsidR="00233D6F">
        <w:t>can be varied across individuals</w:t>
      </w:r>
      <w:r w:rsidR="00707A73">
        <w:t xml:space="preserve"> based on </w:t>
      </w:r>
      <w:r w:rsidR="00886095">
        <w:t>such factors as modal availability</w:t>
      </w:r>
      <w:r w:rsidR="00A63BD1">
        <w:t xml:space="preserve">. Some recent examples of </w:t>
      </w:r>
      <w:r w:rsidR="00886095">
        <w:t>these kinds of</w:t>
      </w:r>
      <w:r w:rsidR="00A63BD1">
        <w:t xml:space="preserve"> disaggregate physical participation accessibility measures include </w:t>
      </w:r>
      <w:r w:rsidR="002C0A06" w:rsidRPr="00B90012">
        <w:t>Deboosere and El-Geneidy</w:t>
      </w:r>
      <w:r w:rsidR="00397C46">
        <w:t xml:space="preserve"> </w:t>
      </w:r>
      <w:r w:rsidR="00397C46">
        <w:fldChar w:fldCharType="begin"/>
      </w:r>
      <w:r w:rsidR="00397C46">
        <w:instrText xml:space="preserve"> ADDIN ZOTERO_ITEM CSL_CITATION {"citationID":"2hsos49v","properties":{"formattedCitation":"(2018)","plainCitation":"(2018)","noteIndex":0},"citationItems":[{"id":2185,"uris":["http://zotero.org/users/12832277/items/PDKJ64KF"],"itemData":{"id":2185,"type":"article-journal","abstract":"Accessibility, or the ease of reaching destinations, is increasingly being used and examined in both literature and practice. The most common accessibility metric, the cumulative opportunity measure, is often computed as the number of jobs that can be reached within a certain time frame. Aggregating all jobs, however, often inflates the opportunities that can be reached by socially vulnerable residents, which could feed into and/or generate inadequate policy decisions. This study therefore develops the measure of accessibility to low-income jobs for vulnerable residents by public transport, specifically taking into account realized travel times by these vulnerable individuals. This fine-grained measure, computed across 11 major Canadian cities, is a modified place-based accessibility metric that incorporates facets of person-based metrics, allowing planners and policy makers to propose more targeted interventions to improve the quality of life of their cities' most vulnerable populations. The study further allows for direct comparisons between the impacts of variation in accessibility levels between different regions to help create best practices in land use and transport planning.","container-title":"Journal of Transport Geography","DOI":"10.1016/j.jtrangeo.2018.10.006","ISSN":"0966-6923","page":"54-63","source":"ScienceDirect","title":"Evaluating Equity and Accessibility to Jobs by Public Transport Across Canada","volume":"73","author":[{"family":"Deboosere","given":"Robbin"},{"family":"El-Geneidy","given":"Ahmed"}],"issued":{"date-parts":[["2018",12,1]]}},"label":"page","suppress-author":true}],"schema":"https://github.com/citation-style-language/schema/raw/master/csl-citation.json"} </w:instrText>
      </w:r>
      <w:r w:rsidR="00397C46">
        <w:fldChar w:fldCharType="separate"/>
      </w:r>
      <w:r w:rsidR="00397C46" w:rsidRPr="00397C46">
        <w:t>(2018)</w:t>
      </w:r>
      <w:r w:rsidR="00397C46">
        <w:fldChar w:fldCharType="end"/>
      </w:r>
      <w:r w:rsidR="002C0A06" w:rsidRPr="00B90012">
        <w:t xml:space="preserve">, </w:t>
      </w:r>
      <w:r w:rsidR="002C0A06" w:rsidRPr="00F540E0">
        <w:t>Grisé et al.</w:t>
      </w:r>
      <w:r w:rsidR="00397C46">
        <w:t xml:space="preserve"> </w:t>
      </w:r>
      <w:r w:rsidR="00397C46">
        <w:fldChar w:fldCharType="begin"/>
      </w:r>
      <w:r w:rsidR="00397C46">
        <w:instrText xml:space="preserve"> ADDIN ZOTERO_ITEM CSL_CITATION {"citationID":"yMscNF3I","properties":{"formattedCitation":"(2019)","plainCitation":"(2019)","noteIndex":0},"citationItems":[{"id":2288,"uris":["http://zotero.org/users/12832277/items/66LBS2ZH"],"itemData":{"id":2288,"type":"article-journal","abstract":"Equal access to opportunities has emerged in public transport planning as a social objective that many transport agencies are trying to achieve. Yet in practice, not all public transport agencies are currently providing urban residents with comparable levels of service due to physical barriers in the public transport network that can significantly hinder the ability of individuals with physical disabilities to access opportunities. In countries without a strong federal accessibility act and/or with major financial constraints, some public transport agencies fall behind in applying universal access design principles, making it even harder for people with a physical disability to access opportunities. The objective of this study is to develop a methodology that can be used by public transport agencies or disability advocates to clearly highlight and quantify the performance of the public transport network in a region, in terms of providing transit services to people in a wheelchair and compare that to the service offered to an individual not in a wheelchair. In this study we use accessibility, the ease of reaching destinations, by public transport as the key performance measure in two major Canadian Cities (Montreal and Toronto). Furthermore, we focus on job accessibility in the most socially vulnerable census tracts in both cities, to evaluate levels of job accessibility for wheelchair users residing in socially vulnerable areas. The findings from our study show striking contrasts between the numbers of accessible jobs by public transport for wheelchair users compared to the general population. On average, wheelchair users in Toronto have access to 75% of jobs that are accessible to users that are not in a wheelchair, whilst their counterparts in Montreal have access to only 46% of the jobs accessible to other users. This research is expected to highlight for public transport engineers, planners, policy makers and advocates for those with disabilities, the importance of universal access in a region, especially along public transport networks, using a widely used land use and transport performance measure.","container-title":"Transportation Research Part A: Policy and Practice","DOI":"10.1016/j.tra.2018.02.017","ISSN":"0965-8564","page":"280-293","source":"ScienceDirect","title":"Elevating Access: Comparing Accessibility to Jobs by Public Transport for Individuals with and Without a Physical Disability","volume":"125","author":[{"family":"Grisé","given":"Emily"},{"family":"Boisjoly","given":"Geneviève"},{"family":"Maguire","given":"Meadhbh"},{"family":"El-Geneidy","given":"Ahmed"}],"issued":{"date-parts":[["2019",7,1]]}},"label":"page","suppress-author":true}],"schema":"https://github.com/citation-style-language/schema/raw/master/csl-citation.json"} </w:instrText>
      </w:r>
      <w:r w:rsidR="00397C46">
        <w:fldChar w:fldCharType="separate"/>
      </w:r>
      <w:r w:rsidR="00397C46" w:rsidRPr="00397C46">
        <w:t>(2019)</w:t>
      </w:r>
      <w:r w:rsidR="00397C46">
        <w:fldChar w:fldCharType="end"/>
      </w:r>
      <w:r w:rsidR="00A63BD1">
        <w:t>,</w:t>
      </w:r>
      <w:r w:rsidR="002C0A06" w:rsidRPr="00F540E0">
        <w:t xml:space="preserve"> Bezyak et al.</w:t>
      </w:r>
      <w:r w:rsidR="00397C46">
        <w:t xml:space="preserve"> </w:t>
      </w:r>
      <w:r w:rsidR="00397C46">
        <w:fldChar w:fldCharType="begin"/>
      </w:r>
      <w:r w:rsidR="00397C46">
        <w:instrText xml:space="preserve"> ADDIN ZOTERO_ITEM CSL_CITATION {"citationID":"rfng9XSE","properties":{"formattedCitation":"(2020)","plainCitation":"(2020)","noteIndex":0},"citationItems":[{"id":2291,"uris":["http://zotero.org/users/12832277/items/4Z6LU9ZD"],"itemData":{"id":2291,"type":"article-journal","abstract":"Background: Barriers to public transportation quickly impact the ability of people with disabilities to fully experience their community. Objective: A national survey of people with disabilities was conducted to understand the barriers and supports to accessing public transportation and the impact on community participation. Method: A total of 1748 respondents responded to a web-based survey investigating the accessibility of public transportation. Results present frequency of barriers to public transportation and group differences using Pearson’s chi-square technique and Mann–Whitney U tests. Results: A majority of respondents experienced difficulties accessing public transportation, and community activities that do not occur on a regular schedule are more affected by problems with public transportation. Individuals with blindness or low vision, psychiatric disabilities, chronic health conditions, or multiple disabilities experienced more problems using public transportation for community participation, along with participants who were female, Hispanic, Latino/Latina, or Spanish origin. Limitations: Survey distribution was convenience-based, which may have affected participation of certain disability groups, cultural groups, and/or those without computer access, and interpretations cannot be made regarding predictive or casual relationships. Conclusions: Significant challenges face individuals with disabilities as they use public transportation, and certain disability groups are more severely impacted by these problems.Implications for RehabilitationCertain disability groups experience more severe problems with public transportation, as compared to other groups.Public policy advocacy and actions related to public transportation must prioritise individuals with disabilities who experience significantly more problems.Problems using public transportation for spontaneous activities pose increased problems for individuals with disabilities, and steps (i.e., extended hours or alternative transportation options) must be taken to overcome this barrier.","container-title":"Disability and Rehabilitation","DOI":"10.1080/09638288.2019.1590469","ISSN":"0963-8288","issue":"23","note":"publisher: Taylor &amp; Francis\n_eprint: https://doi.org/10.1080/09638288.2019.1590469\nPMID: 30991852","page":"3275-3283","source":"Taylor and Francis+NEJM","title":"Community Participation and Public Transportation Barriers Experienced by People with Disabilities","volume":"42","author":[{"family":"Bezyak","given":"Jill Louise"},{"family":"Sabella","given":"Scott"},{"family":"Hammel","given":"Joy"},{"family":"McDonald","given":"Katherine"},{"family":"Jones","given":"Robin Ann"},{"family":"Barton","given":"Dana"}],"issued":{"date-parts":[["2020",11,5]]}},"label":"page","suppress-author":true}],"schema":"https://github.com/citation-style-language/schema/raw/master/csl-citation.json"} </w:instrText>
      </w:r>
      <w:r w:rsidR="00397C46">
        <w:fldChar w:fldCharType="separate"/>
      </w:r>
      <w:r w:rsidR="00397C46" w:rsidRPr="00397C46">
        <w:t>(2020)</w:t>
      </w:r>
      <w:r w:rsidR="00397C46">
        <w:fldChar w:fldCharType="end"/>
      </w:r>
      <w:r w:rsidR="002C0A06" w:rsidRPr="00F540E0">
        <w:t>,</w:t>
      </w:r>
      <w:r w:rsidR="00233D6F">
        <w:t xml:space="preserve"> </w:t>
      </w:r>
      <w:r w:rsidR="00A63BD1" w:rsidRPr="006F0026">
        <w:t>Dixit and Sivakumar</w:t>
      </w:r>
      <w:r w:rsidR="00397C46">
        <w:t xml:space="preserve"> </w:t>
      </w:r>
      <w:r w:rsidR="00397C46">
        <w:fldChar w:fldCharType="begin"/>
      </w:r>
      <w:r w:rsidR="006E0707">
        <w:instrText xml:space="preserve"> ADDIN ZOTERO_ITEM CSL_CITATION {"citationID":"yQex5Atc","properties":{"formattedCitation":"(2020)","plainCitation":"(2020)","noteIndex":0},"citationItems":[{"id":2215,"uris":["http://zotero.org/users/12832277/items/A83EAAHX"],"itemData":{"id":2215,"type":"article-journal","abstract":"Transport accessibility experienced by an individual depends on their needs and abilities, as represented by their individual characteristics, such as age, income and gender. Although important from an equity perspective, the individual component of accessibility is currently ignored in most transport equity studies. This paper evaluates the impact of including individual characteristics into logsum-based accessibility measures for transport equity analysis. Using data from the London Travel Demand Survey (LTDS) 2011–13, two alternate logsum measures of accessibility are specified – with and without individual characteristics. An empirical analysis of spatial, social and economic equity is conducted using both the measures, and the outcomes are compared. The results clearly demonstrate that ignoring individual characteristics in logsum measures of accessibility can lead to unreliable outcomes for social and economic equity analysis, but do not add significant value when aggregated across large geographical zones for spatial equity analysis. Overall, ignoring individual characteristics masks the disparity in distribution of accessibility, as measured by the Gini index. Although not straightforward, the difference between accessibility patterns using the two logsum measures also yields insights into the possible causes of inequity, which can provide actionable inputs to policy makers. The study highlights that personal needs and abilities are often responsible for accessibility variations among individuals and ignoring them can result in a misleading picture of equity, as demonstrated quantitatively in this paper.","container-title":"Transportation Research Part D: Transport and Environment","DOI":"10.1016/j.trd.2020.102473","ISSN":"1361-9209","source":"ScienceDirect","title":"Capturing the Impact of Individual Characteristics on Transport Accessibility and Equity Analysis","URL":"https://www.sciencedirect.com/science/article/pii/S136192092030660X","volume":"87","author":[{"family":"Dixit","given":"Malvika"},{"family":"Sivakumar","given":"Aruna"}],"accessed":{"date-parts":[["2024",2,5]]},"issued":{"date-parts":[["2020",10,1]]}},"label":"page","suppress-author":true}],"schema":"https://github.com/citation-style-language/schema/raw/master/csl-citation.json"} </w:instrText>
      </w:r>
      <w:r w:rsidR="00397C46">
        <w:fldChar w:fldCharType="separate"/>
      </w:r>
      <w:r w:rsidR="006E0707" w:rsidRPr="006E0707">
        <w:t>(2020)</w:t>
      </w:r>
      <w:r w:rsidR="00397C46">
        <w:fldChar w:fldCharType="end"/>
      </w:r>
      <w:r w:rsidR="00A63BD1">
        <w:t>,</w:t>
      </w:r>
      <w:r w:rsidR="006E0707">
        <w:t xml:space="preserve"> </w:t>
      </w:r>
      <w:r w:rsidR="006E0707" w:rsidRPr="006E0707">
        <w:t>Yousefzadeh Barri et al.</w:t>
      </w:r>
      <w:r w:rsidR="006E0707">
        <w:t xml:space="preserve"> </w:t>
      </w:r>
      <w:r w:rsidR="006E0707">
        <w:fldChar w:fldCharType="begin"/>
      </w:r>
      <w:r w:rsidR="006E0707">
        <w:instrText xml:space="preserve"> ADDIN ZOTERO_ITEM CSL_CITATION {"citationID":"DUzPLUbW","properties":{"formattedCitation":"(2021)","plainCitation":"(2021)","noteIndex":0},"citationItems":[{"id":2285,"uris":["http://zotero.org/users/12832277/items/C4FMTVCA"],"itemData":{"id":2285,"type":"article-journal","abstract":"Transportation equity advocates recommend improving public transit in low-income neighbourhoods to alleviate socio-spatial inequalities and increase quality of life. However, transportation planners often overlook transit investments in neighbourhoods with “transit-captive” populations because they are assumed to result in less mode-shifting, congestion relief, and environmental benefits, compared to investments that aim to attract choice riders in wealthier communities. In North American cities, while many low-income households are already transit users, some also own and use private vehicles. It suggests that transit improvements in low-income communities could indeed result in more transit use and less car use. Accordingly, the main objective of this article is to explore the statistical relationship between transit use and transit accessibility as well as how this varies by household income and vehicle ownership in the Greater Toronto and Hamilton Area (GTHA). Using stratified regression models, we find that low-income households with one or more cars per adult have the most elastic relationship between transit accessibility and transit use; they are more likely to be transit riders if transit improves. However, we confirm that in auto-centric areas with poor transit, the transit use of low-income households drops off sharply as car ownership increases. On the other hand, a sensitivity analysis suggests more opportunities for increasing transit ridership among car-deficit households when transit is improved. These findings indicate that improving transit in low-income inner suburbs, where most low-income car-owning households are living, would align social with environmental planning goals.","container-title":"Transportation Research Part D: Transport and Environment","DOI":"10.1016/j.trd.2021.102849","ISSN":"1361-9209","page":"102849","source":"ScienceDirect","title":"Can Transit Investments in Low-Income Neighbourhoods Increase Transit Use? Exploring the Nexus of Income, Car-Ownership, and Transit Accessibility in Toronto","volume":"95","author":[{"family":"Yousefzadeh Barri","given":"Elnaz"},{"family":"Farber","given":"Steven"},{"family":"Kramer","given":"Anna"},{"family":"Jahanshahi","given":"Hadi"},{"family":"Allen","given":"Jeff"},{"family":"Beyazit","given":"Eda"}],"issued":{"date-parts":[["2021",6,1]]}},"label":"page","suppress-author":true}],"schema":"https://github.com/citation-style-language/schema/raw/master/csl-citation.json"} </w:instrText>
      </w:r>
      <w:r w:rsidR="006E0707">
        <w:fldChar w:fldCharType="separate"/>
      </w:r>
      <w:r w:rsidR="006E0707" w:rsidRPr="006E0707">
        <w:t>(2021)</w:t>
      </w:r>
      <w:r w:rsidR="006E0707">
        <w:fldChar w:fldCharType="end"/>
      </w:r>
      <w:r w:rsidR="006E0707">
        <w:t xml:space="preserve">, Bills et al. </w:t>
      </w:r>
      <w:r w:rsidR="006E0707">
        <w:fldChar w:fldCharType="begin"/>
      </w:r>
      <w:r w:rsidR="006E0707">
        <w:instrText xml:space="preserve"> ADDIN ZOTERO_ITEM CSL_CITATION {"citationID":"ds2ZYSxD","properties":{"formattedCitation":"(2022)","plainCitation":"(2022)","noteIndex":0},"citationItems":[{"id":2218,"uris":["http://zotero.org/users/12832277/items/3G68YL6T"],"itemData":{"id":2218,"type":"article-journal","abstract":"Several studies cite great potential for microtransit services to improve transportation equity by providing disadvantaged communities with a more flexible and reliable option relative to traditional fixed route transit. However, few have attempted to forecast these equity benefits. This study seeks to contribute to the ongoing discussion by exploring potential equity impacts of a microtransit service in Metropolitan Detroit. Using a logsum accessibility measure calculated from a regional travel demand model, we simulate accessibility changes due to a hypothetical regional microtransit service and demonstrate a regional transportation equity analysis using a typical regional travel demand model. Our results show that accessibility gains would be slightly higher for lower income communities (17% increase compared with 13% for high income) and transit-dependent households (21% compared with 15% for car-owning households). Further, we find that Microtransit may help to reduce gaps in accessibility between disadvantaged and more advantaged traveler groups.","container-title":"Transportation Research Part D: Transport and Environment","DOI":"10.1016/j.trd.2022.103341","ISSN":"1361-9209","source":"ScienceDirect","title":"Towards Transit Equity in Detroit: An Assessment of Microtransit and Its Impact on Employment Accessibility","URL":"https://www.sciencedirect.com/science/article/pii/S1361920922001699","volume":"109","author":[{"family":"Bills","given":"Tierra S."},{"family":"Twumasi-Boakye","given":"Richard"},{"family":"Broaddus","given":"Andrea"},{"family":"Fishelson","given":"James"}],"accessed":{"date-parts":[["2024",2,5]]},"issued":{"date-parts":[["2022",8,1]]}},"label":"page","suppress-author":true}],"schema":"https://github.com/citation-style-language/schema/raw/master/csl-citation.json"} </w:instrText>
      </w:r>
      <w:r w:rsidR="006E0707">
        <w:fldChar w:fldCharType="separate"/>
      </w:r>
      <w:r w:rsidR="006E0707" w:rsidRPr="006E0707">
        <w:t>(2022)</w:t>
      </w:r>
      <w:r w:rsidR="006E0707">
        <w:fldChar w:fldCharType="end"/>
      </w:r>
      <w:r w:rsidR="006E0707">
        <w:t xml:space="preserve">, Guzman et al. </w:t>
      </w:r>
      <w:r w:rsidR="006E0707">
        <w:fldChar w:fldCharType="begin"/>
      </w:r>
      <w:r w:rsidR="006E0707">
        <w:instrText xml:space="preserve"> ADDIN ZOTERO_ITEM CSL_CITATION {"citationID":"vwESwvZh","properties":{"formattedCitation":"(2023)","plainCitation":"(2023)","noteIndex":0},"citationItems":[{"id":2221,"uris":["http://zotero.org/users/12832277/items/PXWRFMLM"],"itemData":{"id":2221,"type":"article-journal","abstract":"There is now a long tradition of accessibility research, with an increasingly rich set of frameworks and methods from a distributional perspective. Despite such a positive outlook, many accessibility metrics deployed in research and practice do not consider (dis)utility, which may resonate more clearly with mainstream transport decision-making and planning. This paper seeks to contribute to debates about using utility-based measures as inputs for accessibility assessment of transport infrastructure investments in the Global South using discrete choice modeling and its potential as a bridging language between socially nuanced and economics-driven transport planning practices. This paper uses mixed revealed preferences and stated preferences data collected in Bogotá, Colombia. Then, it uses a logsum accessibility metric to estimate the differentiated impact of a set of infrastructure interventions on the accessibility of residents with different income levels and other socioeconomic conditions. Particularly, the logsum accessibility metric analyses future and structural additions to Bogotá public transport networks, reflecting their effect on the accessibility and consumer surplus in the next 20 years. The proposed approach captures the benefits derived from the transport infrastructure improvements, which has relevance for debates about transport policy and practice in this and similar urban contexts in the Global South. These accessibility gains could be assigned a monetary value to include in project cost-benefit assessments.","container-title":"Journal of Transport Geography","DOI":"10.1016/j.jtrangeo.2023.103683","ISSN":"0966-6923","source":"ScienceDirect","title":"How Much Is Accessibility Worth? Utility-Based Accessibility to Evaluate Transport Policies","URL":"https://www.sciencedirect.com/science/article/pii/S0966692323001552","volume":"112","author":[{"family":"Guzman","given":"Luis A."},{"family":"Cantillo-Garcia","given":"Victor A."},{"family":"Oviedo","given":"Daniel"},{"family":"Arellana","given":"Julian"}],"accessed":{"date-parts":[["2024",2,5]]},"issued":{"date-parts":[["2023",10,1]]}},"label":"page","suppress-author":true}],"schema":"https://github.com/citation-style-language/schema/raw/master/csl-citation.json"} </w:instrText>
      </w:r>
      <w:r w:rsidR="006E0707">
        <w:fldChar w:fldCharType="separate"/>
      </w:r>
      <w:r w:rsidR="006E0707" w:rsidRPr="006E0707">
        <w:t>(2023)</w:t>
      </w:r>
      <w:r w:rsidR="006E0707">
        <w:fldChar w:fldCharType="end"/>
      </w:r>
      <w:r w:rsidR="006E0707">
        <w:t xml:space="preserve">, and Klein et al. </w:t>
      </w:r>
      <w:r w:rsidR="006E0707">
        <w:fldChar w:fldCharType="begin"/>
      </w:r>
      <w:r w:rsidR="006E0707">
        <w:instrText xml:space="preserve"> ADDIN ZOTERO_ITEM CSL_CITATION {"citationID":"lDklXNNZ","properties":{"formattedCitation":"(2023)","plainCitation":"(2023)","noteIndex":0},"citationItems":[{"id":2227,"uris":["http://zotero.org/users/12832277/items/PAS9BAM6"],"itemData":{"id":2227,"type":"article-journal","abstract":"We examine transitions into and out of car ownership among low-income households. We use a novel online survey of U.S. residents to investigate why households lose access to a car, how long they are without a car, why they regain a car, and how these transitions affect their quality of life. We find that car ownership transitions are primarily motivated by economic security and insecurity. The median length of a car-less episode is 1.7 years, while black and Hispanic respondents experienced longer car-less episodes. Despite their precarious grasp on car ownership, respondents felt that owning a car was worth it.","container-title":"Journal of Planning Education and Research","DOI":"10.1177/0739456X231163755","ISSN":"0739-456X","language":"en","note":"publisher: SAGE Publications Inc","page":"0739456X231163755","source":"SAGE Journals","title":"Transitions into and Out of Car Ownership Among Low-Income Households in the United States","author":[{"family":"Klein","given":"Nicholas J."},{"family":"Basu","given":"Rounaq"},{"family":"Smart","given":"Michael J."}],"issued":{"date-parts":[["2023",5,3]]}},"label":"page","suppress-author":true}],"schema":"https://github.com/citation-style-language/schema/raw/master/csl-citation.json"} </w:instrText>
      </w:r>
      <w:r w:rsidR="006E0707">
        <w:fldChar w:fldCharType="separate"/>
      </w:r>
      <w:r w:rsidR="006E0707" w:rsidRPr="006E0707">
        <w:t>(2023)</w:t>
      </w:r>
      <w:r w:rsidR="006E0707">
        <w:fldChar w:fldCharType="end"/>
      </w:r>
      <w:r w:rsidR="006E0707">
        <w:t>.</w:t>
      </w:r>
    </w:p>
    <w:p w14:paraId="2ED0AB7A" w14:textId="469E5F60" w:rsidR="007A4F77" w:rsidRDefault="00886095" w:rsidP="006E0707">
      <w:pPr>
        <w:spacing w:after="0" w:line="240" w:lineRule="auto"/>
        <w:ind w:firstLine="720"/>
        <w:jc w:val="both"/>
      </w:pPr>
      <w:r>
        <w:t xml:space="preserve">Of course, the ease of reach to OH activities is not only based on objective factors, but also on how these objective factors are perceived </w:t>
      </w:r>
      <w:r w:rsidR="00527654">
        <w:fldChar w:fldCharType="begin"/>
      </w:r>
      <w:r w:rsidR="00BE586B">
        <w:instrText xml:space="preserve"> ADDIN ZOTERO_ITEM CSL_CITATION {"citationID":"03oQtnS6","properties":{"unsorted":true,"formattedCitation":"(L\\uc0\\u228{}ttman et al., 2016; De Vos et al., 2023)","plainCitation":"(Lättman et al., 2016; De Vos et al., 2023)","noteIndex":0},"citationItems":[{"id":1910,"uris":["http://zotero.org/users/12832277/items/3NPHCZ8Q"],"itemData":{"id":1910,"type":"article-journal","abstract":"Katrin Lättman, Margareta Friman, Lars E. Olsson","container-title":"Social Inclusion","DOI":"10.17645/si.v4i3.481","ISSN":"2183-2803","issue":"3","language":"en","page":"36-45","source":"www.cogitatiopress.com","title":"Perceived Accessibility of Public Transport as a Potential Indicator of Social Inclusion","volume":"4","author":[{"family":"Lättman","given":"Katrin"},{"family":"Friman","given":"Margareta"},{"family":"Olsson","given":"Lars E."}],"issued":{"date-parts":[["2016",6,7]]}}},{"id":1908,"uris":["http://zotero.org/users/12832277/items/EUPYB3ZT"],"itemData":{"id":1908,"type":"article-journal","abstract":"For decades, accessibility – i.e. the ease of reaching destinations – has been an important concept in transport planning, resulting in many studies trying to measure it and put it into practice. Also walkability, a mode-specific type of accessibility referring to how easy it is to walk (to destinations) received increased attention in the last two decades. In recent years, a new focus has been on how people perceive their accessibility as this may be a stronger predictor of travel behaviour than objective elements of accessibility (such as built environment characteristics). Perceived walkability, i.e. how walk-friendly people experience a certain area, however, has only been explored by a limited number of studies. In this review paper, we give an overview of existing studies analysing perceived walkability, which mostly have focused on its effects on walking frequency/duration, physical activity and various aspects of mental well-being. Based on this literature review, a conceptual model is created, emphasising the determinants and effects of perceived walkability and how it is related to objective walkability. We end this paper by providing avenues for further research, including the introduction of a Short Perceived Walkability Scale (SPWS) and recommendations for data collection and analysis. Doing so can create new insights into perceived walkability and links with related elements, and therefore can contribute to stimulating walking trips and improving the experience of these trips.","container-title":"Transport Reviews","DOI":"10.1080/01441647.2022.2101072","ISSN":"0144-1647","issue":"2","note":"publisher: Routledge\n_eprint: https://doi.org/10.1080/01441647.2022.2101072","page":"303-324","source":"Taylor and Francis+NEJM","title":"Determinants and Effects of Perceived Walkability: A Literature Review, Conceptual Model and Research Agenda","volume":"43","author":[{"family":"De Vos","given":"Jonas"},{"family":"Lättman","given":"Katrin"},{"family":"Vlugt","given":"Anna-Lena","non-dropping-particle":"van der"},{"family":"Welsch","given":"Janina"},{"family":"Otsuka","given":"Noriko"}],"issued":{"date-parts":[["2023",3,4]]}}}],"schema":"https://github.com/citation-style-language/schema/raw/master/csl-citation.json"} </w:instrText>
      </w:r>
      <w:r w:rsidR="00527654">
        <w:fldChar w:fldCharType="separate"/>
      </w:r>
      <w:r w:rsidR="007A7A96" w:rsidRPr="007A7A96">
        <w:t>(Lättman et al., 2016; De Vos et al., 2023)</w:t>
      </w:r>
      <w:r w:rsidR="00527654">
        <w:fldChar w:fldCharType="end"/>
      </w:r>
      <w:r w:rsidR="0044001A">
        <w:t>.</w:t>
      </w:r>
      <w:r w:rsidR="008C68C8">
        <w:t xml:space="preserve"> </w:t>
      </w:r>
      <w:r>
        <w:t xml:space="preserve">A </w:t>
      </w:r>
      <w:r w:rsidR="00853859">
        <w:t xml:space="preserve">wide range of studies have </w:t>
      </w:r>
      <w:r>
        <w:t xml:space="preserve">reported </w:t>
      </w:r>
      <w:r w:rsidR="00853859">
        <w:t xml:space="preserve">the effects of </w:t>
      </w:r>
      <w:r>
        <w:t xml:space="preserve">subjective </w:t>
      </w:r>
      <w:r w:rsidR="00853859">
        <w:t xml:space="preserve">perceptions </w:t>
      </w:r>
      <w:r w:rsidR="009F244F">
        <w:t xml:space="preserve">on transportation outcomes, including </w:t>
      </w:r>
      <w:r w:rsidR="00712454">
        <w:t xml:space="preserve">trip-making and </w:t>
      </w:r>
      <w:r w:rsidR="009F244F">
        <w:t>the use of specific mode</w:t>
      </w:r>
      <w:r w:rsidR="00712454">
        <w:t xml:space="preserve">s. </w:t>
      </w:r>
      <w:r w:rsidR="00C5254E">
        <w:t>For instance</w:t>
      </w:r>
      <w:r w:rsidR="00372AC1">
        <w:t xml:space="preserve">, </w:t>
      </w:r>
      <w:r w:rsidR="002C32DF">
        <w:t>perceptions of travel time</w:t>
      </w:r>
      <w:r w:rsidR="00F27A95">
        <w:t xml:space="preserve"> </w:t>
      </w:r>
      <w:r w:rsidR="00FA59E8">
        <w:t>reliability</w:t>
      </w:r>
      <w:r w:rsidR="002C32DF">
        <w:t xml:space="preserve"> have been show</w:t>
      </w:r>
      <w:r w:rsidR="009E7A34">
        <w:t>n</w:t>
      </w:r>
      <w:r w:rsidR="002C32DF">
        <w:t xml:space="preserve"> to have a significant impact on </w:t>
      </w:r>
      <w:r w:rsidR="00DA7E2B">
        <w:t>transportation satisfaction and travel intentions</w:t>
      </w:r>
      <w:r w:rsidR="00DF771C">
        <w:t xml:space="preserve"> </w:t>
      </w:r>
      <w:r w:rsidR="00DF771C">
        <w:fldChar w:fldCharType="begin"/>
      </w:r>
      <w:r w:rsidR="00870FA5">
        <w:instrText xml:space="preserve"> ADDIN ZOTERO_ITEM CSL_CITATION {"citationID":"E1RhL7UX","properties":{"unsorted":true,"formattedCitation":"(Carrion and Levinson, 2012; Taylor, 2013; Chen et al., 2017)","plainCitation":"(Carrion and Levinson, 2012; Taylor, 2013; Chen et al., 2017)","noteIndex":0},"citationItems":[{"id":2199,"uris":["http://zotero.org/users/12832277/items/BJMG7FF2"],"itemData":{"id":2199,"type":"article-journal","abstract":"Travel time reliability is a fundamental factor in travel behavior. It represents the temporal uncertainty experienced by travelers in their movement between any two nodes in a network. The importance of the time reliability depends on the penalties incurred by the travelers. In road networks, travelers consider the existence of a trip travel time uncertainty in different choice situations (departure time, route, mode, and others). In this paper, a systematic review of the current state of research in travel time reliability, and more explicitly in the value of travel time reliability is presented. Moreover, a meta-analysis is performed in order to determine the reasons behind the discrepancy among the reliability estimates.","container-title":"Transportation Research Part A: Policy and Practice","DOI":"10.1016/j.tra.2012.01.003","ISSN":"0965-8564","issue":"4","page":"720-741","source":"ScienceDirect","title":"Value of Travel Time Reliability: A Review of Current Evidence","volume":"46","author":[{"family":"Carrion","given":"Carlos"},{"family":"Levinson","given":"David"}],"issued":{"date-parts":[["2012",5,1]]}}},{"id":2202,"uris":["http://zotero.org/users/12832277/items/B3BZ4JVB"],"itemData":{"id":2202,"type":"article-journal","abstract":"This paper provides a review of research on the concepts and application of travel time reliability and on the underpinning research on travel time variability. It charts the development of the topic from beginnings concerned with exploring the possible extent of variability in travel times through to the current interests in the specification of meaningful metrics for reliability, the inclusion of travel time reliability factors in traffic assignment and on ascribing economic valuations to travel time reliability for use in the economic appraisal of transport policies and projects. Travel time reliability is now recognised as a major determinant of travel behaviour and as an important performance measure for transport systems operation. Much has been achieved in understanding the symptoms and causes of variability in travel times. Yet the definitions are still not completely clear, and as a consequence the measurement and assessment of travel time reliability is still open to interpretation. Relationships between traffic congestion and reliability are inferred, and in more recent times the influence of ‘extreme events’, including weather events, on reliability has become an important research topic. The paper reviews the current situation, and provides ideas for future research.","container-title":"Transportmetrica B: Transport Dynamics","DOI":"10.1080/21680566.2013.859107","ISSN":"2168-0566","issue":"3","note":"publisher: Taylor &amp; Francis\n_eprint: https://doi.org/10.1080/21680566.2013.859107","page":"174-194","source":"Taylor and Francis+NEJM","title":"Travel Through Time: The Story of Research on Travel Time Reliability","volume":"1","author":[{"family":"Taylor","given":"Michael A.P."}],"issued":{"date-parts":[["2013",12,1]]}}},{"id":2204,"uris":["http://zotero.org/users/12832277/items/YGRZQATB"],"itemData":{"id":2204,"type":"article-journal","abstract":"Travel time uncertainty has significant impacts on individual activity-travel scheduling, but at present these impacts have not been considered in most accessibility studies. In this paper, an accessibility evaluation framework is proposed for urban areas with uncertain travel times. A reliable space-time service region (RSTR) model is introduced to represent the space-time service region of a facility under travel time uncertainty. Based on the RSTR model, four reliable place-based accessibility measures are proposed to evaluate accessibility to urban services by incorporating the effects of travel time reliability. To demonstrate the applicability of the proposed framework, a case study using large-scale taxi tracking data is carried out. The results of the case study indicate that the proposed accessibility measures can evaluate large-scale place-based accessibility well in urban areas with uncertain travel times. Conventional place-based accessibility indicators ignoring travel time reliability can significantly overestimate the accessibility to urban services.","container-title":"International Journal of Geographical Information Science","DOI":"10.1080/13658816.2016.1238919","ISSN":"1365-8816","issue":"4","note":"publisher: Taylor &amp; Francis\n_eprint: https://doi.org/10.1080/13658816.2016.1238919","page":"783-804","source":"Taylor and Francis+NEJM","title":"Measuring Place-Based Accessibility Under Travel Time Uncertainty","volume":"31","author":[{"family":"Chen","given":"Bi Yu"},{"family":"Yuan","given":"Hui"},{"family":"Li","given":"Qingquan"},{"family":"Wang","given":"Donggen"},{"family":"Shaw","given":"Shih-Lung"},{"family":"Chen","given":"Hui-Ping"},{"family":"Lam","given":"William H. K."}],"issued":{"date-parts":[["2017",4,3]]}}}],"schema":"https://github.com/citation-style-language/schema/raw/master/csl-citation.json"} </w:instrText>
      </w:r>
      <w:r w:rsidR="00DF771C">
        <w:fldChar w:fldCharType="separate"/>
      </w:r>
      <w:r w:rsidR="00870FA5" w:rsidRPr="00870FA5">
        <w:t>(Carrion and Levinson, 2012; Taylor, 2013; Chen et al., 2017)</w:t>
      </w:r>
      <w:r w:rsidR="00DF771C">
        <w:fldChar w:fldCharType="end"/>
      </w:r>
      <w:r w:rsidR="00DA7E2B">
        <w:t>.</w:t>
      </w:r>
      <w:r w:rsidR="00B043F2">
        <w:rPr>
          <w:b/>
          <w:bCs/>
        </w:rPr>
        <w:t xml:space="preserve"> </w:t>
      </w:r>
      <w:r>
        <w:t>T</w:t>
      </w:r>
      <w:r w:rsidR="00977C9F">
        <w:t>he desire for flexibility</w:t>
      </w:r>
      <w:r w:rsidR="00F27A95">
        <w:t xml:space="preserve"> </w:t>
      </w:r>
      <w:r>
        <w:t xml:space="preserve">also </w:t>
      </w:r>
      <w:r w:rsidR="00977C9F">
        <w:t xml:space="preserve">plays an important role in </w:t>
      </w:r>
      <w:r>
        <w:t>how accessibility is perceived</w:t>
      </w:r>
      <w:r w:rsidR="00977C9F">
        <w:t xml:space="preserve">. Some individuals may need the flexibility to go to work or to pick up children at short notice, and so may be unable to use specific modes or travel to certain destinations that limit </w:t>
      </w:r>
      <w:r w:rsidR="0000631D">
        <w:t>this</w:t>
      </w:r>
      <w:r w:rsidR="00977C9F">
        <w:t xml:space="preserve"> flexibility</w:t>
      </w:r>
      <w:r w:rsidR="002B28E8">
        <w:t xml:space="preserve"> </w:t>
      </w:r>
      <w:r w:rsidR="00265C05">
        <w:fldChar w:fldCharType="begin"/>
      </w:r>
      <w:r w:rsidR="00BE586B">
        <w:instrText xml:space="preserve"> ADDIN ZOTERO_ITEM CSL_CITATION {"citationID":"4mygV2Vx","properties":{"formattedCitation":"(Haustein and Hunecke, 2007)","plainCitation":"(Haustein and Hunecke, 2007)","noteIndex":0},"citationItems":[{"id":2401,"uris":["http://zotero.org/users/12832277/items/2AQJLAVR"],"itemData":{"id":2401,"type":"article-journal","abstract":"An extended version of the theory of planned behavior (TPB; Ajzen, 1991) was used to explain travel mode choice. As a new predictor, perceived mobility necessities (PMNs) were introduced, which are defined as people's perceptions of mobility-related consequences of their personal living circumstances. The database consisted of a survey of 1,545 car users in 3 large German cities. Using structural equation modeling, PMNs were integrated into TPB and showed the expected significant negative effect on use of environmentally friendly modes. In-depth interviews with 82 selected participants indicated that PMN moderates the relationship between public transportation attitude and intention. This moderator effect was confirmed by a regression analysis. The extension of TPB by PMN allows deduction of more differentiated intervention strategies.","container-title":"Journal of Applied Social Psychology","DOI":"10.1111/j.1559-1816.2007.00241.x","ISSN":"1559-1816","issue":"8","language":"en","note":"_eprint: https://onlinelibrary.wiley.com/doi/pdf/10.1111/j.1559-1816.2007.00241.x","page":"1856-1883","source":"Wiley Online Library","title":"Reduced Use of Environmentally Friendly Modes of Transportation Caused by Perceived Mobility Necessities: An Extension of the Theory of Planned Behavior","volume":"37","author":[{"family":"Haustein","given":"Sonja"},{"family":"Hunecke","given":"Marcel"}],"issued":{"date-parts":[["2007"]]}}}],"schema":"https://github.com/citation-style-language/schema/raw/master/csl-citation.json"} </w:instrText>
      </w:r>
      <w:r w:rsidR="00265C05">
        <w:fldChar w:fldCharType="separate"/>
      </w:r>
      <w:r w:rsidR="00265C05" w:rsidRPr="00265C05">
        <w:t>(Haustein and Hunecke, 2007)</w:t>
      </w:r>
      <w:r w:rsidR="00265C05">
        <w:fldChar w:fldCharType="end"/>
      </w:r>
      <w:r w:rsidR="00977C9F">
        <w:t xml:space="preserve">. Similarly, active modes may not be perceived as available at all times because of factors such as weather conditions that </w:t>
      </w:r>
      <w:r>
        <w:t xml:space="preserve">can provide less mobility control at any given time </w:t>
      </w:r>
      <w:r w:rsidR="0009009D">
        <w:fldChar w:fldCharType="begin"/>
      </w:r>
      <w:r w:rsidR="00BE586B">
        <w:instrText xml:space="preserve"> ADDIN ZOTERO_ITEM CSL_CITATION {"citationID":"Dm6MGZHA","properties":{"formattedCitation":"(El-Assi et al., 2017)","plainCitation":"(El-Assi et al., 2017)","noteIndex":0},"citationItems":[{"id":2404,"uris":["http://zotero.org/users/12832277/items/VWIDFF4I"],"itemData":{"id":2404,"type":"article-journal","abstract":"Bike Share Toronto is Canada’s second largest public bike share system. It provides a unique case study as it is one of the few bike share programs located in a relatively cold North American setting, yet operates throughout the entire year. Using year-round historical trip data, this study analyzes the factors affecting Toronto’s bike share ridership. A comprehensive spatial analysis provides meaningful insights on the influences of socio-demographic attributes, land use and built environment, as well as different weather measures on bike share ridership. Empirical models also reveal significant effects of road network configuration (intersection density and spatial dispersion of stations) on bike sharing demands. The effect of bike infrastructure (bike lane, paths etc.) is also found to be crucial in increasing bike sharing demand. Temporal changes in bike share trip making behavior were also investigated using a multilevel framework. The study reveals a significant correlation between temperature, land use and bike share trip activity. The findings of the paper can be translated to guidelines with the aim of increasing bike share activity in urban centers.","container-title":"Transportation","DOI":"10.1007/s11116-015-9669-z","ISSN":"1572-9435","issue":"3","language":"en","page":"589-613","source":"Springer Link","title":"Effects of Built Environment and Weather on Bike Sharing Demand: A Station Level Analysis of Commercial Bike Sharing in Toronto","volume":"44","author":[{"family":"El-Assi","given":"Wafic"},{"family":"Salah Mahmoud","given":"Mohamed"},{"family":"Nurul Habib","given":"Khandker"}],"issued":{"date-parts":[["2017",5,1]]}}}],"schema":"https://github.com/citation-style-language/schema/raw/master/csl-citation.json"} </w:instrText>
      </w:r>
      <w:r w:rsidR="0009009D">
        <w:fldChar w:fldCharType="separate"/>
      </w:r>
      <w:r w:rsidR="0009009D" w:rsidRPr="0009009D">
        <w:t>(El-Assi et al., 2017)</w:t>
      </w:r>
      <w:r w:rsidR="0009009D">
        <w:fldChar w:fldCharType="end"/>
      </w:r>
      <w:r w:rsidR="00977C9F">
        <w:t xml:space="preserve">. </w:t>
      </w:r>
      <w:r w:rsidR="0054556D">
        <w:t>Beyond the perceptions of travel time reliability</w:t>
      </w:r>
      <w:r w:rsidR="00D47B6E">
        <w:t xml:space="preserve">, </w:t>
      </w:r>
      <w:r w:rsidR="00F27A95">
        <w:t xml:space="preserve">flexibility, </w:t>
      </w:r>
      <w:r w:rsidR="00D47B6E">
        <w:t xml:space="preserve">and mobility control, as discussed above, </w:t>
      </w:r>
      <w:r w:rsidR="00D701E7">
        <w:t>perceptions of safety are of critical importance</w:t>
      </w:r>
      <w:r w:rsidR="00F27A95">
        <w:t xml:space="preserve">, which may vary across individuals based on </w:t>
      </w:r>
      <w:r w:rsidR="00F9169D">
        <w:t>social norms and expectations. For instance,</w:t>
      </w:r>
      <w:r w:rsidR="00510347">
        <w:t xml:space="preserve"> </w:t>
      </w:r>
      <w:r w:rsidR="003678D7">
        <w:t xml:space="preserve">cyclists and pedestrians </w:t>
      </w:r>
      <w:r w:rsidR="00D47B6E">
        <w:t>are likely to be concerned about crash-related safety</w:t>
      </w:r>
      <w:r w:rsidR="00B950AC">
        <w:t xml:space="preserve"> </w:t>
      </w:r>
      <w:r w:rsidR="00321D5C">
        <w:fldChar w:fldCharType="begin"/>
      </w:r>
      <w:r w:rsidR="00BE586B">
        <w:instrText xml:space="preserve"> ADDIN ZOTERO_ITEM CSL_CITATION {"citationID":"cwuH1EzF","properties":{"formattedCitation":"(Ng et al., 2017)","plainCitation":"(Ng et al., 2017)","noteIndex":0},"citationItems":[{"id":2409,"uris":["http://zotero.org/users/12832277/items/CRB7GLE7"],"itemData":{"id":2409,"type":"article-journal","abstract":"Previous research suggests that cyclists’ perceptions of the safety of cycling infrastructure influences their desire to ride on that infrastructure. Cycling infrastructure includes both cycling facilities and cycling-supportive road treatments. While researchers have previously examined the safety perceptions of cycling infrastructure on midblock road sections, little is known about the safety perceptions of cycling infrastructure at intersections. The aim of this study was to investigate which types of cycling infrastructure do cyclists perceive to be the safest at un-signalised intersections. This study was conducted in Queensland, Australia. Adult members of bicycle organisations (N=214) completed an online survey about their demographic characteristics, cycling habits, previous near-miss or collision experiences while cycling, and safety perceptions of cycling infrastructure at intersections. General linear mixed-modelling was used to examine associations between safety perceptions and 12 types of cycling infrastructure at three different motorist-cyclist interaction scenarios. Off-road bicycle paths and footpaths were perceived to be the safest cycling infrastructure at un-signalised intersections (p&lt;0.05). While cycling through an intersection, participants were more concerned about being sideswiped than being struck directly at the side by a motorist (p&lt;0.05). The findings suggest that cyclists’ safety perceptions of cycling infrastructure at un-signalised intersections are associated with motorists’ yielding behaviour towards cyclists. Cyclists felt safer using cycling infrastructure where they had to give way to turning motorists at the intersection than using cycling infrastructure where they had the right of way. By doing so, cyclists can decide whether or not it is safe to cross the intersection rather than worry about turning motorists who could be attempting to outrace them. In practice, assessing motorists’ behaviours and attitudes towards cyclists should be considered before designing and implementing cycling infrastructure at intersections.","container-title":"Journal of Transport &amp; Health","DOI":"10.1016/j.jth.2017.03.001","ISSN":"2214-1405","page":"13-22","source":"ScienceDirect","title":"Cyclist’ Safety Perceptions of Cycling Infrastructure at Un-Signalised Intersections: Cross-Sectional Survey of Queensland Cyclists","volume":"6","author":[{"family":"Ng","given":"Athena"},{"family":"Debnath","given":"Ashim Kumar"},{"family":"Heesch","given":"Kristiann C."}],"issued":{"date-parts":[["2017",9,1]]}}}],"schema":"https://github.com/citation-style-language/schema/raw/master/csl-citation.json"} </w:instrText>
      </w:r>
      <w:r w:rsidR="00321D5C">
        <w:fldChar w:fldCharType="separate"/>
      </w:r>
      <w:r w:rsidR="00321D5C" w:rsidRPr="00321D5C">
        <w:t>(Ng et al., 2017)</w:t>
      </w:r>
      <w:r w:rsidR="00321D5C">
        <w:fldChar w:fldCharType="end"/>
      </w:r>
      <w:r w:rsidR="0029506D">
        <w:t xml:space="preserve">, </w:t>
      </w:r>
      <w:r w:rsidR="00DF07E2">
        <w:t xml:space="preserve">while public transit users </w:t>
      </w:r>
      <w:r w:rsidR="00D47B6E">
        <w:t xml:space="preserve">may be more concerned about crime-related </w:t>
      </w:r>
      <w:r w:rsidR="00DF07E2">
        <w:t>safety</w:t>
      </w:r>
      <w:r w:rsidR="00F02FB4">
        <w:t xml:space="preserve"> </w:t>
      </w:r>
      <w:r w:rsidR="00657786">
        <w:fldChar w:fldCharType="begin"/>
      </w:r>
      <w:r w:rsidR="00BE586B">
        <w:instrText xml:space="preserve"> ADDIN ZOTERO_ITEM CSL_CITATION {"citationID":"lKF7Ey28","properties":{"formattedCitation":"(Kim et al., 2007)","plainCitation":"(Kim et al., 2007)","noteIndex":0},"citationItems":[{"id":2421,"uris":["http://zotero.org/users/12832277/items/XKU8WTII"],"itemData":{"id":2421,"type":"article-journal","abstract":"This paper analyzes factors that influence the mode choice for trips between home and light rail stations, an often neglected part of a person’s trip making behavior. This is important for transit planning, demand modeling, and transit oriented development. Using transit survey data describing St. Louis MetroLink riders in the United States, this study found that some of the factors associated with increased shares of walking relative to other modes were full-time student status, higher income transit riders, and trips made during the evening. It was also found that crime at stations had an impact. In particular, crime made female transit riders more likely to be picked-up/dropped-off at the station. Females are more likely to be picked-up or dropped-off at night. Bus availability and convenience showed that transit riders that have a direct bus connection to a light rail station were more likely to use the bus. Private vehicle availability was strongly associated with increased probability of drive and park, when connecting to light rail.","container-title":"Transportation Research Part A: Policy and Practice","DOI":"10.1016/j.tra.2006.11.001","ISSN":"0965-8564","issue":"6","page":"511-522","source":"ScienceDirect","title":"Analysis of Light Rail Rider Travel Behavior: Impacts of Individual, Built Environment, and Crime Characteristics on Transit Access","volume":"41","author":[{"family":"Kim","given":"Sungyop"},{"family":"Ulfarsson","given":"Gudmundur F."},{"family":"Todd Hennessy","given":"J."}],"issued":{"date-parts":[["2007",7,1]]}}}],"schema":"https://github.com/citation-style-language/schema/raw/master/csl-citation.json"} </w:instrText>
      </w:r>
      <w:r w:rsidR="00657786">
        <w:fldChar w:fldCharType="separate"/>
      </w:r>
      <w:r w:rsidR="00657786" w:rsidRPr="00657786">
        <w:t>(Kim et al., 2007)</w:t>
      </w:r>
      <w:r w:rsidR="00657786">
        <w:fldChar w:fldCharType="end"/>
      </w:r>
      <w:r w:rsidR="00DF07E2">
        <w:t>.</w:t>
      </w:r>
      <w:r w:rsidR="005B768A">
        <w:t xml:space="preserve"> </w:t>
      </w:r>
      <w:r w:rsidR="00777E54">
        <w:t>These safety perceptions are also inherently individual specific</w:t>
      </w:r>
      <w:r w:rsidR="005F1A93">
        <w:t xml:space="preserve">, both because of differences in objective safety and because of perceived differences </w:t>
      </w:r>
      <w:r w:rsidR="00777E54">
        <w:t>related to the personal backgrounds and experiences of individual users</w:t>
      </w:r>
      <w:r w:rsidR="001B2FB8">
        <w:t xml:space="preserve"> </w:t>
      </w:r>
      <w:r w:rsidR="00387642">
        <w:fldChar w:fldCharType="begin"/>
      </w:r>
      <w:r w:rsidR="00BE586B">
        <w:instrText xml:space="preserve"> ADDIN ZOTERO_ITEM CSL_CITATION {"citationID":"vFZcDpuu","properties":{"formattedCitation":"(Yavuz and Welch, 2010)","plainCitation":"(Yavuz and Welch, 2010)","noteIndex":0},"citationItems":[{"id":2412,"uris":["http://zotero.org/users/12832277/items/QZBPPD7U"],"itemData":{"id":2412,"type":"article-journal","abstract":"Research has identified several factors that affect fear of crime in public space. However, the extent to which gender moderates the effectiveness of fear-reducing measures has received little attention. Using data from the Chicago Transit Authority Customer Satisfaction Survey of 2003, this study aims to understand whether train transit security practices and service attributes affect men and women differently. Findings indicate that, while the presence of video cameras has a lower effect on women’s feelings of safety compared with men, frequent and on-time service matters more to male passengers. Additionally, experience with safety-related problems affects women significantly more than men. Conclusions discuss the implications of the study for theory and gender-specific policies to improve perceptions of transit safety.","container-title":"Urban Studies","DOI":"10.1177/0042098009359033","ISSN":"0042-0980","issue":"12","language":"en","note":"publisher: SAGE Publications Ltd","page":"2491-2515","source":"SAGE Journals","title":"Addressing Fear of Crime in Public Space: Gender Differences in Reaction to Safety Measures in Train Transit","volume":"47","author":[{"family":"Yavuz","given":"Nilay"},{"family":"Welch","given":"Eric W."}],"issued":{"date-parts":[["2010",11,1]]}}}],"schema":"https://github.com/citation-style-language/schema/raw/master/csl-citation.json"} </w:instrText>
      </w:r>
      <w:r w:rsidR="00387642">
        <w:fldChar w:fldCharType="separate"/>
      </w:r>
      <w:r w:rsidR="00387642" w:rsidRPr="00387642">
        <w:t>(Yavuz and Welch, 2010)</w:t>
      </w:r>
      <w:r w:rsidR="00387642">
        <w:fldChar w:fldCharType="end"/>
      </w:r>
      <w:r w:rsidR="00777E54">
        <w:t>.</w:t>
      </w:r>
      <w:r w:rsidR="001B2FB8">
        <w:t xml:space="preserve"> </w:t>
      </w:r>
      <w:r w:rsidR="005F1A93">
        <w:t xml:space="preserve">For </w:t>
      </w:r>
      <w:r w:rsidR="008B3E6F">
        <w:t>instance,</w:t>
      </w:r>
      <w:r w:rsidR="005F1A93">
        <w:t xml:space="preserve"> </w:t>
      </w:r>
      <w:r w:rsidR="00D47B6E">
        <w:t xml:space="preserve">women are more likely to experience harassment on public transit, and may tend to avoid transit, particularly when traveling alone </w:t>
      </w:r>
      <w:r w:rsidR="00D47B6E">
        <w:fldChar w:fldCharType="begin"/>
      </w:r>
      <w:r w:rsidR="00D47B6E">
        <w:instrText xml:space="preserve"> ADDIN ZOTERO_ITEM CSL_CITATION {"citationID":"X9EIjLCB","properties":{"formattedCitation":"(Currie et al., 2013; Stark and Meschik, 2018)","plainCitation":"(Currie et al., 2013; Stark and Meschik, 2018)","noteIndex":0},"citationItems":[{"id":2359,"uris":["http://zotero.org/users/12832277/items/ZDQ7FF86"],"itemData":{"id":2359,"type":"article-journal","abstract":"This paper explores factors influencing perceptions of safety on public transport using an empirical analysis of a survey of young people in Melbourne, Australia. In the literature, some studies disagree as to the extent to which perceptions of safety are affected by actual experience of crime. Some suggest perceptions of personal safety are not justified by actual crime rates, whereas others find that direct experience of unsafe incidents results in greater safety concerns. Related research suggests that psychological factors can make some people feel uncomfortable on public transport and that this may increase perceptions of poor personal safety. However, these links have not yet been tested empirically in the public transport context. In this study, three statistically reliable MANOVA models demonstrated that psychological influences, i.e., “feeling comfortable with people you don’t know on public transport,” had the largest individual influence on perceptions of safety with a medium-size effect. Gender and actual experiences of a personal safety incident also influenced perceptions of personal safety but with a small effect size. Overall, the research suggests that feelings of anxiety and discomfort associated with traveling with people you do not know is the most influential factor driving negative feelings of personal safety on public transport. Gender and actual experience of unsafe incidents were not as important. Areas for further research are identified.","container-title":"Journal of Public Transportation","DOI":"10.5038/2375-0901.16.1.1","ISSN":"1077-291X","issue":"1","page":"1-19","source":"ScienceDirect","title":"Factors Influencing Young Peoples ‘ Perceptions of Personal Safety on Public Transport","volume":"16","author":[{"family":"Currie","given":"Graham"},{"family":"Delbosc","given":"Alexa"},{"family":"Mahmoud","given":"Sarah"}],"issued":{"date-parts":[["2013",1,1]]}}},{"id":2364,"uris":["http://zotero.org/users/12832277/items/S8GXG8XU"],"itemData":{"id":2364,"type":"article-journal","abstract":"This paper investigates frightening situations women face in their everyday mobility. The focus is not on serious criminal offences but rather on all situations causing fear such as harassment and the influence on the travel behaviour of women. Two surveys were conducted in Austria in 2012 and 2013 to assess whether and how many women are affected and to get insights in locations of the incidents and the circumstances. The personal security aspects of different modes of transport are investigated. The results show that women who experienced frightening situations tend to avoid certain destinations or routes and travel modes more than other women. The results also confirm that women in general have constrained travel behaviour because of fear about their personal security. When it is impossible to change route or travel time e.g. due to personal restraints, or when simply no other transport mode is available, women are captives to use unwanted transport options, even when they have to reckon with frightening situations. The conclusions summarize that women’s personal security plays an important role in terms of travel behaviour and increased attention should be paid by authorities as well as city- and transport planners striving for sustainable built environments. As the share of affected women is high and it can be assumed that women are more often imperilled than men the questions arises, if this can be assimilated to unequal mobility opportunities, finally resulting in a social deficiency for women.","container-title":"Transportation Research Part F: Traffic Psychology and Behaviour","DOI":"10.1016/j.trf.2018.02.017","ISSN":"1369-8478","page":"311-323","source":"ScienceDirect","title":"Women’s Everyday Mobility: Frightening Situations and Their Impacts on Travel Behaviour","volume":"54","author":[{"family":"Stark","given":"Juliane"},{"family":"Meschik","given":"Michael"}],"issued":{"date-parts":[["2018",4,1]]}}}],"schema":"https://github.com/citation-style-language/schema/raw/master/csl-citation.json"} </w:instrText>
      </w:r>
      <w:r w:rsidR="00D47B6E">
        <w:fldChar w:fldCharType="separate"/>
      </w:r>
      <w:r w:rsidR="00D47B6E" w:rsidRPr="00656C86">
        <w:t>(Currie et al., 2013; Stark and Meschik, 2018)</w:t>
      </w:r>
      <w:r w:rsidR="00D47B6E">
        <w:fldChar w:fldCharType="end"/>
      </w:r>
      <w:r w:rsidR="00D47B6E">
        <w:t>. Relatedly, while perceptions of crime may deter some users, excess security and policing may deter othe</w:t>
      </w:r>
      <w:r w:rsidR="00D47B6E" w:rsidRPr="006E0707">
        <w:t xml:space="preserve">rs. </w:t>
      </w:r>
      <w:r w:rsidR="00527D74" w:rsidRPr="006E3DF9">
        <w:t xml:space="preserve">Thus, as Spieler </w:t>
      </w:r>
      <w:r w:rsidR="006E0707" w:rsidRPr="006E3DF9">
        <w:fldChar w:fldCharType="begin"/>
      </w:r>
      <w:r w:rsidR="006E0707" w:rsidRPr="006E3DF9">
        <w:instrText xml:space="preserve"> ADDIN ZOTERO_ITEM CSL_CITATION {"citationID":"htc2xjXF","properties":{"formattedCitation":"(2020)","plainCitation":"(2020)","noteIndex":0},"citationItems":[{"id":3462,"uris":["http://zotero.org/groups/5345474/items/N5VK8U7C"],"itemData":{"id":3462,"type":"webpage","container-title":"Kinder Institute for Urban Research | Rice University","language":"en","title":"Racism has shaped public transit, and it’s riddled with inequities | Kinder Institute for Urban Research","URL":"https://kinder.rice.edu/urbanedge/racism-has-shaped-public-transit-and-its-riddled-inequities","author":[{"family":"Spieler","given":"Christof"}],"accessed":{"date-parts":[["2024",6,7]]},"issued":{"date-parts":[["2020",8,24]]}},"label":"page","suppress-author":true}],"schema":"https://github.com/citation-style-language/schema/raw/master/csl-citation.json"} </w:instrText>
      </w:r>
      <w:r w:rsidR="006E0707" w:rsidRPr="006E3DF9">
        <w:fldChar w:fldCharType="separate"/>
      </w:r>
      <w:r w:rsidR="006E0707" w:rsidRPr="006E0707">
        <w:t>(2020)</w:t>
      </w:r>
      <w:r w:rsidR="006E0707" w:rsidRPr="006E3DF9">
        <w:fldChar w:fldCharType="end"/>
      </w:r>
      <w:r w:rsidR="00527D74" w:rsidRPr="006E3DF9">
        <w:t xml:space="preserve"> puts it, “White riders are likely to see a police officer on a train as a comforting presence, while many Black riders justifiably will perceive them as a potential threat.” </w:t>
      </w:r>
      <w:r w:rsidR="00CF6516" w:rsidRPr="006E0707">
        <w:t>Finally</w:t>
      </w:r>
      <w:r w:rsidR="00A10A2A" w:rsidRPr="006E0707">
        <w:t xml:space="preserve">, </w:t>
      </w:r>
      <w:r w:rsidR="00C46E42" w:rsidRPr="006E0707">
        <w:t xml:space="preserve">perceptions of health and cleanliness can also </w:t>
      </w:r>
      <w:r w:rsidR="00527D74" w:rsidRPr="006E0707">
        <w:t>play a role</w:t>
      </w:r>
      <w:r w:rsidR="00C46E42" w:rsidRPr="006E0707">
        <w:t xml:space="preserve">. </w:t>
      </w:r>
      <w:r w:rsidR="00636B92" w:rsidRPr="006E0707">
        <w:t>The COVID-19 pandemic provides a clear exa</w:t>
      </w:r>
      <w:r w:rsidR="00636B92">
        <w:t>mple</w:t>
      </w:r>
      <w:r w:rsidR="00230EE9">
        <w:t>.</w:t>
      </w:r>
      <w:r w:rsidR="00636B92">
        <w:t xml:space="preserve"> Fears of infection in public spaces </w:t>
      </w:r>
      <w:r w:rsidR="00915275">
        <w:t xml:space="preserve">and perceptions </w:t>
      </w:r>
      <w:r w:rsidR="00915275">
        <w:lastRenderedPageBreak/>
        <w:t>of cleanliness contributed to significant declines in public</w:t>
      </w:r>
      <w:r w:rsidR="00915275" w:rsidRPr="00C70AA2">
        <w:t xml:space="preserve"> transportation, ridesharing, and other shared modes, while the use of</w:t>
      </w:r>
      <w:r w:rsidR="00915275">
        <w:t xml:space="preserve"> individual active modes grew </w:t>
      </w:r>
      <w:r w:rsidR="00C70AA2">
        <w:fldChar w:fldCharType="begin"/>
      </w:r>
      <w:r w:rsidR="006E3DF9">
        <w:instrText xml:space="preserve"> ADDIN ZOTERO_ITEM CSL_CITATION {"citationID":"CQRFtnkQ","properties":{"unsorted":true,"formattedCitation":"(Dong et al., 2021; Seabra et al., 2021; Javadinasr et al., 2022)","plainCitation":"(Dong et al., 2021; Seabra et al., 2021; Javadinasr et al., 2022)","noteIndex":0},"citationItems":[{"id":2362,"uris":["http://zotero.org/users/12832277/items/6WYCY4PZ"],"itemData":{"id":2362,"type":"article-journal","abstract":"The influence of the COVID-19 pandemic will linger for an extended period, although it is under control and public transport is gradually resuming its operations. However, there is limited understanding of passengers' construal regarding this public health crisis and their perceptions of safety and feelings of satisfaction toward public transport after suffering through the spread of such an infectious disease. Therefore, the aim of this research is to understand passengers' psychological responses to the pandemic over time in terms of their emotional arousal and mental construal, as public transport begins to resume its operations with the pandemic almost entirely contained. A cross-sectional survey was conducted in eight cities of China where the public transport system had been temporally closed because of the pandemic. The results indicated that (1) passengers' feelings of safety enhanced their overall satisfaction with regard to public transport, (2) state anxiety has a negative effect on perceived safety, (3) state anxiety increases as passengers are psychologically closer to the pandemic, and (4) passengers pay more attention to information that is psychologically closer to the pandemic and perceive lesser safety on public transport. These findings not only reveal the internal mechanisms behind how passengers perceive safety but may also provide significant information for future disaster emergency management. Based on the results, some feasible suggestions are proposed to avoid the loss of ridership and help public transport systems recover from the crisis.","container-title":"Transport Policy","DOI":"10.1016/j.tranpol.2020.12.004","ISSN":"0967-070X","page":"81-88","source":"ScienceDirect","title":"Understanding Public Transport Satisfaction in Post COVID-19 Pandemic","volume":"101","author":[{"family":"Dong","given":"Hongming"},{"family":"Ma","given":"Shoufeng"},{"family":"Jia","given":"Ning"},{"family":"Tian","given":"Junfang"}],"issued":{"date-parts":[["2021",2,1]]}}},{"id":2374,"uris":["http://zotero.org/users/12832277/items/A6QGEJ7R"],"itemData":{"id":2374,"type":"chapter","abstract":"Tourism is not only affected by pandemics and epidemics but also contributes to their spread, affecting not only tourists but also the communities in their destinations. The COVID-19 pandemic brought about a new crisis, challenging the travel industry more than ever before. Several studies have suggested that there will be long-term severe effects that could continue for an unspecified period of time across the world, both medically, socially and economically. Pandemics and Travel: COVID-19 Impacts in the Tourism Industry analyses the wider impacts of epidemics, diseases and virus outbreaks on tourism and mobility. Chapters examine a wide range of interrelated issues, including the concept of Health Risk and Tourism, the impacts of the recent COVID-19 crisis on tourism activity in several countries, and considers new challenges that the tourism industry will face in the post-COVID era. This book is essential reading for researchers seeking to understand the ongoing effects of pandemics on travel, tourism, hospitality and health industries.","container-title":"Pandemics and Travel: COVID-19 Impacts in the Tourism Industry","ISBN":"978-1-80071-070-2","language":"en","note":"Google-Books-ID: j509EAAAQBAJ","publisher":"Emerald Group Publishing","source":"Google Books","title":"Perceptions of Safety and Risk in the Daily Life and Travel Plans in the COVID-19 Context: One Year and Three Waves After","author":[{"family":"Seabra","given":"C."},{"family":"Silva","given":"C."},{"family":"Paiva","given":"O."},{"family":"Reis","given":"M."},{"family":"Abrantes","given":"J. L."}],"issued":{"date-parts":[["2021",9,3]]}}},{"id":2376,"uris":["http://zotero.org/users/12832277/items/HWL4AHWH"],"itemData":{"id":2376,"type":"article-journal","abstract":"A critical challenge facing transportation planners is to identify the type and the extent of changes in people’s activity-travel behavior in the post-Covid-19 pandemic world. In this study, we investigate the travel behavior evolution by analyzing a longitudinal two-wave panel survey data conducted in the United States from April 2020 to May 2021. Encompassing nearly 3,000 respondents across different states, we explored the effects of the pandemic on four major categories of work from home, travel mode choice, online shopping, and air travel. We utilized descriptive and econometric measures, including random effects ordered probit models, to shed light on the pandemic-induced changes and the underlying factors affecting the future of mobility in the post-pandemic world. Upon concrete evidence, our findings substantiate significant observed (i.e., during the pandemic) and expected (i.e., after the pandemic) changes in people’s habits and preferences. According to our results, 48% of the respondents anticipate having the option to WFH after the pandemic, which indicates an approximately 30% increase compared to the pre-pandemic period. In the post-pandemic period, auto and transit commuters are expected to be 9% and 31% less than pre-pandemic, respectively. A considerable rise in hybrid work and grocery online shopping is expected. Moreover, 41% of pre-covid business travelers expect to have fewer flights (after the pandemic) while only 8% anticipate more, compared to the pre-pandemic.","container-title":"Transportation Research Part F: Traffic Psychology and Behaviour","DOI":"10.1016/j.trf.2022.09.019","ISSN":"1369-8478","page":"466-484","source":"ScienceDirect","title":"The Long-Term Effects of COVID-19 on Travel Behavior in the United States: A Panel Study on Work from Home, Mode Choice, Online Shopping, and Air Travel","volume":"90","author":[{"family":"Javadinasr","given":"Mohammadjavad"},{"family":"Maggasy","given":"Tassio"},{"family":"Mohammadi","given":"Motahare"},{"family":"Mohammadain","given":"Kouros"},{"family":"Rahimi","given":"Ehsan"},{"family":"Salon","given":"Deborah"},{"family":"Conway","given":"Matthew W."},{"family":"Pendyala","given":"Ram"},{"family":"Derrible","given":"Sybil"}],"issued":{"date-parts":[["2022",10,1]]}}}],"schema":"https://github.com/citation-style-language/schema/raw/master/csl-citation.json"} </w:instrText>
      </w:r>
      <w:r w:rsidR="00C70AA2">
        <w:fldChar w:fldCharType="separate"/>
      </w:r>
      <w:r w:rsidR="006E3DF9" w:rsidRPr="006E3DF9">
        <w:t>(Dong et al., 2021; Seabra et al., 2021; Javadinasr et al., 2022)</w:t>
      </w:r>
      <w:r w:rsidR="00C70AA2">
        <w:fldChar w:fldCharType="end"/>
      </w:r>
      <w:r w:rsidR="00915275">
        <w:t xml:space="preserve">. While </w:t>
      </w:r>
      <w:r w:rsidR="0026055F">
        <w:t>the effects of cleanliness and health may have a much smaller impact outside a global health crisis, studies have shown that they do still impact mode choices</w:t>
      </w:r>
      <w:r w:rsidR="00BC6B1B">
        <w:t xml:space="preserve"> and accessibility by public transit and active modes</w:t>
      </w:r>
      <w:r w:rsidR="00D47FA4">
        <w:t xml:space="preserve"> </w:t>
      </w:r>
      <w:r w:rsidR="00342918">
        <w:fldChar w:fldCharType="begin"/>
      </w:r>
      <w:r w:rsidR="006E3DF9">
        <w:instrText xml:space="preserve"> ADDIN ZOTERO_ITEM CSL_CITATION {"citationID":"HWPCOhXw","properties":{"formattedCitation":"(Suminski et al., 2005; van Lierop and El-Geneidy, 2016)","plainCitation":"(Suminski et al., 2005; van Lierop and El-Geneidy, 2016)","noteIndex":0},"citationItems":[{"id":2427,"uris":["http://zotero.org/users/12832277/items/JCE8S3IV"],"itemData":{"id":2427,"type":"article-journal","abstract":"Background\nManipulating the physical environment may be an efficacious way to promote physical activity. This study examined the relationships between features of the neighborhood environment and walking in the neighborhood by U.S. adults.\nMethods\nA random sample of women (n =266) and men (n =208) aged &gt;18 years participated. Door-to-door interviews were conducted in 2003 to collect information about demographics, walking behavior, and features of the neighborhood environment.\nResults\nThe analyses conducted in 2004 revealed that women were more likely to walk for exercise (odds ratio [OR]=4.6, 95% confidence interval [CI]=1.01–20.72) or walk a dog (OR=3.3, 95% CI=1.01–11.08) in the neighborhood if neighborhood safety was average as opposed to below average (p &lt;0.05). Women with an average number of neighborhood destinations were more likely to walk for transportation in the neighborhood (OR=5.7, 95% CI=1.63–19.73) than women with a below average number of neighborhood destinations (p &lt;0.01). In men, none of the neighborhood features were significantly associated with walking for exercise or walking a dog. Men were less likely to walk for transportation in the neighborhood if the functional (OR=0.22, 95% CI=0.06–0.89) or aesthetic (OR=0.17, 95% CI=0.03–0.89) features of the neighborhood were average versus below average.\nConclusions\nProspective studies are needed to determine if changes in neighborhood safety and awareness of neighborhood destinations promote increases in walking by women. Evaluations of the relationships between other environmental features and walking behavior in men are warranted.","container-title":"American Journal of Preventive Medicine","DOI":"10.1016/j.amepre.2004.09.009","ISSN":"0749-3797","issue":"2","page":"149-155","source":"ScienceDirect","title":"Features of the Neighborhood Environment and Walking by U.S. Adults","volume":"28","author":[{"family":"Suminski","given":"Richard R."},{"family":"Poston","given":"Walker S. Carlos"},{"family":"Petosa","given":"Rick L."},{"family":"Stevens","given":"Emily"},{"family":"Katzenmoyer","given":"Laura M."}],"issued":{"date-parts":[["2005",2,1]]}}},{"id":2424,"uris":["http://zotero.org/users/12832277/items/3P4GIK59"],"itemData":{"id":2424,"type":"article-journal","abstract":"The relationship between customer satisfaction and loyalty has recently received international attention as transit agencies aim to identify ways to increase ridership. Improvements in perceived service quality increase the attractiveness of transit, and therefore lead to growing patronage. The present paper examines how transit users' perceptions of service quality and user satisfaction influence loyalty. Using information from five years of customer satisfaction questionnaires collected by two Canadian transit providers, this study attempts to better understand the complexities of several factors influencing passenger satisfaction and behavioral intentions. It uses a Structural Equation Modeling approach to develop a series of models that reflects the different groups using transit; captive riders (users who are dependent on transit), choice riders (car owners who choose to take transit), and captive-by-choice riders (users who are dependent on transit but could own a car) are accounted for. The findings from this study are used to define areas where transit agencies can develop specific strategies in order to benchmark user satisfaction with the aim of growing patronage among the different groups. Insight into the perceptions of passengers provides useful information that can help transit agencies understand what inspires customers' perceptions of satisfaction and loyalty in general.","collection-title":"Competition and Ownership in Land Passenger Transport (selected papers from the Thredbo 14 conference)","container-title":"Research in Transportation Economics","DOI":"10.1016/j.retrec.2016.04.001","ISSN":"0739-8859","page":"50-59","source":"ScienceDirect","title":"Enjoying Loyalty: The Relationship Between Service Quality, Customer Satisfaction, and Behavioral Intentions in Public Transit","volume":"59","author":[{"family":"Lierop","given":"Dea","non-dropping-particle":"van"},{"family":"El-Geneidy","given":"Ahmed"}],"issued":{"date-parts":[["2016",11,1]]}}}],"schema":"https://github.com/citation-style-language/schema/raw/master/csl-citation.json"} </w:instrText>
      </w:r>
      <w:r w:rsidR="00342918">
        <w:fldChar w:fldCharType="separate"/>
      </w:r>
      <w:r w:rsidR="006E3DF9" w:rsidRPr="006E3DF9">
        <w:t>(Suminski et al., 2005; van Lierop and El-Geneidy, 2016)</w:t>
      </w:r>
      <w:r w:rsidR="00342918">
        <w:fldChar w:fldCharType="end"/>
      </w:r>
      <w:r w:rsidR="0026055F">
        <w:t xml:space="preserve">. </w:t>
      </w:r>
    </w:p>
    <w:p w14:paraId="3281BB53" w14:textId="77777777" w:rsidR="00B36191" w:rsidRDefault="00B36191" w:rsidP="00DE4E50">
      <w:pPr>
        <w:spacing w:after="0" w:line="240" w:lineRule="auto"/>
        <w:jc w:val="both"/>
      </w:pPr>
    </w:p>
    <w:p w14:paraId="6E9DF1C0" w14:textId="3230E518" w:rsidR="00B36191" w:rsidRDefault="00B36191" w:rsidP="00B36191">
      <w:pPr>
        <w:spacing w:after="0" w:line="240" w:lineRule="auto"/>
        <w:jc w:val="both"/>
        <w:rPr>
          <w:b/>
          <w:bCs/>
        </w:rPr>
      </w:pPr>
      <w:r>
        <w:rPr>
          <w:b/>
          <w:bCs/>
        </w:rPr>
        <w:t xml:space="preserve">2.2 </w:t>
      </w:r>
      <w:r w:rsidR="00B25892">
        <w:rPr>
          <w:b/>
          <w:bCs/>
        </w:rPr>
        <w:t xml:space="preserve">Physical and Virtual </w:t>
      </w:r>
      <w:r>
        <w:rPr>
          <w:b/>
          <w:bCs/>
        </w:rPr>
        <w:t xml:space="preserve">Activity Participation </w:t>
      </w:r>
    </w:p>
    <w:p w14:paraId="37E95BDD" w14:textId="4026E61D" w:rsidR="00F6233C" w:rsidRPr="00D117E7" w:rsidRDefault="008610CD" w:rsidP="00B36191">
      <w:pPr>
        <w:spacing w:after="0" w:line="240" w:lineRule="auto"/>
        <w:jc w:val="both"/>
        <w:rPr>
          <w:b/>
          <w:bCs/>
        </w:rPr>
      </w:pPr>
      <w:r>
        <w:t xml:space="preserve">The discussion in Section 2.1 focuses on </w:t>
      </w:r>
      <w:r w:rsidR="00230EE9">
        <w:t>physical accessibility</w:t>
      </w:r>
      <w:r w:rsidR="00527D74">
        <w:t xml:space="preserve">. </w:t>
      </w:r>
      <w:r w:rsidR="009326F3">
        <w:t>However, w</w:t>
      </w:r>
      <w:r w:rsidR="00A94E4E">
        <w:t xml:space="preserve">ith the </w:t>
      </w:r>
      <w:r w:rsidR="009326F3">
        <w:t xml:space="preserve">rapid </w:t>
      </w:r>
      <w:r w:rsidR="00A94E4E">
        <w:t xml:space="preserve">growth of </w:t>
      </w:r>
      <w:r w:rsidR="00805811">
        <w:t>communications technologies</w:t>
      </w:r>
      <w:r w:rsidR="00A94E4E">
        <w:t xml:space="preserve">, there are growing opportunities to </w:t>
      </w:r>
      <w:r w:rsidR="00527D74">
        <w:t xml:space="preserve">pursue activities virtually. This is evident in the </w:t>
      </w:r>
      <w:r w:rsidR="00F6233C">
        <w:t>large body of</w:t>
      </w:r>
      <w:r w:rsidR="009326F3">
        <w:t xml:space="preserve"> recent </w:t>
      </w:r>
      <w:r w:rsidR="00F6233C">
        <w:t xml:space="preserve">literature </w:t>
      </w:r>
      <w:r w:rsidR="00527D74">
        <w:t xml:space="preserve">that </w:t>
      </w:r>
      <w:r w:rsidR="00F6233C">
        <w:t>has</w:t>
      </w:r>
      <w:r w:rsidR="009326F3">
        <w:t xml:space="preserve"> explored the ways that </w:t>
      </w:r>
      <w:r w:rsidR="00097458">
        <w:t>virtual</w:t>
      </w:r>
      <w:r w:rsidR="009326F3">
        <w:t xml:space="preserve"> activities (particularly telework and delivery services) can (1) substitute or replace existing </w:t>
      </w:r>
      <w:r w:rsidR="00527D74">
        <w:t>physical participation</w:t>
      </w:r>
      <w:r w:rsidR="009326F3">
        <w:t xml:space="preserve">, (2) </w:t>
      </w:r>
      <w:r w:rsidR="00527D74">
        <w:t xml:space="preserve">increase physical participation </w:t>
      </w:r>
      <w:r w:rsidR="009326F3">
        <w:t xml:space="preserve">that </w:t>
      </w:r>
      <w:r w:rsidR="00527D74">
        <w:t>earlier w</w:t>
      </w:r>
      <w:r w:rsidR="006E3DF9">
        <w:t>as</w:t>
      </w:r>
      <w:r w:rsidR="00527D74">
        <w:t xml:space="preserve"> not easily pursued</w:t>
      </w:r>
      <w:r w:rsidR="009326F3">
        <w:t xml:space="preserve">, (3) </w:t>
      </w:r>
      <w:r w:rsidR="00F415CA">
        <w:t xml:space="preserve">stimulate additional travel due to changes in activity patterns, and (4) redistribute trips for the same purpose to new </w:t>
      </w:r>
      <w:r w:rsidR="00097458">
        <w:t>physical location</w:t>
      </w:r>
      <w:r w:rsidR="00F415CA">
        <w:t xml:space="preserve">s </w:t>
      </w:r>
      <w:r w:rsidR="00C640F7">
        <w:fldChar w:fldCharType="begin"/>
      </w:r>
      <w:r w:rsidR="00D70033">
        <w:instrText xml:space="preserve"> ADDIN ZOTERO_ITEM CSL_CITATION {"citationID":"CBGLxRrE","properties":{"unsorted":true,"formattedCitation":"(Kenyon, 2006; Cochran, 2020; Elld\\uc0\\u233{}r, 2020; Shukla and Raval, 2021; Le et al., 2022; Shao et al., 2022; Khaddar and Rahman Fatmi, 2024; Xu and Saphores, 2024)","plainCitation":"(Kenyon, 2006; Cochran, 2020; Elldér, 2020; Shukla and Raval, 2021; Le et al., 2022; Shao et al., 2022; Khaddar and Rahman Fatmi, 2024; Xu and Saphores, 2024)","dontUpdate":true,"noteIndex":0},"citationItems":[{"id":3250,"uris":["http://zotero.org/users/12832277/items/TPMDRI33"],"itemData":{"id":3250,"type":"chapter","abstract":"Online activity promises to reshape patterns of social exclusion, by reshaping\naccessibility in space and time. Virtual mobility, via the Internet, is now\nemerging as a viable alternative to physical mobility as an accessibility technology, providing access to opportunities, services, social networks and other\ngoods. Internet use can overcome space/time constraints, not only replacing\nexisting travel, but also providing an additional means of access to activities\nfrom which people were previously excluded. However, for virtual mobility to\nreduce social exclusion, it must provide the same function as physical mobility\nor, at least, ﬁll the accessibility gap that a lack of physical mobility leaves. \nIn addition, it must avoid any negative social or mobility effects, which could\nworsen mobility-related exclusion, or social exclusion in general. If online\nactivity were to increase the spatial and temporal diversity of ofﬂine activities,\nor to otherwise increase barriers to access, those unable to overcome these\nbarriers may experience even greater social exclusion.","container-title":"Mobile Technologies of the City","ISBN":"978-0-203-09888-2","note":"number-of-pages: 19","publisher":"Routledge","title":"Reshaping Patterns of Mobility and Exclusion? The Impact of Virtual Mobility upon Accessibility, Mobility and Social Exclusion","author":[{"family":"Kenyon","given":"Susan"}],"issued":{"date-parts":[["2006"]]}}},{"id":3244,"uris":["http://zotero.org/users/12832277/items/3NE36TDM"],"itemData":{"id":3244,"type":"article-journal","abstract":"People with disabilities may be particularly vulnerable to the direct health effects of the COVID-19 pandemic as well as the wider impacts of the pandemic response. People with disabilities experience numerous barriers to using transportation to access essential goods, like fresh food, and services, like medical care, that are necessary for maintaining health. The pandemic and the pandemic response threaten to exacerbate persistent health disparities and add to transportation barriers that disadvantage people with disabilities. To better understand difficulties that individuals with disabilities are facing using transportation and meeting their needs during the pandemic, I conducted in-depth interviews with 21 San Francisco Bay Area residents with disabilities between March 20 and April 6, 2020, immediately following adoption of the first shelter-in-place orders in the region. Analyzing these interviews, I find that the pandemic is aggravating many difficulties accessing transportation and other essentials that people with disabilities regularly encounter. These include challenges accessing reliable and safe transportation as well as up-to-date communications about transportation and public health, and difficulties getting needed assistance using transportation and completing activities of daily living ranging from personal care to getting groceries. I recommend that those involved in the pandemic response make a concerted and intentional effort to address barriers to accessing needed transportation, communications, and assistance that people with disabilities are facing during the pandemic, paving the way for a more inclusive pandemic response.","container-title":"Transportation Research Interdisciplinary Perspectives","DOI":"10.1016/j.trip.2020.100263","ISSN":"2590-1982","source":"ScienceDirect","title":"Impacts of COVID-19 on Access to Transportation for People with Disabilities","URL":"https://www.sciencedirect.com/science/article/pii/S2590198220301743","volume":"8","author":[{"family":"Cochran","given":"Abigail L."}],"accessed":{"date-parts":[["2024",5,9]]},"issued":{"date-parts":[["2020",11,1]]}},"label":"page"},{"id":836,"uris":["http://zotero.org/users/12832277/items/JAW2FQMM"],"itemData":{"id":836,"type":"article-journal","abstract":"Telework, long promoted as a way to reduce daily travel and address congestion problems, has been extensively studied in transport research. Empirical consensus has long held that telework reduces overall travel, but several updated studies now suggest the opposite. Meanwhile, telework has steadily increased in many countries, and few studies have examined contexts where regular teleworkers have grown to form an early majority. We study how telework influences daily travel in such a context, namely, Sweden from 2011 to 2016. Using representative micro-data from the Swedish National Travel Survey, this study also captures travel behaviour during the defined period when the telework was actually practiced, distinguishing different telework arrangements and analysing a range of travel behavioral outcomes. We conclude that telework leads to reduced travel demand, more use of active transport modes, and congestion relief. Important differences between full- and part-day teleworkers are also highlighted, stressing the importance of understanding telework as a diversified coping strategy for organizing the spatiotemporality of everyday life.","container-title":"Journal of Transport Geography","DOI":"10.1016/j.jtrangeo.2020.102777","ISSN":"0966-6923","language":"en","source":"ScienceDirect","title":"Telework and Daily Travel: New Evidence from Sweden","URL":"https://www.sciencedirect.com/science/article/pii/S0966692319311305","volume":"86","author":[{"family":"Elldér","given":"Erik"}],"accessed":{"date-parts":[["2023",7,5]]},"issued":{"date-parts":[["2020",6,1]]}}},{"id":3215,"uris":["http://zotero.org/users/12832277/items/4PV7B8YY"],"itemData":{"id":3215,"type":"article-journal","abstract":"The innovation in information and communication technology (ICT) by a long shot has changed people's way of life, making it more virtual than genuine. Now India is in a transition phase of adaption of virtual accessibility through an increasing online presence. Multiple initiatives by the Indian government to promote e-services and a cashless economy through mobile apps and websites have supported the shift from physical activity to online activity. According to the internet and mobile association of India (IAMAI) 2016, 69 % of internet users belong from age groups 19–35 in urban India, which establishes the need to study internet use on travel behaviour of the different socio-demographic groups. The focus is on establishing the relation between virtual accessibility, out-of-home activities, and individual mobility. The data collected for this study include the extent of ICT usage, socio-demographic variables and details of participation in activities. The analysis demonstrates the causal link; we were using the structural equation model (SEM) for analysis. Finding revealed a stronger relationship between virtual accessibility and leisure activities. High-income group households are more likely associated with great use of online activities. The younger age population uses a high degree of virtual application. The finding further revealed a negative relationship between ICT and travel. This research also highlights the mediation effect of time use for different activities between virtual accessibility and travel. This study can aid transport planners/engineers/policymakers in travel demand analysis while considering the factor (virtual accessibility) of the new technological environment.","container-title":"Transportation Research Interdisciplinary Perspectives","DOI":"10.1016/j.trip.2021.100483","ISSN":"2590-1982","source":"ScienceDirect","title":"Impact of Virtual Accessibility on Out-of-Home Activity and Travel in Indian Urban Context: A Structural Equation Analysis","URL":"https://www.sciencedirect.com/science/article/pii/S2590198221001883","volume":"12","author":[{"family":"Shukla","given":"Rahul"},{"family":"Raval","given":"Pratap M."}],"accessed":{"date-parts":[["2024",5,9]]},"issued":{"date-parts":[["2021",12,1]]}}},{"id":1719,"uris":["http://zotero.org/users/12832277/items/22KTN2ZK"],"itemData":{"id":1719,"type":"article-journal","abstract":"The rise of e-commerce has led to substantial changes in personal travel and activities. We systematically reviewed empirical studies on the relationship between online shopping and personal travel behaviour. We synthesised and assessed the evidence for four types of effects on various travel outcomes, including trip frequency, travel distance, trip chaining, mode choice, and time use. In 42 articles reviewed, we found more evidence that online shopping substitutes for shopping travel. Most studies to date have focused on trip frequency but neglected other travel outcomes. Very few studies have considered the modification effect, which has significant implications for travel demand management. In sum, previous studies have not reached a consensus on the dominant effect of online shopping, in part due to the diversity in variable measurements, types of goods, study areas, and analytic methods. A limitation of previous studies is the reliance on cross-sectional surveys, which hinders the distinction between short- and long-term behaviours and between modification, complementarity, and substitution effects. Our study provides an agenda for future research on this topic and discusses policy implications related to land use, behavioural changes, data collection, and modelling for practitioners who wish to incorporate e-commerce in planning for sustainable urban systems.","container-title":"Transport Reviews","DOI":"10.1080/01441647.2021.1961917","ISSN":"0144-1647","issue":"3","note":"publisher: Routledge\n_eprint: https://doi.org/10.1080/01441647.2021.1961917","page":"273-295","source":"Taylor and Francis+NEJM","title":"Impacts of Online Shopping on Travel Demand: A Systematic Review","volume":"42","author":[{"family":"Le","given":"Huyen T. K."},{"family":"Carrel","given":"Andre L."},{"family":"Shah","given":"Harsh"}],"issued":{"date-parts":[["2022",5,4]]}}},{"id":3247,"uris":["http://zotero.org/users/12832277/items/VRZ7KR9H"],"itemData":{"id":3247,"type":"article-journal","abstract":"Although e-shopping is increasingly adopted, it remains unclear (1) how e-shopping varies geographically, and (2) how this relates to physical and virtual accessibility. This paper presents a combined study of both issues focusing on the case of China, arguably one of the emerging e-shopping hotspots. Drawing on Alibaba's Online Shopping Index, we use a general spatial model (SAC) to explore the role of virtual and physical accessibility in the spatial distribution of e-shopping across 276 prefecture-level cities in China. The results suggest that both physical accessibility (proxy-ed by the relative number of shopping malls and the relative number of buses) and virtual accessibility (proxy-ed by the percentage of broadband subscribers and the relative number of delivery points) increase e-shopping, with both effects complementing each other. We discuss how findings contribute to our understanding of the geography of e-shopping, and outline implications for policymakers and e-retailers alike.","container-title":"Journal of Retailing and Consumer Services","DOI":"10.1016/j.jretconser.2021.102753","ISSN":"0969-6989","source":"ScienceDirect","title":"The Geography of E-Shopping in China: On the Role of Physical and Virtual Accessibility","URL":"https://www.sciencedirect.com/science/article/pii/S0969698921003192","volume":"64","author":[{"family":"Shao","given":"Rui"},{"family":"Derudder","given":"Ben"},{"family":"Witlox","given":"Frank"}],"accessed":{"date-parts":[["2024",5,9]]},"issued":{"date-parts":[["2022",1,1]]}}},{"id":3218,"uris":["http://zotero.org/users/12832277/items/ZL3HJTC6"],"itemData":{"id":3218,"type":"article-journal","abstract":"COVID-19 mitigation measures triggered a sharp increase in the adoption of teleshopping and telecommuting activities. However, there is a need to understand the extent to which past frequencies and experiences will affect post-pandemic teleactivity behavior. Moreover, teleshopping and telecommuting are interconnected, and a relationship may exist between them in the post-pandemic world. This study investigates post-pandemic preferences toward online grocery shopping, online food ordering, and working from home by using a multivariate ordered probit (MVOP) model. The data come from a web-based survey conducted for the Central Okanagan region of Canada. Model results confirm the presence of unobserved factors influencing telecommuting and teleshopping choices. Looking at endogeneity, working from home after the pandemic revealed a positive effect on online grocery shopping. However, results were not the same for post-pandemic online food ordering. Model results also confirm the significant impact of past teleactivity frequencies and experiences on post-pandemic preferences. Overall, the findings provide important insights into post-pandemic activity and travel patterns which can be used for robust policymaking.","container-title":"Transportation Research Record","DOI":"10.1177/03611981231222238","ISSN":"0361-1981","language":"en","note":"publisher: SAGE Publications Inc","page":"03611981231222238","source":"SAGE Journals","title":"Modeling Telecommuting and Teleshopping Preferences in the Post-Pandemic Era","author":[{"family":"Khaddar","given":"Shivam"},{"family":"Rahman Fatmi","given":"Mahmudur"}],"issued":{"date-parts":[["2024",1,13]]}}},{"id":3205,"uris":["http://zotero.org/users/12832277/items/3PNK3A9V"],"itemData":{"id":3205,"type":"article-journal","abstract":"How does e-shopping impact household travel? To answer this question, which is particularly relevant for policymakers concerned with congestion, air pollution, and greenhouse gas emissions from transportation, we analyzed data from the 2017 National Household Travel Survey using propensity score matching. This allowed us to tackle the bias from households self-selecting into various levels of e-shopping and gain causal inference. Unlike other related papers in the literature, our unit of analysis is a household because travel and shopping decisions within a household are interrelated. We classified households into three groups based on how many orders per person per month they placed online: low (up to one), medium (more than once but less than four), and high (over four). We found that more e-shopping results in more household travel (number of trips, miles, and VMT), but this effect depends on e-shopping frequency and population density, and it affects weekdays more than weekends. E-shopping impacts household travel more for medium frequency e-shoppers in low density areas: compared to similar low frequency e-shoppers, on weekdays, they take on average 8 more monthly trips and travel </w:instrText>
      </w:r>
      <w:r w:rsidR="00D70033">
        <w:rPr>
          <w:rFonts w:ascii="Cambria Math" w:hAnsi="Cambria Math" w:cs="Cambria Math"/>
        </w:rPr>
        <w:instrText>∼</w:instrText>
      </w:r>
      <w:r w:rsidR="00D70033">
        <w:instrText xml:space="preserve">104 extra miles (including 31 miles for shopping). At the other end of the spectrum, high frequency e-shoppers in dense areas do not travel more on weekends than similar low e-shopping frequency households. To help reduce e-shopping induced travel, policymakers could encourage the creation of neighborhood depots where households would pick-up and return unwanted orders, and foster the development of virtual reality tools for shopping from home.","container-title":"Journal of Transport Geography","DOI":"10.1016/j.jtrangeo.2024.103827","ISSN":"0966-6923","source":"ScienceDirect","title":"Does E-Shopping Impact Household Travel? Evidence from the 2017 U.S. NHTS","URL":"https://www.sciencedirect.com/science/article/pii/S096669232400036X","volume":"115","author":[{"family":"Xu","given":"Lu"},{"family":"Saphores","given":"Jean-Daniel"}],"accessed":{"date-parts":[["2024",5,9]]},"issued":{"date-parts":[["2024",2,1]]}}}],"schema":"https://github.com/citation-style-language/schema/raw/master/csl-citation.json"} </w:instrText>
      </w:r>
      <w:r w:rsidR="00C640F7">
        <w:fldChar w:fldCharType="separate"/>
      </w:r>
      <w:r w:rsidR="00D57CD1" w:rsidRPr="00D57CD1">
        <w:t>(</w:t>
      </w:r>
      <w:r w:rsidR="00D57CD1">
        <w:t xml:space="preserve">see </w:t>
      </w:r>
      <w:r w:rsidR="00D57CD1" w:rsidRPr="00D57CD1">
        <w:t>Kenyon, 2006; Cochran, 2020; Elldér, 2020; Shukla and Raval, 2021; Le et al., 2022; Shao et al., 2022; Khaddar and Rahman Fatmi, 2024; Xu and Saphores, 2024)</w:t>
      </w:r>
      <w:r w:rsidR="00C640F7">
        <w:fldChar w:fldCharType="end"/>
      </w:r>
      <w:r w:rsidR="00F415CA">
        <w:t xml:space="preserve">. </w:t>
      </w:r>
      <w:r w:rsidR="009326F3">
        <w:t>The</w:t>
      </w:r>
      <w:r w:rsidR="00097458">
        <w:t>se virtual</w:t>
      </w:r>
      <w:r w:rsidR="009326F3">
        <w:t xml:space="preserve"> </w:t>
      </w:r>
      <w:r w:rsidR="00097458">
        <w:t xml:space="preserve">participation </w:t>
      </w:r>
      <w:r w:rsidR="009326F3">
        <w:t>opportunities offer individuals with low physical</w:t>
      </w:r>
      <w:r w:rsidR="00097458">
        <w:t xml:space="preserve"> </w:t>
      </w:r>
      <w:r w:rsidR="009326F3">
        <w:t xml:space="preserve">accessibility the chance to </w:t>
      </w:r>
      <w:r w:rsidR="00097458">
        <w:t>increase their overall accessibility</w:t>
      </w:r>
      <w:r w:rsidR="009326F3">
        <w:t xml:space="preserve"> </w:t>
      </w:r>
      <w:r w:rsidR="009326F3">
        <w:fldChar w:fldCharType="begin"/>
      </w:r>
      <w:r w:rsidR="009326F3">
        <w:instrText xml:space="preserve"> ADDIN ZOTERO_ITEM CSL_CITATION {"citationID":"iAL2kgoz","properties":{"formattedCitation":"(Ozbilen et al., 2021; Vinella-Brusher et al., 2022)","plainCitation":"(Ozbilen et al., 2021; Vinella-Brusher et al., 2022)","noteIndex":0},"citationItems":[{"id":2349,"uris":["http://zotero.org/users/12832277/items/2LBQFKGV"],"itemData":{"id":2349,"type":"article-journal","abstract":"There has been a growing interest in the association between online activities and daily activity-travel patterns. An analysis of this relationship is even more crucial considering the major disruptions to out-of-home activity participation and travel due to the COVID-19 pandemic. This study contributes to the literature by exploring the relationships between Information and Communication Technology (ICT) use (focusing on telework and online shopping) and time spent traveling using different transportation modes. Using Tobit regression models, we investigate the impacts of ICT use on three travel alternatives: (1) automobile, (2) public transit, and (3) active travel. The results show that the effects of ICT use vary across these three travel modes. For example, all else being equal, respondents with higher durations of telework tend to spend less time on auto and transit. Respondents with higher durations of online shopping spend more time walking and bicycling. This study also explores whether the effects of ICT use on travel durations vary across groups with different socio-demographics and residential location characteristics. For instance, the study finds the greater the level of land-use mixture, the stronger the association between online shopping and time spent bicycling and walking. The research findings can inform planners and decision-makers on the relationships between ICT use and overall travel behavior in order to assess travel demand under different levels of ICT use.","container-title":"Transportation Research Part A: Policy and Practice","DOI":"10.1016/j.tra.2021.01.002","ISSN":"0965-8564","page":"49-62","source":"ScienceDirect","title":"Revisiting the Impacts of Virtual Mobility on Travel Behavior: An Exploration of Daily Travel Time Expenditures","volume":"145","author":[{"family":"Ozbilen","given":"Basar"},{"family":"Wang","given":"Kailai"},{"family":"Akar","given":"Gulsah"}],"issued":{"date-parts":[["2021",3,1]]}}},{"id":2244,"uris":["http://zotero.org/users/12832277/items/CUN35XHM"],"itemData":{"id":2244,"type":"article-journal","abstract":"This study examines telehealth use during the first year of the COVID-19 pandemic among individuals with high health care-related transportation burdens. Survey results of high-frequency health care users with public insurance were analyzed to investigate differences in telehealth use, care access, and perceived care quality between groups. Open text responses demonstrated whether and how telehealth can address transportation barriers and promote care access. While many respondents tried and preferred telehealth, it could not meet all medical needs. The continued availability of telehealth, coupled with improved transport planning to support in-person care needs, will expand access to care for high-frequency users.","container-title":"Findings","DOI":"10.32866/001c.37060","language":"en","note":"publisher: Findings Press","source":"findingspress.org","title":"Potential of Telehealth to Mitigate Transport Barriers: Evidence from the COVID-19 Pandemic","URL":"https://findingspress.org/article/37060-potential-of-telehealth-to-mitigate-transport-barriers-evidence-from-the-covid-19-pandemic","author":[{"family":"Vinella-Brusher","given":"Emma"},{"family":"Cochran","given":"Abigail L."},{"family":"Iacobucci","given":"Evan"},{"family":"Wang","given":"Jueyu"},{"family":"Wolfe","given":"Mary"},{"family":"Oluyede","given":"Lindsay"},{"family":"Prunkl","given":"Lauren"},{"family":"McDonald","given":"Noreen C."}],"accessed":{"date-parts":[["2024",2,7]]},"issued":{"date-parts":[["2022",7,21]]}}}],"schema":"https://github.com/citation-style-language/schema/raw/master/csl-citation.json"} </w:instrText>
      </w:r>
      <w:r w:rsidR="009326F3">
        <w:fldChar w:fldCharType="separate"/>
      </w:r>
      <w:r w:rsidR="009326F3" w:rsidRPr="00E90B19">
        <w:t>(Ozbilen et al., 2021; Vinella-Brusher et al., 2022)</w:t>
      </w:r>
      <w:r w:rsidR="009326F3">
        <w:fldChar w:fldCharType="end"/>
      </w:r>
      <w:r w:rsidR="009326F3" w:rsidRPr="00D117E7">
        <w:t xml:space="preserve">. </w:t>
      </w:r>
      <w:r w:rsidR="00D117E7" w:rsidRPr="00D117E7">
        <w:t xml:space="preserve">Those experiencing </w:t>
      </w:r>
      <w:r w:rsidR="00097458">
        <w:t xml:space="preserve">physical participation dissonance (PPD) </w:t>
      </w:r>
      <w:r w:rsidR="00D117E7" w:rsidRPr="00D117E7">
        <w:t xml:space="preserve">may be particularly well suited to benefit from the growth of </w:t>
      </w:r>
      <w:r w:rsidR="00097458">
        <w:t xml:space="preserve">virtual </w:t>
      </w:r>
      <w:r w:rsidR="00D117E7" w:rsidRPr="00D117E7">
        <w:t xml:space="preserve">activities, as they are individuals who desire a greater amount of activity participation than </w:t>
      </w:r>
      <w:r w:rsidR="00522A5F">
        <w:t xml:space="preserve">what they perceive as being possible </w:t>
      </w:r>
      <w:r w:rsidR="00097458">
        <w:t>through physical participation</w:t>
      </w:r>
      <w:r w:rsidR="00C640F7">
        <w:t xml:space="preserve"> </w:t>
      </w:r>
      <w:r w:rsidR="00C640F7">
        <w:fldChar w:fldCharType="begin"/>
      </w:r>
      <w:r w:rsidR="006E3DF9">
        <w:instrText xml:space="preserve"> ADDIN ZOTERO_ITEM CSL_CITATION {"citationID":"d8gBF23M","properties":{"unsorted":true,"formattedCitation":"(Muhammad et al., 2008; Chen et al., 2024; Pot et al., 2024)","plainCitation":"(Muhammad et al., 2008; Chen et al., 2024; Pot et al., 2024)","noteIndex":0},"citationItems":[{"id":3222,"uris":["http://zotero.org/users/12832277/items/RCZVCXP8"],"itemData":{"id":3222,"type":"article-journal","abstract":"Information and communication technologies (ICTs) are enabling people to access opportunities in virtual space without facing the friction of distance and travel time alongside the long-existing opportunities in physical space. Hence, society is now dealing with hybrid space circumstances, in which new meanings of distance and accessibility are developing. In physical space, accessibility is measured on the basis of the spatial separation between the locations of opportunities and opportunity seekers. In virtual space, spatial separation loses its importance, but the nature of jobs (whether they can be accessed in virtual space or not) and the personal capabilities of workers (having ICT skills or not) gain more importance. This study explores how this virtual component can be incorporated into existing accessibility models. The influence of the use of ICTs on job accessibility is analysed with two models, the Hansen and the Shen model. The outcomes of this measuring exercise show that job accessibility in hybrid space is likely to improve, but this improvement shows distinct patterns of regional variation. Of the two accessibility measuring models, the classic Hansen potential-accessibility approach performs best in quantifying job accessibility in hybrid space.","container-title":"Journal of Transport Geography","DOI":"10.1016/j.jtrangeo.2007.05.005","ISSN":"0966-6923","issue":"3","page":"203-216","source":"ScienceDirect","title":"Job Accessibility Under the Influence of Information and Communication Technologies, in the Netherlands","volume":"16","author":[{"family":"Muhammad","given":"Saim"},{"family":"Jong","given":"Tom","non-dropping-particle":"de"},{"family":"Ottens","given":"Henk F. L."}],"issued":{"date-parts":[["2008",5,1]]}}},{"id":3208,"uris":["http://zotero.org/users/12832277/items/V59QKQPY"],"itemData":{"id":3208,"type":"article-journal","abstract":"The rise of e-commerce, bolstered by advancements in information and communication technology (ICT), has made it possible for consumers to shop online without the need to physically travel. The unexpected emergence of COVID-19 further accelerated this shift towards online shopping. This paper delves into the nuances of virtual versus physical access to goods, drawing from the dual access theory. It aims to offer a comprehensive understanding of the disparities in accessibility between digital and brick-and-mortar shopping experiences. Our results indicate that when considering the complete private costs—including the intrinsic costs of shopping and those incurred en route like travel and delivery fees—online shopping typically offers greater accessibility and is more cost-effective than its in-store counterpart. Interestingly, while physical access to shopping displays a pattern where the central city has a distinct advantage over the suburbs, virtual access presents a more uniform distribution throughout the city.","container-title":"TeMA - Journal of Land Use, Mobility and Environment","DOI":"10.6093/1970-9870/10688","ISSN":"1970-9870","issue":"1","language":"en-US","page":"129-145","source":"www.serena.unina.it","title":"The Cost of Shopping: Measuring Virtual and Physical Access for Obtaining Goods","volume":"17","author":[{"family":"Chen","given":"Jing"},{"family":"Cui","given":"Mengying"},{"family":"Levinson","given":"David"}],"issued":{"date-parts":[["2024",4,30]]}}},{"id":3213,"uris":["http://zotero.org/users/12832277/items/UZW3VCCZ"],"itemData":{"id":3213,"type":"article-journal","abstract":"Promoting social inclusion through facilitating the participation in social and economic activities is a central goal of land-use and transport planning. This study examines the relationship between activity participation and experiences of transport-related social exclusion across different spatial accessibility levels in the Netherlands. Using perceived accessibility as an indicator of the benefits derived from spatial opportunities, this paper reveals a weak and non-linear connection between activity participation and satisfaction with accessibility, which becomes negligible at higher participation levels. Even when individuals have low engagement levels, they often report high perceived accessibility, indicating voluntary non-participation. In rural areas with limited local opportunities, constrained participation is more prominent, especially for those with limited mobility options. The weak correlations between participation and experienced benefits from accessibility across diverse spatial contexts emphasize the importance of considering perceived accessibility alongside spatial and activity data in normative debates on determining the sufficiency of accessibility.","container-title":"Transportation","DOI":"10.1007/s11116-024-10470-z","ISSN":"1572-9435","language":"en","source":"Springer Link","title":"Sufficient Access? Activity Participation, Perceived Accessibility and Transport-Related Social Exclusion Across Spatial Contexts","URL":"https://doi.org/10.1007/s11116-024-10470-z","author":[{"family":"Pot","given":"Felix Johan"},{"family":"Heinen","given":"Eva"},{"family":"Tillema","given":"Taede"}],"accessed":{"date-parts":[["2024",5,9]]},"issued":{"date-parts":[["2024",2,17]]}}}],"schema":"https://github.com/citation-style-language/schema/raw/master/csl-citation.json"} </w:instrText>
      </w:r>
      <w:r w:rsidR="00C640F7">
        <w:fldChar w:fldCharType="separate"/>
      </w:r>
      <w:r w:rsidR="006E3DF9" w:rsidRPr="006E3DF9">
        <w:t>(Muhammad et al., 2008; Chen et al., 2024; Pot et al., 2024)</w:t>
      </w:r>
      <w:r w:rsidR="00C640F7">
        <w:fldChar w:fldCharType="end"/>
      </w:r>
      <w:r w:rsidR="00D117E7" w:rsidRPr="00D117E7">
        <w:t xml:space="preserve">. </w:t>
      </w:r>
    </w:p>
    <w:p w14:paraId="0ACADC34" w14:textId="48D062B5" w:rsidR="001620A7" w:rsidRPr="00AA3A25" w:rsidRDefault="00D117E7" w:rsidP="001620A7">
      <w:pPr>
        <w:spacing w:after="0" w:line="240" w:lineRule="auto"/>
        <w:jc w:val="both"/>
        <w:rPr>
          <w:b/>
          <w:bCs/>
        </w:rPr>
      </w:pPr>
      <w:r>
        <w:rPr>
          <w:b/>
          <w:bCs/>
        </w:rPr>
        <w:tab/>
      </w:r>
      <w:r w:rsidR="0081498F" w:rsidRPr="0081498F">
        <w:t>However, w</w:t>
      </w:r>
      <w:r>
        <w:t>hile virtual participation may seem to offer significant potential</w:t>
      </w:r>
      <w:r w:rsidR="00D269FE">
        <w:t xml:space="preserve"> to enhance overall accessibility</w:t>
      </w:r>
      <w:r>
        <w:t xml:space="preserve">, </w:t>
      </w:r>
      <w:r w:rsidR="001620A7">
        <w:t xml:space="preserve">it is </w:t>
      </w:r>
      <w:r w:rsidR="00522A5F">
        <w:t xml:space="preserve">conceivable </w:t>
      </w:r>
      <w:r w:rsidR="001620A7">
        <w:t xml:space="preserve">that virtual participation actually increases PPD. In particular, given evidence that virtual activities can result in other changes to activity patterns (including stimulating additional trips) and lifestyles, those who adopt online activities may desire greater physical accessibility and experience more PPD </w:t>
      </w:r>
      <w:r w:rsidR="001620A7">
        <w:fldChar w:fldCharType="begin"/>
      </w:r>
      <w:r w:rsidR="001620A7">
        <w:instrText xml:space="preserve"> ADDIN ZOTERO_ITEM CSL_CITATION {"citationID":"3CN9xZ7a","properties":{"formattedCitation":"(Ding and Lu, 2017; Lee et al., 2017)","plainCitation":"(Ding and Lu, 2017; Lee et al., 2017)","noteIndex":0},"citationItems":[{"id":2239,"uris":["http://zotero.org/users/12832277/items/FKVYFLGJ"],"itemData":{"id":2239,"type":"article-journal","abstract":"Accompanying the widespread use of the Internet, the popularity of e-commerce is growing in developing countries such as China. Online shopping has significant effects on in-store shopping and on other personal activity travel behavior such as leisure activities and trip chaining behavior. Using data collected from a GPS-based activity travel diary in the Shangdi area of Beijing, this paper investigates the relationships between online shopping, in-store shopping and other dimensions of activity travel behavior using a structural equation modelling framework. Our results show that online buying frequency has positive effects on the frequencies of both in-store shopping and online searching, and in-store shopping frequency positively affects the frequency of online searching. Frequent online purchasers tend to shop in stores on weekends rather than weekdays. We also found a negative effect of online buying on the frequency of leisure activities, indicating that online shopping may reduce out-of-home leisure trips.","container-title":"Transportation","DOI":"10.1007/s11116-015-9639-5","ISSN":"1572-9435","issue":"2","language":"en","page":"311-324","source":"Springer Link","title":"The Interactions Between Online Shopping and Personal Activity Travel Behavior: An Analysis with a GPS-Based Activity Travel Diary","volume":"44","author":[{"family":"Ding","given":"Yu"},{"family":"Lu","given":"Huapu"}],"issued":{"date-parts":[["2017",3,1]]}}},{"id":2241,"uris":["http://zotero.org/users/12832277/items/JEAT7TAS"],"itemData":{"id":2241,"type":"article-journal","abstract":"The growth of online shopping will likely impact rates of in-store shopping, signaling potentially significant ramifications for shopping-related vehicle travel. To better understand this relationship, we studied shoppers in Davis, California using a comprehensive survey dataset to explore the effect of personal characteristics, attitudes, perceptions, and the built environment on the frequencies of shopping online and within three distinct shopping settings. Overall, results showed that attitudes and perceptions played an important role in the shopping decision. The ordered response models of shopping frequency also revealed that the shopping motivations for each setting differed. Most notably, many of the factors influencing the frequency of shopping outside Davis had the opposite effect on shopping within Davis. Joint copula models subsequently suggested that online shopping had a complementary relationship with in-store shopping frequency, even after controlling for demographic variables and attitudes. Rather than reducing shopping travel, it appears that online shopping is associated with higher in-store shopping rates.","container-title":"Transportation Research Part A: Policy and Practice","DOI":"10.1016/j.tra.2017.03.001","ISSN":"0965-8564","page":"40-52","source":"ScienceDirect","title":"Relationships Between the Online and in-Store Shopping Frequency of Davis, California Residents","volume":"100","author":[{"family":"Lee","given":"Richard J."},{"family":"Sener","given":"Ipek N."},{"family":"Mokhtarian","given":"Patricia L."},{"family":"Handy","given":"Susan L."}],"issued":{"date-parts":[["2017",6,1]]}}}],"schema":"https://github.com/citation-style-language/schema/raw/master/csl-citation.json"} </w:instrText>
      </w:r>
      <w:r w:rsidR="001620A7">
        <w:fldChar w:fldCharType="separate"/>
      </w:r>
      <w:r w:rsidR="001620A7" w:rsidRPr="00FD7DC6">
        <w:t>(Ding and Lu, 2017; Lee et al., 2017)</w:t>
      </w:r>
      <w:r w:rsidR="001620A7">
        <w:fldChar w:fldCharType="end"/>
      </w:r>
      <w:r w:rsidR="001620A7">
        <w:t xml:space="preserve">. For instance, individuals who begin teleworking may experience greater PPD associated with OH leisure participation if they feel socially isolated working at home and are unable to compensate with an increase in physical participation to the extent they desire </w:t>
      </w:r>
      <w:r w:rsidR="001620A7">
        <w:fldChar w:fldCharType="begin"/>
      </w:r>
      <w:r w:rsidR="001620A7">
        <w:instrText xml:space="preserve"> ADDIN ZOTERO_ITEM CSL_CITATION {"citationID":"1UtCLgVB","properties":{"formattedCitation":"(Budnitz et al., 2020; Thulin et al., 2023)","plainCitation":"(Budnitz et al., 2020; Thulin et al., 2023)","noteIndex":0},"citationItems":[{"id":3199,"uris":["http://zotero.org/users/12832277/items/LV6JF9CK"],"itemData":{"id":3199,"type":"article-journal","abstract":"This paper investigates the importance of non-work travel to the growing population of telecommuters and the implications of this for sustainable travel patterns. Previous research has identified a link between increased online access to work and reduced proximity between residential and workplace locations. These studies raise concerns that as more people split their work activities between home and external workplace, whilst living in more dispersed locations, more unsustainable transport impacts will be generated, including higher vehicle mileage, car dependency, and less physical activity. This paper counters that the implications of telecommuting and other flexible working practices for sustainable travel behaviours may be more dependent upon the number and type of non-work journeys and the accessibility of amenities for these purposes rather than on the distance to the workplace for less frequent commuting journeys. Using the National Travel Survey for England, the travel behaviours of those who identify themselves not as home workers but as working from home at least once a week are compared to other working adults by measuring and modelling the number and purpose of trips within a week's travel diary, independent of distance or mode. Telecommuters record fewer commute trips, more trips for other purposes, and the marginal utility of additional non-work trips to telecommuters is greater than for many other socio-economic characteristics. Thus, addressing the accessibility of non-work destinations proactively through local planning has the potential to optimise the sustainability benefits of telecommuting.","container-title":"Journal of Transport Geography","DOI":"10.1016/j.jtrangeo.2020.102713","ISSN":"0966-6923","source":"ScienceDirect","title":"Telecommuting and Other Trips: An English Case Study","URL":"https://www.sciencedirect.com/science/article/pii/S0966692319305472","volume":"85","author":[{"family":"Budnitz","given":"Hannah"},{"family":"Tranos","given":"Emmanouil"},{"family":"Chapman","given":"Lee"}],"accessed":{"date-parts":[["2024",5,9]]},"issued":{"date-parts":[["2020",5,1]]}}},{"id":3242,"uris":["http://zotero.org/users/12832277/items/M2QWD6RU"],"itemData":{"id":3242,"type":"article-journal","abstract":"During the pandemic, office workers were abruptly pushed into a home-based work life, as working from home became mandatory, full time, and digitally coordinated. The transition revealed an untapped potential of telework to reorganize daily life and facilitate resource-efficient adaptations. This study investigates the adjustments that took place, how daily life and mobility was remade in time and space, how change was experienced, and whether new preferences and habits were established. Drawing on in-depth interviews with 28 office workers, we examine whether and why the confined work-from-home pattern will have lasting influences on how and where people choose to live, work, relocate, and travel. Theoretically, we view the mandated working from home as a work-life shock event, causing a disruptive, novel, and critical experience of adaptation. We employ time geography to enhance a spatiotemporal understanding of shock events, i.e., how daily life and the local order of home are rearranged under new constraints. Our findings indicate a remarkable shift in the willingness to continue the home-based work life, essentially caused by valued experiences of heavily reduced travel time, a sense of always being ‘in place’, and a calmer pace of life. Felt spatial, digital, and emotional crowding at home challenge the new order, and residential relocation as a strategy to sustain a home-based work life is frequently mentioned. Although working from home is perceived as mostly efficient, the loss of informal social contact is driving a partial return to the office.","container-title":"Journal of Transport Geography","DOI":"10.1016/j.jtrangeo.2023.103740","ISSN":"0966-6923","source":"ScienceDirect","title":"Telework After Confinement: Interrogating the Spatiotemporalities of Home-Based Work Life","URL":"https://www.sciencedirect.com/science/article/pii/S0966692323002120","volume":"113","author":[{"family":"Thulin","given":"Eva"},{"family":"Vilhelmson","given":"Bertil"},{"family":"Brundin","given":"Louise"}],"accessed":{"date-parts":[["2024",5,9]]},"issued":{"date-parts":[["2023",12,1]]}}}],"schema":"https://github.com/citation-style-language/schema/raw/master/csl-citation.json"} </w:instrText>
      </w:r>
      <w:r w:rsidR="001620A7">
        <w:fldChar w:fldCharType="separate"/>
      </w:r>
      <w:r w:rsidR="001620A7" w:rsidRPr="002B33FA">
        <w:t>(Budnitz et al., 2020; Thulin et al., 2023)</w:t>
      </w:r>
      <w:r w:rsidR="001620A7">
        <w:fldChar w:fldCharType="end"/>
      </w:r>
      <w:r w:rsidR="001620A7">
        <w:t xml:space="preserve">. </w:t>
      </w:r>
      <w:r w:rsidR="001620A7" w:rsidRPr="006E3DF9">
        <w:t>Another issue relates to equity considerations.</w:t>
      </w:r>
      <w:r w:rsidR="001620A7">
        <w:rPr>
          <w:b/>
          <w:bCs/>
        </w:rPr>
        <w:t xml:space="preserve"> </w:t>
      </w:r>
      <w:r w:rsidR="001620A7">
        <w:t>T</w:t>
      </w:r>
      <w:r>
        <w:t xml:space="preserve">here is evidence that those with limited physical accessibility may </w:t>
      </w:r>
      <w:r w:rsidR="00D269FE">
        <w:t xml:space="preserve">be the same ones who </w:t>
      </w:r>
      <w:r>
        <w:t xml:space="preserve">face </w:t>
      </w:r>
      <w:r w:rsidR="00AD0FAE">
        <w:t xml:space="preserve">virtual accessibility </w:t>
      </w:r>
      <w:r>
        <w:t xml:space="preserve">challenges. </w:t>
      </w:r>
      <w:r w:rsidR="001620A7">
        <w:t>After all, v</w:t>
      </w:r>
      <w:r>
        <w:t xml:space="preserve">irtual accessibility requires access to technology, knowledge and availability of virtual opportunities </w:t>
      </w:r>
      <w:r w:rsidR="00AD0FAE">
        <w:t xml:space="preserve">to </w:t>
      </w:r>
      <w:r>
        <w:t xml:space="preserve">effectively replace specific physical activities, and the </w:t>
      </w:r>
      <w:r w:rsidR="00AD0FAE">
        <w:t>self-efficacy</w:t>
      </w:r>
      <w:r w:rsidR="00230EE9">
        <w:t xml:space="preserve"> (or at least the perception of self-efficacy)</w:t>
      </w:r>
      <w:r w:rsidR="00AD0FAE">
        <w:t xml:space="preserve"> </w:t>
      </w:r>
      <w:r>
        <w:t>to use technology to part</w:t>
      </w:r>
      <w:r w:rsidR="00AD0FAE">
        <w:t xml:space="preserve">ake </w:t>
      </w:r>
      <w:r w:rsidR="00F82F2C">
        <w:t xml:space="preserve">in </w:t>
      </w:r>
      <w:r w:rsidR="00AD0FAE">
        <w:t xml:space="preserve">remote </w:t>
      </w:r>
      <w:r w:rsidR="00F82F2C">
        <w:t>activitie</w:t>
      </w:r>
      <w:r w:rsidR="00AD0FAE">
        <w:t>s</w:t>
      </w:r>
      <w:r>
        <w:t xml:space="preserve"> </w:t>
      </w:r>
      <w:r w:rsidR="00935E12">
        <w:fldChar w:fldCharType="begin"/>
      </w:r>
      <w:r w:rsidR="008C4717">
        <w:instrText xml:space="preserve"> ADDIN ZOTERO_ITEM CSL_CITATION {"citationID":"U8qDmfud","properties":{"unsorted":true,"formattedCitation":"(Lavieri et al., 2018; Morrison-Smith and Ruiz, 2020; Chen et al., 2021; Cavallaro and Dianin, 2022)","plainCitation":"(Lavieri et al., 2018; Morrison-Smith and Ruiz, 2020; Chen et al., 2021; Cavallaro and Dianin, 2022)","noteIndex":0},"citationItems":[{"id":2142,"uris":["http://zotero.org/users/12832277/items/XYAJ5E5M"],"itemData":{"id":2142,"type":"article-journal","abstract":"In this study, we propose a conceptual and analytic framework anchored on the concepts of physical and virtual accessibility (the “ease” with which opportunities or activities can be reached in the physical and in the virtual space, respectively) to investigate the rich interplay between virtual and physical activity engagements in multiple activity purposes, while controlling for information and communication technology (ICT) use measures, physical accessibility measures, and demographics. Our framework considers that activity-travel choices are consequences of individual, household, and work characteristics that are mediated by virtual accessibility and physical accessibility. As part of our analysis, we also analyze activity chaining characteristics during travel to study any fragmentation impacts caused by ICT use on activity engagement and scheduling. We use data from the 2011 and 2012 National Travel Survey in Great Britain and apply Bhat’s (2015) generalized heterogeneous data model (GHDM) to jointly model multiple activity and travel outcomes. Our results provide important insights for social welfare, work-life balance, and equity policies, and suggest that decisions regarding virtual activity participations and in-person out-of-home activity participations are determined as a package. Ignoring this package nature of choices can lead to misleading inferences about the effects of virtual activity participations on in-person out-of-home activity participations.","container-title":"Transportation Research Part A: Policy and Practice","DOI":"10.1016/j.tra.2018.08.042","ISSN":"0965-8564","page":"527-544","source":"ScienceDirect","title":"Using Virtual Accessibility and Physical Accessibility as Joint Predictors of Activity-Travel Behavior","volume":"118","author":[{"family":"Lavieri","given":"Patrícia S."},{"family":"Dai","given":"Qichun"},{"family":"Bhat","given":"Chandra R."}],"issued":{"date-parts":[["2018",12,1]]}}},{"id":3225,"uris":["http://zotero.org/users/12832277/items/QB3ISJ74"],"itemData":{"id":3225,"type":"article-journal","abstract":"Virtual teams (i.e., geographically distributed collaborations that rely on technology to communicate and cooperate) are central to maintaining our increasingly globalized social and economic infrastructure. “Global Virtual Teams” that include members from around the world are the most extreme example and are growing in prevalence (Scott and Wildman in Culture, communication, and conflict: a review of the global virtual team literature, Springer, New York, 2015). There has been a multitude of studies examining the difficulties faced by collaborations and use of technology in various narrow contexts. However, there has been little work in examining the challenges faced by virtual teams and their use of technology to mitigate issues. To address this issue, a literature review was performed to highlight the collaboration challenges experienced by virtual teams and existing mitigation strategies. In this review, a well-planned search strategy was utilized to identify a total of 255 relevant studies, primarily focusing on technology use. The physical factors relating to distance are tightly coupled with the cognitive, social, and emotional challenges faced by virtual teams. However, based on research topics in the selected studies, we separate challenges as belonging to five categories: geographical distance, temporal distance, perceived distance, the configuration of dispersed teams, and diversity of workers. In addition, findings from this literature review expose opportunities for research, such as resolving discrepancies regarding the effect of tightly coupled work on collaboration and the effect of temporal dispersion on coordination costs. Finally, we use these results to discuss opportunities and implications for designing groupware that better support collaborative tasks in virtual teams.","container-title":"SN Applied Sciences","DOI":"10.1007/s42452-020-2801-5","ISSN":"2523-3971","issue":"6","language":"en","source":"Springer Link","title":"Challenges and Barriers in Virtual Teams: A Literature Review","URL":"https://doi.org/10.1007/s42452-020-2801-5","volume":"2","author":[{"family":"Morrison-Smith","given":"Sarah"},{"family":"Ruiz","given":"Jaime"}],"accessed":{"date-parts":[["2024",5,9]]},"issued":{"date-parts":[["2020",5,20]]}}},{"id":3220,"uris":["http://zotero.org/users/12832277/items/W74UZUUN"],"itemData":{"id":3220,"type":"article-journal","abstract":"Purpose This paper aimed to explore the development of distance education (DE) in Chinese higher education as well as the three significant themes: accessibility, quality and equity in Chinese DE and the performance of these three themes in Chinese DE. Design/methodology/approach Document analysis was used as the major research method in this study to examine the development and challenges in terms of accessibility, quality and equity in Chinese DE. In this study, national-level official policy documents and reports from the Chinese government were collected and analyzed. Also, scientific articles from CNKI were analyzed to find out the evolution of the Frontier topics on Chinese DE in accessibility, quality and equity. Findings There are three major findings. First, the Chinese government has shown its positive attitude toward DE in higher education. Second, compared with the other two themes: quality and equity; the number of articles in the accessibility of DE was lower than the other two themes and the problems of accessing online courses were insufficiently caused by two reasons due to lack of basic ICT literacy and poor Internet infrastructure. Third, there was a gap between Chinese policies and research articles mainly because of the unbalanced development of accessibility in policy management and research articles. Research limitations/implications Although this paper has summarized the development of the DE in Chinese higher education, it was clear that accessibility, quality and equity were three critical issues in DE. However, there are still other essential factors that contribute to the development of DE that requires further investigation, such as learner satisfaction, different features of learning platforms and instructional strategy. Practical implications The findings of this paper can be used to identify the attitude toward the DE of the Chinese government. Besides, the accessibility could be a research and practical focus for Chinese DE in the future. Originality/value This study showed some significant policies released by the Chinese government toward DE in higher education and revealed the achievements, trends and challenges in the accessibility, quality and equity of Chinese DE.","container-title":"Asian Education and Development Studies","DOI":"10.1108/AEDS-05-2020-0118","ISSN":"2046-3162","issue":"2","note":"publisher: Emerald Publishing Limited","page":"356-365","source":"Emerald Insight","title":"Development of Distance Education in Chinese Higher Education in Perspectives of Accessibility, Quality and Equity Under COVID-19","volume":"11","author":[{"family":"Chen","given":"Ying"},{"family":"Hou","given":"Angela Yung Chi"},{"family":"Huang","given":"Lei"}],"issued":{"date-parts":[["2021",1,1]]}}},{"id":3202,"uris":["http://zotero.org/users/12832277/items/FC4KBZB2"],"itemData":{"id":3202,"type":"article-journal","abstract":"In contemporary society ICTs play a key role in providing access to work. Nevertheless, work accessibility measurements incorporating ICTs are still limited: the focus lies mostly on the physical (transport-related) component. This study develops an original model that integrates accessibility to work opportunities in the physical, virtual and hybrid spaces into a Composite Accessibility indicator (CAi). For this purpose, key factors that influence virtual work accessibility are considered, namely the availability of digital infrastructures, work opportunities that allow remote work and their costs. These factors are combined with those included in physical accessibility measurements, i.e. the attractiveness of work opportunities at location and the transport impedance involved in reaching them. Finally, the model develops an Accessibility Comparison index, which allows the calculating and visualising of the differences of CAi compared to a traditional physical indicator. The model is applied to the Local Labour System in the Province of Cuneo, a mainly rural and mountainous area in north-western Italy. The study provides two main findings: first, work accessibility via ICTs still plays a minor role compared to the physical one, due to the only partial development of digital infrastructures and opportunities of remote work. Second, CAi provides the most varied results compared to a traditional indicator in the remote municipalities, according to their degree of digital-infrastructural coverage and physical isolation. This study provides a methodological contribution for evaluating the development of accessibility in the physical and virtual spaces and a contribution for policymakers to deal with the urban/rural accessibility divide.","container-title":"Journal of Transport Geography","DOI":"10.1016/j.jtrangeo.2021.103224","ISSN":"0966-6923","source":"ScienceDirect","title":"Combining Transport and Digital Accessibilities in the Evaluation of Regional Work Opportunities","URL":"https://www.sciencedirect.com/science/article/pii/S0966692321002775","volume":"98","author":[{"family":"Cavallaro","given":"Federico"},{"family":"Dianin","given":"Alberto"}],"accessed":{"date-parts":[["2024",5,9]]},"issued":{"date-parts":[["2022",1,1]]}}}],"schema":"https://github.com/citation-style-language/schema/raw/master/csl-citation.json"} </w:instrText>
      </w:r>
      <w:r w:rsidR="00935E12">
        <w:fldChar w:fldCharType="separate"/>
      </w:r>
      <w:r w:rsidR="008C4717" w:rsidRPr="008C4717">
        <w:t>(Lavieri et al., 2018; Morrison-Smith and Ruiz, 2020; Chen et al., 2021; Cavallaro and Dianin, 2022)</w:t>
      </w:r>
      <w:r w:rsidR="00935E12">
        <w:fldChar w:fldCharType="end"/>
      </w:r>
      <w:r>
        <w:t xml:space="preserve">. </w:t>
      </w:r>
      <w:r w:rsidR="00AA3A25">
        <w:t>Individuals</w:t>
      </w:r>
      <w:r>
        <w:t xml:space="preserve"> may also be constrained by the</w:t>
      </w:r>
      <w:r w:rsidR="00AA3A25">
        <w:t xml:space="preserve"> suitability of their physical environment</w:t>
      </w:r>
      <w:r w:rsidR="001620A7">
        <w:t xml:space="preserve"> to pursue </w:t>
      </w:r>
      <w:r w:rsidR="00AD0FAE">
        <w:t>virtual</w:t>
      </w:r>
      <w:r w:rsidR="00AA3A25">
        <w:t xml:space="preserve"> activities (such as loud home environments</w:t>
      </w:r>
      <w:r w:rsidR="001620A7">
        <w:t>,</w:t>
      </w:r>
      <w:r w:rsidR="00AA3A25">
        <w:t xml:space="preserve"> making telework challenging)</w:t>
      </w:r>
      <w:r w:rsidR="000E40E0">
        <w:t xml:space="preserve"> and</w:t>
      </w:r>
      <w:r w:rsidR="008C4717">
        <w:t xml:space="preserve"> the availability of </w:t>
      </w:r>
      <w:r w:rsidR="00812F4E">
        <w:t>social and technological</w:t>
      </w:r>
      <w:r w:rsidR="008C4717">
        <w:t xml:space="preserve"> support</w:t>
      </w:r>
      <w:r w:rsidR="00AA3A25">
        <w:t xml:space="preserve"> </w:t>
      </w:r>
      <w:r w:rsidR="008C4717">
        <w:fldChar w:fldCharType="begin"/>
      </w:r>
      <w:r w:rsidR="002B33FA">
        <w:instrText xml:space="preserve"> ADDIN ZOTERO_ITEM CSL_CITATION {"citationID":"2O0wurSa","properties":{"formattedCitation":"(Laumer and Maier, 2021; Leroy et al., 2021; Squire, 2022)","plainCitation":"(Laumer and Maier, 2021; Leroy et al., 2021; Squire, 2022)","noteIndex":0},"citationItems":[{"id":3229,"uris":["http://zotero.org/users/12832277/items/WILD9PR9"],"itemData":{"id":3229,"type":"paper-conference","container-title":"Proceedings of the 2021 on Computers and People Research Conference","DOI":"10.1145/3458026.3462155","ISBN":"978-1-4503-8406-3","language":"en","page":"41-49","publisher":"ACM","source":"DOI.org (Crossref)","title":"Why Do People (Not) Want to Work from Home? An Individual-Focused Literature Review on Telework","URL":"https://dl.acm.org/doi/10.1145/3458026.3462155","author":[{"family":"Laumer","given":"Sven"},{"family":"Maier","given":"Christian"}],"accessed":{"date-parts":[["2024",5,9]]},"issued":{"date-parts":[["2021",6,29]]}}},{"id":3237,"uris":["http://zotero.org/users/12832277/items/IHKMJZCZ"],"itemData":{"id":3237,"type":"article-journal","abstract":"We examine how the shift toward intensive work-from-home during the Coronavirus disease (COVID-19) pandemic has impacted the experience of interruptions during work time. We conducted a two-wave survey of 249 employees working from home during the COVID-19 pandemic. Building on a conceptual framework and typology (Leroy et al., 2020), we examine changes in the prevalence of interruptions since-COVID-19 as a function of interruption type (intrusions, distractions, breaks, multitasking, and surprises), source (work-based vs. nonwork), and timing (pre- vs. since-COVID-19). We find a large increase in interruptions since-COVID, with the largest increases observed for nonwork intrusions, distractions, and multitasking. Women reported a greater increase in interruptions, particularly with regard to nonwork interruptions of all types, in addition to work-based intrusions, multitasking, and surprises, uncovering an important source of gender inequity. A dedicated unshared workspace at home was associated with fewer nonwork interruptions, while more nonwork responsibilities predicted more nonwork interruptions. Further differentiation of interruption types and sources was observed with regard to outcomes of interruptions. Nonwork interruptions predicted higher family-to-work interference, emotional exhaustion, and lower performance. Notably, these relationships varied meaningfully across specific interruption-type/outcome combinations, highlighting the value of differentiating interruptions by type. Work-based interruptions—especially intrusions and multitasking—were associated with higher work–family interference and emotional exhaustion, as well as lower performance. The results of this study provide valuable insights to help understand and, ultimately, improve work experiences in the midst of the COVID-19 pandemic while also contributing to the broader literatures on interruptions and remote work. (PsycInfo Database Record (c) 2024 APA, all rights reserved)","archive_location":"2022-08530-002","container-title":"Journal of Applied Psychology","DOI":"10.1037/apl0000972","ISSN":"0021-9010","issue":"10","note":"publisher: American Psychological Association","page":"1448-1465","source":"EBSCOhost","title":"Working from Home During COVID-19: A Study of the Interruption Landscape","volume":"106","author":[{"family":"Leroy","given":"Sophie"},{"family":"Schmidt","given":"Aaron M."},{"family":"Madjar","given":"Nora"}],"issued":{"date-parts":[["2021",10]]}}},{"id":3227,"uris":["http://zotero.org/users/12832277/items/35EJJDAB"],"itemData":{"id":3227,"type":"article-journal","abstract":"During COVID-19, schools around the world rapidly went online. Examining youth technology use reveals sharp inequities within the United States’ education system and incongruencies between the technologies used in virtual schooling and those in the lives of students outside of school. In affluent communities, virtual schooling is supported by a distributed schooling infrastructure that coordinates students’ knowledge work. This home and school technology infrastructure features material, human, and structural capital that facilitates youth development as nascent knowledge workers. Technology use during virtual schooling keeps youth activity grounded within the “walls” of school; during virtual schooling, students have little voice in setting learning goals or contributing “content.” Technology use at home for learning or entertainment stems from their own goals and features them as active inquisitors seeking out information and extending their social networks, and crucially, using participatory learning technologies such as Discord for communications. An extended period of virtual schooling could enable a rethinking of the role of technology in schools, including an embrace of play, emotional design, participatory communications, place-based learning, embodied understandings, and creative construction.","container-title":"E-Learning and Digital Media","DOI":"10.1177/20427530211022926","ISSN":"2042-7530","issue":"1","language":"en","note":"publisher: SAGE Publications","page":"55-77","source":"SAGE Journals","title":"From Virtual to Participatory Learning with Technology During COVID-19","volume":"19","author":[{"family":"Squire","given":"Kurt D"}],"issued":{"date-parts":[["2022",1,1]]}}}],"schema":"https://github.com/citation-style-language/schema/raw/master/csl-citation.json"} </w:instrText>
      </w:r>
      <w:r w:rsidR="008C4717">
        <w:fldChar w:fldCharType="separate"/>
      </w:r>
      <w:r w:rsidR="002B33FA" w:rsidRPr="002B33FA">
        <w:t>(Laumer and Maier, 2021; Leroy et al., 2021; Squire, 2022)</w:t>
      </w:r>
      <w:r w:rsidR="008C4717">
        <w:fldChar w:fldCharType="end"/>
      </w:r>
      <w:r w:rsidR="00AA3A25" w:rsidRPr="002B33FA">
        <w:t>.</w:t>
      </w:r>
      <w:r w:rsidR="00AA3A25">
        <w:rPr>
          <w:b/>
          <w:bCs/>
        </w:rPr>
        <w:t xml:space="preserve"> </w:t>
      </w:r>
      <w:r>
        <w:t>Th</w:t>
      </w:r>
      <w:r w:rsidR="00D269FE">
        <w:t xml:space="preserve">us, </w:t>
      </w:r>
      <w:r w:rsidR="001620A7">
        <w:t xml:space="preserve">just as with physical accessibility, </w:t>
      </w:r>
      <w:r w:rsidR="00D269FE">
        <w:t>virtual</w:t>
      </w:r>
      <w:r>
        <w:t xml:space="preserve"> opportunities and resources are not distributed evenly </w:t>
      </w:r>
      <w:r w:rsidR="00AA3A25">
        <w:fldChar w:fldCharType="begin"/>
      </w:r>
      <w:r w:rsidR="00C640F7">
        <w:instrText xml:space="preserve"> ADDIN ZOTERO_ITEM CSL_CITATION {"citationID":"gR2LMTel","properties":{"unsorted":true,"formattedCitation":"(Lavieri et al., 2018; Dirks et al., 2022; van Wee, 2022; Pedreira Junior and Pitombo, 2024)","plainCitation":"(Lavieri et al., 2018; Dirks et al., 2022; van Wee, 2022; Pedreira Junior and Pitombo, 2024)","noteIndex":0},"citationItems":[{"id":2142,"uris":["http://zotero.org/users/12832277/items/XYAJ5E5M"],"itemData":{"id":2142,"type":"article-journal","abstract":"In this study, we propose a conceptual and analytic framework anchored on the concepts of physical and virtual accessibility (the “ease” with which opportunities or activities can be reached in the physical and in the virtual space, respectively) to investigate the rich interplay between virtual and physical activity engagements in multiple activity purposes, while controlling for information and communication technology (ICT) use measures, physical accessibility measures, and demographics. Our framework considers that activity-travel choices are consequences of individual, household, and work characteristics that are mediated by virtual accessibility and physical accessibility. As part of our analysis, we also analyze activity chaining characteristics during travel to study any fragmentation impacts caused by ICT use on activity engagement and scheduling. We use data from the 2011 and 2012 National Travel Survey in Great Britain and apply Bhat’s (2015) generalized heterogeneous data model (GHDM) to jointly model multiple activity and travel outcomes. Our results provide important insights for social welfare, work-life balance, and equity policies, and suggest that decisions regarding virtual activity participations and in-person out-of-home activity participations are determined as a package. Ignoring this package nature of choices can lead to misleading inferences about the effects of virtual activity participations on in-person out-of-home activity participations.","container-title":"Transportation Research Part A: Policy and Practice","DOI":"10.1016/j.tra.2018.08.042","ISSN":"0965-8564","page":"527-544","source":"ScienceDirect","title":"Using Virtual Accessibility and Physical Accessibility as Joint Predictors of Activity-Travel Behavior","volume":"118","author":[{"family":"Lavieri","given":"Patrícia S."},{"family":"Dai","given":"Qichun"},{"family":"Bhat","given":"Chandra R."}],"issued":{"date-parts":[["2018",12,1]]}}},{"id":2251,"uris":["http://zotero.org/users/12832277/items/6D2MJCJ6"],"itemData":{"id":2251,"type":"article-journal","abstract":"The COVID-19 pandemic has revealed the fault lines in society. Whether it be remote work,\nremote learning, online shopping, grocery and meal deliveries, or medical care, there are disparities\nand inequities among socio-economic and demographic groups that leave some segments of\nsociety more vulnerable and less adaptable. This paper aims to identify vulnerable and less\nadaptable groups in the context of access to food. Using a comprehensive behavioral survey data\nset collected during the height of the pandemic in 2020, this paper aims to provide insights on the\ngroups that may have experienced food access vulnerability during the disruption when businesses\nand establishments were restricted, the risk of contagion was high, and accessing online platforms\nrequired technology-savviness and the ability to afford delivery charges. The paper proposes and\npresents estimation results for a simultaneous equations model of six endogenous choice variables\ndefined by a combination of two food types (groceries and meals) and three access modalities (inperson, online with in-person pickup, and online with delivery). The model estimation results show\nthat attitudes and perceptions play a significant role in shaping pandemic-era access modalities.\nThe model revealed that, even after controlling for a host of attitudinal indicators, minorities, lowincome individuals, and individuals residing in rural low-density areas are particularly vulnerable\nto being left behind and experiencing challenges in accessing food during a severe and prolonged\ndisruption. Social programs should aim to provide these vulnerable groups with tools and financial\nresources to leverage online activity engagement and access modalities.","container-title":"Technical paper, Department of Civil, Architectural and Environmental Engineering, The University of Texas at Austin","source":"Google Scholar","title":"Access to Food in a Severe Prolonged Disruption: The Case of Grocery and Meal Shopping During the COVID-19 Pandemic","title-short":"Access to Food in a Severe Prolonged Disruption","URL":"https://search.proquest.com/openview/25b2deb88b4f42e8b6bde60a1bc9106c/1?pq-origsite=gscholar&amp;cbl=18750&amp;diss=y","author":[{"family":"Dirks","given":"Abbie"},{"family":"Batur","given":"Irfan"},{"family":"Mondal","given":"Aupal"},{"family":"Magassy","given":"Tassio B."},{"family":"Pendyala","given":"Ram M"},{"family":"Haddad","given":"Angela"},{"family":"Bhat","given":"Chandra R."},{"family":"Chen","given":"Cynthia"},{"family":"Salon","given":"Deborah"},{"family":"Bhagat-Conway","given":"Matthew Wigginton"},{"family":"Mohammadi","given":"Motahare"},{"family":"Chauhan","given":"Rishabh"},{"family":"Mohammadian","given":"Abolfazl"},{"family":"Derrible","given":"Sybil"}],"accessed":{"date-parts":[["2024",2,7]]},"issued":{"date-parts":[["2022",8]]}}},{"id":3196,"uris":["http://zotero.org/users/12832277/items/CBX6ZJZ8"],"itemData":{"id":3196,"type":"article-journal","abstract":"This discussion paper proposes a conceptual model for the factors influencing ethical concerns regarding accessibility, building on the idea that people should have a minimum level of access to some destinations (founded in the ethical principle of sufficientarianism), and secondly from the idea that differences in levels of accessibility between (groups of) people could be relevant from an equity perspective (founded in the ethical principle of egalitarianism). The four components of accessibility introduced by Geurs and van Wee (2004) – the land use system, the transport system, the individual, and the temporal component – are included in the conceptual model which additionally disentangles the individual component, includes context factors (such as culture/religion), digital access options, perceived accessibility and normative judgments. In addition, this paper proposes a research agenda suggesting several types of quantitative and qualitative methods to study the complex relationships proposed in the model, and research to address those parts of the model for which limited knowledge is currently available.","container-title":"Journal of Transport Geography","DOI":"10.1016/j.jtrangeo.2022.103421","ISSN":"0966-6923","source":"ScienceDirect","title":"Accessibility and Equity: A Conceptual Framework and Research Agenda","URL":"https://www.sciencedirect.com/science/article/pii/S0966692322001442","volume":"104","author":[{"family":"Wee","given":"Bert","non-dropping-particle":"van"}],"accessed":{"date-parts":[["2024",5,9]]},"issued":{"date-parts":[["2022",10,1]]}}},{"id":3210,"uris":["http://zotero.org/users/12832277/items/SB62VCX4"],"itemData":{"id":3210,"type":"article-journal","abstract":"This research investigates substitution patterns of work trips by teleworking during the COVID-19 pandemic in Brazil. Through a longitudinal survey, individuals were asked about their frequencies of work trips and teleworking, engagement with Information and Communication Technologies (ICT) and physical accessibility aspects. Using a two-step modeling framework, we revealed three different substitution patterns of work trips by teleworking by comparing the 2nd half of 2020 to the pre-pandemic period (early March 2020): (1) no/lowsubstitution (uninterrupted in-person work), (2) moderate substitution and (3) intense substitution. Moderate substitution was distinguished from intense substitution by the way in-person work was replaced (partially or fully working from home, respectively) and by the proportion of tasks amenable to telework in the individuals’ occupations. After controlling for these aspects, positive attitudes towards ICT and ICT proficiency strongly determined the magnitude of substitution. Interestingly, the level of substitution was also positively correlated with physical accessibility, indicating that the pandemic has likely widened existing inequalities. In the follow-up survey in late 2021, we found that no/lowsubstitution and moderate substitution classes returned to pre-pandemic levels of teleworking, whereas most of those in the intense substitution group carried on teleworking in 2021. Car use for the no/lowand moderate substitution classes persisted throughout time and only a partial recovery in public transit use was observed in the intense substitution class. In addition to contributing to the comprehension of this phenomenon, the present study provides relevant inputs to inform post-pandemic urban policies.","container-title":"Travel Behaviour and Society","DOI":"10.1016/j.tbs.2023.100657","ISSN":"2214-367X","source":"ScienceDirect","title":"Unveiling Substitution Patterns of Work Trips by Teleworking and Their Associations with Physical and Virtual Accessibility in the Brazilian COVID-19 Crisis","URL":"https://www.sciencedirect.com/science/article/pii/S2214367X23001084","volume":"34","author":[{"family":"Pedreira Junior","given":"Jorge Ubirajara"},{"family":"Pitombo","given":"Cira Souza"}],"accessed":{"date-parts":[["2024",5,9]]},"issued":{"date-parts":[["2024",1,1]]}}}],"schema":"https://github.com/citation-style-language/schema/raw/master/csl-citation.json"} </w:instrText>
      </w:r>
      <w:r w:rsidR="00AA3A25">
        <w:fldChar w:fldCharType="separate"/>
      </w:r>
      <w:r w:rsidR="00C640F7" w:rsidRPr="00C640F7">
        <w:t>(Lavieri et al., 2018; Dirks et al., 2022; van Wee, 2022; Pedreira Junior and Pitombo, 2024)</w:t>
      </w:r>
      <w:r w:rsidR="00AA3A25">
        <w:fldChar w:fldCharType="end"/>
      </w:r>
      <w:r>
        <w:t>.</w:t>
      </w:r>
      <w:r w:rsidR="00AA3A25">
        <w:t xml:space="preserve"> </w:t>
      </w:r>
      <w:r w:rsidR="006E3DF9">
        <w:t>Therefore</w:t>
      </w:r>
      <w:r w:rsidR="001620A7">
        <w:t xml:space="preserve">, there is a need for a better understanding of the interplay between physical and virtual </w:t>
      </w:r>
      <w:r w:rsidR="006E3DF9">
        <w:t xml:space="preserve">activity </w:t>
      </w:r>
      <w:r w:rsidR="001620A7">
        <w:t>participation.</w:t>
      </w:r>
      <w:r w:rsidR="001620A7">
        <w:rPr>
          <w:b/>
          <w:bCs/>
        </w:rPr>
        <w:t xml:space="preserve"> </w:t>
      </w:r>
    </w:p>
    <w:p w14:paraId="033BFA89" w14:textId="17A48CAE" w:rsidR="00B36191" w:rsidRPr="00B651E6" w:rsidRDefault="00B36191" w:rsidP="00B36191">
      <w:pPr>
        <w:spacing w:after="0" w:line="240" w:lineRule="auto"/>
        <w:jc w:val="both"/>
        <w:rPr>
          <w:b/>
          <w:bCs/>
        </w:rPr>
      </w:pPr>
    </w:p>
    <w:p w14:paraId="41988A45" w14:textId="2A20E5ED" w:rsidR="00A93901" w:rsidRDefault="00CE7014" w:rsidP="00D21858">
      <w:pPr>
        <w:keepNext/>
        <w:keepLines/>
        <w:spacing w:after="0" w:line="240" w:lineRule="auto"/>
        <w:jc w:val="both"/>
        <w:rPr>
          <w:b/>
          <w:bCs/>
        </w:rPr>
      </w:pPr>
      <w:r>
        <w:rPr>
          <w:b/>
          <w:bCs/>
        </w:rPr>
        <w:lastRenderedPageBreak/>
        <w:t>2.</w:t>
      </w:r>
      <w:r w:rsidR="00B36191">
        <w:rPr>
          <w:b/>
          <w:bCs/>
        </w:rPr>
        <w:t>3</w:t>
      </w:r>
      <w:r>
        <w:rPr>
          <w:b/>
          <w:bCs/>
        </w:rPr>
        <w:t xml:space="preserve"> </w:t>
      </w:r>
      <w:r w:rsidR="00DC7402">
        <w:rPr>
          <w:b/>
          <w:bCs/>
        </w:rPr>
        <w:t>Study in Context</w:t>
      </w:r>
    </w:p>
    <w:p w14:paraId="51104058" w14:textId="31822346" w:rsidR="004F7455" w:rsidRPr="004F7455" w:rsidRDefault="00A03343" w:rsidP="00D21858">
      <w:pPr>
        <w:keepNext/>
        <w:keepLines/>
        <w:spacing w:after="0" w:line="240" w:lineRule="auto"/>
        <w:jc w:val="both"/>
      </w:pPr>
      <w:r w:rsidRPr="006807BB">
        <w:t xml:space="preserve">The current study examines the </w:t>
      </w:r>
      <w:r w:rsidR="00A94E4E">
        <w:t xml:space="preserve">relationship between </w:t>
      </w:r>
      <w:r w:rsidR="00310EAA">
        <w:t xml:space="preserve">PPD and virtual participation, </w:t>
      </w:r>
      <w:r w:rsidR="00A94E4E">
        <w:t>contribut</w:t>
      </w:r>
      <w:r w:rsidR="00310EAA">
        <w:t>ing</w:t>
      </w:r>
      <w:r w:rsidR="00A94E4E">
        <w:t xml:space="preserve"> to the</w:t>
      </w:r>
      <w:r w:rsidR="004309CC">
        <w:t xml:space="preserve"> literature in several ways. </w:t>
      </w:r>
      <w:r w:rsidR="004309CC" w:rsidRPr="004309CC">
        <w:rPr>
          <w:u w:val="single"/>
        </w:rPr>
        <w:t>First</w:t>
      </w:r>
      <w:r w:rsidR="004309CC">
        <w:t xml:space="preserve">, </w:t>
      </w:r>
      <w:r w:rsidR="00D57CD1" w:rsidRPr="003D645C">
        <w:t>to our knowledge, the current study is the first to investigate dissonance in the context of trip making and accessibility. The theory of cognitive dissonance has been previously applied in other areas of transportation, such as to mode choice</w:t>
      </w:r>
      <w:r w:rsidR="00D57CD1">
        <w:t xml:space="preserve"> </w:t>
      </w:r>
      <w:r w:rsidR="00D57CD1">
        <w:fldChar w:fldCharType="begin"/>
      </w:r>
      <w:r w:rsidR="00D57CD1">
        <w:instrText xml:space="preserve"> ADDIN ZOTERO_ITEM CSL_CITATION {"citationID":"59hFabNa","properties":{"unsorted":true,"formattedCitation":"(De Vos, 2018; An et al., 2022)","plainCitation":"(De Vos, 2018; An et al., 2022)","noteIndex":0},"citationItems":[{"id":2389,"uris":["http://zotero.org/users/12832277/items/6BPR6JUC"],"itemData":{"id":2389,"type":"article-journal","abstract":"Numerous studies have indicated that travel mode choice is affected by travel-related attitudes. A positive stance towards a certain travel mode increases the probability that people will choose this mode for a particular trip. However, not a lot of studies have analysed whether people actually choose their preferred travel mode. In this paper we will look at whether respondents with a preference for car use, public transport use, cycling and walking will actually use these modes. Furthermore, we also analyse whether respondents who use their preferred travel mode (i.e., consonant travellers) are more satisfied with their trips compared to respondents travelling with a non-preferred travel mode (i.e., dissonant travellers). Results from this study, analysing leisure trips of 1656 respondents from the city of Ghent (Belgium), indicate that about half of the respondents chooses a non-preferred travel mode and that dissonant travellers can be mainly found within public transport users and least within cyclists, partly due to relatively low levels of public transport attitudes and high levels of cycling attitudes. Furthermore, travel mode dissonance seems to have an important impact on travel satisfaction. Consonant travellers have above average travel satisfaction levels, independent of the used travel mode, while dissonant travellers (except dissonant pedestrians) have below average travel satisfaction levels. This suggests that using a preferred travel mode has at least an equally important impact on travel satisfaction than the chosen travel mode itself.","container-title":"Transportation Research Part A: Policy and Practice","DOI":"10.1016/j.tra.2018.08.034","ISSN":"0965-8564","page":"261-274","source":"ScienceDirect","title":"Do People Travel with Their Preferred Travel Mode? Analysing the Extent of Travel Mode Dissonance and Its Effect on Travel Satisfaction","volume":"117","author":[{"family":"De Vos","given":"Jonas"}],"issued":{"date-parts":[["2018",11,1]]}}},{"id":2481,"uris":["http://zotero.org/users/12832277/items/QRKY7TD7"],"itemData":{"id":2481,"type":"article-journal","abstract":"Multimodal travel behaviour, also termed multimodality, refers to as the phenomenon of an individual using more than one mode of transport in a given period. Studies indicate that encouraging multimodality may provide a solution to induce modal shifts towards sustainable transport. In this research, we investigate the distribution of mode-specific attitudes and attitude-mode use incompatibilities across clusters and levels of multimodality using the Netherlands Mobility Panel. We find that the most positive attitude does not necessarily correspond to the mode with the highest level of use. Attitudes towards car use are most positive, independent of the cluster membership and levels of multimodality. We also find that multimodal public transport users (compared with car-dominant users) and those with a higher level of multimodality are more likely to be attitudinally incompatible with frequently-used modes and the composition of their existing mode sets of travelling. This suggests that multimodal individuals may tend to experience cognitive dissonance with their mode use. Our findings also help uncover the psychological mechanism underlying a recent important finding that multimodal individuals are inclined to change their mode use patterns over time.","container-title":"Transportation Research Part F: Traffic Psychology and Behaviour","DOI":"10.1016/j.trf.2022.10.007","ISSN":"1369-8478","page":"260-273","source":"ScienceDirect","title":"Multimodal Travel Behaviour, Attitudes, and Cognitive Dissonance","volume":"91","author":[{"family":"An","given":"Zihao"},{"family":"Heinen","given":"Eva"},{"family":"Watling","given":"David"}],"issued":{"date-parts":[["2022",11,1]]}}}],"schema":"https://github.com/citation-style-language/schema/raw/master/csl-citation.json"} </w:instrText>
      </w:r>
      <w:r w:rsidR="00D57CD1">
        <w:fldChar w:fldCharType="separate"/>
      </w:r>
      <w:r w:rsidR="00D57CD1" w:rsidRPr="003D5377">
        <w:t>(De Vos, 2018; An et al., 2022)</w:t>
      </w:r>
      <w:r w:rsidR="00D57CD1">
        <w:fldChar w:fldCharType="end"/>
      </w:r>
      <w:r w:rsidR="00D57CD1" w:rsidRPr="003D645C">
        <w:t>, residential location choices</w:t>
      </w:r>
      <w:r w:rsidR="00D57CD1">
        <w:t xml:space="preserve"> </w:t>
      </w:r>
      <w:r w:rsidR="00D57CD1">
        <w:fldChar w:fldCharType="begin"/>
      </w:r>
      <w:r w:rsidR="00D57CD1">
        <w:instrText xml:space="preserve"> ADDIN ZOTERO_ITEM CSL_CITATION {"citationID":"ltSM4JCn","properties":{"unsorted":true,"formattedCitation":"(van de Coevering et al., 2018; De Vos and Singleton, 2020)","plainCitation":"(van de Coevering et al., 2018; De Vos and Singleton, 2020)","noteIndex":0},"citationItems":[{"id":2484,"uris":["http://zotero.org/users/12832277/items/YVWW9J85"],"itemData":{"id":2484,"type":"article-journal","abstract":"Travel-related attitudes and dissonance between attitudes and the characteristics of the residential built environment are believed to play an important role in the effectiveness of land use policies that aim to influence travel behaviour. To date, research on the nature and directions of causality of the links between these variables has been hindered by the lack of longitudinal approaches. This paper takes such an approach by exploring how people across different population groups adjust their residential environments and attitudes over time. Two latent class transition models are used to segment a population into consonant and dissonant classes to reveal differences in their adjustment process. Interactions between (1) the distance to railway stations and travel-mode-related attitudes and (2) the distance to shopping centres and the importance of satisfaction with these distances are modelled. The models reveal mixed patterns in consonant and dissonant classes at different distances from these destinations. These patterns remain relatively stable over time. People in more dissonant classes generally do not have a higher probability of switching to more consonant classes. People adjust their built environments as well as their attitudes over time and these processes differ between classes. Implications for policies are discussed.","container-title":"Transportation Research Part A: Policy and Practice","DOI":"10.1016/j.tra.2018.08.035","ISSN":"0965-8564","page":"466-479","source":"ScienceDirect","title":"Residential Self-Selection, Reverse Causality and Residential Dissonance. A Latent Class Transition Model of Interactions Between the Built Environment, Travel Attitudes and Travel Behavior","volume":"118","author":[{"family":"Coevering","given":"Paul","non-dropping-particle":"van de"},{"family":"Maat","given":"Kees"},{"family":"Wee","given":"Bert","non-dropping-particle":"van"}],"issued":{"date-parts":[["2018",12,1]]}}},{"id":2386,"uris":["http://zotero.org/users/12832277/items/UP84524K"],"itemData":{"id":2386,"type":"article-journal","abstract":"In this review paper, we reconceptualise the relationships between travel-related attitudes and behaviours using (and considering the applicability of) Festinger’s cognitive dissonance theory. According to this psychological theory – developed in the 1950s and widely used ever since − a dissonance between attitudes and behaviour can result in feelings of discomfort, which people will try to reduce by changing either their attitudes or their behaviour. In our interpretation, we focus on two interrelated decision processes linked with travel behaviour, i.e., travel mode choice and residential location choice. Although a considerable number of travel behaviour studies refer to the cognitive dissonance theory in order to explain found results (e.g., changed attitudes), a full examination of the process of cognitive dissonance (reduction) in the travel behaviour literature is currently lacking. Through this critical consolidation of transport literature on the cognitive dissonance topic, we propose future research directions to fill this gap. We argue that the cognitive dissonance theory can provide valuable insights into satisfaction levels with travel and the place of residence, while also helping to explain changes in travel-related attitudes and choices of where to live and which travel mode to use.","container-title":"Transportation Research Part A: Policy and Practice","DOI":"10.1016/j.tra.2020.06.014","ISSN":"0965-8564","page":"525-536","source":"ScienceDirect","title":"Travel and cognitive dissonance","volume":"138","author":[{"family":"De Vos","given":"Jonas"},{"family":"Singleton","given":"Patrick A."}],"issued":{"date-parts":[["2020",8,1]]}}}],"schema":"https://github.com/citation-style-language/schema/raw/master/csl-citation.json"} </w:instrText>
      </w:r>
      <w:r w:rsidR="00D57CD1">
        <w:fldChar w:fldCharType="separate"/>
      </w:r>
      <w:r w:rsidR="00D57CD1" w:rsidRPr="002624D0">
        <w:t>(van de Coevering et al., 2018; De Vos and Singleton, 2020)</w:t>
      </w:r>
      <w:r w:rsidR="00D57CD1">
        <w:fldChar w:fldCharType="end"/>
      </w:r>
      <w:r w:rsidR="00D57CD1" w:rsidRPr="003D645C">
        <w:t xml:space="preserve">, </w:t>
      </w:r>
      <w:r w:rsidR="00D57CD1">
        <w:t xml:space="preserve">sustainable travel decision making </w:t>
      </w:r>
      <w:r w:rsidR="00D57CD1">
        <w:fldChar w:fldCharType="begin"/>
      </w:r>
      <w:r w:rsidR="00D57CD1">
        <w:instrText xml:space="preserve"> ADDIN ZOTERO_ITEM CSL_CITATION {"citationID":"xVycFhGQ","properties":{"formattedCitation":"(Higham et al., 2013)","plainCitation":"(Higham et al., 2013)","noteIndex":0},"citationItems":[{"id":2487,"uris":["http://zotero.org/users/12832277/items/6HIG3LUS"],"itemData":{"id":2487,"type":"article-journal","abstract":"This paper introduces and explores the psychological and social factors that both contribute to and inhibit behaviour change vis-à-vis sustainable (tourist) mobility. It is based on papers presented at the Freiburg 2012 workshop. Specifically, it reviews climate change attitudes and perceptions, the psychological benefits of tourism mobilities, addictive elements of mobility and social norming effects, the attitude–behaviour gap (i.e. cognitive dissonance between understandings of, and responses to, climate change), the psychology of modal shifts, the psychology of travel speed/time and psychological explanations for the perceived importance of long distance travel. It notes that anthropogenic climate change is an inescapable reality and that tourism's share of greenhouse gas emissions appears set to rise substantially. There is little prospect of technical solutions adequately addressing this problem. The paper concludes that, while a comprehensive understanding of tourist psychology is necessary to inform policy-makers, it alone will be insufficient to achieve emission reductions, and bring tourism to a climatically sustainable pathway, if treated in isolation. Radical change in the structures of provision is also necessary. That change may take the form of infrastructure planning, including financial and economic infrastructure (e.g. taxation regimes and emission trading schemes) for sustainable mobility.","container-title":"Journal of Sustainable Tourism","DOI":"10.1080/09669582.2013.828733","ISSN":"0966-9582","issue":"7","note":"publisher: Routledge\n_eprint: https://doi.org/10.1080/09669582.2013.828733","page":"949-967","source":"Taylor and Francis+NEJM","title":"Psychological and Behavioural Approaches to Understanding and Governing Sustainable Mobility","volume":"21","author":[{"family":"Higham","given":"James"},{"family":"Cohen","given":"Scott A."},{"family":"Peeters","given":"Paul"},{"family":"Gössling","given":"Stefan"}],"issued":{"date-parts":[["2013",9,1]]}}}],"schema":"https://github.com/citation-style-language/schema/raw/master/csl-citation.json"} </w:instrText>
      </w:r>
      <w:r w:rsidR="00D57CD1">
        <w:fldChar w:fldCharType="separate"/>
      </w:r>
      <w:r w:rsidR="00D57CD1" w:rsidRPr="00113D8E">
        <w:t>(Higham et al., 2013)</w:t>
      </w:r>
      <w:r w:rsidR="00D57CD1">
        <w:fldChar w:fldCharType="end"/>
      </w:r>
      <w:r w:rsidR="00D57CD1" w:rsidRPr="003D645C">
        <w:t>, and telework decisions</w:t>
      </w:r>
      <w:r w:rsidR="00D57CD1">
        <w:t xml:space="preserve"> </w:t>
      </w:r>
      <w:r w:rsidR="00D57CD1">
        <w:fldChar w:fldCharType="begin"/>
      </w:r>
      <w:r w:rsidR="00374A3B">
        <w:instrText xml:space="preserve"> ADDIN ZOTERO_ITEM CSL_CITATION {"citationID":"LrK1F5Kv","properties":{"formattedCitation":"(Anderson et al., 2024)","plainCitation":"(Anderson et al., 2024)","noteIndex":0},"citationItems":[{"id":2385,"uris":["http://zotero.org/users/12832277/items/Y2XPBN4E"],"itemData":{"id":2385,"type":"article-journal","abstract":"The remote work arrangement trend engendered by the pandemic continues to be prevalent today\nin most work sectors. But some employers have reverted to an all in-person office workday system\nrecently, with no allowance for remote work despite their employees’ desire for such flexibility.\nAt the same time, some employees may prefer more office-based workdays than what their\nemployer is able to offer today based on office rotation schemes and office downsizing. The\nchallenge to find a harmonious balance between employee and employer preferences and\nperceptions regarding telework raises the issue of telework frequency dissonance (TFD). The\npurpose of this study is to investigate this pandemic-induced TFD. The data for our study is derived\nfrom the third wave of the COVID Future Panel Survey which was deployed across the United\nStates in the Fall of 2021. The survey includes information regarding employees' existing telework\nfrequency (ETF) and ideal telework frequency (ITF). These two dimensions are jointly modeled\nas a function of socioeconomic and demographic explanatory variables. The findings from this\nstudy provide important insights regarding how best to balance employee and employer\npreferences regarding work arrangements. Given the important effects of work arrangements on\ncommute and non-commute travel, the findings from our study should help inform land use and\ntravel models regarding predicting our transportation future.","container-title":"Transportation Research Part C: Emerging Technologies","title":"An Investigation of Dissonance in Telework Frequency","author":[{"family":"Anderson","given":"Samantha M."},{"family":"Asmussen","given":"Katherine E."},{"family":"Saxena","given":"Shobhit"},{"family":"Batur","given":"Irfan"},{"family":"Pendyala","given":"Ram M."},{"family":"Bhat","given":"Chandra R."}],"issued":{"date-parts":[["2024",2]]}}}],"schema":"https://github.com/citation-style-language/schema/raw/master/csl-citation.json"} </w:instrText>
      </w:r>
      <w:r w:rsidR="00D57CD1">
        <w:fldChar w:fldCharType="separate"/>
      </w:r>
      <w:r w:rsidR="00374A3B" w:rsidRPr="00374A3B">
        <w:t>(Anderson et al., 2024)</w:t>
      </w:r>
      <w:r w:rsidR="00D57CD1">
        <w:fldChar w:fldCharType="end"/>
      </w:r>
      <w:r w:rsidR="00D57CD1" w:rsidRPr="003D645C">
        <w:t xml:space="preserve">. However, to our knowledge, this social psychology theory has not been </w:t>
      </w:r>
      <w:r w:rsidR="00230EE9">
        <w:t>invoked in</w:t>
      </w:r>
      <w:r w:rsidR="001E7D62">
        <w:t xml:space="preserve"> </w:t>
      </w:r>
      <w:r w:rsidR="00230EE9">
        <w:t>th</w:t>
      </w:r>
      <w:r w:rsidR="001E7D62">
        <w:t>e</w:t>
      </w:r>
      <w:r w:rsidR="00230EE9">
        <w:t xml:space="preserve"> context of activity</w:t>
      </w:r>
      <w:r w:rsidR="00310EAA">
        <w:t xml:space="preserve"> participation</w:t>
      </w:r>
      <w:r w:rsidR="00D57CD1" w:rsidRPr="003D645C">
        <w:t>. The application of this theory can help identify individuals who are experiencing travel</w:t>
      </w:r>
      <w:r w:rsidR="003B69BA">
        <w:t xml:space="preserve">-related </w:t>
      </w:r>
      <w:r w:rsidR="00C4020C">
        <w:t xml:space="preserve">challenges </w:t>
      </w:r>
      <w:r w:rsidR="00B95F41">
        <w:t>in the pursuit of</w:t>
      </w:r>
      <w:r w:rsidR="00C4020C">
        <w:t xml:space="preserve"> physical participation. </w:t>
      </w:r>
      <w:r w:rsidR="00C4020C">
        <w:rPr>
          <w:u w:val="single"/>
        </w:rPr>
        <w:t>Second</w:t>
      </w:r>
      <w:r w:rsidR="00C4020C">
        <w:t>, we examine the subjective reasons for experiencing PPD, including perceived constraints of the transportation system, individual travel needs, and perceptions of health and safety</w:t>
      </w:r>
      <w:r w:rsidR="00CA181A">
        <w:t xml:space="preserve"> (we will use the label “PPD reasons” to refer to these subjective reasons for PPD)</w:t>
      </w:r>
      <w:r w:rsidR="00C4020C">
        <w:t xml:space="preserve">. Doing so provides a window </w:t>
      </w:r>
      <w:r w:rsidR="00230EE9">
        <w:t xml:space="preserve">into </w:t>
      </w:r>
      <w:r w:rsidR="00C4020C">
        <w:t xml:space="preserve">how different population groups may experience PPD for </w:t>
      </w:r>
      <w:r w:rsidR="00461EBA">
        <w:t xml:space="preserve">different reasons. Such insights can </w:t>
      </w:r>
      <w:r w:rsidR="00C4020C">
        <w:t xml:space="preserve">suggest appropriate </w:t>
      </w:r>
      <w:r w:rsidR="00C4020C" w:rsidRPr="003D645C">
        <w:t xml:space="preserve">interventions to </w:t>
      </w:r>
      <w:r w:rsidR="00461EBA">
        <w:t xml:space="preserve">reduce PPD and </w:t>
      </w:r>
      <w:r w:rsidR="00C4020C">
        <w:t>facilitate physical participation</w:t>
      </w:r>
      <w:r w:rsidR="00C4020C" w:rsidRPr="003D645C">
        <w:t>.</w:t>
      </w:r>
      <w:r w:rsidR="00C4020C">
        <w:t xml:space="preserve"> As importantly, by modeling reported PPD experience jointly with </w:t>
      </w:r>
      <w:r w:rsidR="00CA181A">
        <w:t>PPD reasons</w:t>
      </w:r>
      <w:r w:rsidR="00C4020C">
        <w:t xml:space="preserve">, we are able to identify potential PPD reasons </w:t>
      </w:r>
      <w:r w:rsidR="00461EBA">
        <w:t xml:space="preserve">for any individual </w:t>
      </w:r>
      <w:r w:rsidR="00C4020C">
        <w:t>in the general population, regardless of whether an individual currently reports PPD or not</w:t>
      </w:r>
      <w:r w:rsidR="00461EBA">
        <w:t xml:space="preserve">. </w:t>
      </w:r>
      <w:r w:rsidR="00461EBA">
        <w:rPr>
          <w:u w:val="single"/>
        </w:rPr>
        <w:t>Third</w:t>
      </w:r>
      <w:r w:rsidR="00D57CD1" w:rsidRPr="00D57CD1">
        <w:t>,</w:t>
      </w:r>
      <w:r w:rsidR="00D57CD1">
        <w:t xml:space="preserve"> we </w:t>
      </w:r>
      <w:r w:rsidR="003C151A">
        <w:t xml:space="preserve">examine the propensity of individuals to participate in virtual activities (telework and </w:t>
      </w:r>
      <w:r w:rsidR="00230EE9">
        <w:t xml:space="preserve">online-based </w:t>
      </w:r>
      <w:r w:rsidR="003C151A">
        <w:t>home deliveries) and whether (or not) virtual participation ha</w:t>
      </w:r>
      <w:r w:rsidR="009648C6">
        <w:t>s</w:t>
      </w:r>
      <w:r w:rsidR="003C151A">
        <w:t xml:space="preserve"> the potential </w:t>
      </w:r>
      <w:r w:rsidR="00D57CD1">
        <w:t xml:space="preserve">to reduce </w:t>
      </w:r>
      <w:r w:rsidR="003C151A">
        <w:t>PPD</w:t>
      </w:r>
      <w:r w:rsidR="00D57CD1">
        <w:t xml:space="preserve">. </w:t>
      </w:r>
      <w:r w:rsidR="003C151A">
        <w:t xml:space="preserve">In investigating this issue, we control for </w:t>
      </w:r>
      <w:r w:rsidR="00703215">
        <w:t xml:space="preserve">unobserved </w:t>
      </w:r>
      <w:r w:rsidR="00A80097">
        <w:t>factors that</w:t>
      </w:r>
      <w:r w:rsidR="00703215">
        <w:t xml:space="preserve"> </w:t>
      </w:r>
      <w:r w:rsidR="009648C6">
        <w:t xml:space="preserve">may </w:t>
      </w:r>
      <w:r w:rsidR="00703215">
        <w:t xml:space="preserve">impact both physical and virtual </w:t>
      </w:r>
      <w:r w:rsidR="003C151A">
        <w:t xml:space="preserve">participation. For example, a </w:t>
      </w:r>
      <w:r w:rsidR="003B69BA">
        <w:t>social</w:t>
      </w:r>
      <w:r w:rsidR="00B95F41">
        <w:t>ly</w:t>
      </w:r>
      <w:r w:rsidR="003B69BA">
        <w:t xml:space="preserve"> and technolog</w:t>
      </w:r>
      <w:r w:rsidR="00B95F41">
        <w:t>ically</w:t>
      </w:r>
      <w:r w:rsidR="003B69BA">
        <w:t xml:space="preserve"> savvy </w:t>
      </w:r>
      <w:r w:rsidR="00623B5A">
        <w:t xml:space="preserve">extrovert </w:t>
      </w:r>
      <w:r w:rsidR="003B69BA">
        <w:t xml:space="preserve">(unobserved individual characteristics in the current research) may enjoy partaking in both physical and virtual </w:t>
      </w:r>
      <w:r w:rsidR="00EE20E8">
        <w:t>activities</w:t>
      </w:r>
      <w:r w:rsidR="003B69BA">
        <w:t>, leading to a higher PPD as well as a higher virtual participation propensity</w:t>
      </w:r>
      <w:r w:rsidR="001E7D62">
        <w:t xml:space="preserve">. </w:t>
      </w:r>
      <w:r w:rsidR="00623B5A">
        <w:t xml:space="preserve">If such positive correlations are ignored, they could inappropriately </w:t>
      </w:r>
      <w:r w:rsidR="003B69BA">
        <w:t xml:space="preserve">depress any “true” </w:t>
      </w:r>
      <w:r w:rsidR="00230EE9">
        <w:t xml:space="preserve">PPD-alleviating </w:t>
      </w:r>
      <w:r w:rsidR="003B69BA">
        <w:t xml:space="preserve">effect of virtual participation. </w:t>
      </w:r>
      <w:r w:rsidR="00703215">
        <w:rPr>
          <w:u w:val="single"/>
        </w:rPr>
        <w:t>Finally</w:t>
      </w:r>
      <w:r w:rsidR="00703215">
        <w:t xml:space="preserve">, </w:t>
      </w:r>
      <w:r w:rsidR="00461EBA">
        <w:t>we consider a detailed set of exogenous variables (including income, race, age, household composition, location, and vehicle access) to accommodate the heterogeneity (across individuals) in PPD experience</w:t>
      </w:r>
      <w:r w:rsidR="00230EE9">
        <w:t xml:space="preserve">, </w:t>
      </w:r>
      <w:r w:rsidR="00461EBA">
        <w:t xml:space="preserve">PPD </w:t>
      </w:r>
      <w:r w:rsidR="00CA181A">
        <w:t>reasons</w:t>
      </w:r>
      <w:r w:rsidR="00230EE9">
        <w:t>, and virtual participation</w:t>
      </w:r>
      <w:r w:rsidR="00461EBA">
        <w:t xml:space="preserve">. </w:t>
      </w:r>
      <w:r w:rsidR="00703215">
        <w:t xml:space="preserve">These results </w:t>
      </w:r>
      <w:r w:rsidR="00A8227C">
        <w:t xml:space="preserve">have implications for equity and transportation policy, informing ways to better integrate physical and virtual systems to address disparities in access. </w:t>
      </w:r>
    </w:p>
    <w:p w14:paraId="5B78F369" w14:textId="77777777" w:rsidR="00D003C1" w:rsidRPr="00535ACD" w:rsidRDefault="00D003C1" w:rsidP="00DE4E50">
      <w:pPr>
        <w:spacing w:after="0" w:line="240" w:lineRule="auto"/>
        <w:jc w:val="both"/>
      </w:pPr>
    </w:p>
    <w:p w14:paraId="0EEF39C5" w14:textId="46B43ECB" w:rsidR="000901CF" w:rsidRDefault="000901CF" w:rsidP="00DE4E50">
      <w:pPr>
        <w:autoSpaceDE w:val="0"/>
        <w:autoSpaceDN w:val="0"/>
        <w:adjustRightInd w:val="0"/>
        <w:spacing w:after="0" w:line="240" w:lineRule="auto"/>
        <w:jc w:val="both"/>
        <w:rPr>
          <w:b/>
        </w:rPr>
      </w:pPr>
      <w:r>
        <w:rPr>
          <w:b/>
        </w:rPr>
        <w:t xml:space="preserve">3. </w:t>
      </w:r>
      <w:r w:rsidR="00DC7402">
        <w:rPr>
          <w:b/>
        </w:rPr>
        <w:t xml:space="preserve">METHODOLOGY </w:t>
      </w:r>
      <w:r>
        <w:rPr>
          <w:b/>
        </w:rPr>
        <w:t xml:space="preserve"> </w:t>
      </w:r>
    </w:p>
    <w:p w14:paraId="0F73AC80" w14:textId="6E93DF06" w:rsidR="000901CF" w:rsidRDefault="000901CF" w:rsidP="00DE4E50">
      <w:pPr>
        <w:autoSpaceDE w:val="0"/>
        <w:autoSpaceDN w:val="0"/>
        <w:adjustRightInd w:val="0"/>
        <w:spacing w:after="0" w:line="240" w:lineRule="auto"/>
        <w:jc w:val="both"/>
        <w:rPr>
          <w:b/>
        </w:rPr>
      </w:pPr>
      <w:r w:rsidRPr="00412240">
        <w:rPr>
          <w:b/>
        </w:rPr>
        <w:t>3.</w:t>
      </w:r>
      <w:r w:rsidR="00440916">
        <w:rPr>
          <w:b/>
        </w:rPr>
        <w:t>1</w:t>
      </w:r>
      <w:r w:rsidRPr="00412240">
        <w:rPr>
          <w:b/>
        </w:rPr>
        <w:t>.</w:t>
      </w:r>
      <w:r>
        <w:rPr>
          <w:b/>
        </w:rPr>
        <w:t xml:space="preserve"> Data Description </w:t>
      </w:r>
    </w:p>
    <w:p w14:paraId="5BDCE53F" w14:textId="39848B44" w:rsidR="000D6CFE" w:rsidRPr="00E33B3F" w:rsidRDefault="000D6CFE" w:rsidP="00B95F41">
      <w:pPr>
        <w:autoSpaceDE w:val="0"/>
        <w:autoSpaceDN w:val="0"/>
        <w:adjustRightInd w:val="0"/>
        <w:spacing w:after="0" w:line="240" w:lineRule="auto"/>
        <w:jc w:val="both"/>
        <w:rPr>
          <w:bCs/>
        </w:rPr>
      </w:pPr>
      <w:r w:rsidRPr="006807BB">
        <w:rPr>
          <w:bCs/>
        </w:rPr>
        <w:t xml:space="preserve">The data used for this study are </w:t>
      </w:r>
      <w:r w:rsidR="009648C6">
        <w:rPr>
          <w:bCs/>
        </w:rPr>
        <w:t xml:space="preserve">drawn </w:t>
      </w:r>
      <w:r w:rsidRPr="006807BB">
        <w:rPr>
          <w:bCs/>
        </w:rPr>
        <w:t xml:space="preserve">from the </w:t>
      </w:r>
      <w:r w:rsidR="00E45D26">
        <w:t>2022</w:t>
      </w:r>
      <w:r w:rsidR="00E45D26" w:rsidRPr="00722F37">
        <w:t xml:space="preserve"> </w:t>
      </w:r>
      <w:r w:rsidR="00E45D26">
        <w:t xml:space="preserve">NextGen </w:t>
      </w:r>
      <w:r w:rsidR="00E45D26" w:rsidRPr="00722F37">
        <w:t>National Household Travel Survey</w:t>
      </w:r>
      <w:r w:rsidR="00E45D26">
        <w:t xml:space="preserve"> (NHTS), administered by the US Department of Transportation</w:t>
      </w:r>
      <w:r w:rsidRPr="006807BB">
        <w:rPr>
          <w:bCs/>
        </w:rPr>
        <w:t xml:space="preserve"> between </w:t>
      </w:r>
      <w:r w:rsidR="00F95B70">
        <w:rPr>
          <w:bCs/>
        </w:rPr>
        <w:t>January 2022 and January 2023</w:t>
      </w:r>
      <w:r w:rsidR="00022F2E">
        <w:rPr>
          <w:bCs/>
        </w:rPr>
        <w:t xml:space="preserve"> </w:t>
      </w:r>
      <w:r w:rsidR="00022F2E">
        <w:rPr>
          <w:bCs/>
        </w:rPr>
        <w:fldChar w:fldCharType="begin"/>
      </w:r>
      <w:r w:rsidR="00022F2E">
        <w:rPr>
          <w:bCs/>
        </w:rPr>
        <w:instrText xml:space="preserve"> ADDIN ZOTERO_ITEM CSL_CITATION {"citationID":"dzlOeeQ6","properties":{"formattedCitation":"(Federal Highway Administration, 2023)","plainCitation":"(Federal Highway Administration, 2023)","noteIndex":0},"citationItems":[{"id":1959,"uris":["http://zotero.org/users/12832277/items/ZAYVS8KD"],"itemData":{"id":1959,"type":"dataset","DOI":"https://nhts.ornl.gov","publisher":"U.S. Department of Transportation, Washington, DC","title":"2022 NextGen National Household Travel Survey","author":[{"family":"Federal Highway Administration","given":""}],"issued":{"date-parts":[["2023",10]]}}}],"schema":"https://github.com/citation-style-language/schema/raw/master/csl-citation.json"} </w:instrText>
      </w:r>
      <w:r w:rsidR="00022F2E">
        <w:rPr>
          <w:bCs/>
        </w:rPr>
        <w:fldChar w:fldCharType="separate"/>
      </w:r>
      <w:r w:rsidR="00022F2E" w:rsidRPr="00022F2E">
        <w:t>(Federal Highway Administration, 2023)</w:t>
      </w:r>
      <w:r w:rsidR="00022F2E">
        <w:rPr>
          <w:bCs/>
        </w:rPr>
        <w:fldChar w:fldCharType="end"/>
      </w:r>
      <w:r w:rsidRPr="006807BB">
        <w:rPr>
          <w:bCs/>
        </w:rPr>
        <w:t xml:space="preserve">. </w:t>
      </w:r>
      <w:r w:rsidR="003675DD">
        <w:rPr>
          <w:bCs/>
        </w:rPr>
        <w:t>The 2022</w:t>
      </w:r>
      <w:r w:rsidR="00EB2445">
        <w:rPr>
          <w:bCs/>
        </w:rPr>
        <w:t xml:space="preserve"> NHTS </w:t>
      </w:r>
      <w:r w:rsidR="003675DD">
        <w:rPr>
          <w:bCs/>
        </w:rPr>
        <w:t xml:space="preserve">is the first </w:t>
      </w:r>
      <w:r w:rsidR="00EB2445">
        <w:rPr>
          <w:bCs/>
        </w:rPr>
        <w:t xml:space="preserve">large-scale U.S. nationwide activity-travel survey </w:t>
      </w:r>
      <w:r w:rsidR="003675DD">
        <w:rPr>
          <w:bCs/>
        </w:rPr>
        <w:t>to be collected since the onset of the pandemic, providing a</w:t>
      </w:r>
      <w:r w:rsidR="004F0990">
        <w:rPr>
          <w:bCs/>
        </w:rPr>
        <w:t xml:space="preserve"> unique</w:t>
      </w:r>
      <w:r w:rsidR="003675DD">
        <w:rPr>
          <w:bCs/>
        </w:rPr>
        <w:t xml:space="preserve"> opportunity to examine </w:t>
      </w:r>
      <w:r w:rsidR="00D04605">
        <w:rPr>
          <w:bCs/>
        </w:rPr>
        <w:t xml:space="preserve">new transportation behaviors at a national level. </w:t>
      </w:r>
      <w:r w:rsidR="005B5852">
        <w:rPr>
          <w:bCs/>
        </w:rPr>
        <w:t xml:space="preserve">A random sample </w:t>
      </w:r>
      <w:r w:rsidR="00753510">
        <w:rPr>
          <w:bCs/>
        </w:rPr>
        <w:t xml:space="preserve">was collected based on </w:t>
      </w:r>
      <w:r w:rsidR="00E770D3">
        <w:rPr>
          <w:bCs/>
        </w:rPr>
        <w:t xml:space="preserve">an address-based sampling frame from the US Postal Service. </w:t>
      </w:r>
      <w:r w:rsidR="00FE3601">
        <w:rPr>
          <w:bCs/>
        </w:rPr>
        <w:t>Participants were invited to participate in the survey online, with the option to request a paper survey</w:t>
      </w:r>
      <w:r w:rsidR="00E05E73">
        <w:rPr>
          <w:bCs/>
        </w:rPr>
        <w:t xml:space="preserve">. Respondents </w:t>
      </w:r>
      <w:r w:rsidR="00EB2445">
        <w:rPr>
          <w:bCs/>
        </w:rPr>
        <w:t>provid</w:t>
      </w:r>
      <w:r w:rsidR="00E05E73">
        <w:rPr>
          <w:bCs/>
        </w:rPr>
        <w:t>ed</w:t>
      </w:r>
      <w:r w:rsidR="00EB2445">
        <w:rPr>
          <w:bCs/>
        </w:rPr>
        <w:t xml:space="preserve"> </w:t>
      </w:r>
      <w:r w:rsidRPr="006807BB">
        <w:rPr>
          <w:bCs/>
        </w:rPr>
        <w:t>household socioeconomic and demographic information, mode use and commute</w:t>
      </w:r>
      <w:r w:rsidR="006038C2">
        <w:rPr>
          <w:bCs/>
        </w:rPr>
        <w:t xml:space="preserve"> data, and a one-day travel diary. </w:t>
      </w:r>
      <w:r w:rsidRPr="006807BB">
        <w:rPr>
          <w:bCs/>
        </w:rPr>
        <w:t xml:space="preserve">The survey also included </w:t>
      </w:r>
      <w:r w:rsidR="006038C2">
        <w:rPr>
          <w:bCs/>
        </w:rPr>
        <w:t>special topic questions covering the impacts of the COVID-19 pandemic, online work and shopping behaviors, the use of emerging modes, and concerns about transportation equity</w:t>
      </w:r>
      <w:r w:rsidRPr="006807BB">
        <w:rPr>
          <w:bCs/>
        </w:rPr>
        <w:t xml:space="preserve">. </w:t>
      </w:r>
      <w:r w:rsidR="00E33B3F">
        <w:rPr>
          <w:bCs/>
        </w:rPr>
        <w:t xml:space="preserve">Of particular interest here </w:t>
      </w:r>
      <w:r w:rsidR="00230EE9">
        <w:rPr>
          <w:bCs/>
        </w:rPr>
        <w:t>i</w:t>
      </w:r>
      <w:r w:rsidR="00E33B3F">
        <w:rPr>
          <w:bCs/>
        </w:rPr>
        <w:t xml:space="preserve">s a question in the transportation equity section asking whether individuals had taken fewer trips in the last 30 days than they had planned, and what the reasons were for </w:t>
      </w:r>
      <w:r w:rsidR="00E93FD0">
        <w:rPr>
          <w:bCs/>
        </w:rPr>
        <w:t xml:space="preserve">suppressing these </w:t>
      </w:r>
      <w:r w:rsidR="00E21530">
        <w:rPr>
          <w:bCs/>
        </w:rPr>
        <w:t xml:space="preserve">planned </w:t>
      </w:r>
      <w:r w:rsidR="00E93FD0">
        <w:rPr>
          <w:bCs/>
        </w:rPr>
        <w:t>trips</w:t>
      </w:r>
      <w:r w:rsidR="00E33B3F">
        <w:rPr>
          <w:bCs/>
        </w:rPr>
        <w:t xml:space="preserve">. </w:t>
      </w:r>
    </w:p>
    <w:p w14:paraId="1A91BC8D" w14:textId="37B558EC" w:rsidR="00F33DFE" w:rsidRDefault="00E05E73" w:rsidP="00E33B3F">
      <w:pPr>
        <w:autoSpaceDE w:val="0"/>
        <w:autoSpaceDN w:val="0"/>
        <w:adjustRightInd w:val="0"/>
        <w:spacing w:after="0" w:line="240" w:lineRule="auto"/>
        <w:ind w:firstLine="720"/>
        <w:jc w:val="both"/>
        <w:rPr>
          <w:bCs/>
        </w:rPr>
      </w:pPr>
      <w:r>
        <w:rPr>
          <w:bCs/>
        </w:rPr>
        <w:lastRenderedPageBreak/>
        <w:t>For the current analysis, we included only adults 18 years of age or over (individuals below the age of 18 years were not asked the equity questions)</w:t>
      </w:r>
      <w:r w:rsidR="001C1AF7">
        <w:rPr>
          <w:bCs/>
        </w:rPr>
        <w:t xml:space="preserve">. We further focused on individuals who reported either not suppressing any planned trip in the past 30 days, or reported suppressing a planned trip for one of </w:t>
      </w:r>
      <w:r w:rsidR="005C4DB9">
        <w:rPr>
          <w:bCs/>
        </w:rPr>
        <w:t>eight transportation-related</w:t>
      </w:r>
      <w:r w:rsidR="001C1AF7">
        <w:rPr>
          <w:bCs/>
        </w:rPr>
        <w:t xml:space="preserve"> reasons that could reasonably </w:t>
      </w:r>
      <w:r w:rsidR="005C4DB9">
        <w:rPr>
          <w:bCs/>
        </w:rPr>
        <w:t xml:space="preserve">be </w:t>
      </w:r>
      <w:r w:rsidR="001C1AF7">
        <w:rPr>
          <w:bCs/>
        </w:rPr>
        <w:t xml:space="preserve">construed as a sign of physical participation dissonance (PPD). </w:t>
      </w:r>
      <w:r w:rsidR="000A1C17">
        <w:rPr>
          <w:bCs/>
        </w:rPr>
        <w:t>This issue is discussed further in the next section. After cleaning and screening, the final sample included</w:t>
      </w:r>
      <w:r w:rsidR="00A415C6">
        <w:rPr>
          <w:bCs/>
        </w:rPr>
        <w:t xml:space="preserve"> </w:t>
      </w:r>
      <w:r w:rsidR="00522A5F">
        <w:rPr>
          <w:bCs/>
        </w:rPr>
        <w:t>12,469</w:t>
      </w:r>
      <w:r w:rsidR="000A1C17">
        <w:rPr>
          <w:bCs/>
        </w:rPr>
        <w:t xml:space="preserve"> individuals. </w:t>
      </w:r>
    </w:p>
    <w:p w14:paraId="6B03DC15" w14:textId="77777777" w:rsidR="0009518B" w:rsidRDefault="0009518B" w:rsidP="00DE4E50">
      <w:pPr>
        <w:spacing w:after="0" w:line="240" w:lineRule="auto"/>
        <w:jc w:val="both"/>
        <w:rPr>
          <w:b/>
          <w:bCs/>
        </w:rPr>
      </w:pPr>
    </w:p>
    <w:p w14:paraId="6F620EC5" w14:textId="140A48B8" w:rsidR="00706E26" w:rsidRPr="00440916" w:rsidRDefault="00706E26" w:rsidP="00DE4E50">
      <w:pPr>
        <w:spacing w:after="0" w:line="240" w:lineRule="auto"/>
        <w:rPr>
          <w:i/>
          <w:iCs/>
        </w:rPr>
      </w:pPr>
      <w:r w:rsidRPr="00440916">
        <w:rPr>
          <w:b/>
          <w:bCs/>
          <w:i/>
          <w:iCs/>
        </w:rPr>
        <w:t>3.</w:t>
      </w:r>
      <w:r w:rsidR="00440916" w:rsidRPr="00440916">
        <w:rPr>
          <w:b/>
          <w:bCs/>
          <w:i/>
          <w:iCs/>
        </w:rPr>
        <w:t>1</w:t>
      </w:r>
      <w:r w:rsidRPr="00440916">
        <w:rPr>
          <w:b/>
          <w:bCs/>
          <w:i/>
          <w:iCs/>
        </w:rPr>
        <w:t xml:space="preserve">.1 </w:t>
      </w:r>
      <w:r w:rsidR="00150ADE">
        <w:rPr>
          <w:b/>
          <w:bCs/>
          <w:i/>
          <w:iCs/>
        </w:rPr>
        <w:t xml:space="preserve">Endogenous </w:t>
      </w:r>
      <w:r w:rsidRPr="00440916">
        <w:rPr>
          <w:b/>
          <w:bCs/>
          <w:i/>
          <w:iCs/>
        </w:rPr>
        <w:t>Outcome Variables</w:t>
      </w:r>
    </w:p>
    <w:p w14:paraId="49F9AC39" w14:textId="0BACA037" w:rsidR="00EE3640" w:rsidRDefault="007404F6" w:rsidP="002979FC">
      <w:pPr>
        <w:spacing w:after="0" w:line="240" w:lineRule="auto"/>
        <w:jc w:val="both"/>
      </w:pPr>
      <w:r>
        <w:t xml:space="preserve">Descriptive statistics of the </w:t>
      </w:r>
      <w:r w:rsidR="00150ADE">
        <w:t xml:space="preserve">endogenous </w:t>
      </w:r>
      <w:r>
        <w:t xml:space="preserve">outcome variables are shown in Table 1. </w:t>
      </w:r>
      <w:r w:rsidR="00EE3640">
        <w:t>The first outcome</w:t>
      </w:r>
      <w:r w:rsidR="00265877">
        <w:t xml:space="preserve"> </w:t>
      </w:r>
      <w:r w:rsidR="009A4843">
        <w:t>is</w:t>
      </w:r>
      <w:r w:rsidR="00287006">
        <w:t xml:space="preserve"> a binary response </w:t>
      </w:r>
      <w:r w:rsidR="009A4843">
        <w:t>indicating</w:t>
      </w:r>
      <w:r w:rsidR="00287006">
        <w:t xml:space="preserve"> </w:t>
      </w:r>
      <w:r w:rsidR="005148B7">
        <w:t xml:space="preserve">whether </w:t>
      </w:r>
      <w:r w:rsidR="00AC01AC">
        <w:t xml:space="preserve">the </w:t>
      </w:r>
      <w:r w:rsidR="005148B7">
        <w:t xml:space="preserve">individual </w:t>
      </w:r>
      <w:r w:rsidR="00EE3640">
        <w:t>took</w:t>
      </w:r>
      <w:r w:rsidR="003F792C">
        <w:t xml:space="preserve"> fewer trips than planned in the 30 days prior to taking the survey</w:t>
      </w:r>
      <w:r w:rsidR="00EE3640">
        <w:t xml:space="preserve">. </w:t>
      </w:r>
      <w:r w:rsidR="005C4DB9">
        <w:t xml:space="preserve">Thus, </w:t>
      </w:r>
      <w:r w:rsidR="00042612">
        <w:t>because an individual needed to have some expectation of completing a trip to plan it in the first place</w:t>
      </w:r>
      <w:r w:rsidR="005C4DB9">
        <w:t xml:space="preserve">, </w:t>
      </w:r>
      <w:r w:rsidR="007A40D5">
        <w:t xml:space="preserve">it is </w:t>
      </w:r>
      <w:r w:rsidR="005E3246">
        <w:t>reasonable</w:t>
      </w:r>
      <w:r w:rsidR="007A40D5">
        <w:t xml:space="preserve"> to view </w:t>
      </w:r>
      <w:r w:rsidR="00042612">
        <w:t>th</w:t>
      </w:r>
      <w:r w:rsidR="00E54196">
        <w:t xml:space="preserve">is suppression of planned trips </w:t>
      </w:r>
      <w:r w:rsidR="007A40D5">
        <w:t xml:space="preserve">as PPD. </w:t>
      </w:r>
      <w:r>
        <w:t>Of the 1</w:t>
      </w:r>
      <w:r w:rsidR="000A1C17">
        <w:t>2</w:t>
      </w:r>
      <w:r>
        <w:t>,</w:t>
      </w:r>
      <w:r w:rsidR="00A415C6">
        <w:t>469</w:t>
      </w:r>
      <w:r>
        <w:t xml:space="preserve"> individuals in the sample, </w:t>
      </w:r>
      <w:r w:rsidR="000A1C17">
        <w:t>2</w:t>
      </w:r>
      <w:r w:rsidR="00A415C6">
        <w:t>,553</w:t>
      </w:r>
      <w:r w:rsidR="000A1C17">
        <w:t xml:space="preserve"> individuals (</w:t>
      </w:r>
      <w:r w:rsidR="00A415C6">
        <w:t>20</w:t>
      </w:r>
      <w:r w:rsidR="000A1C17">
        <w:t>.</w:t>
      </w:r>
      <w:r w:rsidR="00A415C6">
        <w:t>5</w:t>
      </w:r>
      <w:r w:rsidR="000A1C17">
        <w:t xml:space="preserve">%) </w:t>
      </w:r>
      <w:r>
        <w:t>indicated that they had suppressed at least one planned trip in the 30 days prior to the survey</w:t>
      </w:r>
      <w:r w:rsidR="007A40D5">
        <w:t xml:space="preserve"> (that is, experienced PPD</w:t>
      </w:r>
      <w:r w:rsidR="00230EE9">
        <w:t>; see the first row panel of Table 1</w:t>
      </w:r>
      <w:r w:rsidR="007A40D5">
        <w:t>)</w:t>
      </w:r>
      <w:r>
        <w:t xml:space="preserve">. </w:t>
      </w:r>
    </w:p>
    <w:p w14:paraId="47CB036B" w14:textId="15F6E4B4" w:rsidR="006A1C00" w:rsidRDefault="0072241B" w:rsidP="002979FC">
      <w:pPr>
        <w:spacing w:line="240" w:lineRule="auto"/>
        <w:jc w:val="both"/>
        <w:rPr>
          <w:b/>
          <w:bCs/>
        </w:rPr>
      </w:pPr>
      <w:r>
        <w:tab/>
        <w:t xml:space="preserve">The second set of outcomes consists of a set of </w:t>
      </w:r>
      <w:r w:rsidR="00317042">
        <w:t>eight</w:t>
      </w:r>
      <w:r w:rsidR="006A1C00">
        <w:t xml:space="preserve"> </w:t>
      </w:r>
      <w:r w:rsidR="00255E22">
        <w:t xml:space="preserve">PPD </w:t>
      </w:r>
      <w:r w:rsidR="006A1C00">
        <w:t>reason</w:t>
      </w:r>
      <w:r w:rsidR="00255E22">
        <w:t>s</w:t>
      </w:r>
      <w:r w:rsidR="006A1C00">
        <w:t>. The</w:t>
      </w:r>
      <w:r w:rsidR="002866AE">
        <w:t>se include</w:t>
      </w:r>
      <w:r w:rsidR="000812C0">
        <w:t xml:space="preserve"> (with the shorter labels we will use in the rest of the paper in parenthesis):</w:t>
      </w:r>
    </w:p>
    <w:p w14:paraId="2723C944" w14:textId="3905D08C" w:rsidR="006D65C6" w:rsidRDefault="006D65C6" w:rsidP="002979FC">
      <w:pPr>
        <w:pStyle w:val="ListParagraph"/>
        <w:numPr>
          <w:ilvl w:val="0"/>
          <w:numId w:val="2"/>
        </w:numPr>
        <w:spacing w:after="0" w:line="240" w:lineRule="auto"/>
        <w:jc w:val="both"/>
      </w:pPr>
      <w:r>
        <w:t>Transportation did not feel safe</w:t>
      </w:r>
      <w:r w:rsidR="000812C0">
        <w:t xml:space="preserve"> (Not Safe)</w:t>
      </w:r>
    </w:p>
    <w:p w14:paraId="22ED04AE" w14:textId="37B79157" w:rsidR="006D65C6" w:rsidRDefault="006D65C6" w:rsidP="002979FC">
      <w:pPr>
        <w:pStyle w:val="ListParagraph"/>
        <w:numPr>
          <w:ilvl w:val="0"/>
          <w:numId w:val="2"/>
        </w:numPr>
        <w:spacing w:after="0" w:line="240" w:lineRule="auto"/>
        <w:jc w:val="both"/>
      </w:pPr>
      <w:r>
        <w:t>Transportation did not feel clean or healthy</w:t>
      </w:r>
      <w:r w:rsidR="000812C0">
        <w:t xml:space="preserve"> (Not Clean)</w:t>
      </w:r>
    </w:p>
    <w:p w14:paraId="79D94BEB" w14:textId="6B888D74" w:rsidR="006D65C6" w:rsidRDefault="006D65C6" w:rsidP="002979FC">
      <w:pPr>
        <w:pStyle w:val="ListParagraph"/>
        <w:numPr>
          <w:ilvl w:val="0"/>
          <w:numId w:val="2"/>
        </w:numPr>
        <w:spacing w:after="0" w:line="240" w:lineRule="auto"/>
        <w:jc w:val="both"/>
      </w:pPr>
      <w:r>
        <w:t>Transportation was not reliable</w:t>
      </w:r>
      <w:r w:rsidR="000812C0">
        <w:t xml:space="preserve"> (Not Reliable)</w:t>
      </w:r>
    </w:p>
    <w:p w14:paraId="204265DE" w14:textId="7AE65FE7" w:rsidR="006D65C6" w:rsidRDefault="006D65C6" w:rsidP="002979FC">
      <w:pPr>
        <w:pStyle w:val="ListParagraph"/>
        <w:numPr>
          <w:ilvl w:val="0"/>
          <w:numId w:val="2"/>
        </w:numPr>
        <w:spacing w:after="0" w:line="240" w:lineRule="auto"/>
        <w:jc w:val="both"/>
      </w:pPr>
      <w:r>
        <w:t>Available transportation did not go where I need to go</w:t>
      </w:r>
      <w:r w:rsidR="000812C0">
        <w:t xml:space="preserve"> (Poor Destination Access)</w:t>
      </w:r>
    </w:p>
    <w:p w14:paraId="2E4AB3EA" w14:textId="68668926" w:rsidR="006D65C6" w:rsidRDefault="006D65C6" w:rsidP="002979FC">
      <w:pPr>
        <w:pStyle w:val="ListParagraph"/>
        <w:numPr>
          <w:ilvl w:val="0"/>
          <w:numId w:val="2"/>
        </w:numPr>
        <w:spacing w:after="0" w:line="240" w:lineRule="auto"/>
        <w:jc w:val="both"/>
      </w:pPr>
      <w:r>
        <w:t xml:space="preserve">Unable to afford available forms of transportation </w:t>
      </w:r>
      <w:r w:rsidR="000812C0">
        <w:t>(Not Affordable)</w:t>
      </w:r>
    </w:p>
    <w:p w14:paraId="02E4EFAE" w14:textId="595D9BFF" w:rsidR="006D65C6" w:rsidRDefault="006D65C6" w:rsidP="002979FC">
      <w:pPr>
        <w:pStyle w:val="ListParagraph"/>
        <w:numPr>
          <w:ilvl w:val="0"/>
          <w:numId w:val="2"/>
        </w:numPr>
        <w:spacing w:after="0" w:line="240" w:lineRule="auto"/>
        <w:jc w:val="both"/>
      </w:pPr>
      <w:r>
        <w:t>Had health problems and unable to travel</w:t>
      </w:r>
      <w:r w:rsidR="000812C0">
        <w:t xml:space="preserve"> (Health Problems)</w:t>
      </w:r>
    </w:p>
    <w:p w14:paraId="23CB8742" w14:textId="64A6E3DD" w:rsidR="006D65C6" w:rsidRPr="0011634F" w:rsidRDefault="006D65C6" w:rsidP="002979FC">
      <w:pPr>
        <w:pStyle w:val="ListParagraph"/>
        <w:numPr>
          <w:ilvl w:val="0"/>
          <w:numId w:val="2"/>
        </w:numPr>
        <w:spacing w:after="0" w:line="240" w:lineRule="auto"/>
        <w:jc w:val="both"/>
      </w:pPr>
      <w:r>
        <w:t xml:space="preserve">Did not have time to </w:t>
      </w:r>
      <w:r w:rsidRPr="0011634F">
        <w:t>travel</w:t>
      </w:r>
      <w:r w:rsidR="000812C0">
        <w:t xml:space="preserve"> (No Time)</w:t>
      </w:r>
    </w:p>
    <w:p w14:paraId="5210A66D" w14:textId="14E178BA" w:rsidR="006D65C6" w:rsidRPr="0011634F" w:rsidRDefault="006D65C6" w:rsidP="00BD3222">
      <w:pPr>
        <w:pStyle w:val="ListParagraph"/>
        <w:numPr>
          <w:ilvl w:val="0"/>
          <w:numId w:val="2"/>
        </w:numPr>
        <w:spacing w:line="240" w:lineRule="auto"/>
        <w:jc w:val="both"/>
      </w:pPr>
      <w:r w:rsidRPr="0011634F">
        <w:t>Concerns related to COVID-19</w:t>
      </w:r>
      <w:r w:rsidR="000812C0">
        <w:t xml:space="preserve"> (COVID Concerns)</w:t>
      </w:r>
    </w:p>
    <w:p w14:paraId="759234DD" w14:textId="34773D44" w:rsidR="00DC7402" w:rsidRDefault="00164719" w:rsidP="002C4C66">
      <w:pPr>
        <w:spacing w:after="0" w:line="240" w:lineRule="auto"/>
        <w:ind w:firstLine="360"/>
        <w:jc w:val="both"/>
      </w:pPr>
      <w:r w:rsidRPr="0011634F">
        <w:t xml:space="preserve">The results for the number of times each </w:t>
      </w:r>
      <w:r w:rsidR="00230EE9">
        <w:t xml:space="preserve">of the above </w:t>
      </w:r>
      <w:r w:rsidR="00255E22">
        <w:t xml:space="preserve">PPD </w:t>
      </w:r>
      <w:r w:rsidRPr="0011634F">
        <w:t>reason</w:t>
      </w:r>
      <w:r w:rsidR="00230EE9">
        <w:t>s</w:t>
      </w:r>
      <w:r w:rsidRPr="0011634F">
        <w:t xml:space="preserve"> was selected are shown in</w:t>
      </w:r>
      <w:r w:rsidR="00B92916" w:rsidRPr="0011634F">
        <w:t xml:space="preserve"> </w:t>
      </w:r>
      <w:r w:rsidR="004944C5" w:rsidRPr="0011634F">
        <w:t xml:space="preserve">the </w:t>
      </w:r>
      <w:r w:rsidR="002866AE">
        <w:t>second</w:t>
      </w:r>
      <w:r w:rsidR="00B92916" w:rsidRPr="0011634F">
        <w:t xml:space="preserve"> </w:t>
      </w:r>
      <w:r w:rsidR="00230EE9">
        <w:t xml:space="preserve">row </w:t>
      </w:r>
      <w:r w:rsidR="00B92916" w:rsidRPr="0011634F">
        <w:t>panel of</w:t>
      </w:r>
      <w:r w:rsidRPr="0011634F">
        <w:t xml:space="preserve"> Table 1.</w:t>
      </w:r>
      <w:r w:rsidR="007A40D5">
        <w:rPr>
          <w:rStyle w:val="FootnoteReference"/>
          <w:bCs/>
        </w:rPr>
        <w:footnoteReference w:id="2"/>
      </w:r>
      <w:r w:rsidR="007A40D5">
        <w:rPr>
          <w:bCs/>
        </w:rPr>
        <w:t xml:space="preserve"> </w:t>
      </w:r>
      <w:r w:rsidRPr="0011634F">
        <w:t xml:space="preserve"> </w:t>
      </w:r>
      <w:r w:rsidR="00255E22">
        <w:t xml:space="preserve">Note that the entries in Table 1 are the percentages selecting </w:t>
      </w:r>
      <w:r w:rsidR="00FA5711">
        <w:t xml:space="preserve">one or more of the above eight </w:t>
      </w:r>
      <w:r w:rsidR="00255E22">
        <w:t>PPD reason</w:t>
      </w:r>
      <w:r w:rsidR="00FA5711">
        <w:t>s</w:t>
      </w:r>
      <w:r w:rsidR="00255E22">
        <w:t xml:space="preserve"> out </w:t>
      </w:r>
      <w:r w:rsidR="00FA5711">
        <w:t xml:space="preserve">of the </w:t>
      </w:r>
      <w:r w:rsidR="00255E22">
        <w:t xml:space="preserve">individuals who experienced PPD. Additionally, these entries do not add up to 100% (across the PPD reasons) because respondents could indicate multiple PPD reasons. </w:t>
      </w:r>
      <w:r w:rsidR="00255E22" w:rsidRPr="002866AE">
        <w:t>The majority of respondents (</w:t>
      </w:r>
      <w:r w:rsidR="00D70D44">
        <w:t>73.0</w:t>
      </w:r>
      <w:r w:rsidR="00255E22" w:rsidRPr="002866AE">
        <w:t xml:space="preserve">%) selected only a single </w:t>
      </w:r>
      <w:r w:rsidR="00255E22">
        <w:t xml:space="preserve">PPD </w:t>
      </w:r>
      <w:r w:rsidR="00255E22" w:rsidRPr="002866AE">
        <w:t xml:space="preserve">reason, while </w:t>
      </w:r>
      <w:r w:rsidR="00D70D44">
        <w:t>17.3</w:t>
      </w:r>
      <w:r w:rsidR="00255E22" w:rsidRPr="002866AE">
        <w:t xml:space="preserve">% selected two reasons and </w:t>
      </w:r>
      <w:r w:rsidR="00D70D44">
        <w:t>9.7</w:t>
      </w:r>
      <w:r w:rsidR="00255E22" w:rsidRPr="002866AE">
        <w:t>% selected three or more reasons.</w:t>
      </w:r>
      <w:r w:rsidR="00255E22">
        <w:t xml:space="preserve"> </w:t>
      </w:r>
      <w:r w:rsidR="000812C0">
        <w:t>As can be observed from Table 1, t</w:t>
      </w:r>
      <w:r w:rsidR="000812C0" w:rsidRPr="0011634F">
        <w:t xml:space="preserve">he most common </w:t>
      </w:r>
      <w:r w:rsidR="000812C0">
        <w:t xml:space="preserve">PPD </w:t>
      </w:r>
      <w:r w:rsidR="000812C0" w:rsidRPr="0011634F">
        <w:t xml:space="preserve">reasons were </w:t>
      </w:r>
      <w:r w:rsidR="000812C0">
        <w:t xml:space="preserve">“COVID </w:t>
      </w:r>
      <w:r w:rsidR="000812C0" w:rsidRPr="0011634F">
        <w:t>concerns</w:t>
      </w:r>
      <w:r w:rsidR="00A35D9F">
        <w:t>,</w:t>
      </w:r>
      <w:r w:rsidR="000812C0">
        <w:t>”</w:t>
      </w:r>
      <w:r w:rsidR="000812C0" w:rsidRPr="0011634F">
        <w:t xml:space="preserve"> </w:t>
      </w:r>
      <w:r w:rsidR="000812C0">
        <w:t>“</w:t>
      </w:r>
      <w:r w:rsidR="000812C0" w:rsidRPr="0011634F">
        <w:t xml:space="preserve">health </w:t>
      </w:r>
      <w:r w:rsidR="000812C0" w:rsidRPr="0011634F">
        <w:lastRenderedPageBreak/>
        <w:t>problems</w:t>
      </w:r>
      <w:r w:rsidR="00A35D9F">
        <w:t>,</w:t>
      </w:r>
      <w:r w:rsidR="000812C0">
        <w:t>”</w:t>
      </w:r>
      <w:r w:rsidR="000812C0" w:rsidRPr="0011634F">
        <w:t xml:space="preserve"> </w:t>
      </w:r>
      <w:r w:rsidR="000812C0">
        <w:t>and “no time</w:t>
      </w:r>
      <w:r w:rsidR="00A35D9F">
        <w:t>.</w:t>
      </w:r>
      <w:r w:rsidR="000812C0">
        <w:t>”</w:t>
      </w:r>
      <w:r w:rsidR="000812C0" w:rsidRPr="0011634F">
        <w:t xml:space="preserve"> The least common reasons were </w:t>
      </w:r>
      <w:r w:rsidR="000812C0">
        <w:t>“not safe” and “not clean</w:t>
      </w:r>
      <w:r w:rsidR="0087671E">
        <w:t>.”</w:t>
      </w:r>
      <w:r w:rsidR="000812C0">
        <w:t xml:space="preserve"> The most likely pairing (after controlling for </w:t>
      </w:r>
      <w:r w:rsidR="00B60950">
        <w:t xml:space="preserve">total </w:t>
      </w:r>
      <w:r w:rsidR="000812C0">
        <w:t>occurrence of each PPD reason) was “not safe” and “not clean</w:t>
      </w:r>
      <w:r w:rsidR="001434DD">
        <w:t>.</w:t>
      </w:r>
      <w:r w:rsidR="000812C0">
        <w:t>”</w:t>
      </w:r>
      <w:r w:rsidR="00C06E6F">
        <w:t xml:space="preserve"> </w:t>
      </w:r>
    </w:p>
    <w:p w14:paraId="73FE95AD" w14:textId="6C4E268E" w:rsidR="00317042" w:rsidRPr="00317042" w:rsidRDefault="00317042" w:rsidP="00F02D72">
      <w:pPr>
        <w:spacing w:after="0" w:line="240" w:lineRule="auto"/>
        <w:ind w:firstLine="360"/>
        <w:jc w:val="both"/>
        <w:rPr>
          <w:b/>
          <w:bCs/>
        </w:rPr>
      </w:pPr>
      <w:r>
        <w:t xml:space="preserve">The final set of </w:t>
      </w:r>
      <w:r w:rsidR="00150ADE">
        <w:t xml:space="preserve">endogenous </w:t>
      </w:r>
      <w:r>
        <w:t>outcomes are those relating to virtual participation</w:t>
      </w:r>
      <w:r w:rsidR="002866AE">
        <w:t xml:space="preserve"> (shown in the bottom </w:t>
      </w:r>
      <w:r w:rsidR="00B60950">
        <w:t xml:space="preserve">row </w:t>
      </w:r>
      <w:r w:rsidR="002866AE">
        <w:t>panel of Table 1)</w:t>
      </w:r>
      <w:r>
        <w:t>. Participants indicated the frequency with which they telework and use delivery services</w:t>
      </w:r>
      <w:r w:rsidR="000812C0">
        <w:t xml:space="preserve"> (based on online activity)</w:t>
      </w:r>
      <w:r>
        <w:t xml:space="preserve">, which </w:t>
      </w:r>
      <w:r w:rsidR="00B60950">
        <w:t>we</w:t>
      </w:r>
      <w:r w:rsidR="00150ADE">
        <w:t>re elicited in the survey on a f</w:t>
      </w:r>
      <w:r w:rsidR="00C66E48">
        <w:t>our</w:t>
      </w:r>
      <w:r w:rsidR="00150ADE">
        <w:t>-point ordered-response scale</w:t>
      </w:r>
      <w:r>
        <w:t xml:space="preserve">. </w:t>
      </w:r>
      <w:r w:rsidR="00851381">
        <w:t xml:space="preserve">As far as telework, the telework outcome is only available for employed individuals, so is unavailable for </w:t>
      </w:r>
      <w:r w:rsidR="00851381" w:rsidRPr="00A51394">
        <w:t>45.</w:t>
      </w:r>
      <w:r w:rsidR="00851381">
        <w:t>7</w:t>
      </w:r>
      <w:r w:rsidR="00851381" w:rsidRPr="00A51394">
        <w:t>% of the sample who were unemployed or retired</w:t>
      </w:r>
      <w:r w:rsidR="00851381">
        <w:t>. Most of the employed respondents (</w:t>
      </w:r>
      <w:r w:rsidR="00433A2E">
        <w:t>5</w:t>
      </w:r>
      <w:r w:rsidR="00A415C6">
        <w:t>6</w:t>
      </w:r>
      <w:r w:rsidR="00433A2E">
        <w:t>.</w:t>
      </w:r>
      <w:r w:rsidR="00A415C6">
        <w:t>4</w:t>
      </w:r>
      <w:r w:rsidR="00433A2E">
        <w:t xml:space="preserve">% of those employed, and </w:t>
      </w:r>
      <w:r w:rsidR="00851381">
        <w:t>30.</w:t>
      </w:r>
      <w:r w:rsidR="00A415C6">
        <w:t>6</w:t>
      </w:r>
      <w:r w:rsidR="00851381">
        <w:t>%</w:t>
      </w:r>
      <w:r w:rsidR="00433A2E">
        <w:t xml:space="preserve"> of the overall sample</w:t>
      </w:r>
      <w:r w:rsidR="00851381">
        <w:t xml:space="preserve">) did not telework at all, while </w:t>
      </w:r>
      <w:r w:rsidR="000812C0">
        <w:t xml:space="preserve">sizeable numbers of individuals </w:t>
      </w:r>
      <w:r w:rsidR="00851381">
        <w:t xml:space="preserve">teleworked </w:t>
      </w:r>
      <w:r w:rsidR="0019104F">
        <w:t>at other frequency levels</w:t>
      </w:r>
      <w:r w:rsidR="00A415C6">
        <w:t xml:space="preserve"> (especially</w:t>
      </w:r>
      <w:r w:rsidR="00CD64FD">
        <w:t xml:space="preserve"> </w:t>
      </w:r>
      <w:r w:rsidR="00D70D44">
        <w:t>“</w:t>
      </w:r>
      <w:r w:rsidR="00CD64FD">
        <w:t xml:space="preserve">five or more </w:t>
      </w:r>
      <w:r w:rsidR="00A415C6">
        <w:t>day</w:t>
      </w:r>
      <w:r w:rsidR="00CD64FD">
        <w:t>s</w:t>
      </w:r>
      <w:r w:rsidR="00A415C6">
        <w:t xml:space="preserve"> of the week</w:t>
      </w:r>
      <w:r w:rsidR="00CD64FD">
        <w:t>”</w:t>
      </w:r>
      <w:r w:rsidR="00A415C6">
        <w:t>)</w:t>
      </w:r>
      <w:r w:rsidR="0019104F">
        <w:t xml:space="preserve">. </w:t>
      </w:r>
      <w:r w:rsidR="00CD64FD">
        <w:t>A little more than a</w:t>
      </w:r>
      <w:r>
        <w:t xml:space="preserve"> quarter of respondents did not have any deliveries in the 30 days prior to the survey, while the majority had between one and five deliveries (42.</w:t>
      </w:r>
      <w:r w:rsidR="00CD64FD">
        <w:t>1</w:t>
      </w:r>
      <w:r>
        <w:t xml:space="preserve">%), and the remainder had six or more. </w:t>
      </w:r>
    </w:p>
    <w:p w14:paraId="36AEE45B" w14:textId="77777777" w:rsidR="00F02D72" w:rsidRDefault="00F02D72" w:rsidP="00F02D72">
      <w:pPr>
        <w:spacing w:after="0" w:line="240" w:lineRule="auto"/>
        <w:ind w:firstLine="360"/>
        <w:jc w:val="both"/>
      </w:pPr>
    </w:p>
    <w:p w14:paraId="035299BC" w14:textId="132C1306" w:rsidR="008B64FC" w:rsidRDefault="00440916" w:rsidP="00F80B55">
      <w:pPr>
        <w:spacing w:after="0" w:line="240" w:lineRule="auto"/>
        <w:jc w:val="both"/>
        <w:rPr>
          <w:b/>
          <w:bCs/>
          <w:i/>
          <w:iCs/>
        </w:rPr>
      </w:pPr>
      <w:r w:rsidRPr="00302987">
        <w:rPr>
          <w:b/>
          <w:bCs/>
          <w:i/>
          <w:iCs/>
        </w:rPr>
        <w:t>3.1.2 Exogenous Variables</w:t>
      </w:r>
      <w:r w:rsidRPr="00440916">
        <w:rPr>
          <w:b/>
          <w:bCs/>
          <w:i/>
          <w:iCs/>
        </w:rPr>
        <w:t xml:space="preserve"> </w:t>
      </w:r>
    </w:p>
    <w:p w14:paraId="26F1AF65" w14:textId="0D441439" w:rsidR="00CD64FD" w:rsidRPr="00F51655" w:rsidRDefault="00E33ED4" w:rsidP="002979FC">
      <w:pPr>
        <w:autoSpaceDE w:val="0"/>
        <w:autoSpaceDN w:val="0"/>
        <w:adjustRightInd w:val="0"/>
        <w:spacing w:after="0" w:line="240" w:lineRule="auto"/>
        <w:jc w:val="both"/>
      </w:pPr>
      <w:r w:rsidRPr="00774FF9">
        <w:t xml:space="preserve">The </w:t>
      </w:r>
      <w:r w:rsidR="008B64FC">
        <w:t>C</w:t>
      </w:r>
      <w:r w:rsidR="00CD64FD">
        <w:t xml:space="preserve">ensus division of </w:t>
      </w:r>
      <w:r w:rsidR="008B64FC">
        <w:t xml:space="preserve">household </w:t>
      </w:r>
      <w:r w:rsidR="00CD64FD">
        <w:t>residence</w:t>
      </w:r>
      <w:r w:rsidR="008B64FC">
        <w:t>, household demographics,</w:t>
      </w:r>
      <w:r w:rsidR="00CD64FD">
        <w:t xml:space="preserve"> </w:t>
      </w:r>
      <w:r w:rsidR="00433A2E">
        <w:t xml:space="preserve">and individual </w:t>
      </w:r>
      <w:r w:rsidRPr="00774FF9">
        <w:t xml:space="preserve">characteristics </w:t>
      </w:r>
      <w:r w:rsidR="00774FF9">
        <w:t xml:space="preserve">of respondents in the </w:t>
      </w:r>
      <w:r w:rsidRPr="00774FF9">
        <w:t>sample are provided in Table 2</w:t>
      </w:r>
      <w:r w:rsidR="00035C7C">
        <w:t>,</w:t>
      </w:r>
      <w:r w:rsidR="00A174B2">
        <w:t xml:space="preserve"> </w:t>
      </w:r>
      <w:r w:rsidR="004F0990">
        <w:t>along</w:t>
      </w:r>
      <w:r w:rsidR="00A174B2">
        <w:t xml:space="preserve"> with </w:t>
      </w:r>
      <w:bookmarkStart w:id="1" w:name="_Hlk164329011"/>
      <w:r w:rsidR="00A174B2">
        <w:t>data from the 2020 United States Census</w:t>
      </w:r>
      <w:r w:rsidR="00302987">
        <w:t xml:space="preserve"> </w:t>
      </w:r>
      <w:r w:rsidR="00302987">
        <w:fldChar w:fldCharType="begin"/>
      </w:r>
      <w:r w:rsidR="00302987">
        <w:instrText xml:space="preserve"> ADDIN ZOTERO_ITEM CSL_CITATION {"citationID":"wUqkb1Ca","properties":{"formattedCitation":"(U.S. Census Bureau, 2020)","plainCitation":"(U.S. Census Bureau, 2020)","noteIndex":0},"citationItems":[{"id":2942,"uris":["http://zotero.org/users/12832277/items/WENPG286"],"itemData":{"id":2942,"type":"report","collection-title":"Decennial Census, DEC Demographic Profile, Table DP1","title":"Profile of General Population and Housing Characteristics.","URL":"https://data.census.gov/table/DECENNIALDP2020.DP1?g=010XX00US&amp;d=DEC%20Demographic%20Profile","author":[{"family":"U.S. Census Bureau","given":""}],"issued":{"date-parts":[["2020"]]}}}],"schema":"https://github.com/citation-style-language/schema/raw/master/csl-citation.json"} </w:instrText>
      </w:r>
      <w:r w:rsidR="00302987">
        <w:fldChar w:fldCharType="separate"/>
      </w:r>
      <w:r w:rsidR="00302987" w:rsidRPr="00302987">
        <w:t>(U.S. Census Bureau, 2020)</w:t>
      </w:r>
      <w:r w:rsidR="00302987">
        <w:fldChar w:fldCharType="end"/>
      </w:r>
      <w:r w:rsidR="00A174B2">
        <w:t>.</w:t>
      </w:r>
      <w:r w:rsidR="00CD64FD">
        <w:rPr>
          <w:rStyle w:val="FootnoteReference"/>
        </w:rPr>
        <w:footnoteReference w:id="3"/>
      </w:r>
      <w:r w:rsidR="00A174B2">
        <w:t xml:space="preserve"> </w:t>
      </w:r>
      <w:bookmarkEnd w:id="1"/>
      <w:r w:rsidR="00A174B2">
        <w:t>The sample</w:t>
      </w:r>
      <w:r w:rsidR="00CD64FD">
        <w:t xml:space="preserve">, in the overall, reflects quite well the geographic distribution of households in the U.S. But it also </w:t>
      </w:r>
      <w:r w:rsidR="00A174B2">
        <w:t xml:space="preserve">exhibits an </w:t>
      </w:r>
      <w:r w:rsidR="00F51655">
        <w:t>underrepresentation of single adult households (both with and without children)</w:t>
      </w:r>
      <w:r w:rsidR="00CD64FD">
        <w:t xml:space="preserve"> </w:t>
      </w:r>
      <w:r w:rsidR="00F51655">
        <w:t>and low-income households, particularly those with incomes less than $25,000</w:t>
      </w:r>
      <w:r w:rsidR="00D24539">
        <w:t xml:space="preserve"> (as a point of note, a child is defined in this study as an individual 17 years or younger)</w:t>
      </w:r>
      <w:r w:rsidR="00F51655">
        <w:t>. Conversely, there is a slight overrepresentation of owner</w:t>
      </w:r>
      <w:r w:rsidR="00CD64FD">
        <w:t xml:space="preserve"> </w:t>
      </w:r>
      <w:r w:rsidR="00F51655">
        <w:t xml:space="preserve">households and households from rural locations. </w:t>
      </w:r>
      <w:r w:rsidR="00A174B2">
        <w:t>As far as individual</w:t>
      </w:r>
      <w:r w:rsidR="00433A2E">
        <w:t xml:space="preserve"> </w:t>
      </w:r>
      <w:r w:rsidR="00A174B2">
        <w:t xml:space="preserve">characteristics, there is an overrepresentation of </w:t>
      </w:r>
      <w:r w:rsidR="00D724F4">
        <w:t>older</w:t>
      </w:r>
      <w:r w:rsidR="00A654F3">
        <w:t xml:space="preserve">, </w:t>
      </w:r>
      <w:r w:rsidR="00D724F4">
        <w:t>retired</w:t>
      </w:r>
      <w:r w:rsidR="00A654F3">
        <w:t>, and highly educated (in terms of formal degree attainment)</w:t>
      </w:r>
      <w:r w:rsidR="00D724F4">
        <w:t xml:space="preserve"> respondents, </w:t>
      </w:r>
      <w:r w:rsidR="00A654F3">
        <w:t xml:space="preserve">and </w:t>
      </w:r>
      <w:r w:rsidR="00D724F4">
        <w:t>an underrepresentation of non-</w:t>
      </w:r>
      <w:r w:rsidR="00A654F3">
        <w:t>w</w:t>
      </w:r>
      <w:r w:rsidR="00D724F4">
        <w:t>hite and Hispanic respondents.</w:t>
      </w:r>
      <w:r w:rsidR="00922B29">
        <w:t xml:space="preserve"> </w:t>
      </w:r>
    </w:p>
    <w:p w14:paraId="3CAAD8AF" w14:textId="506B5383" w:rsidR="00440916" w:rsidRDefault="00D724F4" w:rsidP="00317042">
      <w:pPr>
        <w:autoSpaceDE w:val="0"/>
        <w:autoSpaceDN w:val="0"/>
        <w:adjustRightInd w:val="0"/>
        <w:spacing w:after="0" w:line="240" w:lineRule="auto"/>
        <w:ind w:firstLine="720"/>
        <w:jc w:val="both"/>
      </w:pPr>
      <w:r w:rsidRPr="00A5703A">
        <w:t xml:space="preserve">The skews in the exogenous variables </w:t>
      </w:r>
      <w:r w:rsidR="009F5A83" w:rsidRPr="00A5703A">
        <w:t xml:space="preserve">observed in this sample compared with the national statistics </w:t>
      </w:r>
      <w:r w:rsidRPr="00A5703A">
        <w:t>imply that</w:t>
      </w:r>
      <w:r w:rsidR="009F5A83" w:rsidRPr="00A5703A">
        <w:t xml:space="preserve"> the</w:t>
      </w:r>
      <w:r w:rsidRPr="00A5703A">
        <w:t xml:space="preserve"> descriptive statistics derived from this sample cannot be generalized to the entire U</w:t>
      </w:r>
      <w:r w:rsidR="00CD64FD">
        <w:t xml:space="preserve">.S. </w:t>
      </w:r>
      <w:r w:rsidRPr="00A5703A">
        <w:t xml:space="preserve">population. However, since this study </w:t>
      </w:r>
      <w:r w:rsidR="009F5A83" w:rsidRPr="00A5703A">
        <w:t>undertakes</w:t>
      </w:r>
      <w:r w:rsidRPr="00A5703A">
        <w:t xml:space="preserve"> an individual-level analysis, there is no reason to believe that the causal relationships estimated would not apply to the population at large. </w:t>
      </w:r>
      <w:r w:rsidR="009F5A83" w:rsidRPr="00A5703A">
        <w:t>T</w:t>
      </w:r>
      <w:r w:rsidRPr="00A5703A">
        <w:t xml:space="preserve">he </w:t>
      </w:r>
      <w:r w:rsidR="009F5A83" w:rsidRPr="00A5703A">
        <w:t xml:space="preserve">NHTS survey comprises a large </w:t>
      </w:r>
      <w:r w:rsidRPr="00A5703A">
        <w:t xml:space="preserve">sample </w:t>
      </w:r>
      <w:r w:rsidR="009F5A83" w:rsidRPr="00A5703A">
        <w:t>that</w:t>
      </w:r>
      <w:r w:rsidRPr="00A5703A">
        <w:t xml:space="preserve"> encompasses the entire nation, and </w:t>
      </w:r>
      <w:r w:rsidR="00A654F3">
        <w:t>presents</w:t>
      </w:r>
      <w:r w:rsidRPr="00A5703A">
        <w:t xml:space="preserve"> substantial variation in the exogenous variables, allowing estimation of the effects of </w:t>
      </w:r>
      <w:r w:rsidR="00A5703A" w:rsidRPr="00A5703A">
        <w:t xml:space="preserve">the </w:t>
      </w:r>
      <w:r w:rsidRPr="00A5703A">
        <w:t xml:space="preserve">exogenous variables on the </w:t>
      </w:r>
      <w:r w:rsidR="00A654F3">
        <w:t xml:space="preserve">endogenous </w:t>
      </w:r>
      <w:r w:rsidR="00A5703A" w:rsidRPr="00A5703A">
        <w:t>outcomes</w:t>
      </w:r>
      <w:r w:rsidR="00A654F3">
        <w:t xml:space="preserve"> of interest</w:t>
      </w:r>
      <w:r w:rsidRPr="00A5703A">
        <w:t>. Additionally, since the</w:t>
      </w:r>
      <w:r w:rsidR="00A654F3">
        <w:t xml:space="preserve"> NHTS</w:t>
      </w:r>
      <w:r w:rsidRPr="00A5703A">
        <w:t xml:space="preserve"> is </w:t>
      </w:r>
      <w:r w:rsidR="00A5703A" w:rsidRPr="00A5703A">
        <w:t xml:space="preserve">based on a random address-based sample rather than </w:t>
      </w:r>
      <w:r w:rsidRPr="00A5703A">
        <w:t xml:space="preserve">on </w:t>
      </w:r>
      <w:r w:rsidR="00A5703A" w:rsidRPr="00A5703A">
        <w:t xml:space="preserve">an </w:t>
      </w:r>
      <w:r w:rsidRPr="00A5703A">
        <w:t xml:space="preserve">endogenous sampling </w:t>
      </w:r>
      <w:r w:rsidR="00A5703A" w:rsidRPr="00A5703A">
        <w:t>design</w:t>
      </w:r>
      <w:r w:rsidRPr="00A5703A">
        <w:t xml:space="preserve">, an unweighted approach is preferred </w:t>
      </w:r>
      <w:r w:rsidR="00A5703A" w:rsidRPr="00A5703A">
        <w:t xml:space="preserve">to a weighted approach </w:t>
      </w:r>
      <w:r w:rsidRPr="00A5703A">
        <w:t xml:space="preserve">because it </w:t>
      </w:r>
      <w:r w:rsidR="00A5703A" w:rsidRPr="00A5703A">
        <w:t xml:space="preserve">yields consistent and more </w:t>
      </w:r>
      <w:r w:rsidRPr="00A5703A">
        <w:t xml:space="preserve">efficient </w:t>
      </w:r>
      <w:r w:rsidR="00A5703A" w:rsidRPr="00A5703A">
        <w:t xml:space="preserve">estimates </w:t>
      </w:r>
      <w:r w:rsidR="00A5703A" w:rsidRPr="00A5703A">
        <w:fldChar w:fldCharType="begin"/>
      </w:r>
      <w:r w:rsidR="00302987">
        <w:instrText xml:space="preserve"> ADDIN ZOTERO_ITEM CSL_CITATION {"citationID":"LhaLAA3j","properties":{"unsorted":true,"formattedCitation":"(Wooldridge, 1995; Solon et al., 2015)","plainCitation":"(Wooldridge, 1995; Solon et al., 2015)","dontUpdate":true,"noteIndex":0},"citationItems":[{"id":719,"uris":["http://zotero.org/users/12832277/items/HWFMUF9L"],"itemData":{"id":719,"type":"article-journal","abstract":"Some new methods for testing and correcting for sample selection bias in panel data models are proposed. The assumptions allow the unobserved effects in both the regression and selection equations to be correlated with the observed variables; the error distribution in the regression equation is unspecified; arbitrary serial dependence in the idiosyncratic errors of both equations is allowed; and all idiosyncratic errors can be heterogeneously distributed. Compared with maximum likelihood and other estimators derived under fully parametric assumptions, the new estimators are much more robust and have significant computational advantages.","container-title":"Journal of Econometrics","DOI":"10.1016/0304-4076(94)01645-G","ISSN":"0304-4076","issue":"1","language":"en","page":"115-132","source":"ScienceDirect","title":"Selection Corrections for Panel Data Models Under Conditional Mean Independence Assumptions","volume":"68","author":[{"family":"Wooldridge","given":"Jeffrey M."}],"issued":{"date-parts":[["1995",7,1]]}}},{"id":721,"uris":["http://zotero.org/users/12832277/items/68L8HU9K"],"itemData":{"id":721,"type":"article-journal","abstract":"When estimating population descriptive statistics, weighting is called for if needed to make the analysis sample representative of the target population. With regard to research directed instead at estimating causal effects, we discuss three distinct weighting motives: (1) to achieve precise estimates by correcting for heteroskedasticity; (2) to achieve consistent estimates by correcting for endogenous sampling; and (3) to identify average partial effects in the presence of unmodeled heterogeneity of effects. In each case, we find that the motive sometimes does not apply in situations where practitioners often assume it does.","container-title":"Journal of Human Resources","DOI":"10.3368/jhr.50.2.301","ISSN":"0022-166X, 1548-8004","issue":"2","language":"en","license":"© 2015 by the Board of Regents of the University of Wisconsin System","note":"publisher: University of Wisconsin Press\nsection: Symposium on Empirical Methods","page":"301-316","source":"jhr.uwpress.org","title":"What Are We Weighting For?","volume":"50","author":[{"family":"Solon","given":"Gary"},{"family":"Haider","given":"Steven J."},{"family":"Wooldridge","given":"Jeffrey M."}],"issued":{"date-parts":[["2015",3,31]]}}}],"schema":"https://github.com/citation-style-language/schema/raw/master/csl-citation.json"} </w:instrText>
      </w:r>
      <w:r w:rsidR="00A5703A" w:rsidRPr="00A5703A">
        <w:fldChar w:fldCharType="separate"/>
      </w:r>
      <w:r w:rsidR="00A5703A" w:rsidRPr="00A5703A">
        <w:t>(see Wooldridge, 1995; Solon et al., 2015)</w:t>
      </w:r>
      <w:r w:rsidR="00A5703A" w:rsidRPr="00A5703A">
        <w:fldChar w:fldCharType="end"/>
      </w:r>
      <w:r w:rsidRPr="00A5703A">
        <w:t xml:space="preserve">. </w:t>
      </w:r>
    </w:p>
    <w:p w14:paraId="3082B5C4" w14:textId="1F28BB13" w:rsidR="00440916" w:rsidRDefault="00440916" w:rsidP="002979FC">
      <w:pPr>
        <w:autoSpaceDE w:val="0"/>
        <w:autoSpaceDN w:val="0"/>
        <w:adjustRightInd w:val="0"/>
        <w:spacing w:after="0" w:line="240" w:lineRule="auto"/>
        <w:jc w:val="both"/>
        <w:rPr>
          <w:b/>
        </w:rPr>
      </w:pPr>
    </w:p>
    <w:p w14:paraId="30521911" w14:textId="014789EB" w:rsidR="00440916" w:rsidRDefault="00440916" w:rsidP="001F65A6">
      <w:pPr>
        <w:autoSpaceDE w:val="0"/>
        <w:autoSpaceDN w:val="0"/>
        <w:adjustRightInd w:val="0"/>
        <w:spacing w:after="0" w:line="240" w:lineRule="auto"/>
        <w:jc w:val="both"/>
        <w:rPr>
          <w:b/>
        </w:rPr>
      </w:pPr>
      <w:r>
        <w:rPr>
          <w:b/>
        </w:rPr>
        <w:t>3.2 Analytic Framework</w:t>
      </w:r>
    </w:p>
    <w:p w14:paraId="28FA95D0" w14:textId="2CBEC372" w:rsidR="00440916" w:rsidRDefault="005F1F0F" w:rsidP="001F65A6">
      <w:pPr>
        <w:spacing w:after="0" w:line="240" w:lineRule="auto"/>
        <w:jc w:val="both"/>
      </w:pPr>
      <w:r>
        <w:t>The modeling framework consists of a multivariate ordered</w:t>
      </w:r>
      <w:r w:rsidR="00350A8D">
        <w:t>-response</w:t>
      </w:r>
      <w:r>
        <w:t xml:space="preserve"> probit </w:t>
      </w:r>
      <w:r w:rsidR="00350A8D">
        <w:t xml:space="preserve">(MORP) </w:t>
      </w:r>
      <w:r>
        <w:t>model with eleven outcom</w:t>
      </w:r>
      <w:r w:rsidR="00C66E48">
        <w:t>es</w:t>
      </w:r>
      <w:r>
        <w:t xml:space="preserve">. The first is the binary </w:t>
      </w:r>
      <w:r w:rsidR="00C66E48">
        <w:t xml:space="preserve">PPD </w:t>
      </w:r>
      <w:r>
        <w:t>decisio</w:t>
      </w:r>
      <w:r w:rsidR="00C66E48">
        <w:t>n</w:t>
      </w:r>
      <w:r>
        <w:t>. The next eight outcomes co</w:t>
      </w:r>
      <w:r w:rsidR="00C66E48">
        <w:t xml:space="preserve">rrespond to </w:t>
      </w:r>
      <w:r>
        <w:lastRenderedPageBreak/>
        <w:t xml:space="preserve">binary responses </w:t>
      </w:r>
      <w:r w:rsidR="00C66E48">
        <w:t xml:space="preserve">for each of the eight possible PPD reasons. </w:t>
      </w:r>
      <w:r>
        <w:t xml:space="preserve">Each individual who </w:t>
      </w:r>
      <w:r w:rsidR="00C66E48">
        <w:t xml:space="preserve">reported experiencing PPD </w:t>
      </w:r>
      <w:r>
        <w:t xml:space="preserve">was able to select any combination of </w:t>
      </w:r>
      <w:r w:rsidR="00C66E48">
        <w:t xml:space="preserve">the PPD </w:t>
      </w:r>
      <w:r>
        <w:t xml:space="preserve">reasons, so these outcomes are not mutually exclusive and are jointly observed </w:t>
      </w:r>
      <w:r w:rsidR="00C66E48">
        <w:t>as eight binary responses</w:t>
      </w:r>
      <w:r>
        <w:t xml:space="preserve">. Finally, the last two </w:t>
      </w:r>
      <w:r w:rsidR="00C66E48">
        <w:t>outcomes</w:t>
      </w:r>
      <w:r>
        <w:t xml:space="preserve"> correspond to the </w:t>
      </w:r>
      <w:r w:rsidR="00B60950">
        <w:t xml:space="preserve">frequency of telework and </w:t>
      </w:r>
      <w:r>
        <w:t>frequency of deliverie</w:t>
      </w:r>
      <w:r w:rsidR="00B60950">
        <w:t>s</w:t>
      </w:r>
      <w:r>
        <w:t xml:space="preserve">, representing </w:t>
      </w:r>
      <w:r w:rsidR="00C66E48">
        <w:t xml:space="preserve">virtual </w:t>
      </w:r>
      <w:r>
        <w:t>participation</w:t>
      </w:r>
      <w:r w:rsidR="0019104F">
        <w:t xml:space="preserve"> outcomes</w:t>
      </w:r>
      <w:r w:rsidR="00350A8D">
        <w:t xml:space="preserve">, which are observed as </w:t>
      </w:r>
      <w:r>
        <w:t xml:space="preserve">ordered outcomes. </w:t>
      </w:r>
      <w:r w:rsidR="0093201A">
        <w:t xml:space="preserve">The rest of this section </w:t>
      </w:r>
      <w:r w:rsidR="005E22F9">
        <w:t xml:space="preserve">describes the mathematical formulation of the </w:t>
      </w:r>
      <w:r w:rsidR="00350A8D">
        <w:t xml:space="preserve">MORP model </w:t>
      </w:r>
      <w:r w:rsidR="00C66E48">
        <w:t>(</w:t>
      </w:r>
      <w:r w:rsidR="00350A8D">
        <w:t xml:space="preserve">this is because </w:t>
      </w:r>
      <w:r w:rsidR="00C66E48">
        <w:t>binary response</w:t>
      </w:r>
      <w:r w:rsidR="00350A8D">
        <w:t>s</w:t>
      </w:r>
      <w:r w:rsidR="00C66E48">
        <w:t xml:space="preserve"> can be viewed as ordered</w:t>
      </w:r>
      <w:r w:rsidR="009B0E5D">
        <w:t xml:space="preserve"> </w:t>
      </w:r>
      <w:r w:rsidR="00C66E48">
        <w:t>response</w:t>
      </w:r>
      <w:r w:rsidR="00350A8D">
        <w:t xml:space="preserve">s </w:t>
      </w:r>
      <w:r w:rsidR="00C66E48">
        <w:t>with two categories)</w:t>
      </w:r>
      <w:r w:rsidR="005E22F9">
        <w:t xml:space="preserve">. </w:t>
      </w:r>
      <w:r w:rsidR="005273C5">
        <w:t>Note that the MORP is presented assuming an individual with PPD</w:t>
      </w:r>
      <w:r w:rsidR="00B60950">
        <w:t>.</w:t>
      </w:r>
      <w:r w:rsidR="00BA3031">
        <w:t xml:space="preserve"> </w:t>
      </w:r>
      <w:r w:rsidR="005273C5">
        <w:t xml:space="preserve">For an individual without PPD, the procedure requires a simple modification in estimation to marginalize over the PPD reasons such that only three outcomes are relevant (corresponding to the PPD outcome and the two virtual participation outcomes). </w:t>
      </w:r>
    </w:p>
    <w:p w14:paraId="5A348DA4" w14:textId="57290C9E" w:rsidR="001F65A6" w:rsidRDefault="005E22F9" w:rsidP="001F65A6">
      <w:pPr>
        <w:spacing w:after="0" w:line="240" w:lineRule="auto"/>
        <w:jc w:val="both"/>
      </w:pPr>
      <w:r>
        <w:tab/>
      </w:r>
      <w:r w:rsidR="00887F1D">
        <w:t xml:space="preserve">Let </w:t>
      </w:r>
      <w:r w:rsidR="009E153D" w:rsidRPr="00C515BE">
        <w:rPr>
          <w:position w:val="-6"/>
        </w:rPr>
        <w:object w:dxaOrig="139" w:dyaOrig="260" w14:anchorId="1DB22C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87#yIS3" style="width:6.85pt;height:12.85pt" o:ole="" o:preferrelative="f">
            <v:imagedata r:id="rId8" o:title=""/>
            <o:lock v:ext="edit" aspectratio="f"/>
          </v:shape>
          <o:OLEObject Type="Embed" ProgID="Equation.DSMT4" ShapeID="_x0000_i1025" DrawAspect="Content" ObjectID="_1782809801" r:id="rId9"/>
        </w:object>
      </w:r>
      <w:r w:rsidR="000202C0">
        <w:t xml:space="preserve"> </w:t>
      </w:r>
      <w:r w:rsidR="008335AE">
        <w:t xml:space="preserve">be the index for each of the </w:t>
      </w:r>
      <w:r w:rsidR="00361A53">
        <w:t>ordered</w:t>
      </w:r>
      <w:r w:rsidR="008335AE">
        <w:t xml:space="preserve"> outcomes </w:t>
      </w:r>
      <w:r w:rsidR="009E153D" w:rsidRPr="00AD0437">
        <w:rPr>
          <w:position w:val="-10"/>
        </w:rPr>
        <w:object w:dxaOrig="1280" w:dyaOrig="320" w14:anchorId="575F2DAF">
          <v:shape id="_x0000_i1026" type="#_x0000_t75" alt="P87#yIS4" style="width:63.85pt;height:15.85pt" o:ole="" o:preferrelative="f">
            <v:imagedata r:id="rId10" o:title=""/>
            <o:lock v:ext="edit" aspectratio="f"/>
          </v:shape>
          <o:OLEObject Type="Embed" ProgID="Equation.DSMT4" ShapeID="_x0000_i1026" DrawAspect="Content" ObjectID="_1782809802" r:id="rId11"/>
        </w:object>
      </w:r>
      <w:r w:rsidR="000202C0" w:rsidRPr="00C6225F">
        <w:rPr>
          <w:color w:val="222222"/>
          <w:shd w:val="clear" w:color="auto" w:fill="FFFFFF"/>
        </w:rPr>
        <w:t>.</w:t>
      </w:r>
      <w:r w:rsidR="000202C0" w:rsidRPr="00EC3DC6">
        <w:t xml:space="preserve"> </w:t>
      </w:r>
      <w:r w:rsidR="008335AE">
        <w:t>In the current</w:t>
      </w:r>
      <w:r w:rsidR="00756B5E">
        <w:t xml:space="preserve"> empirical</w:t>
      </w:r>
      <w:r w:rsidR="008335AE">
        <w:t xml:space="preserve"> context </w:t>
      </w:r>
      <w:r w:rsidR="009E153D" w:rsidRPr="001D1DEE">
        <w:rPr>
          <w:position w:val="-4"/>
        </w:rPr>
        <w:object w:dxaOrig="620" w:dyaOrig="260" w14:anchorId="39BEE733">
          <v:shape id="_x0000_i1027" type="#_x0000_t75" alt="P87#yIS5" style="width:30.85pt;height:12.85pt" o:ole="" o:preferrelative="f">
            <v:imagedata r:id="rId12" o:title=""/>
            <o:lock v:ext="edit" aspectratio="f"/>
          </v:shape>
          <o:OLEObject Type="Embed" ProgID="Equation.DSMT4" ShapeID="_x0000_i1027" DrawAspect="Content" ObjectID="_1782809803" r:id="rId13"/>
        </w:object>
      </w:r>
      <w:r w:rsidR="0034520E">
        <w:t xml:space="preserve">. </w:t>
      </w:r>
      <w:r w:rsidR="00361A53">
        <w:t xml:space="preserve">Let the number of ordered levels for each outcome be </w:t>
      </w:r>
      <w:r w:rsidR="009E153D" w:rsidRPr="00361A53">
        <w:rPr>
          <w:position w:val="-12"/>
        </w:rPr>
        <w:object w:dxaOrig="300" w:dyaOrig="360" w14:anchorId="727DFDD1">
          <v:shape id="_x0000_i1028" type="#_x0000_t75" style="width:15pt;height:18pt" o:ole="" o:preferrelative="f">
            <v:imagedata r:id="rId14" o:title=""/>
            <o:lock v:ext="edit" aspectratio="f"/>
          </v:shape>
          <o:OLEObject Type="Embed" ProgID="Equation.DSMT4" ShapeID="_x0000_i1028" DrawAspect="Content" ObjectID="_1782809804" r:id="rId15"/>
        </w:object>
      </w:r>
      <w:r w:rsidR="00361A53">
        <w:t xml:space="preserve"> such that each outcome is indexed by </w:t>
      </w:r>
      <w:r w:rsidR="009E153D" w:rsidRPr="00361A53">
        <w:rPr>
          <w:position w:val="-12"/>
        </w:rPr>
        <w:object w:dxaOrig="1520" w:dyaOrig="360" w14:anchorId="718517C4">
          <v:shape id="_x0000_i1029" type="#_x0000_t75" style="width:76.3pt;height:18pt" o:ole="" o:preferrelative="f">
            <v:imagedata r:id="rId16" o:title=""/>
            <o:lock v:ext="edit" aspectratio="f"/>
          </v:shape>
          <o:OLEObject Type="Embed" ProgID="Equation.DSMT4" ShapeID="_x0000_i1029" DrawAspect="Content" ObjectID="_1782809805" r:id="rId17"/>
        </w:object>
      </w:r>
      <w:r w:rsidR="00361A53">
        <w:t>.</w:t>
      </w:r>
      <w:r w:rsidR="00F456EE">
        <w:t xml:space="preserve"> </w:t>
      </w:r>
      <w:r w:rsidR="009E153D" w:rsidRPr="00D87B5F">
        <w:rPr>
          <w:position w:val="-12"/>
        </w:rPr>
        <w:object w:dxaOrig="680" w:dyaOrig="360" w14:anchorId="4CC2727E">
          <v:shape id="_x0000_i1030" type="#_x0000_t75" style="width:33.85pt;height:18pt" o:ole="" o:preferrelative="f">
            <v:imagedata r:id="rId18" o:title=""/>
            <o:lock v:ext="edit" aspectratio="f"/>
          </v:shape>
          <o:OLEObject Type="Embed" ProgID="Equation.DSMT4" ShapeID="_x0000_i1030" DrawAspect="Content" ObjectID="_1782809806" r:id="rId19"/>
        </w:object>
      </w:r>
      <w:r w:rsidR="00F456EE">
        <w:t xml:space="preserve"> for the binary outcomes, and </w:t>
      </w:r>
      <w:r w:rsidR="009E153D" w:rsidRPr="00D87B5F">
        <w:rPr>
          <w:position w:val="-12"/>
        </w:rPr>
        <w:object w:dxaOrig="680" w:dyaOrig="360" w14:anchorId="1B8BB6A0">
          <v:shape id="_x0000_i1031" type="#_x0000_t75" style="width:33.85pt;height:18pt" o:ole="" o:preferrelative="f">
            <v:imagedata r:id="rId20" o:title=""/>
            <o:lock v:ext="edit" aspectratio="f"/>
          </v:shape>
          <o:OLEObject Type="Embed" ProgID="Equation.DSMT4" ShapeID="_x0000_i1031" DrawAspect="Content" ObjectID="_1782809807" r:id="rId21"/>
        </w:object>
      </w:r>
      <w:r w:rsidR="00F456EE">
        <w:t xml:space="preserve"> for the two virtual participation outcomes.</w:t>
      </w:r>
      <w:r w:rsidR="00361A53">
        <w:t xml:space="preserve"> </w:t>
      </w:r>
      <w:r w:rsidR="00F456EE">
        <w:t>In the following presentation, w</w:t>
      </w:r>
      <w:r w:rsidR="0034520E">
        <w:t>e suppress the index for individuals. F</w:t>
      </w:r>
      <w:r w:rsidR="00361A53">
        <w:t>ollowing the usual framework for ordered response variables,</w:t>
      </w:r>
      <w:r w:rsidR="00F456EE">
        <w:t xml:space="preserve"> </w:t>
      </w:r>
      <w:r w:rsidR="00361A53">
        <w:t>a latent propensity</w:t>
      </w:r>
      <w:r w:rsidR="00821B45">
        <w:t xml:space="preserve"> (</w:t>
      </w:r>
      <w:r w:rsidR="009E153D" w:rsidRPr="00F456EE">
        <w:rPr>
          <w:position w:val="-12"/>
        </w:rPr>
        <w:object w:dxaOrig="279" w:dyaOrig="380" w14:anchorId="18377932">
          <v:shape id="_x0000_i1032" type="#_x0000_t75" style="width:13.7pt;height:18.85pt" o:ole="" o:preferrelative="f">
            <v:imagedata r:id="rId22" o:title=""/>
            <o:lock v:ext="edit" aspectratio="f"/>
          </v:shape>
          <o:OLEObject Type="Embed" ProgID="Equation.DSMT4" ShapeID="_x0000_i1032" DrawAspect="Content" ObjectID="_1782809808" r:id="rId23"/>
        </w:object>
      </w:r>
      <w:r w:rsidR="00821B45">
        <w:t>)</w:t>
      </w:r>
      <w:r w:rsidR="00361A53">
        <w:t xml:space="preserve"> can be defined for each outcome as a function of covariates that relates to the </w:t>
      </w:r>
      <w:r w:rsidR="00B60950">
        <w:t>actual</w:t>
      </w:r>
      <w:r w:rsidR="00361A53">
        <w:t xml:space="preserve"> outcomes</w:t>
      </w:r>
      <w:r w:rsidR="00821B45">
        <w:t xml:space="preserve"> (</w:t>
      </w:r>
      <w:r w:rsidR="009E153D" w:rsidRPr="00F456EE">
        <w:rPr>
          <w:position w:val="-12"/>
        </w:rPr>
        <w:object w:dxaOrig="240" w:dyaOrig="360" w14:anchorId="20B2CD01">
          <v:shape id="_x0000_i1033" type="#_x0000_t75" style="width:12pt;height:18pt" o:ole="" o:preferrelative="f">
            <v:imagedata r:id="rId24" o:title=""/>
            <o:lock v:ext="edit" aspectratio="f"/>
          </v:shape>
          <o:OLEObject Type="Embed" ProgID="Equation.DSMT4" ShapeID="_x0000_i1033" DrawAspect="Content" ObjectID="_1782809809" r:id="rId25"/>
        </w:object>
      </w:r>
      <w:r w:rsidR="00821B45">
        <w:t>)</w:t>
      </w:r>
      <w:r w:rsidR="00361A53">
        <w:t xml:space="preserve"> through threshold bounds:</w:t>
      </w:r>
    </w:p>
    <w:p w14:paraId="1F434D2F" w14:textId="21C1078D" w:rsidR="00361A53" w:rsidRDefault="009E153D" w:rsidP="009E153D">
      <w:pPr>
        <w:pStyle w:val="MTDisplayEquation"/>
        <w:spacing w:before="120" w:after="120"/>
      </w:pPr>
      <w:r w:rsidRPr="005C237C">
        <w:rPr>
          <w:position w:val="-12"/>
        </w:rPr>
        <w:object w:dxaOrig="1920" w:dyaOrig="380" w14:anchorId="56F21C5B">
          <v:shape id="_x0000_i1034" type="#_x0000_t75" style="width:96pt;height:18.85pt" o:ole="" o:preferrelative="f">
            <v:imagedata r:id="rId26" o:title=""/>
            <o:lock v:ext="edit" aspectratio="f"/>
          </v:shape>
          <o:OLEObject Type="Embed" ProgID="Equation.DSMT4" ShapeID="_x0000_i1034" DrawAspect="Content" ObjectID="_1782809810" r:id="rId27"/>
        </w:object>
      </w:r>
      <w:r w:rsidR="0034520E" w:rsidRPr="00870C03">
        <w:t xml:space="preserve"> if  </w:t>
      </w:r>
      <w:r w:rsidRPr="005C237C">
        <w:rPr>
          <w:position w:val="-12"/>
        </w:rPr>
        <w:object w:dxaOrig="1440" w:dyaOrig="380" w14:anchorId="2136A1B5">
          <v:shape id="_x0000_i1035" type="#_x0000_t75" style="width:1in;height:18.85pt" o:ole="" o:preferrelative="f">
            <v:imagedata r:id="rId28" o:title=""/>
            <o:lock v:ext="edit" aspectratio="f"/>
          </v:shape>
          <o:OLEObject Type="Embed" ProgID="Equation.DSMT4" ShapeID="_x0000_i1035" DrawAspect="Content" ObjectID="_1782809811" r:id="rId29"/>
        </w:object>
      </w:r>
      <w:r w:rsidR="0034520E">
        <w:t xml:space="preserve"> </w:t>
      </w:r>
      <w:r w:rsidR="0034520E">
        <w:tab/>
      </w:r>
      <w:r w:rsidR="0034520E">
        <w:tab/>
      </w:r>
      <w:r w:rsidR="00821B45">
        <w:fldChar w:fldCharType="begin"/>
      </w:r>
      <w:r w:rsidR="00821B45">
        <w:instrText xml:space="preserve"> MACROBUTTON MTPlaceRef \* MERGEFORMAT </w:instrText>
      </w:r>
      <w:r w:rsidR="00821B45">
        <w:fldChar w:fldCharType="begin"/>
      </w:r>
      <w:r w:rsidR="00821B45">
        <w:instrText xml:space="preserve"> SEQ MTEqn \h \* MERGEFORMAT </w:instrText>
      </w:r>
      <w:r w:rsidR="00821B45">
        <w:fldChar w:fldCharType="end"/>
      </w:r>
      <w:r w:rsidR="00821B45">
        <w:instrText>(</w:instrText>
      </w:r>
      <w:r w:rsidR="00E44873">
        <w:fldChar w:fldCharType="begin"/>
      </w:r>
      <w:r w:rsidR="00E44873">
        <w:instrText xml:space="preserve"> SEQ MTEqn \c \* Arabic \* MERGEFORMAT </w:instrText>
      </w:r>
      <w:r w:rsidR="00E44873">
        <w:fldChar w:fldCharType="separate"/>
      </w:r>
      <w:r w:rsidR="00D2784C">
        <w:rPr>
          <w:noProof/>
        </w:rPr>
        <w:instrText>1</w:instrText>
      </w:r>
      <w:r w:rsidR="00E44873">
        <w:rPr>
          <w:noProof/>
        </w:rPr>
        <w:fldChar w:fldCharType="end"/>
      </w:r>
      <w:r w:rsidR="00821B45">
        <w:instrText>)</w:instrText>
      </w:r>
      <w:r w:rsidR="00821B45">
        <w:fldChar w:fldCharType="end"/>
      </w:r>
    </w:p>
    <w:p w14:paraId="7544FC4B" w14:textId="45BC0D44" w:rsidR="001F65A6" w:rsidRDefault="00361A53" w:rsidP="009E153D">
      <w:pPr>
        <w:spacing w:after="0" w:line="240" w:lineRule="auto"/>
        <w:jc w:val="both"/>
      </w:pPr>
      <w:r>
        <w:t xml:space="preserve">where </w:t>
      </w:r>
      <w:r w:rsidR="0034520E" w:rsidRPr="00D87B5F">
        <w:rPr>
          <w:position w:val="-4"/>
        </w:rPr>
        <w:object w:dxaOrig="200" w:dyaOrig="200" w14:anchorId="519D5108">
          <v:shape id="_x0000_i1036" type="#_x0000_t75" style="width:9.85pt;height:9.85pt" o:ole="">
            <v:imagedata r:id="rId30" o:title=""/>
          </v:shape>
          <o:OLEObject Type="Embed" ProgID="Equation.DSMT4" ShapeID="_x0000_i1036" DrawAspect="Content" ObjectID="_1782809812" r:id="rId31"/>
        </w:object>
      </w:r>
      <w:r>
        <w:t xml:space="preserve"> is an </w:t>
      </w:r>
      <w:r w:rsidRPr="00EA0B1F">
        <w:rPr>
          <w:position w:val="-10"/>
        </w:rPr>
        <w:object w:dxaOrig="639" w:dyaOrig="320" w14:anchorId="5278C31D">
          <v:shape id="_x0000_i1037" type="#_x0000_t75" alt="P89#yIS2" style="width:32.15pt;height:15.85pt" o:ole="">
            <v:imagedata r:id="rId32" o:title=""/>
          </v:shape>
          <o:OLEObject Type="Embed" ProgID="Equation.DSMT4" ShapeID="_x0000_i1037" DrawAspect="Content" ObjectID="_1782809813" r:id="rId33"/>
        </w:object>
      </w:r>
      <w:r>
        <w:t xml:space="preserve"> vector of exogenous variables</w:t>
      </w:r>
      <w:r w:rsidR="0034520E">
        <w:t xml:space="preserve"> (excluding a constant)</w:t>
      </w:r>
      <w:r>
        <w:t xml:space="preserve">, </w:t>
      </w:r>
      <w:r w:rsidR="009E153D" w:rsidRPr="001E03BA">
        <w:rPr>
          <w:position w:val="-12"/>
        </w:rPr>
        <w:object w:dxaOrig="260" w:dyaOrig="380" w14:anchorId="5386CF76">
          <v:shape id="_x0000_i1038" type="#_x0000_t75" style="width:13.3pt;height:18.85pt" o:ole="" o:preferrelative="f">
            <v:imagedata r:id="rId34" o:title=""/>
            <o:lock v:ext="edit" aspectratio="f"/>
          </v:shape>
          <o:OLEObject Type="Embed" ProgID="Equation.DSMT4" ShapeID="_x0000_i1038" DrawAspect="Content" ObjectID="_1782809814" r:id="rId35"/>
        </w:object>
      </w:r>
      <w:r w:rsidR="0034520E">
        <w:t xml:space="preserve"> is</w:t>
      </w:r>
      <w:r w:rsidR="0034520E" w:rsidRPr="00870C03">
        <w:t xml:space="preserve"> a corresponding (</w:t>
      </w:r>
      <w:r w:rsidR="0034520E" w:rsidRPr="00870C03">
        <w:rPr>
          <w:i/>
        </w:rPr>
        <w:t>L×</w:t>
      </w:r>
      <w:r w:rsidR="0034520E" w:rsidRPr="00870C03">
        <w:t>1) vector of coefficients to be estimated</w:t>
      </w:r>
      <w:r w:rsidR="0034520E">
        <w:t xml:space="preserve"> (some of whose coefficients can, and in general, will be zero)</w:t>
      </w:r>
      <w:r w:rsidR="00F456EE">
        <w:t>,</w:t>
      </w:r>
      <w:r w:rsidR="0034520E" w:rsidRPr="00870C03">
        <w:t xml:space="preserve"> </w:t>
      </w:r>
      <w:r>
        <w:t xml:space="preserve">and </w:t>
      </w:r>
      <w:r w:rsidR="009E153D" w:rsidRPr="00F456EE">
        <w:rPr>
          <w:position w:val="-12"/>
        </w:rPr>
        <w:object w:dxaOrig="240" w:dyaOrig="360" w14:anchorId="1C7E14E3">
          <v:shape id="_x0000_i1039" type="#_x0000_t75" alt="P89#yIS5" style="width:12pt;height:18pt" o:ole="" o:preferrelative="f">
            <v:imagedata r:id="rId36" o:title=""/>
            <o:lock v:ext="edit" aspectratio="f"/>
          </v:shape>
          <o:OLEObject Type="Embed" ProgID="Equation.DSMT4" ShapeID="_x0000_i1039" DrawAspect="Content" ObjectID="_1782809815" r:id="rId37"/>
        </w:object>
      </w:r>
      <w:r>
        <w:t xml:space="preserve"> is a standard normal error term assumed to be independent and identically distributed across all individuals. </w:t>
      </w:r>
      <w:r w:rsidR="00F456EE">
        <w:t xml:space="preserve">The </w:t>
      </w:r>
      <w:r w:rsidR="00D86FA3">
        <w:t xml:space="preserve">threshold bounds </w:t>
      </w:r>
      <w:r w:rsidR="00F456EE">
        <w:t xml:space="preserve">satisfy the following conditions:  </w:t>
      </w:r>
      <w:r w:rsidR="009E153D" w:rsidRPr="0030543A">
        <w:rPr>
          <w:position w:val="-12"/>
        </w:rPr>
        <w:object w:dxaOrig="920" w:dyaOrig="380" w14:anchorId="14822B93">
          <v:shape id="_x0000_i1040" type="#_x0000_t75" style="width:46.3pt;height:18.85pt" o:ole="" o:preferrelative="f">
            <v:imagedata r:id="rId38" o:title=""/>
            <o:lock v:ext="edit" aspectratio="f"/>
          </v:shape>
          <o:OLEObject Type="Embed" ProgID="Equation.DSMT4" ShapeID="_x0000_i1040" DrawAspect="Content" ObjectID="_1782809816" r:id="rId39"/>
        </w:object>
      </w:r>
      <w:r w:rsidR="009E153D" w:rsidRPr="0030543A">
        <w:rPr>
          <w:position w:val="-12"/>
        </w:rPr>
        <w:object w:dxaOrig="940" w:dyaOrig="380" w14:anchorId="01D93154">
          <v:shape id="_x0000_i1041" type="#_x0000_t75" style="width:46.7pt;height:18.85pt" o:ole="" o:preferrelative="f">
            <v:imagedata r:id="rId40" o:title=""/>
            <o:lock v:ext="edit" aspectratio="f"/>
          </v:shape>
          <o:OLEObject Type="Embed" ProgID="Equation.DSMT4" ShapeID="_x0000_i1041" DrawAspect="Content" ObjectID="_1782809817" r:id="rId41"/>
        </w:object>
      </w:r>
      <w:r w:rsidR="00F456EE">
        <w:t xml:space="preserve">, and </w:t>
      </w:r>
      <w:r w:rsidR="009E153D" w:rsidRPr="00F456EE">
        <w:rPr>
          <w:position w:val="-12"/>
        </w:rPr>
        <w:object w:dxaOrig="2540" w:dyaOrig="380" w14:anchorId="09A4B379">
          <v:shape id="_x0000_i1042" type="#_x0000_t75" style="width:126.85pt;height:18.85pt" o:ole="" o:preferrelative="f">
            <v:imagedata r:id="rId42" o:title=""/>
            <o:lock v:ext="edit" aspectratio="f"/>
          </v:shape>
          <o:OLEObject Type="Embed" ProgID="Equation.DSMT4" ShapeID="_x0000_i1042" DrawAspect="Content" ObjectID="_1782809818" r:id="rId43"/>
        </w:object>
      </w:r>
      <w:r w:rsidR="00D86FA3">
        <w:t xml:space="preserve">. </w:t>
      </w:r>
      <w:r w:rsidR="00F456EE">
        <w:t xml:space="preserve">Now </w:t>
      </w:r>
      <w:r w:rsidR="00894082">
        <w:t>stac</w:t>
      </w:r>
      <w:r w:rsidR="00F456EE">
        <w:t>k</w:t>
      </w:r>
      <w:r w:rsidR="00894082">
        <w:t xml:space="preserve"> </w:t>
      </w:r>
      <w:r w:rsidR="00E64FDB">
        <w:t xml:space="preserve">the thresholds to be estimated for each outcome into a vector </w:t>
      </w:r>
      <w:r w:rsidR="009E153D" w:rsidRPr="0030543A">
        <w:rPr>
          <w:position w:val="-12"/>
        </w:rPr>
        <w:object w:dxaOrig="2100" w:dyaOrig="380" w14:anchorId="70B1DFD4">
          <v:shape id="_x0000_i1043" type="#_x0000_t75" style="width:105pt;height:18.85pt" o:ole="" o:preferrelative="f">
            <v:imagedata r:id="rId44" o:title=""/>
            <o:lock v:ext="edit" aspectratio="f"/>
          </v:shape>
          <o:OLEObject Type="Embed" ProgID="Equation.DSMT4" ShapeID="_x0000_i1043" DrawAspect="Content" ObjectID="_1782809819" r:id="rId45"/>
        </w:object>
      </w:r>
      <w:r w:rsidR="00E64FDB">
        <w:t xml:space="preserve"> </w:t>
      </w:r>
      <w:r w:rsidR="009A334E">
        <w:t xml:space="preserve">Let </w:t>
      </w:r>
      <w:r w:rsidR="009E153D" w:rsidRPr="00030DF7">
        <w:rPr>
          <w:position w:val="-12"/>
        </w:rPr>
        <w:object w:dxaOrig="1860" w:dyaOrig="380" w14:anchorId="59FAC109">
          <v:shape id="_x0000_i1044" type="#_x0000_t75" style="width:92.55pt;height:18.85pt" o:ole="" o:preferrelative="f">
            <v:imagedata r:id="rId46" o:title=""/>
            <o:lock v:ext="edit" aspectratio="f"/>
          </v:shape>
          <o:OLEObject Type="Embed" ProgID="Equation.DSMT4" ShapeID="_x0000_i1044" DrawAspect="Content" ObjectID="_1782809820" r:id="rId47"/>
        </w:object>
      </w:r>
      <w:r w:rsidR="00A50DBC">
        <w:t>,</w:t>
      </w:r>
      <w:r w:rsidR="00A50DBC" w:rsidRPr="004B0C88">
        <w:rPr>
          <w:noProof/>
        </w:rPr>
        <w:t xml:space="preserve"> </w:t>
      </w:r>
      <w:r w:rsidR="009E153D" w:rsidRPr="0030543A">
        <w:rPr>
          <w:position w:val="-12"/>
        </w:rPr>
        <w:object w:dxaOrig="1780" w:dyaOrig="360" w14:anchorId="0B75F6AB">
          <v:shape id="_x0000_i1045" type="#_x0000_t75" style="width:89.15pt;height:18pt" o:ole="" o:preferrelative="f">
            <v:imagedata r:id="rId48" o:title=""/>
            <o:lock v:ext="edit" aspectratio="f"/>
          </v:shape>
          <o:OLEObject Type="Embed" ProgID="Equation.DSMT4" ShapeID="_x0000_i1045" DrawAspect="Content" ObjectID="_1782809821" r:id="rId49"/>
        </w:object>
      </w:r>
      <w:r w:rsidR="009A334E">
        <w:t xml:space="preserve"> </w:t>
      </w:r>
      <w:r w:rsidR="009E153D" w:rsidRPr="007F18E6">
        <w:rPr>
          <w:position w:val="-12"/>
        </w:rPr>
        <w:object w:dxaOrig="1740" w:dyaOrig="360" w14:anchorId="5DCB3068">
          <v:shape id="_x0000_i1046" type="#_x0000_t75" style="width:87.45pt;height:18pt" o:ole="" o:preferrelative="f">
            <v:imagedata r:id="rId50" o:title=""/>
            <o:lock v:ext="edit" aspectratio="f"/>
          </v:shape>
          <o:OLEObject Type="Embed" ProgID="Equation.DSMT4" ShapeID="_x0000_i1046" DrawAspect="Content" ObjectID="_1782809822" r:id="rId51"/>
        </w:object>
      </w:r>
      <w:r w:rsidR="009A334E">
        <w:t>,</w:t>
      </w:r>
      <w:r w:rsidR="009A334E">
        <w:rPr>
          <w:noProof/>
        </w:rPr>
        <w:t xml:space="preserve"> </w:t>
      </w:r>
      <w:r w:rsidR="00E64FDB">
        <w:t xml:space="preserve">and </w:t>
      </w:r>
      <w:r w:rsidR="009E153D" w:rsidRPr="001C1AF7">
        <w:rPr>
          <w:position w:val="-12"/>
        </w:rPr>
        <w:object w:dxaOrig="2020" w:dyaOrig="360" w14:anchorId="6EC231F8">
          <v:shape id="_x0000_i1047" type="#_x0000_t75" style="width:100.7pt;height:18pt" o:ole="" o:preferrelative="f">
            <v:imagedata r:id="rId52" o:title=""/>
            <o:lock v:ext="edit" aspectratio="f"/>
          </v:shape>
          <o:OLEObject Type="Embed" ProgID="Equation.DSMT4" ShapeID="_x0000_i1047" DrawAspect="Content" ObjectID="_1782809823" r:id="rId53"/>
        </w:object>
      </w:r>
      <w:r w:rsidR="00E64FDB">
        <w:t xml:space="preserve">.  </w:t>
      </w:r>
      <w:r w:rsidR="009E153D" w:rsidRPr="00D87B5F">
        <w:rPr>
          <w:position w:val="-6"/>
        </w:rPr>
        <w:object w:dxaOrig="180" w:dyaOrig="220" w14:anchorId="4C122187">
          <v:shape id="_x0000_i1048" type="#_x0000_t75" style="width:9.45pt;height:11.15pt" o:ole="" o:preferrelative="f">
            <v:imagedata r:id="rId54" o:title=""/>
            <o:lock v:ext="edit" aspectratio="f"/>
          </v:shape>
          <o:OLEObject Type="Embed" ProgID="Equation.DSMT4" ShapeID="_x0000_i1048" DrawAspect="Content" ObjectID="_1782809824" r:id="rId55"/>
        </w:object>
      </w:r>
      <w:r w:rsidR="00E64FDB">
        <w:t xml:space="preserve"> </w:t>
      </w:r>
      <w:r w:rsidR="00D86FA3" w:rsidRPr="006751D8">
        <w:t xml:space="preserve">is multivariate normal distributed with a mean vector of zeros and a correlation matrix </w:t>
      </w:r>
      <w:r w:rsidR="00D86FA3">
        <w:t>given by</w:t>
      </w:r>
      <w:r w:rsidR="009E153D">
        <w:t>:</w:t>
      </w:r>
    </w:p>
    <w:p w14:paraId="6BBE1B7F" w14:textId="1B6DF561" w:rsidR="00A50DBC" w:rsidRPr="002C4C66" w:rsidRDefault="009E153D" w:rsidP="009E153D">
      <w:pPr>
        <w:pStyle w:val="MTDisplayEquation"/>
        <w:spacing w:before="120" w:after="120"/>
      </w:pPr>
      <w:r w:rsidRPr="00E64FDB">
        <w:rPr>
          <w:position w:val="-86"/>
        </w:rPr>
        <w:object w:dxaOrig="3080" w:dyaOrig="1840" w14:anchorId="4C39F646">
          <v:shape id="_x0000_i1049" type="#_x0000_t75" style="width:154.3pt;height:93pt" o:ole="">
            <v:imagedata r:id="rId56" o:title=""/>
          </v:shape>
          <o:OLEObject Type="Embed" ProgID="Equation.DSMT4" ShapeID="_x0000_i1049" DrawAspect="Content" ObjectID="_1782809825" r:id="rId57"/>
        </w:object>
      </w:r>
      <w:r w:rsidR="0081498F">
        <w:tab/>
      </w:r>
      <w:r w:rsidR="00D86FA3">
        <w:tab/>
      </w:r>
      <w:r w:rsidR="00D86FA3">
        <w:fldChar w:fldCharType="begin"/>
      </w:r>
      <w:r w:rsidR="00D86FA3">
        <w:instrText xml:space="preserve"> MACROBUTTON MTPlaceRef \* MERGEFORMAT </w:instrText>
      </w:r>
      <w:r w:rsidR="00D86FA3">
        <w:fldChar w:fldCharType="begin"/>
      </w:r>
      <w:r w:rsidR="00D86FA3">
        <w:instrText xml:space="preserve"> SEQ MTEqn \h \* MERGEFORMAT </w:instrText>
      </w:r>
      <w:r w:rsidR="00D86FA3">
        <w:fldChar w:fldCharType="end"/>
      </w:r>
      <w:r w:rsidR="00D86FA3">
        <w:instrText>(</w:instrText>
      </w:r>
      <w:r w:rsidR="00E44873">
        <w:fldChar w:fldCharType="begin"/>
      </w:r>
      <w:r w:rsidR="00E44873">
        <w:instrText xml:space="preserve"> SEQ MTEqn \c \* Arabic \* MERGEFORMAT </w:instrText>
      </w:r>
      <w:r w:rsidR="00E44873">
        <w:fldChar w:fldCharType="separate"/>
      </w:r>
      <w:r w:rsidR="00D2784C">
        <w:rPr>
          <w:noProof/>
        </w:rPr>
        <w:instrText>2</w:instrText>
      </w:r>
      <w:r w:rsidR="00E44873">
        <w:rPr>
          <w:noProof/>
        </w:rPr>
        <w:fldChar w:fldCharType="end"/>
      </w:r>
      <w:r w:rsidR="00D86FA3">
        <w:instrText>)</w:instrText>
      </w:r>
      <w:r w:rsidR="00D86FA3">
        <w:fldChar w:fldCharType="end"/>
      </w:r>
    </w:p>
    <w:p w14:paraId="41D675E7" w14:textId="2A25D644" w:rsidR="00894082" w:rsidRDefault="004D78E6" w:rsidP="001F65A6">
      <w:pPr>
        <w:spacing w:after="0" w:line="240" w:lineRule="auto"/>
        <w:jc w:val="both"/>
      </w:pPr>
      <w:r>
        <w:t xml:space="preserve">The off-diagonal terms of </w:t>
      </w:r>
      <w:r w:rsidR="009E153D" w:rsidRPr="009E153D">
        <w:rPr>
          <w:b/>
          <w:bCs/>
        </w:rPr>
        <w:t>Σ</w:t>
      </w:r>
      <w:r w:rsidR="00225E4D">
        <w:t xml:space="preserve"> capture </w:t>
      </w:r>
      <w:r w:rsidR="00E7524D">
        <w:t xml:space="preserve">error </w:t>
      </w:r>
      <w:r w:rsidR="00523732">
        <w:t>correlations</w:t>
      </w:r>
      <w:r w:rsidR="00E7524D">
        <w:t xml:space="preserve"> </w:t>
      </w:r>
      <w:r w:rsidR="00E64FDB">
        <w:t>among</w:t>
      </w:r>
      <w:r w:rsidR="00E7524D">
        <w:t xml:space="preserve"> the underlying latent </w:t>
      </w:r>
      <w:r w:rsidR="00E64FDB">
        <w:t>propensities of the endogenous outcomes</w:t>
      </w:r>
      <w:r w:rsidR="00E7524D">
        <w:t xml:space="preserve">, accommodating the presence of unobserved </w:t>
      </w:r>
      <w:r w:rsidR="002979FC">
        <w:t>variables</w:t>
      </w:r>
      <w:r w:rsidR="00E7524D">
        <w:t xml:space="preserve"> that </w:t>
      </w:r>
      <w:r w:rsidR="002979FC">
        <w:t xml:space="preserve">jointly influence </w:t>
      </w:r>
      <w:r w:rsidR="003D0134">
        <w:t xml:space="preserve">multiple outcomes. </w:t>
      </w:r>
      <w:r w:rsidR="0020340F">
        <w:t xml:space="preserve">If all the correlation terms </w:t>
      </w:r>
      <w:r w:rsidR="009E153D" w:rsidRPr="006A2270">
        <w:rPr>
          <w:position w:val="-14"/>
        </w:rPr>
        <w:object w:dxaOrig="300" w:dyaOrig="380" w14:anchorId="24902216">
          <v:shape id="_x0000_i1050" type="#_x0000_t75" alt="P93#yIS2" style="width:15pt;height:18.85pt" o:ole="" o:preferrelative="f">
            <v:imagedata r:id="rId58" o:title=""/>
            <o:lock v:ext="edit" aspectratio="f"/>
          </v:shape>
          <o:OLEObject Type="Embed" ProgID="Equation.DSMT4" ShapeID="_x0000_i1050" DrawAspect="Content" ObjectID="_1782809826" r:id="rId59"/>
        </w:object>
      </w:r>
      <w:r w:rsidR="006A2270">
        <w:t xml:space="preserve"> </w:t>
      </w:r>
      <w:r w:rsidR="00152FC2">
        <w:t xml:space="preserve">are zero, </w:t>
      </w:r>
      <w:r w:rsidR="006E68F6">
        <w:t>then</w:t>
      </w:r>
      <w:r w:rsidR="00152FC2">
        <w:t xml:space="preserve"> this modeling system collapses to a series of independent </w:t>
      </w:r>
      <w:r w:rsidR="00894082">
        <w:t>ordered response</w:t>
      </w:r>
      <w:r w:rsidR="00152FC2">
        <w:t xml:space="preserve"> models. </w:t>
      </w:r>
      <w:r w:rsidR="00A50DBC">
        <w:t>Now,</w:t>
      </w:r>
      <w:r w:rsidR="00A50DBC" w:rsidRPr="004B0C88">
        <w:t xml:space="preserve"> define a vector </w:t>
      </w:r>
      <w:r w:rsidR="009E153D" w:rsidRPr="007F18E6">
        <w:rPr>
          <w:position w:val="-6"/>
        </w:rPr>
        <w:object w:dxaOrig="200" w:dyaOrig="279" w14:anchorId="4CF75648">
          <v:shape id="_x0000_i1051" type="#_x0000_t75" style="width:10.3pt;height:13.7pt" o:ole="" o:preferrelative="f">
            <v:imagedata r:id="rId60" o:title=""/>
            <o:lock v:ext="edit" aspectratio="f"/>
          </v:shape>
          <o:OLEObject Type="Embed" ProgID="Equation.DSMT4" ShapeID="_x0000_i1051" DrawAspect="Content" ObjectID="_1782809827" r:id="rId61"/>
        </w:object>
      </w:r>
      <w:r w:rsidR="00A50DBC" w:rsidRPr="004B0C88">
        <w:t xml:space="preserve"> </w:t>
      </w:r>
      <w:r w:rsidR="00A50DBC" w:rsidRPr="004B0C88">
        <w:rPr>
          <w:noProof/>
        </w:rPr>
        <w:t>t</w:t>
      </w:r>
      <w:r w:rsidR="00A50DBC">
        <w:rPr>
          <w:noProof/>
        </w:rPr>
        <w:t xml:space="preserve">hat </w:t>
      </w:r>
      <w:r w:rsidR="00A50DBC" w:rsidRPr="004B0C88">
        <w:rPr>
          <w:noProof/>
        </w:rPr>
        <w:t>collect</w:t>
      </w:r>
      <w:r w:rsidR="00A50DBC">
        <w:rPr>
          <w:noProof/>
        </w:rPr>
        <w:t>s</w:t>
      </w:r>
      <w:r w:rsidR="00A50DBC" w:rsidRPr="004B0C88">
        <w:rPr>
          <w:noProof/>
        </w:rPr>
        <w:t xml:space="preserve"> </w:t>
      </w:r>
      <w:r w:rsidR="00A50DBC">
        <w:rPr>
          <w:noProof/>
        </w:rPr>
        <w:t xml:space="preserve">the </w:t>
      </w:r>
      <w:r w:rsidR="00A50DBC" w:rsidRPr="004B0C88">
        <w:rPr>
          <w:noProof/>
        </w:rPr>
        <w:t>parameters to be estimated</w:t>
      </w:r>
      <w:r w:rsidR="00A50DBC">
        <w:rPr>
          <w:noProof/>
        </w:rPr>
        <w:t xml:space="preserve">: </w:t>
      </w:r>
      <w:r w:rsidR="009E153D" w:rsidRPr="007F18E6">
        <w:rPr>
          <w:position w:val="-26"/>
        </w:rPr>
        <w:object w:dxaOrig="3560" w:dyaOrig="740" w14:anchorId="47B5E691">
          <v:shape id="_x0000_i1052" type="#_x0000_t75" style="width:177.85pt;height:36.85pt" o:ole="" o:preferrelative="f">
            <v:imagedata r:id="rId62" o:title=""/>
            <o:lock v:ext="edit" aspectratio="f"/>
          </v:shape>
          <o:OLEObject Type="Embed" ProgID="Equation.DSMT4" ShapeID="_x0000_i1052" DrawAspect="Content" ObjectID="_1782809828" r:id="rId63"/>
        </w:object>
      </w:r>
      <w:r w:rsidR="00A50DBC">
        <w:t xml:space="preserve"> </w:t>
      </w:r>
      <w:r w:rsidR="00A50DBC" w:rsidRPr="004B0C88">
        <w:rPr>
          <w:noProof/>
        </w:rPr>
        <w:t xml:space="preserve">where the operator </w:t>
      </w:r>
      <w:r w:rsidR="00A50DBC">
        <w:rPr>
          <w:noProof/>
        </w:rPr>
        <w:t>“Vech(.)”</w:t>
      </w:r>
      <w:r w:rsidR="00A50DBC">
        <w:t xml:space="preserve"> </w:t>
      </w:r>
      <w:r w:rsidR="00A50DBC" w:rsidRPr="004B0C88">
        <w:lastRenderedPageBreak/>
        <w:t>row-</w:t>
      </w:r>
      <w:r w:rsidR="00A50DBC" w:rsidRPr="004B0C88">
        <w:rPr>
          <w:noProof/>
        </w:rPr>
        <w:t>vectorizes all the non-zero elements of the matrix/vector on which it operates, and the operator</w:t>
      </w:r>
      <w:r w:rsidR="00A50DBC" w:rsidRPr="006312A4">
        <w:rPr>
          <w:noProof/>
        </w:rPr>
        <w:t xml:space="preserve"> </w:t>
      </w:r>
      <w:r w:rsidR="00A50DBC">
        <w:rPr>
          <w:noProof/>
        </w:rPr>
        <w:t xml:space="preserve">Vechup(.) </w:t>
      </w:r>
      <w:r w:rsidR="00A50DBC" w:rsidRPr="004B0C88">
        <w:t>row-vectorizes the upper diagonal elements of a matrix.</w:t>
      </w:r>
    </w:p>
    <w:p w14:paraId="78479A57" w14:textId="04831D9B" w:rsidR="001F65A6" w:rsidRDefault="009A334E" w:rsidP="009E153D">
      <w:pPr>
        <w:spacing w:after="0" w:line="276" w:lineRule="auto"/>
        <w:ind w:firstLine="720"/>
        <w:jc w:val="both"/>
      </w:pPr>
      <w:r>
        <w:rPr>
          <w:noProof/>
        </w:rPr>
        <w:t>L</w:t>
      </w:r>
      <w:r w:rsidRPr="004B0C88">
        <w:rPr>
          <w:noProof/>
        </w:rPr>
        <w:t xml:space="preserve">et </w:t>
      </w:r>
      <w:r>
        <w:rPr>
          <w:noProof/>
        </w:rPr>
        <w:t xml:space="preserve">the </w:t>
      </w:r>
      <w:r w:rsidRPr="004B0C88">
        <w:rPr>
          <w:noProof/>
        </w:rPr>
        <w:t xml:space="preserve">individual under consideration </w:t>
      </w:r>
      <w:r>
        <w:rPr>
          <w:noProof/>
        </w:rPr>
        <w:t xml:space="preserve">select level </w:t>
      </w:r>
      <w:r>
        <w:rPr>
          <w:i/>
          <w:iCs/>
          <w:noProof/>
        </w:rPr>
        <w:t>m</w:t>
      </w:r>
      <w:r w:rsidRPr="002C6FFE">
        <w:rPr>
          <w:i/>
          <w:iCs/>
          <w:noProof/>
          <w:vertAlign w:val="subscript"/>
        </w:rPr>
        <w:t>i</w:t>
      </w:r>
      <w:r w:rsidRPr="004B0C88">
        <w:rPr>
          <w:noProof/>
        </w:rPr>
        <w:t xml:space="preserve"> </w:t>
      </w:r>
      <w:r w:rsidR="009E153D" w:rsidRPr="00AD0437">
        <w:rPr>
          <w:position w:val="-10"/>
        </w:rPr>
        <w:object w:dxaOrig="1280" w:dyaOrig="320" w14:anchorId="161E9D03">
          <v:shape id="_x0000_i1053" type="#_x0000_t75" alt="P87#yIS4" style="width:63.85pt;height:15.85pt" o:ole="">
            <v:imagedata r:id="rId10" o:title=""/>
          </v:shape>
          <o:OLEObject Type="Embed" ProgID="Equation.DSMT4" ShapeID="_x0000_i1053" DrawAspect="Content" ObjectID="_1782809829" r:id="rId64"/>
        </w:object>
      </w:r>
      <w:r>
        <w:rPr>
          <w:noProof/>
        </w:rPr>
        <w:t>.</w:t>
      </w:r>
      <w:r w:rsidRPr="004B0C88">
        <w:t xml:space="preserve"> </w:t>
      </w:r>
      <w:r>
        <w:rPr>
          <w:noProof/>
        </w:rPr>
        <w:t>S</w:t>
      </w:r>
      <w:r w:rsidRPr="004B0C88">
        <w:rPr>
          <w:noProof/>
        </w:rPr>
        <w:t xml:space="preserve">tack the lower thresholds </w:t>
      </w:r>
      <w:r w:rsidR="009E153D" w:rsidRPr="007F18E6">
        <w:rPr>
          <w:position w:val="-18"/>
        </w:rPr>
        <w:object w:dxaOrig="580" w:dyaOrig="420" w14:anchorId="76A8A95D">
          <v:shape id="_x0000_i1054" type="#_x0000_t75" style="width:28.7pt;height:21pt" o:ole="" o:preferrelative="f">
            <v:imagedata r:id="rId65" o:title=""/>
            <o:lock v:ext="edit" aspectratio="f"/>
          </v:shape>
          <o:OLEObject Type="Embed" ProgID="Equation.DSMT4" ShapeID="_x0000_i1054" DrawAspect="Content" ObjectID="_1782809830" r:id="rId66"/>
        </w:object>
      </w:r>
      <w:r w:rsidRPr="004B0C88">
        <w:t xml:space="preserve"> </w:t>
      </w:r>
      <w:r>
        <w:t xml:space="preserve">and the </w:t>
      </w:r>
      <w:r w:rsidRPr="004B0C88">
        <w:rPr>
          <w:noProof/>
        </w:rPr>
        <w:t>upper thresholds</w:t>
      </w:r>
      <w:r>
        <w:rPr>
          <w:noProof/>
        </w:rPr>
        <w:t xml:space="preserve"> </w:t>
      </w:r>
      <w:r w:rsidR="009E153D" w:rsidRPr="007F18E6">
        <w:rPr>
          <w:position w:val="-18"/>
        </w:rPr>
        <w:object w:dxaOrig="440" w:dyaOrig="420" w14:anchorId="07FCEC7C">
          <v:shape id="_x0000_i1055" type="#_x0000_t75" style="width:22.3pt;height:21pt" o:ole="" o:preferrelative="f">
            <v:imagedata r:id="rId67" o:title=""/>
            <o:lock v:ext="edit" aspectratio="f"/>
          </v:shape>
          <o:OLEObject Type="Embed" ProgID="Equation.DSMT4" ShapeID="_x0000_i1055" DrawAspect="Content" ObjectID="_1782809831" r:id="rId68"/>
        </w:object>
      </w:r>
      <w:r>
        <w:t xml:space="preserve">for the individual into </w:t>
      </w:r>
      <w:r>
        <w:rPr>
          <w:noProof/>
        </w:rPr>
        <w:t>(</w:t>
      </w:r>
      <w:r>
        <w:rPr>
          <w:i/>
        </w:rPr>
        <w:t>I</w:t>
      </w:r>
      <w:r w:rsidRPr="004B0C88">
        <w:rPr>
          <w:i/>
        </w:rPr>
        <w:t>×</w:t>
      </w:r>
      <w:r w:rsidRPr="004B0C88">
        <w:t>1</w:t>
      </w:r>
      <w:r>
        <w:rPr>
          <w:noProof/>
        </w:rPr>
        <w:t>)</w:t>
      </w:r>
      <w:r>
        <w:t xml:space="preserve"> </w:t>
      </w:r>
      <w:r w:rsidRPr="004B0C88">
        <w:rPr>
          <w:noProof/>
        </w:rPr>
        <w:t>vector</w:t>
      </w:r>
      <w:r>
        <w:rPr>
          <w:noProof/>
        </w:rPr>
        <w:t xml:space="preserve">s </w:t>
      </w:r>
      <w:r w:rsidR="009E153D" w:rsidRPr="0070427B">
        <w:rPr>
          <w:position w:val="-12"/>
        </w:rPr>
        <w:object w:dxaOrig="400" w:dyaOrig="360" w14:anchorId="3F765091">
          <v:shape id="_x0000_i1056" type="#_x0000_t75" style="width:20.15pt;height:18pt" o:ole="" o:preferrelative="f">
            <v:imagedata r:id="rId69" o:title=""/>
            <o:lock v:ext="edit" aspectratio="f"/>
          </v:shape>
          <o:OLEObject Type="Embed" ProgID="Equation.DSMT4" ShapeID="_x0000_i1056" DrawAspect="Content" ObjectID="_1782809832" r:id="rId70"/>
        </w:object>
      </w:r>
      <w:r w:rsidRPr="004B0C88">
        <w:rPr>
          <w:noProof/>
          <w:position w:val="-12"/>
        </w:rPr>
        <w:t xml:space="preserve"> </w:t>
      </w:r>
      <w:r w:rsidRPr="004B0C88">
        <w:rPr>
          <w:noProof/>
        </w:rPr>
        <w:t xml:space="preserve">and </w:t>
      </w:r>
      <w:r w:rsidR="009E153D" w:rsidRPr="00D22A5B">
        <w:rPr>
          <w:position w:val="-14"/>
        </w:rPr>
        <w:object w:dxaOrig="540" w:dyaOrig="380" w14:anchorId="7604A8F7">
          <v:shape id="_x0000_i1057" type="#_x0000_t75" style="width:27.45pt;height:18.85pt" o:ole="" o:preferrelative="f">
            <v:imagedata r:id="rId71" o:title=""/>
            <o:lock v:ext="edit" aspectratio="f"/>
          </v:shape>
          <o:OLEObject Type="Embed" ProgID="Equation.DSMT4" ShapeID="_x0000_i1057" DrawAspect="Content" ObjectID="_1782809833" r:id="rId72"/>
        </w:object>
      </w:r>
      <w:r w:rsidR="00A50DBC">
        <w:t>respectively.</w:t>
      </w:r>
      <w:r w:rsidRPr="004B0C88">
        <w:rPr>
          <w:noProof/>
        </w:rPr>
        <w:t xml:space="preserve"> Then, in matrix form</w:t>
      </w:r>
      <w:r>
        <w:rPr>
          <w:noProof/>
        </w:rPr>
        <w:t xml:space="preserve">, </w:t>
      </w:r>
      <w:r w:rsidRPr="004B0C88">
        <w:rPr>
          <w:noProof/>
        </w:rPr>
        <w:t xml:space="preserve">the latent propensities underlying the </w:t>
      </w:r>
      <w:r>
        <w:rPr>
          <w:noProof/>
        </w:rPr>
        <w:t xml:space="preserve">observed </w:t>
      </w:r>
      <w:r w:rsidRPr="004B0C88">
        <w:rPr>
          <w:noProof/>
        </w:rPr>
        <w:t>multivariate outcome</w:t>
      </w:r>
      <w:r>
        <w:rPr>
          <w:noProof/>
        </w:rPr>
        <w:t xml:space="preserve"> for the individual should satisfy </w:t>
      </w:r>
      <w:r w:rsidRPr="004B0C88">
        <w:rPr>
          <w:noProof/>
        </w:rPr>
        <w:t>:</w:t>
      </w:r>
    </w:p>
    <w:p w14:paraId="09A7F75E" w14:textId="651314FD" w:rsidR="001F65A6" w:rsidRDefault="009E153D" w:rsidP="009E153D">
      <w:pPr>
        <w:spacing w:before="120" w:after="120" w:line="276" w:lineRule="auto"/>
        <w:jc w:val="both"/>
      </w:pPr>
      <w:r w:rsidRPr="005C237C">
        <w:rPr>
          <w:position w:val="-12"/>
        </w:rPr>
        <w:object w:dxaOrig="1160" w:dyaOrig="380" w14:anchorId="55B9E39E">
          <v:shape id="_x0000_i1058" type="#_x0000_t75" style="width:58.3pt;height:18.85pt" o:ole="" o:preferrelative="f">
            <v:imagedata r:id="rId73" o:title=""/>
            <o:lock v:ext="edit" aspectratio="f"/>
          </v:shape>
          <o:OLEObject Type="Embed" ProgID="Equation.DSMT4" ShapeID="_x0000_i1058" DrawAspect="Content" ObjectID="_1782809834" r:id="rId74"/>
        </w:object>
      </w:r>
      <w:r w:rsidR="009A334E" w:rsidRPr="004B0C88">
        <w:t xml:space="preserve">, </w:t>
      </w:r>
      <w:r w:rsidRPr="007F18E6">
        <w:rPr>
          <w:position w:val="-14"/>
        </w:rPr>
        <w:object w:dxaOrig="1500" w:dyaOrig="400" w14:anchorId="575E05BB">
          <v:shape id="_x0000_i1059" type="#_x0000_t75" style="width:75pt;height:20.15pt" o:ole="" o:preferrelative="f">
            <v:imagedata r:id="rId75" o:title=""/>
            <o:lock v:ext="edit" aspectratio="f"/>
          </v:shape>
          <o:OLEObject Type="Embed" ProgID="Equation.DSMT4" ShapeID="_x0000_i1059" DrawAspect="Content" ObjectID="_1782809835" r:id="rId76"/>
        </w:object>
      </w:r>
      <w:r w:rsidR="009A334E" w:rsidRPr="004B0C88">
        <w:t>,  where</w:t>
      </w:r>
      <w:r w:rsidR="009A334E">
        <w:t xml:space="preserve"> </w:t>
      </w:r>
      <w:r w:rsidRPr="007F18E6">
        <w:rPr>
          <w:position w:val="-12"/>
        </w:rPr>
        <w:object w:dxaOrig="1939" w:dyaOrig="380" w14:anchorId="4D0EAEE6">
          <v:shape id="_x0000_i1060" type="#_x0000_t75" style="width:97.3pt;height:18.85pt" o:ole="" o:preferrelative="f">
            <v:imagedata r:id="rId77" o:title=""/>
            <o:lock v:ext="edit" aspectratio="f"/>
          </v:shape>
          <o:OLEObject Type="Embed" ProgID="Equation.DSMT4" ShapeID="_x0000_i1060" DrawAspect="Content" ObjectID="_1782809836" r:id="rId78"/>
        </w:object>
      </w:r>
      <w:r w:rsidR="001F65A6">
        <w:tab/>
      </w:r>
      <w:r w:rsidR="001F65A6">
        <w:tab/>
      </w:r>
      <w:r w:rsidR="001F65A6">
        <w:tab/>
      </w:r>
      <w:r w:rsidR="001F65A6">
        <w:tab/>
      </w:r>
      <w:r w:rsidR="001F65A6">
        <w:tab/>
        <w:t xml:space="preserve">       </w:t>
      </w:r>
      <w:r w:rsidR="001F65A6" w:rsidRPr="004B0C88">
        <w:rPr>
          <w:noProof/>
        </w:rPr>
        <w:t>(3)</w:t>
      </w:r>
    </w:p>
    <w:p w14:paraId="2F7915EE" w14:textId="45B120D1" w:rsidR="001F65A6" w:rsidRDefault="00A50DBC" w:rsidP="009E153D">
      <w:pPr>
        <w:spacing w:after="0" w:line="240" w:lineRule="auto"/>
        <w:jc w:val="both"/>
      </w:pPr>
      <w:r>
        <w:t xml:space="preserve">where </w:t>
      </w:r>
      <w:r w:rsidR="009E153D" w:rsidRPr="00D87B5F">
        <w:rPr>
          <w:position w:val="-12"/>
        </w:rPr>
        <w:object w:dxaOrig="1400" w:dyaOrig="360" w14:anchorId="5AAD350E">
          <v:shape id="_x0000_i1061" type="#_x0000_t75" style="width:69.85pt;height:18pt" o:ole="" o:preferrelative="f">
            <v:imagedata r:id="rId79" o:title=""/>
            <o:lock v:ext="edit" aspectratio="f"/>
          </v:shape>
          <o:OLEObject Type="Embed" ProgID="Equation.DSMT4" ShapeID="_x0000_i1061" DrawAspect="Content" ObjectID="_1782809837" r:id="rId80"/>
        </w:object>
      </w:r>
      <w:r>
        <w:t xml:space="preserve"> stands for the multivariate normal distribution with mean </w:t>
      </w:r>
      <w:r w:rsidR="009E153D" w:rsidRPr="001C1AF7">
        <w:rPr>
          <w:position w:val="-10"/>
        </w:rPr>
        <w:object w:dxaOrig="380" w:dyaOrig="320" w14:anchorId="4F1A8AE5">
          <v:shape id="_x0000_i1062" type="#_x0000_t75" style="width:18.85pt;height:15.85pt" o:ole="" o:preferrelative="f">
            <v:imagedata r:id="rId81" o:title=""/>
            <o:lock v:ext="edit" aspectratio="f"/>
          </v:shape>
          <o:OLEObject Type="Embed" ProgID="Equation.DSMT4" ShapeID="_x0000_i1062" DrawAspect="Content" ObjectID="_1782809838" r:id="rId82"/>
        </w:object>
      </w:r>
      <w:r>
        <w:t xml:space="preserve"> and correlation matrix </w:t>
      </w:r>
      <w:r w:rsidR="009E153D" w:rsidRPr="009E153D">
        <w:rPr>
          <w:b/>
          <w:bCs/>
        </w:rPr>
        <w:t>Σ</w:t>
      </w:r>
      <w:r>
        <w:t xml:space="preserve">. </w:t>
      </w:r>
      <w:r w:rsidR="009A334E" w:rsidRPr="004B0C88">
        <w:rPr>
          <w:noProof/>
        </w:rPr>
        <w:t xml:space="preserve"> </w:t>
      </w:r>
      <w:r>
        <w:rPr>
          <w:noProof/>
        </w:rPr>
        <w:t>T</w:t>
      </w:r>
      <w:r w:rsidRPr="004B0C88">
        <w:rPr>
          <w:noProof/>
        </w:rPr>
        <w:t>he</w:t>
      </w:r>
      <w:r>
        <w:rPr>
          <w:noProof/>
        </w:rPr>
        <w:t xml:space="preserve"> individual’s</w:t>
      </w:r>
      <w:r w:rsidRPr="004B0C88">
        <w:rPr>
          <w:noProof/>
        </w:rPr>
        <w:t xml:space="preserve"> likelihood function may be written as:</w:t>
      </w:r>
    </w:p>
    <w:p w14:paraId="4D734095" w14:textId="4D490592" w:rsidR="00A50DBC" w:rsidRPr="004B0C88" w:rsidRDefault="009E153D" w:rsidP="009E153D">
      <w:pPr>
        <w:tabs>
          <w:tab w:val="right" w:pos="9360"/>
        </w:tabs>
        <w:spacing w:before="120" w:after="0" w:line="276" w:lineRule="auto"/>
        <w:jc w:val="both"/>
        <w:rPr>
          <w:noProof/>
        </w:rPr>
      </w:pPr>
      <w:r w:rsidRPr="007F18E6">
        <w:rPr>
          <w:position w:val="-16"/>
        </w:rPr>
        <w:object w:dxaOrig="2799" w:dyaOrig="440" w14:anchorId="73AE9577">
          <v:shape id="_x0000_i1063" type="#_x0000_t75" style="width:139.7pt;height:22.3pt" o:ole="" o:preferrelative="f">
            <v:imagedata r:id="rId83" o:title=""/>
            <o:lock v:ext="edit" aspectratio="f"/>
          </v:shape>
          <o:OLEObject Type="Embed" ProgID="Equation.DSMT4" ShapeID="_x0000_i1063" DrawAspect="Content" ObjectID="_1782809839" r:id="rId84"/>
        </w:object>
      </w:r>
      <w:r w:rsidR="00A50DBC" w:rsidRPr="004B0C88">
        <w:rPr>
          <w:noProof/>
        </w:rPr>
        <w:t xml:space="preserve">                                 </w:t>
      </w:r>
      <w:r w:rsidR="00A50DBC" w:rsidRPr="004B0C88">
        <w:rPr>
          <w:noProof/>
          <w:lang w:eastAsia="zh-CN"/>
        </w:rPr>
        <w:t xml:space="preserve">                                 </w:t>
      </w:r>
      <w:r w:rsidR="00A50DBC" w:rsidRPr="004B0C88">
        <w:rPr>
          <w:b/>
          <w:noProof/>
        </w:rPr>
        <w:tab/>
        <w:t xml:space="preserve">   </w:t>
      </w:r>
    </w:p>
    <w:p w14:paraId="6BAC598A" w14:textId="056781EB" w:rsidR="001F65A6" w:rsidRDefault="009E153D" w:rsidP="009E153D">
      <w:pPr>
        <w:spacing w:after="0" w:line="276" w:lineRule="auto"/>
        <w:jc w:val="both"/>
      </w:pPr>
      <w:r w:rsidRPr="007F18E6">
        <w:rPr>
          <w:position w:val="-34"/>
        </w:rPr>
        <w:object w:dxaOrig="2480" w:dyaOrig="620" w14:anchorId="0BA8F623">
          <v:shape id="_x0000_i1064" type="#_x0000_t75" style="width:123.85pt;height:30.85pt" o:ole="" o:preferrelative="f">
            <v:imagedata r:id="rId85" o:title=""/>
            <o:lock v:ext="edit" aspectratio="f"/>
          </v:shape>
          <o:OLEObject Type="Embed" ProgID="Equation.DSMT4" ShapeID="_x0000_i1064" DrawAspect="Content" ObjectID="_1782809840" r:id="rId86"/>
        </w:object>
      </w:r>
      <w:r w:rsidR="00A50DBC">
        <w:tab/>
      </w:r>
      <w:r w:rsidR="00A50DBC">
        <w:tab/>
      </w:r>
      <w:r w:rsidR="00A50DBC">
        <w:tab/>
      </w:r>
      <w:r w:rsidR="00A50DBC">
        <w:tab/>
      </w:r>
      <w:r w:rsidR="00A50DBC">
        <w:tab/>
      </w:r>
      <w:r w:rsidR="00A50DBC">
        <w:tab/>
      </w:r>
      <w:r w:rsidR="00A50DBC">
        <w:tab/>
      </w:r>
      <w:r w:rsidR="00A50DBC">
        <w:tab/>
      </w:r>
      <w:r w:rsidR="00A50DBC">
        <w:tab/>
        <w:t xml:space="preserve">       </w:t>
      </w:r>
      <w:r w:rsidR="00A50DBC" w:rsidRPr="004B0C88">
        <w:rPr>
          <w:noProof/>
        </w:rPr>
        <w:t>(</w:t>
      </w:r>
      <w:r w:rsidR="001F65A6">
        <w:rPr>
          <w:noProof/>
        </w:rPr>
        <w:t>4</w:t>
      </w:r>
      <w:r w:rsidR="00A50DBC" w:rsidRPr="004B0C88">
        <w:rPr>
          <w:noProof/>
        </w:rPr>
        <w:t>)</w:t>
      </w:r>
    </w:p>
    <w:p w14:paraId="2A7531FC" w14:textId="033C7FEF" w:rsidR="001245FB" w:rsidRPr="00FC03D0" w:rsidRDefault="00A50DBC" w:rsidP="001F65A6">
      <w:pPr>
        <w:spacing w:after="0" w:line="240" w:lineRule="auto"/>
        <w:jc w:val="both"/>
      </w:pPr>
      <w:r w:rsidRPr="004B0C88">
        <w:rPr>
          <w:noProof/>
        </w:rPr>
        <w:t xml:space="preserve">where the integration domain </w:t>
      </w:r>
      <w:r w:rsidR="009E153D" w:rsidRPr="007F18E6">
        <w:rPr>
          <w:position w:val="-14"/>
        </w:rPr>
        <w:object w:dxaOrig="2340" w:dyaOrig="380" w14:anchorId="6BF75296">
          <v:shape id="_x0000_i1065" type="#_x0000_t75" style="width:117.45pt;height:18.85pt" o:ole="" o:preferrelative="f">
            <v:imagedata r:id="rId87" o:title=""/>
            <o:lock v:ext="edit" aspectratio="f"/>
          </v:shape>
          <o:OLEObject Type="Embed" ProgID="Equation.DSMT4" ShapeID="_x0000_i1065" DrawAspect="Content" ObjectID="_1782809841" r:id="rId88"/>
        </w:object>
      </w:r>
      <w:r w:rsidRPr="004B0C88">
        <w:rPr>
          <w:noProof/>
        </w:rPr>
        <w:t xml:space="preserve"> is simply the multivariate region of the</w:t>
      </w:r>
      <w:r>
        <w:rPr>
          <w:noProof/>
        </w:rPr>
        <w:t xml:space="preserve"> </w:t>
      </w:r>
      <w:r w:rsidR="003E55F4" w:rsidRPr="00D22A5B">
        <w:rPr>
          <w:position w:val="-12"/>
        </w:rPr>
        <w:object w:dxaOrig="279" w:dyaOrig="380" w14:anchorId="0A283556">
          <v:shape id="_x0000_i1066" type="#_x0000_t75" style="width:13.7pt;height:18.85pt" o:ole="" o:preferrelative="f">
            <v:imagedata r:id="rId89" o:title=""/>
            <o:lock v:ext="edit" aspectratio="f"/>
          </v:shape>
          <o:OLEObject Type="Embed" ProgID="Equation.DSMT4" ShapeID="_x0000_i1066" DrawAspect="Content" ObjectID="_1782809842" r:id="rId90"/>
        </w:object>
      </w:r>
      <w:r>
        <w:t xml:space="preserve"> v</w:t>
      </w:r>
      <w:r w:rsidRPr="004B0C88">
        <w:rPr>
          <w:noProof/>
        </w:rPr>
        <w:t xml:space="preserve">ector </w:t>
      </w:r>
      <w:r>
        <w:rPr>
          <w:noProof/>
        </w:rPr>
        <w:t xml:space="preserve">truncated by </w:t>
      </w:r>
      <w:r w:rsidRPr="004B0C88">
        <w:rPr>
          <w:noProof/>
        </w:rPr>
        <w:t xml:space="preserve">the upper and lower thresholds. </w:t>
      </w:r>
      <w:r w:rsidR="009E153D" w:rsidRPr="007F18E6">
        <w:rPr>
          <w:position w:val="-12"/>
        </w:rPr>
        <w:object w:dxaOrig="1240" w:dyaOrig="360" w14:anchorId="4392ECFF">
          <v:shape id="_x0000_i1067" type="#_x0000_t75" style="width:62.15pt;height:18pt" o:ole="" o:preferrelative="f">
            <v:imagedata r:id="rId91" o:title=""/>
            <o:lock v:ext="edit" aspectratio="f"/>
          </v:shape>
          <o:OLEObject Type="Embed" ProgID="Equation.DSMT4" ShapeID="_x0000_i1067" DrawAspect="Content" ObjectID="_1782809843" r:id="rId92"/>
        </w:object>
      </w:r>
      <w:r>
        <w:t xml:space="preserve"> </w:t>
      </w:r>
      <w:r w:rsidRPr="004B0C88">
        <w:rPr>
          <w:noProof/>
        </w:rPr>
        <w:t xml:space="preserve">is the MVN density function of dimension </w:t>
      </w:r>
      <w:r w:rsidRPr="0070427B">
        <w:rPr>
          <w:i/>
          <w:iCs/>
          <w:noProof/>
        </w:rPr>
        <w:t>I</w:t>
      </w:r>
      <w:r w:rsidRPr="004B0C88">
        <w:rPr>
          <w:noProof/>
        </w:rPr>
        <w:t xml:space="preserve"> with a mean of </w:t>
      </w:r>
      <w:r w:rsidR="009E153D" w:rsidRPr="007F18E6">
        <w:rPr>
          <w:position w:val="-10"/>
        </w:rPr>
        <w:object w:dxaOrig="360" w:dyaOrig="320" w14:anchorId="769ADAC9">
          <v:shape id="_x0000_i1068" type="#_x0000_t75" style="width:18pt;height:15.85pt" o:ole="" o:preferrelative="f">
            <v:imagedata r:id="rId93" o:title=""/>
            <o:lock v:ext="edit" aspectratio="f"/>
          </v:shape>
          <o:OLEObject Type="Embed" ProgID="Equation.DSMT4" ShapeID="_x0000_i1068" DrawAspect="Content" ObjectID="_1782809844" r:id="rId94"/>
        </w:object>
      </w:r>
      <w:r w:rsidRPr="004B0C88">
        <w:t xml:space="preserve"> </w:t>
      </w:r>
      <w:r w:rsidRPr="004B0C88">
        <w:rPr>
          <w:noProof/>
        </w:rPr>
        <w:t>and a correlation matrix</w:t>
      </w:r>
      <w:r w:rsidRPr="00782C18">
        <w:t xml:space="preserve"> </w:t>
      </w:r>
      <w:r w:rsidR="009E153D" w:rsidRPr="009E153D">
        <w:rPr>
          <w:b/>
          <w:bCs/>
        </w:rPr>
        <w:t>Σ</w:t>
      </w:r>
      <w:r w:rsidRPr="004B0C88">
        <w:rPr>
          <w:noProof/>
        </w:rPr>
        <w:t xml:space="preserve">. </w:t>
      </w:r>
      <w:r w:rsidRPr="00A774E1">
        <w:rPr>
          <w:noProof/>
        </w:rPr>
        <w:t xml:space="preserve">The </w:t>
      </w:r>
      <w:r>
        <w:rPr>
          <w:noProof/>
        </w:rPr>
        <w:t>log-</w:t>
      </w:r>
      <w:r w:rsidRPr="00A774E1">
        <w:rPr>
          <w:noProof/>
        </w:rPr>
        <w:t xml:space="preserve">likelihood function for a sample of </w:t>
      </w:r>
      <w:r w:rsidRPr="00D87B5F">
        <w:rPr>
          <w:i/>
          <w:iCs/>
          <w:noProof/>
        </w:rPr>
        <w:t>Q</w:t>
      </w:r>
      <w:r w:rsidRPr="00A774E1">
        <w:rPr>
          <w:noProof/>
        </w:rPr>
        <w:t xml:space="preserve"> decision-makers is the </w:t>
      </w:r>
      <w:r>
        <w:rPr>
          <w:noProof/>
        </w:rPr>
        <w:t xml:space="preserve">sum </w:t>
      </w:r>
      <w:r w:rsidRPr="00A774E1">
        <w:rPr>
          <w:noProof/>
        </w:rPr>
        <w:t xml:space="preserve">of the individual-level </w:t>
      </w:r>
      <w:r>
        <w:rPr>
          <w:noProof/>
        </w:rPr>
        <w:t>log-</w:t>
      </w:r>
      <w:r w:rsidRPr="00A774E1">
        <w:rPr>
          <w:noProof/>
        </w:rPr>
        <w:t xml:space="preserve">likelihood functions. </w:t>
      </w:r>
      <w:r w:rsidR="002C4C66">
        <w:t>The integral in Equation (</w:t>
      </w:r>
      <w:r w:rsidR="001F65A6">
        <w:t>4</w:t>
      </w:r>
      <w:r w:rsidR="002C4C66">
        <w:t xml:space="preserve">) </w:t>
      </w:r>
      <w:r w:rsidR="00401C00">
        <w:t xml:space="preserve">involves up to a 11-dimensional integral, which </w:t>
      </w:r>
      <w:r w:rsidR="002C4C66">
        <w:t xml:space="preserve">is evaluated using </w:t>
      </w:r>
      <w:r w:rsidR="002C4C66">
        <w:rPr>
          <w:noProof/>
        </w:rPr>
        <w:t>r</w:t>
      </w:r>
      <w:r w:rsidR="002C4C66">
        <w:t xml:space="preserve">ecent matrix-based analytic approximation approaches </w:t>
      </w:r>
      <w:r w:rsidR="00D51EBB">
        <w:fldChar w:fldCharType="begin"/>
      </w:r>
      <w:r w:rsidR="00BE586B">
        <w:instrText xml:space="preserve"> ADDIN ZOTERO_ITEM CSL_CITATION {"citationID":"GLCDYNrs","properties":{"formattedCitation":"(Bhat, 2018)","plainCitation":"(Bhat, 2018)","dontUpdate":true,"noteIndex":0},"citationItems":[{"id":2026,"uris":["http://zotero.org/users/12832277/items/SHBDR4NL"],"itemData":{"id":2026,"type":"article-journal","abstract":"In this paper, we develop a new matrix-based implementation of the Mendell and Elston (ME) analytic approximation to evaluate the multivariate normal cumulative distribution (MVNCD) function, using an LDLT decomposition method followed by a rank 1 update of the LDLT factorization. Our implementation is easy to code for individuals familiar with matrix-based coding. Further, our new matrix-based implementation for the ME algorithm allows us to efficiently write the analytic matrix-based gradients of the approximated MVNCD function with respect to the abscissae and correlation parameters, an issue that is important in econometric model estimation. In addition, we propose four new analytic methods for approximating the MVNCD function. The paper then evaluates the ability of the multiple approximations for individual MVNCD evaluations as well as multinomial probit model estimation. As expected, in our tests for evaluating individual MVNCD functions, we found that the traditional GHK approach degrades rapidly as the dimensionality of integration increases. Concomitant with this degradation in accuracy is a rapid increase in computational time. The analytic approximation methods are also much more stable across different numbers of dimensions of integration, and even the simplest of these methods is superior to the GHK-500 beyond seven dimensions of integration. Based on all the evaluation results in this paper, we recommend the new Two-Variate Bivariate Screening (TVBS) method proposed in this paper as the evaluation approach for MVNCD function evaluation.","container-title":"Transportation Research Part B: Methodological","DOI":"10.1016/j.trb.2018.01.011","ISSN":"0191-2615","page":"238-256","source":"ScienceDirect","title":"New Matrix-Based Methods for the Analytic Evaluation of the Multivariate Cumulative Normal Distribution Function","volume":"109","author":[{"family":"Bhat","given":"Chandra R."}],"issued":{"date-parts":[["2018",3,1]]}}}],"schema":"https://github.com/citation-style-language/schema/raw/master/csl-citation.json"} </w:instrText>
      </w:r>
      <w:r w:rsidR="00D51EBB">
        <w:fldChar w:fldCharType="separate"/>
      </w:r>
      <w:r w:rsidR="00D51EBB" w:rsidRPr="00D51EBB">
        <w:t>(</w:t>
      </w:r>
      <w:r w:rsidR="00BD2552">
        <w:t xml:space="preserve">see </w:t>
      </w:r>
      <w:r w:rsidR="00D51EBB" w:rsidRPr="00D51EBB">
        <w:t>Bhat, 2018)</w:t>
      </w:r>
      <w:r w:rsidR="00D51EBB">
        <w:fldChar w:fldCharType="end"/>
      </w:r>
      <w:r w:rsidR="00D51EBB">
        <w:t xml:space="preserve">. </w:t>
      </w:r>
    </w:p>
    <w:p w14:paraId="24DA78AA" w14:textId="1C51F341" w:rsidR="00F714E8" w:rsidRDefault="000812C0" w:rsidP="001F65A6">
      <w:pPr>
        <w:spacing w:after="0" w:line="240" w:lineRule="auto"/>
        <w:ind w:firstLine="720"/>
        <w:jc w:val="both"/>
      </w:pPr>
      <w:r w:rsidRPr="00D87B5F">
        <w:t xml:space="preserve">As part of our joint system, </w:t>
      </w:r>
      <w:r>
        <w:t>and after controlling for unobserved correlation in the</w:t>
      </w:r>
      <w:r w:rsidR="009E153D">
        <w:t xml:space="preserve"> </w:t>
      </w:r>
      <w:r w:rsidR="009E153D" w:rsidRPr="009E153D">
        <w:rPr>
          <w:b/>
          <w:bCs/>
        </w:rPr>
        <w:t>Σ</w:t>
      </w:r>
      <w:r>
        <w:t xml:space="preserve"> matrix, </w:t>
      </w:r>
      <w:r w:rsidRPr="00D87B5F">
        <w:t xml:space="preserve">we </w:t>
      </w:r>
      <w:r>
        <w:t xml:space="preserve">can also incorporate the </w:t>
      </w:r>
      <w:r w:rsidR="001D51DA">
        <w:t xml:space="preserve">direct </w:t>
      </w:r>
      <w:r>
        <w:t>effect</w:t>
      </w:r>
      <w:r w:rsidR="001D51DA">
        <w:t>s</w:t>
      </w:r>
      <w:r>
        <w:t xml:space="preserve"> </w:t>
      </w:r>
      <w:r w:rsidR="0019104F">
        <w:t xml:space="preserve">of </w:t>
      </w:r>
      <w:r w:rsidR="001D51DA">
        <w:t>PPD</w:t>
      </w:r>
      <w:r w:rsidR="00D24539">
        <w:t>/PPD reasons</w:t>
      </w:r>
      <w:r w:rsidR="001D51DA">
        <w:t xml:space="preserve"> </w:t>
      </w:r>
      <w:r w:rsidR="0019104F">
        <w:t xml:space="preserve">on </w:t>
      </w:r>
      <w:r w:rsidR="001D51DA">
        <w:t xml:space="preserve">virtual participation </w:t>
      </w:r>
      <w:r w:rsidR="0019104F">
        <w:t>and virtual participation on PPD</w:t>
      </w:r>
      <w:r w:rsidR="00D24539">
        <w:t>/PPD reasons</w:t>
      </w:r>
      <w:r w:rsidR="001D51DA">
        <w:t xml:space="preserve">. </w:t>
      </w:r>
      <w:r>
        <w:t xml:space="preserve">However, in joint limited dependent outcome models of the type estimated in the current paper, it is possible only to identify one-way recursive effects </w:t>
      </w:r>
      <w:r w:rsidR="00867E2C">
        <w:fldChar w:fldCharType="begin"/>
      </w:r>
      <w:r w:rsidR="00374A3B">
        <w:instrText xml:space="preserve"> ADDIN ZOTERO_ITEM CSL_CITATION {"citationID":"laaGYBRO","properties":{"formattedCitation":"(Bhat, 2015)","plainCitation":"(Bhat, 2015)","dontUpdate":true,"noteIndex":0},"citationItems":[{"id":675,"uris":["http://zotero.org/users/12832277/items/E2IK5TA3"],"itemData":{"id":675,"type":"article-journal","abstract":"This paper formulates a generalized heterogeneous data model (GHDM) that jointly handles mixed types of dependent variables—including multiple nominal outcomes, multiple ordinal variables, and multiple count variables, as well as multiple continuous variables—by representing the covariance relationships among them through a reduced number of latent factors. Sufficiency conditions for identification of the GHDM parameters are presented. The maximum approximate composite marginal likelihood (MACML) method is proposed to estimate this jointly mixed model system. This estimation method provides computational time advantages since the dimensionality of integration in the likelihood function is independent of the number of latent factors. The study undertakes a simulation experiment within the virtual context of integrating residential location choice and travel behavior to evaluate the ability of the MACML approach to recover parameters. The simulation results show that the MACML approach effectively recovers underlying parameters, and also that ignoring the multi-dimensional nature of the relationship among mixed types of dependent variables can lead not only to inconsistent parameter estimation, but also have important implications for policy analysis.","container-title":"Transportation Research Part B: Methodological","DOI":"10.1016/j.trb.2015.05.017","ISSN":"0191-2615","language":"en","page":"50-77","source":"ScienceDirect","title":"A New Generalized Heterogeneous Data Model (GHDM) to Jointly Model Mixed Types of Dependent Variables","volume":"79","author":[{"family":"Bhat","given":"Chandra R."}],"issued":{"date-parts":[["2015",9,1]]}}}],"schema":"https://github.com/citation-style-language/schema/raw/master/csl-citation.json"} </w:instrText>
      </w:r>
      <w:r w:rsidR="00867E2C">
        <w:fldChar w:fldCharType="separate"/>
      </w:r>
      <w:r w:rsidR="00867E2C" w:rsidRPr="00867E2C">
        <w:t>(</w:t>
      </w:r>
      <w:r w:rsidR="00867E2C">
        <w:t xml:space="preserve">see </w:t>
      </w:r>
      <w:r w:rsidR="00867E2C" w:rsidRPr="00867E2C">
        <w:t>Bhat, 2015)</w:t>
      </w:r>
      <w:r w:rsidR="00867E2C">
        <w:fldChar w:fldCharType="end"/>
      </w:r>
      <w:r>
        <w:t xml:space="preserve">. In our empirical analysis, we tested </w:t>
      </w:r>
      <w:r w:rsidR="001D51DA">
        <w:t>both directionalities of effects; from PPD</w:t>
      </w:r>
      <w:r w:rsidR="00D24539">
        <w:t>/PPD reasons</w:t>
      </w:r>
      <w:r w:rsidR="001D51DA">
        <w:t xml:space="preserve"> to virtual participation and from virtual participation to PPD</w:t>
      </w:r>
      <w:r w:rsidR="00D24539">
        <w:t>/PPD reasons</w:t>
      </w:r>
      <w:r w:rsidR="001D51DA">
        <w:t xml:space="preserve">; </w:t>
      </w:r>
      <w:r w:rsidRPr="00D87B5F">
        <w:t xml:space="preserve">and </w:t>
      </w:r>
      <w:r>
        <w:t xml:space="preserve">selected the </w:t>
      </w:r>
      <w:r w:rsidRPr="00D87B5F">
        <w:t xml:space="preserve">one that outperforms the other based on data fit considerations. </w:t>
      </w:r>
      <w:r>
        <w:t xml:space="preserve">In our </w:t>
      </w:r>
      <w:r w:rsidRPr="00D87B5F">
        <w:t>final recursive configuration</w:t>
      </w:r>
      <w:r>
        <w:t>, both types of virtual participation (telework and deliveries) influenc</w:t>
      </w:r>
      <w:r w:rsidR="001D51DA">
        <w:t>ed</w:t>
      </w:r>
      <w:r>
        <w:t xml:space="preserve"> PPD</w:t>
      </w:r>
      <w:r w:rsidR="001D51DA">
        <w:t xml:space="preserve"> </w:t>
      </w:r>
      <w:r w:rsidR="00D24539">
        <w:t xml:space="preserve">and PPD reasons </w:t>
      </w:r>
      <w:r w:rsidR="001D51DA">
        <w:t>(however, note that the PPD</w:t>
      </w:r>
      <w:r w:rsidR="00D24539">
        <w:t>/PPD reasons</w:t>
      </w:r>
      <w:r w:rsidR="001D51DA">
        <w:t xml:space="preserve"> and virtual participation outcomes are jointly modeled as a package because of the correlation in unobserved factors)</w:t>
      </w:r>
      <w:r>
        <w:t xml:space="preserve">. </w:t>
      </w:r>
    </w:p>
    <w:p w14:paraId="409EF544" w14:textId="77777777" w:rsidR="001F65A6" w:rsidRPr="00867E2C" w:rsidRDefault="001F65A6" w:rsidP="003E55F4">
      <w:pPr>
        <w:spacing w:after="0" w:line="240" w:lineRule="auto"/>
        <w:jc w:val="both"/>
        <w:rPr>
          <w:rFonts w:eastAsiaTheme="minorEastAsia"/>
          <w:lang w:eastAsia="ko-KR"/>
        </w:rPr>
      </w:pPr>
    </w:p>
    <w:p w14:paraId="0EEA98F8" w14:textId="77777777" w:rsidR="00DC7402" w:rsidRDefault="00DC7402" w:rsidP="001F65A6">
      <w:pPr>
        <w:spacing w:after="0" w:line="240" w:lineRule="auto"/>
        <w:jc w:val="both"/>
      </w:pPr>
      <w:r w:rsidRPr="00DC7402">
        <w:rPr>
          <w:b/>
          <w:bCs/>
        </w:rPr>
        <w:t>4. RESULTS</w:t>
      </w:r>
    </w:p>
    <w:p w14:paraId="12B0A2B9" w14:textId="2894937D" w:rsidR="00650CB5" w:rsidRDefault="00F91A7A" w:rsidP="008B70FE">
      <w:pPr>
        <w:spacing w:after="0" w:line="240" w:lineRule="auto"/>
        <w:jc w:val="both"/>
        <w:rPr>
          <w:bCs/>
        </w:rPr>
      </w:pPr>
      <w:r>
        <w:rPr>
          <w:bCs/>
        </w:rPr>
        <w:t>The final model specification was developed through an iterative process of including exogenous variables in various</w:t>
      </w:r>
      <w:r w:rsidR="0019104F">
        <w:rPr>
          <w:bCs/>
        </w:rPr>
        <w:t xml:space="preserve"> functional</w:t>
      </w:r>
      <w:r>
        <w:rPr>
          <w:bCs/>
        </w:rPr>
        <w:t xml:space="preserve"> forms</w:t>
      </w:r>
      <w:r w:rsidR="0019104F">
        <w:rPr>
          <w:bCs/>
        </w:rPr>
        <w:t>/</w:t>
      </w:r>
      <w:r w:rsidR="00E65FFF">
        <w:rPr>
          <w:bCs/>
        </w:rPr>
        <w:t xml:space="preserve">combinations </w:t>
      </w:r>
      <w:r>
        <w:rPr>
          <w:bCs/>
        </w:rPr>
        <w:t xml:space="preserve">and testing the statistical fit. Categorical variables were initially included in their most disaggregate form and progressively combined based on statistical tests to yield a parsimonious specification. Additionally, in the model estimation process </w:t>
      </w:r>
      <w:r w:rsidR="00A3757E">
        <w:rPr>
          <w:bCs/>
        </w:rPr>
        <w:t>variables were retained or removed based on a t-statistic threshold of 1.</w:t>
      </w:r>
      <w:r w:rsidR="00A571FF">
        <w:rPr>
          <w:bCs/>
        </w:rPr>
        <w:t>65</w:t>
      </w:r>
      <w:r w:rsidR="00C10F70">
        <w:rPr>
          <w:bCs/>
        </w:rPr>
        <w:t xml:space="preserve"> (</w:t>
      </w:r>
      <w:r w:rsidR="00A3757E">
        <w:rPr>
          <w:bCs/>
        </w:rPr>
        <w:t>corresponding to a 90% confidence level</w:t>
      </w:r>
      <w:r w:rsidR="00C10F70">
        <w:rPr>
          <w:bCs/>
        </w:rPr>
        <w:t>)</w:t>
      </w:r>
      <w:r w:rsidR="00A571FF">
        <w:rPr>
          <w:bCs/>
        </w:rPr>
        <w:t xml:space="preserve"> for the </w:t>
      </w:r>
      <w:r w:rsidR="001D51DA">
        <w:rPr>
          <w:bCs/>
        </w:rPr>
        <w:t>PPD outcome</w:t>
      </w:r>
      <w:r w:rsidR="000E3DB5">
        <w:rPr>
          <w:bCs/>
        </w:rPr>
        <w:t xml:space="preserve"> and the </w:t>
      </w:r>
      <w:r w:rsidR="001D51DA">
        <w:rPr>
          <w:bCs/>
        </w:rPr>
        <w:t>two virtual participation outcomes</w:t>
      </w:r>
      <w:r w:rsidR="00A3757E">
        <w:rPr>
          <w:bCs/>
        </w:rPr>
        <w:t>.</w:t>
      </w:r>
      <w:r w:rsidR="000E3DB5">
        <w:rPr>
          <w:bCs/>
        </w:rPr>
        <w:t xml:space="preserve"> Due to the smaller number of participants with responses for the </w:t>
      </w:r>
      <w:r w:rsidR="001D51DA">
        <w:rPr>
          <w:bCs/>
        </w:rPr>
        <w:t xml:space="preserve">PPD </w:t>
      </w:r>
      <w:r w:rsidR="000E3DB5">
        <w:rPr>
          <w:bCs/>
        </w:rPr>
        <w:t>reasons, a lower t-statistic threshold of 1.28</w:t>
      </w:r>
      <w:r w:rsidR="00C10F70">
        <w:rPr>
          <w:bCs/>
        </w:rPr>
        <w:t xml:space="preserve"> (</w:t>
      </w:r>
      <w:r w:rsidR="000E3DB5">
        <w:rPr>
          <w:bCs/>
        </w:rPr>
        <w:t>corresponding to an 80% confidence level</w:t>
      </w:r>
      <w:r w:rsidR="00C10F70">
        <w:rPr>
          <w:bCs/>
        </w:rPr>
        <w:t>)</w:t>
      </w:r>
      <w:r w:rsidR="000E3DB5">
        <w:rPr>
          <w:bCs/>
        </w:rPr>
        <w:t xml:space="preserve"> was used</w:t>
      </w:r>
      <w:r w:rsidR="00003531">
        <w:rPr>
          <w:bCs/>
        </w:rPr>
        <w:t xml:space="preserve">. We must also note here that </w:t>
      </w:r>
      <w:r w:rsidR="00650CB5">
        <w:rPr>
          <w:bCs/>
        </w:rPr>
        <w:t xml:space="preserve">very few coefficients turned up to be significant at the 80% level, </w:t>
      </w:r>
      <w:r w:rsidR="001D51DA">
        <w:rPr>
          <w:bCs/>
        </w:rPr>
        <w:t xml:space="preserve">but </w:t>
      </w:r>
      <w:r w:rsidR="00650CB5">
        <w:rPr>
          <w:bCs/>
        </w:rPr>
        <w:t xml:space="preserve">not at the 90% level; removing </w:t>
      </w:r>
      <w:r w:rsidR="00003531">
        <w:rPr>
          <w:bCs/>
        </w:rPr>
        <w:t>such</w:t>
      </w:r>
      <w:r w:rsidR="00650CB5">
        <w:rPr>
          <w:bCs/>
        </w:rPr>
        <w:t xml:space="preserve"> coefficients had literally no effect on the other model parameter estimates or model </w:t>
      </w:r>
      <w:r w:rsidR="00650CB5">
        <w:rPr>
          <w:bCs/>
        </w:rPr>
        <w:lastRenderedPageBreak/>
        <w:t xml:space="preserve">fit; so, we retained them in case they may be useful in future studies with larger sample sizes </w:t>
      </w:r>
      <w:r w:rsidR="001D51DA">
        <w:rPr>
          <w:bCs/>
        </w:rPr>
        <w:t xml:space="preserve">to explain the </w:t>
      </w:r>
      <w:r w:rsidR="00650CB5">
        <w:rPr>
          <w:bCs/>
        </w:rPr>
        <w:t>PPD reasons)</w:t>
      </w:r>
      <w:r w:rsidR="000E3DB5">
        <w:rPr>
          <w:bCs/>
        </w:rPr>
        <w:t>.</w:t>
      </w:r>
      <w:r w:rsidR="00A3757E">
        <w:rPr>
          <w:bCs/>
        </w:rPr>
        <w:t xml:space="preserve"> </w:t>
      </w:r>
    </w:p>
    <w:p w14:paraId="242837F2" w14:textId="6CCC49C9" w:rsidR="008B70FE" w:rsidRDefault="00FF6F4D">
      <w:pPr>
        <w:spacing w:after="0" w:line="240" w:lineRule="auto"/>
        <w:ind w:firstLine="720"/>
        <w:jc w:val="both"/>
        <w:rPr>
          <w:rFonts w:eastAsiaTheme="minorEastAsia"/>
          <w:lang w:eastAsia="ko-KR"/>
        </w:rPr>
      </w:pPr>
      <w:r>
        <w:rPr>
          <w:bCs/>
        </w:rPr>
        <w:t>The model results</w:t>
      </w:r>
      <w:r w:rsidR="008E465E">
        <w:rPr>
          <w:bCs/>
        </w:rPr>
        <w:t xml:space="preserve"> </w:t>
      </w:r>
      <w:r w:rsidR="00B51186">
        <w:rPr>
          <w:bCs/>
        </w:rPr>
        <w:t xml:space="preserve">are shown in </w:t>
      </w:r>
      <w:r w:rsidR="005A170B">
        <w:rPr>
          <w:bCs/>
        </w:rPr>
        <w:t xml:space="preserve">Table </w:t>
      </w:r>
      <w:r w:rsidR="00B51186">
        <w:rPr>
          <w:bCs/>
        </w:rPr>
        <w:t>3</w:t>
      </w:r>
      <w:r w:rsidR="005A170B">
        <w:rPr>
          <w:bCs/>
        </w:rPr>
        <w:t xml:space="preserve"> </w:t>
      </w:r>
      <w:r>
        <w:rPr>
          <w:bCs/>
        </w:rPr>
        <w:t>(a</w:t>
      </w:r>
      <w:r w:rsidRPr="00210B61">
        <w:rPr>
          <w:bCs/>
        </w:rPr>
        <w:t xml:space="preserve"> </w:t>
      </w:r>
      <w:r w:rsidR="00D24539">
        <w:rPr>
          <w:bCs/>
        </w:rPr>
        <w:t>“--</w:t>
      </w:r>
      <w:r w:rsidRPr="00210B61">
        <w:rPr>
          <w:bCs/>
        </w:rPr>
        <w:t>” entry in the</w:t>
      </w:r>
      <w:r w:rsidR="005A170B">
        <w:rPr>
          <w:bCs/>
        </w:rPr>
        <w:t>se</w:t>
      </w:r>
      <w:r w:rsidRPr="00210B61">
        <w:rPr>
          <w:bCs/>
        </w:rPr>
        <w:t xml:space="preserve"> table</w:t>
      </w:r>
      <w:r w:rsidR="005A170B">
        <w:rPr>
          <w:bCs/>
        </w:rPr>
        <w:t>s</w:t>
      </w:r>
      <w:r w:rsidRPr="00210B61">
        <w:rPr>
          <w:bCs/>
        </w:rPr>
        <w:t xml:space="preserve"> indicates that the row exogenous variable does not have any statistically significant impact on the column</w:t>
      </w:r>
      <w:r>
        <w:rPr>
          <w:bCs/>
        </w:rPr>
        <w:t xml:space="preserve"> outcome </w:t>
      </w:r>
      <w:r w:rsidR="005A170B">
        <w:rPr>
          <w:bCs/>
        </w:rPr>
        <w:t>variable</w:t>
      </w:r>
      <w:r>
        <w:rPr>
          <w:bCs/>
        </w:rPr>
        <w:t>).</w:t>
      </w:r>
      <w:r w:rsidR="008B70FE">
        <w:rPr>
          <w:bCs/>
        </w:rPr>
        <w:t xml:space="preserve"> The</w:t>
      </w:r>
      <w:r w:rsidR="00776F23">
        <w:rPr>
          <w:bCs/>
        </w:rPr>
        <w:t xml:space="preserve"> first row panel of </w:t>
      </w:r>
      <w:r w:rsidR="008B70FE">
        <w:rPr>
          <w:bCs/>
        </w:rPr>
        <w:t xml:space="preserve">threshold values </w:t>
      </w:r>
      <w:r w:rsidR="00776F23">
        <w:rPr>
          <w:bCs/>
        </w:rPr>
        <w:t xml:space="preserve">in Table 3 </w:t>
      </w:r>
      <w:r w:rsidR="008B70FE">
        <w:rPr>
          <w:bCs/>
        </w:rPr>
        <w:t xml:space="preserve">do not have any substantive interpretations and serve the sole (but important) purpose of translating the underlying latent propensities into actual observed ordinal values. The effects of the exogenous variables correspond to their impact on the underlying propensities of each endogenous outcome (these are the </w:t>
      </w:r>
      <w:r w:rsidR="003E55F4" w:rsidRPr="00D87B5F">
        <w:rPr>
          <w:position w:val="-10"/>
        </w:rPr>
        <w:object w:dxaOrig="200" w:dyaOrig="320" w14:anchorId="53DB6E6D">
          <v:shape id="_x0000_i1069" type="#_x0000_t75" style="width:9.85pt;height:15.85pt" o:ole="">
            <v:imagedata r:id="rId95" o:title=""/>
          </v:shape>
          <o:OLEObject Type="Embed" ProgID="Equation.DSMT4" ShapeID="_x0000_i1069" DrawAspect="Content" ObjectID="_1782809845" r:id="rId96"/>
        </w:object>
      </w:r>
      <w:r w:rsidR="008B70FE">
        <w:t xml:space="preserve"> </w:t>
      </w:r>
      <w:r w:rsidR="001D51DA">
        <w:t xml:space="preserve">matrix </w:t>
      </w:r>
      <w:r w:rsidR="008B70FE">
        <w:t>elements). For the binary PPD and PPD reasons, these effects also immediately carry over to the binary outcome</w:t>
      </w:r>
      <w:r w:rsidR="001D51DA">
        <w:t xml:space="preserve"> probability effects</w:t>
      </w:r>
      <w:r w:rsidR="008B70FE">
        <w:t xml:space="preserve">. </w:t>
      </w:r>
      <w:r w:rsidR="00776F23" w:rsidRPr="008C7E00">
        <w:t xml:space="preserve">The parameters corresponding to “Census Division of Household Residence” </w:t>
      </w:r>
      <w:r w:rsidR="00D24539">
        <w:t xml:space="preserve">(second row panel of Table 3) </w:t>
      </w:r>
      <w:r w:rsidR="00776F23" w:rsidRPr="008C7E00">
        <w:t>accommodate for overall geographic variations in the endogenous outcomes. As such, they are difficult to interpret, though the</w:t>
      </w:r>
      <w:r w:rsidR="008C7E00" w:rsidRPr="008C7E00">
        <w:t>y suggest an overall higher PPD (lower</w:t>
      </w:r>
      <w:r w:rsidR="00776F23" w:rsidRPr="008C7E00">
        <w:t xml:space="preserve"> satisfaction with accessing OH activities) among households residing in the New England </w:t>
      </w:r>
      <w:r w:rsidR="008C7E00" w:rsidRPr="008C7E00">
        <w:t>and Pacific Census divisions</w:t>
      </w:r>
      <w:r w:rsidR="00776F23" w:rsidRPr="008C7E00">
        <w:t xml:space="preserve">. The effects of other exogenous variables are discussed below. </w:t>
      </w:r>
      <w:r w:rsidR="00776F23" w:rsidRPr="008C7E00">
        <w:rPr>
          <w:rFonts w:eastAsiaTheme="minorEastAsia"/>
          <w:lang w:eastAsia="ko-KR"/>
        </w:rPr>
        <w:t xml:space="preserve">Also to be noted is that </w:t>
      </w:r>
      <w:r w:rsidR="008B70FE" w:rsidRPr="008C7E00">
        <w:rPr>
          <w:rFonts w:eastAsiaTheme="minorEastAsia"/>
          <w:lang w:eastAsia="ko-KR"/>
        </w:rPr>
        <w:t xml:space="preserve">the effects of exogenous variables on PPD </w:t>
      </w:r>
      <w:r w:rsidR="00776F23" w:rsidRPr="008C7E00">
        <w:rPr>
          <w:rFonts w:eastAsiaTheme="minorEastAsia"/>
          <w:lang w:eastAsia="ko-KR"/>
        </w:rPr>
        <w:t>in Ta</w:t>
      </w:r>
      <w:r w:rsidR="00776F23">
        <w:rPr>
          <w:rFonts w:eastAsiaTheme="minorEastAsia"/>
          <w:lang w:eastAsia="ko-KR"/>
        </w:rPr>
        <w:t xml:space="preserve">ble 3 </w:t>
      </w:r>
      <w:r w:rsidR="008B70FE">
        <w:rPr>
          <w:rFonts w:eastAsiaTheme="minorEastAsia"/>
          <w:lang w:eastAsia="ko-KR"/>
        </w:rPr>
        <w:t>refers to the direct effects after accommodating the indirect effects through the endogenous telework/deliveries effects on PPD</w:t>
      </w:r>
      <w:r w:rsidR="00776F23">
        <w:rPr>
          <w:rFonts w:eastAsiaTheme="minorEastAsia"/>
          <w:lang w:eastAsia="ko-KR"/>
        </w:rPr>
        <w:t xml:space="preserve"> (we discuss this issue more in Section 5)</w:t>
      </w:r>
      <w:r w:rsidR="008B70FE">
        <w:rPr>
          <w:rFonts w:eastAsiaTheme="minorEastAsia"/>
          <w:lang w:eastAsia="ko-KR"/>
        </w:rPr>
        <w:t xml:space="preserve">. </w:t>
      </w:r>
    </w:p>
    <w:p w14:paraId="05C5167C" w14:textId="77777777" w:rsidR="00D3089B" w:rsidRDefault="00D3089B" w:rsidP="00D3089B">
      <w:pPr>
        <w:spacing w:after="0" w:line="240" w:lineRule="auto"/>
        <w:jc w:val="both"/>
      </w:pPr>
    </w:p>
    <w:p w14:paraId="07DAB2ED" w14:textId="57CBDD05" w:rsidR="00D3089B" w:rsidRDefault="00D3089B" w:rsidP="00D3089B">
      <w:pPr>
        <w:spacing w:after="0" w:line="240" w:lineRule="auto"/>
        <w:jc w:val="both"/>
        <w:rPr>
          <w:b/>
          <w:bCs/>
        </w:rPr>
      </w:pPr>
      <w:r w:rsidRPr="00A3757E">
        <w:rPr>
          <w:b/>
          <w:bCs/>
        </w:rPr>
        <w:t xml:space="preserve">4.1 </w:t>
      </w:r>
      <w:r w:rsidR="0026184C">
        <w:rPr>
          <w:b/>
          <w:bCs/>
        </w:rPr>
        <w:t>P</w:t>
      </w:r>
      <w:r w:rsidR="008B70FE">
        <w:rPr>
          <w:b/>
          <w:bCs/>
        </w:rPr>
        <w:t>PD Outcome</w:t>
      </w:r>
      <w:r>
        <w:rPr>
          <w:b/>
          <w:bCs/>
        </w:rPr>
        <w:t xml:space="preserve"> </w:t>
      </w:r>
    </w:p>
    <w:p w14:paraId="2EACF3FF" w14:textId="24E9BEC0" w:rsidR="008B70FE" w:rsidRPr="003430D0" w:rsidRDefault="004F3BBC">
      <w:pPr>
        <w:tabs>
          <w:tab w:val="left" w:pos="3600"/>
        </w:tabs>
        <w:spacing w:after="0" w:line="240" w:lineRule="auto"/>
        <w:jc w:val="both"/>
      </w:pPr>
      <w:r>
        <w:t xml:space="preserve">The results for the </w:t>
      </w:r>
      <w:r w:rsidR="008B70FE">
        <w:t xml:space="preserve">PPD outcome </w:t>
      </w:r>
      <w:r>
        <w:t>are shown in</w:t>
      </w:r>
      <w:r w:rsidR="00B51186">
        <w:t xml:space="preserve"> the first </w:t>
      </w:r>
      <w:r w:rsidR="001D51DA">
        <w:t xml:space="preserve">numeric </w:t>
      </w:r>
      <w:r w:rsidR="00B51186">
        <w:t>column of</w:t>
      </w:r>
      <w:r>
        <w:t xml:space="preserve"> Table 3</w:t>
      </w:r>
      <w:r w:rsidR="00B11D35">
        <w:t>, followed in the</w:t>
      </w:r>
      <w:r w:rsidR="0019104F">
        <w:t xml:space="preserve"> </w:t>
      </w:r>
      <w:r w:rsidR="00B11D35">
        <w:t xml:space="preserve">next </w:t>
      </w:r>
      <w:r w:rsidR="0019104F">
        <w:t xml:space="preserve">immediate </w:t>
      </w:r>
      <w:r w:rsidR="00B11D35">
        <w:t xml:space="preserve">eight columns by the </w:t>
      </w:r>
      <w:r w:rsidR="008B70FE">
        <w:t xml:space="preserve">PPD </w:t>
      </w:r>
      <w:r w:rsidR="00B11D35">
        <w:t>reasons</w:t>
      </w:r>
      <w:r>
        <w:t xml:space="preserve">. </w:t>
      </w:r>
      <w:r w:rsidR="008B70FE">
        <w:t xml:space="preserve">The discussion below should be interpreted as general (average) tendencies; deviations from these general tendencies will always be present. </w:t>
      </w:r>
      <w:r w:rsidR="00523928">
        <w:t xml:space="preserve">Single </w:t>
      </w:r>
      <w:r w:rsidR="00C10F70">
        <w:t>adults</w:t>
      </w:r>
      <w:r w:rsidR="00523928">
        <w:t xml:space="preserve"> </w:t>
      </w:r>
      <w:r w:rsidR="008B70FE">
        <w:t>have a higher PPD relative to households with 2+ adults, attributable to poorer destination access, though s</w:t>
      </w:r>
      <w:r w:rsidR="00523928">
        <w:t>ingle</w:t>
      </w:r>
      <w:r w:rsidR="007745B8">
        <w:t xml:space="preserve"> </w:t>
      </w:r>
      <w:r w:rsidR="008B70FE">
        <w:t xml:space="preserve">adults also appear to be less COVID-concerned. The latter result presumably </w:t>
      </w:r>
      <w:r w:rsidR="00D14381">
        <w:t>reflects</w:t>
      </w:r>
      <w:r w:rsidR="008B70FE">
        <w:t xml:space="preserve"> potential contagion concerns in multi-adult households.</w:t>
      </w:r>
      <w:r w:rsidR="008B70FE" w:rsidRPr="00ED6558">
        <w:t xml:space="preserve"> </w:t>
      </w:r>
      <w:r w:rsidR="008B70FE">
        <w:t>There is no PPD disparity based on presence of children, though individuals in h</w:t>
      </w:r>
      <w:r w:rsidR="008B70FE" w:rsidRPr="00ED6558">
        <w:t xml:space="preserve">ouseholds with children </w:t>
      </w:r>
      <w:r w:rsidR="008B70FE">
        <w:t>are generally more concerned with</w:t>
      </w:r>
      <w:r w:rsidR="008B70FE" w:rsidRPr="00ED6558">
        <w:t xml:space="preserve"> affordability</w:t>
      </w:r>
      <w:r w:rsidR="001D51DA">
        <w:t xml:space="preserve"> of physical travel</w:t>
      </w:r>
      <w:r w:rsidR="008B70FE">
        <w:t xml:space="preserve">, and much less with </w:t>
      </w:r>
      <w:r w:rsidR="008B70FE" w:rsidRPr="00ED6558">
        <w:t xml:space="preserve">reliability or </w:t>
      </w:r>
      <w:r w:rsidR="008B70FE">
        <w:t>the ability to reach specific destinations of interest</w:t>
      </w:r>
      <w:r w:rsidR="008B70FE" w:rsidRPr="00ED6558">
        <w:t>.</w:t>
      </w:r>
      <w:r w:rsidR="008B70FE">
        <w:t xml:space="preserve"> </w:t>
      </w:r>
      <w:r w:rsidR="001D51DA">
        <w:t xml:space="preserve">This result is intuitive, as individuals </w:t>
      </w:r>
      <w:r w:rsidR="008B70FE">
        <w:t xml:space="preserve">with children face particular economic challenges, though they are generally less deterred by activity-reach problems in their quest to facilitate </w:t>
      </w:r>
      <w:r w:rsidR="0019104F">
        <w:t xml:space="preserve">OH </w:t>
      </w:r>
      <w:r w:rsidR="008B70FE">
        <w:t xml:space="preserve">activity participation of their children </w:t>
      </w:r>
      <w:r w:rsidR="008B70FE">
        <w:fldChar w:fldCharType="begin"/>
      </w:r>
      <w:r w:rsidR="00397C46">
        <w:instrText xml:space="preserve"> ADDIN ZOTERO_ITEM CSL_CITATION {"citationID":"xHTPeSqy","properties":{"formattedCitation":"(Lee et al., 2007; Mackett, 2013)","plainCitation":"(Lee et al., 2007; Mackett, 2013)","dontUpdate":true,"noteIndex":0},"citationItems":[{"id":3447,"uris":["http://zotero.org/users/12832277/items/N9KGKUC2"],"itemData":{"id":3447,"type":"article-journal","abstract":"In order to examine time allocation patterns within household-level trip-chaining, simultaneous doubly-censored Tobit models are applied to model time-use behavior within the context of household activity participation. Using the entire sample and a sub-sample of worker households from Tucson’s Household Travel Survey, two sets of models are developed to better understand the phenomena of trip-chaining behavior among five types of households: single non-worker households, single worker households, couple non-worker households, couple one-worker households, and couple two-worker households. Durations of out-of-home subsistence, maintenance, and discretionary activities within trip chains are examined. Factors found to be associated with trip-chaining behavior include intra-household interactions with the household types and their structure and household head attributes.","container-title":"Transportation Research Part A: Policy and Practice","DOI":"10.1016/j.tra.2007.06.007","ISSN":"0965-8564","issue":"10","page":"1004-1020","source":"ScienceDirect","title":"Household Type and Structure, Time-Use Pattern, and Trip-Chaining Behavior","volume":"41","author":[{"family":"Lee","given":"Yuhwa"},{"family":"Hickman","given":"Mark"},{"family":"Washington","given":"Simon"}],"issued":{"date-parts":[["2007",12,1]]}}},{"id":3444,"uris":["http://zotero.org/users/12832277/items/3Z8NSQWM"],"itemData":{"id":3444,"type":"article-journal","abstract":"Children’s travel behaviour varies from that of adults in several ways: they have less choice about where they go and often they are not allowed to travel unescorted by an older person. The factors that influence children’s travel behaviour have changed in recent years, with the development of car-oriented lifestyles, increased numbers of mothers in employment and changes in attitudes towards children’s independent mobility. The purpose of this paper is to examine the nature of children’s travel behaviour and its implications for their volumes of physical activity and so for their health. After considering the nature of children’s travel behaviour and the factors that influence it, the effects of children’s travel behaviour on their volumes of physical activity are discussed; then some measures being adopted in Britain to reverse the adverse trends are described. Conclusions are drawn in terms of the policy implications.","collection-title":"“Understanding Behavioural Change: An International Perspective on Sustainable Travel Behaviours and Their Motivations”: Selected Papers from the 12th World Conference on Transportation Research","container-title":"Transport Policy","DOI":"10.1016/j.tranpol.2012.01.002","ISSN":"0967-070X","page":"66-72","source":"ScienceDirect","title":"Children’s Travel Behaviour and Its Health Implications","volume":"26","author":[{"family":"Mackett","given":"Roger L."}],"issued":{"date-parts":[["2013",3,1]]}}}],"schema":"https://github.com/citation-style-language/schema/raw/master/csl-citation.json"} </w:instrText>
      </w:r>
      <w:r w:rsidR="008B70FE">
        <w:fldChar w:fldCharType="separate"/>
      </w:r>
      <w:r w:rsidR="008B70FE" w:rsidRPr="007D37E2">
        <w:t>(</w:t>
      </w:r>
      <w:r w:rsidR="008B70FE">
        <w:t xml:space="preserve">see </w:t>
      </w:r>
      <w:r w:rsidR="008B70FE" w:rsidRPr="007D37E2">
        <w:t>Lee et al., 2007; Mackett, 2013)</w:t>
      </w:r>
      <w:r w:rsidR="008B70FE">
        <w:fldChar w:fldCharType="end"/>
      </w:r>
      <w:r w:rsidR="008B70FE">
        <w:t>.</w:t>
      </w:r>
      <w:r w:rsidR="008B70FE">
        <w:rPr>
          <w:b/>
          <w:bCs/>
        </w:rPr>
        <w:t xml:space="preserve"> </w:t>
      </w:r>
      <w:r w:rsidR="008B70FE" w:rsidRPr="00D61B65">
        <w:t xml:space="preserve">Individuals from </w:t>
      </w:r>
      <w:r w:rsidR="008B70FE">
        <w:t>worker</w:t>
      </w:r>
      <w:r w:rsidR="00A532C9">
        <w:t>-</w:t>
      </w:r>
      <w:r w:rsidR="008B70FE">
        <w:t>households</w:t>
      </w:r>
      <w:r w:rsidR="00A532C9">
        <w:t xml:space="preserve"> (households in which at least one indiv</w:t>
      </w:r>
      <w:r w:rsidR="00A532C9" w:rsidRPr="003430D0">
        <w:t>idual works) do not show any differences from those in zero-worker households in terms of PPD</w:t>
      </w:r>
      <w:r w:rsidR="008B70FE" w:rsidRPr="003430D0">
        <w:t xml:space="preserve">, but </w:t>
      </w:r>
      <w:r w:rsidR="008C7E00" w:rsidRPr="003430D0">
        <w:t xml:space="preserve">those from two or three-worker households </w:t>
      </w:r>
      <w:r w:rsidR="008B70FE" w:rsidRPr="003430D0">
        <w:t>are more likely to cite poor reliability and poor destination access of the transportation system</w:t>
      </w:r>
      <w:r w:rsidR="008C7E00" w:rsidRPr="003430D0">
        <w:t xml:space="preserve"> as PPD reasons</w:t>
      </w:r>
      <w:r w:rsidR="008B70FE" w:rsidRPr="003430D0">
        <w:t xml:space="preserve">, potentially due to the narrower space-time windows to pursue </w:t>
      </w:r>
      <w:r w:rsidR="001D51DA" w:rsidRPr="003430D0">
        <w:t xml:space="preserve">joint </w:t>
      </w:r>
      <w:r w:rsidR="008B70FE" w:rsidRPr="003430D0">
        <w:t xml:space="preserve">OH activities outside of </w:t>
      </w:r>
      <w:r w:rsidR="001D51DA" w:rsidRPr="003430D0">
        <w:t xml:space="preserve">the </w:t>
      </w:r>
      <w:r w:rsidR="008B70FE" w:rsidRPr="003430D0">
        <w:t xml:space="preserve">work schedules </w:t>
      </w:r>
      <w:r w:rsidR="001D51DA" w:rsidRPr="003430D0">
        <w:t>of the multiple workers</w:t>
      </w:r>
      <w:r w:rsidR="008B70FE" w:rsidRPr="003430D0">
        <w:t xml:space="preserve"> </w:t>
      </w:r>
      <w:r w:rsidR="008B70FE" w:rsidRPr="003430D0">
        <w:fldChar w:fldCharType="begin"/>
      </w:r>
      <w:r w:rsidR="008B70FE" w:rsidRPr="003430D0">
        <w:instrText xml:space="preserve"> ADDIN ZOTERO_ITEM CSL_CITATION {"citationID":"qnnW6nHJ","properties":{"formattedCitation":"(Gliebe and Koppelman, 2005; Neutens et al., 2012)","plainCitation":"(Gliebe and Koppelman, 2005; Neutens et al., 2012)","noteIndex":0},"citationItems":[{"id":2936,"uris":["http://zotero.org/users/12832277/items/U7PUQKI7"],"itemData":{"id":2936,"type":"article-journal","abstract":"The daily activity-travel patterns of individuals often include interactions with other household members, which we observe in the form of joint activity participation and shared rides. Explicit representation of joint activity patterns is a widespread deficiency in extant travel forecasting models and remains a relatively under-developed area of travel behavior research. In this paper, we identify several spatially defined tour patterns found in weekday household survey data that describe this form of interpersonal decision-making. Using pairs of household decision makers as our subjects, we develop a structural discrete choice model that predicts the separate, parallel choices of full-day tour patterns by both persons, subject to the higher level constraint imposed by their joint selection of one of several spatial interaction patterns, one of which may be no interaction. We apply this model to the household survey data, drawing inferences from the household and person attributes that prove to be significant predictors of pattern choices, such as commitment to work schedules, auto availability, commuting distance and the presence of children in the household. Parameterization of an importance function in the models shows that in making joint activity-travel decisions significantly greater emphasis is placed on the individual utilities of workers relative to non-workers and on the utilities of women in households with very young children. The model and methods are prototypes for tour-based travel forecasting systems that seek to represent the complex interaction between household members in an integrated model structure.","container-title":"Transportation","DOI":"10.1007/s11116-005-5328-0","ISSN":"1572-9435","issue":"5","language":"en","page":"449-471","source":"Springer Link","title":"Modeling Household Activity–Travel Interactions as Parallel Constrained Choices","volume":"32","author":[{"family":"Gliebe","given":"John P."},{"family":"Koppelman","given":"Frank S."}],"issued":{"date-parts":[["2005",9,1]]}}},{"id":2938,"uris":["http://zotero.org/users/12832277/items/32RJLMDJ"],"itemData":{"id":2938,"type":"article-journal","abstract":"Traditional studies about the planning and equality of public service delivery have treated accessibility of services as if it were a static concept of physical proximity. This paper extends and empirically substantiates the conceptual argument for the incorporation of time in measures of accessibility. It does so by examining the variability in person-based accessibility to urban opportunities over a 1-week period. Accessibility is specified on the basis of persons rather than places and measured for each day of the week rather than for a single day. An empirical case of government offices in the city of Ghent (Belgium) is used to demonstrate how space–time accessibility may fluctuate between persons and per person from day to day. The case study provides evidence that, even for fulltime workers on weekdays, considerable day-to-day variability in the accessibility level of a single person can exist as a consequence of differences in space–time constraints.","collection-title":"Special Issue on Time Geography","container-title":"Journal of Transport Geography","DOI":"10.1016/j.jtrangeo.2012.04.001","ISSN":"0966-6923","page":"81-91","source":"ScienceDirect","title":"An Analysis of Day-to-Day Variations in Individual Space–Time Accessibility","volume":"23","author":[{"family":"Neutens","given":"Tijs"},{"family":"Delafontaine","given":"Matthias"},{"family":"Scott","given":"Darren M."},{"family":"De Maeyer","given":"Philippe"}],"issued":{"date-parts":[["2012",7,1]]}}}],"schema":"https://github.com/citation-style-language/schema/raw/master/csl-citation.json"} </w:instrText>
      </w:r>
      <w:r w:rsidR="008B70FE" w:rsidRPr="003430D0">
        <w:fldChar w:fldCharType="separate"/>
      </w:r>
      <w:r w:rsidR="008B70FE" w:rsidRPr="003430D0">
        <w:t>(Gliebe and Koppelman, 2005; Neutens et al., 2012)</w:t>
      </w:r>
      <w:r w:rsidR="008B70FE" w:rsidRPr="003430D0">
        <w:fldChar w:fldCharType="end"/>
      </w:r>
      <w:r w:rsidR="008B70FE" w:rsidRPr="003430D0">
        <w:t>.</w:t>
      </w:r>
    </w:p>
    <w:p w14:paraId="23CDCFF3" w14:textId="20351728" w:rsidR="00A532C9" w:rsidRDefault="008B70FE" w:rsidP="008B70FE">
      <w:pPr>
        <w:spacing w:after="0" w:line="240" w:lineRule="auto"/>
        <w:jc w:val="both"/>
      </w:pPr>
      <w:r w:rsidRPr="003430D0">
        <w:tab/>
        <w:t>As expected, vehicle</w:t>
      </w:r>
      <w:r w:rsidR="004839E5">
        <w:t>-</w:t>
      </w:r>
      <w:r w:rsidRPr="003430D0">
        <w:t>constrained households (those with fewer vehicles than drivers) experience higher</w:t>
      </w:r>
      <w:r>
        <w:t xml:space="preserve"> PPD relative to other households (that is households with equal or more vehicles than drivers) </w:t>
      </w:r>
      <w:r>
        <w:fldChar w:fldCharType="begin"/>
      </w:r>
      <w:r>
        <w:instrText xml:space="preserve"> ADDIN ZOTERO_ITEM CSL_CITATION {"citationID":"gD4acC6J","properties":{"formattedCitation":"(Blumenberg et al., 2020)","plainCitation":"(Blumenberg et al., 2020)","dontUpdate":true,"noteIndex":0},"citationItems":[{"id":2832,"uris":["http://zotero.org/users/12832277/items/V7TLV7LS"],"itemData":{"id":2832,"type":"article-journal","abstract":"In the U.S., households with less than one car per driver (auto-deficit households) are more than twice as common as zero-vehicle households. Yet we know very little about these households and their travel behavior. In this study, therefore, we examine whether car deficits, like carlessness, are largely a result of financial constraint or of other factors such as built environment characteristics, household structure, or household resources. We then analyze the mobility outcomes of car-deficit households compared to the severely restricted mobility of carless households and the largely uninhibited movement of fully-equipped households, households with at least one car per driver. Data from the California Household Travel Survey show that car-deficit households are different than fully-equipped households. They have different household characteristics, travel less, and are more likely to use public transit. While many auto-deficit households have incomes that presumably enable them to successfully manage with fewer cars than adults, low-income auto-deficit households are—by definition—income constrained. Our analysis suggests that low-income car-deficit households manage their travel needs by carefully negotiating the use of household vehicles. In so doing, they travel far more than carless households and use their household vehicles almost as much as low-income households with at least one car per driver. These results suggest that the mobility benefits of having at least one car per driver are more limited than we had anticipated. Results also indicate the importance of transportation and employment programs to ease the potential difficulties associated with sharing cars among household drivers.","container-title":"Transportation","DOI":"10.1007/s11116-018-9956-6","ISSN":"1572-9435","issue":"3","language":"en","page":"1103-1125","source":"Springer Link","title":"Car-Deficit Households: Determinants and Implications for Household Travel in the U.S.","volume":"47","author":[{"family":"Blumenberg","given":"Evelyn"},{"family":"Brown","given":"Anne"},{"family":"Schouten","given":"Andrew"}],"issued":{"date-parts":[["2020",6,1]]}}}],"schema":"https://github.com/citation-style-language/schema/raw/master/csl-citation.json"} </w:instrText>
      </w:r>
      <w:r>
        <w:fldChar w:fldCharType="separate"/>
      </w:r>
      <w:r w:rsidRPr="00D174BF">
        <w:t>(</w:t>
      </w:r>
      <w:r>
        <w:t xml:space="preserve">see </w:t>
      </w:r>
      <w:r w:rsidRPr="00D174BF">
        <w:t>Blumenberg et al., 2020)</w:t>
      </w:r>
      <w:r>
        <w:fldChar w:fldCharType="end"/>
      </w:r>
      <w:r>
        <w:t xml:space="preserve">. Vehicle-constrained households tend to suppress trips due to concerns of safety, destination </w:t>
      </w:r>
      <w:r w:rsidRPr="00056145">
        <w:t>acces</w:t>
      </w:r>
      <w:r>
        <w:t>s</w:t>
      </w:r>
      <w:r w:rsidRPr="00056145">
        <w:t xml:space="preserve">, and </w:t>
      </w:r>
      <w:r>
        <w:t>COVID contagion</w:t>
      </w:r>
      <w:r w:rsidRPr="00056145">
        <w:t xml:space="preserve">, reflecting </w:t>
      </w:r>
      <w:r>
        <w:t>the unease commonly associated with shared modes such as</w:t>
      </w:r>
      <w:r w:rsidRPr="00056145">
        <w:t xml:space="preserve"> public transportation</w:t>
      </w:r>
      <w:r>
        <w:t xml:space="preserve">. Similarly, PPD is much more common among individuals in lower income households relative to individuals in higher income households, particularly due to concerns of </w:t>
      </w:r>
      <w:r w:rsidR="00A532C9">
        <w:t xml:space="preserve">reliability, destination access, and </w:t>
      </w:r>
      <w:r>
        <w:t xml:space="preserve">affordability. These results are aligned with a large body of existing literature showing that low-income households have less access to affordable and reliable transportation </w:t>
      </w:r>
      <w:r w:rsidRPr="0060141E">
        <w:fldChar w:fldCharType="begin"/>
      </w:r>
      <w:r w:rsidRPr="0060141E">
        <w:instrText xml:space="preserve"> ADDIN ZOTERO_ITEM CSL_CITATION {"citationID":"OPkpbKyX","properties":{"formattedCitation":"(Lovejoy and Handy, 2008; Makarewicz et al., 2020; Tiznado-Aitken et al., 2022)","plainCitation":"(Lovejoy and Handy, 2008; Makarewicz et al., 2020; Tiznado-Aitken et al., 2022)","noteIndex":0},"citationItems":[{"id":2890,"uris":["http://zotero.org/users/12832277/items/EXDA9SHJ"],"itemData":{"id":2890,"type":"article-journal","abstract":"In auto-oriented communities, access to an automobile is essential for good mobility, but not everyone owns a car or is able to drive. Little is known about how individuals in these circumstances might still use vehicles for transportation. To provide insight on the nature of vehicle use by those with potentially limited vehicle access, we present qualitative findings from focus groups with recent Mexican immigrants living in California, half of whom owned no cars. Our results demonstrate varying degrees of participants’ access to vehicle travel not always corresponding to auto ownership, with extensive sharing of cars, borrowing of cars, and getting rides. We describe the different dimensions of vehicle access that participants experienced and identify specific factors that seemed to influence their access levels. We discuss the implications of our findings for transportation policy and future research.","container-title":"Transportation","DOI":"10.1007/s11116-008-9169-5","ISSN":"1572-9435","issue":"5","language":"en","page":"601-612","source":"Springer Link","title":"A Case for Measuring Individuals’ Access to Private-Vehicle Travel as a Matter of Degrees: Lessons from Focus Groups with Mexican Immigrants in California","volume":"35","author":[{"family":"Lovejoy","given":"Kristin"},{"family":"Handy","given":"Susan"}],"issued":{"date-parts":[["2008",8,1]]}}},{"id":2892,"uris":["http://zotero.org/users/12832277/items/ER57TYLI"],"itemData":{"id":2892,"type":"article-journal","abstract":"Findings from a study using the Panel Survey of Income Dynamics (PSID) and detailed urban environment and transit data support the location affordability hypothesis. Households in location-efficient places spent significantly less on household transportation, enough to offset high housing costs. Walkable blocks and good transit especially contribute to these savings. But households with very low incomes (below 35% AMI) do not see significant enough savings. Authors recommend investments in transit, sidewalks, and economic development in disinvested areas; the preservation and creation of affordable housing of all types and tenures; and more supports for households with very low incomes. For decades, researchers have explored how location efficiency (LE) affects housing affordability, including incorporating transportation costs into a holistic housing affordability measure known as location affordability. Others have argued that estimated transportation savings from LE may be overstated because of limits in data and methods. Smart and Klein’s 2018 article in Housing Policy Debate analyzed the PSID and found “no evidence to support the location affordability hypothesis.” Considering their study’s policy implications, as well as its methodological limitations, we tested the PSID data at a smaller geography using more detailed household and urban form variables, per the LE literature. With this approach, we find statistically significant and meaningful transportation cost differences that are enough to offset higher housing prices for several income groups. However, the transportation savings for households in the lowest-income group in urban areas do not offset high housing costs. Because location-affordable places are in short supply, and the extreme shortage of affordable housing, both housing and transportation investments are needed to support households with low and moderate incomes. Expanding location affordability regionally will also help to address climate change and expand access to job opportunities, goods, services, and other amenities.","container-title":"Housing Policy Debate","DOI":"10.1080/10511482.2020.1792528","ISSN":"1051-1482","issue":"6","note":"publisher: Routledge\n_eprint: https://doi.org/10.1080/10511482.2020.1792528","page":"1033-1055","source":"Taylor and Francis+NEJM","title":"Another Look at Location Affordability: Understanding the Detailed Effects of Income and Urban Form on Housing and Transportation Expenditures","volume":"30","author":[{"family":"Makarewicz","given":"Carrie"},{"family":"Dantzler","given":"Prentiss"},{"family":"Adkins","given":"Arlie"}],"issued":{"date-parts":[["2020",11,1]]}},"label":"page"},{"id":2894,"uris":["http://zotero.org/users/12832277/items/NLMB8X6Y"],"itemData":{"id":2894,"type":"article-journal","abstract":"Housing and transport affordability (H + TA) analysis has been receiving increasing attention among academics and practitioners worldwide, particularly in Global North settings. These studies usually overlook spatial and socioeconomic distributional considerations that potentially underestimate the simultaneous impact of transport and housing costs on lower-income family budgets. Our work seeks to address these knowledge gaps by understanding and measuring H + TA, considering different types of households in Santiago, Chile. Combining income, housing, transport, and census data, we estimate H + TA costs using spatial clusters and probability distribution functions, analyzing the “degree of choice” that socially disadvantaged groups have given their financial constraints. The results show that families with children, the elderly, and immigrants are among the most limited in their choices. Most central and eastern sectors of the city which provide the highest density of work opportunities are out of reach for the three lowest-income deciles given the high combined costs of H + TA, being dependents on government benefits and/or social housing. Middle class, from the 4th to 6th income deciles, can choose from between 30% and 65% of all housing and transport combinations, but from less than 6% of those offered on the two clusters with the best transport and urban conditions. These findings bring into question current inter-sectoral policies to alleviate the “cost pressure” of Santiago's lower- and middle-income households.","container-title":"Transport Policy","DOI":"10.1016/j.tranpol.2022.04.005","ISSN":"0967-070X","page":"39-53","source":"ScienceDirect","title":"Freedom of Choice? Social and Spatial Disparities on Combined Housing and Transport Affordability","volume":"122","author":[{"family":"Tiznado-Aitken","given":"Ignacio"},{"family":"Lucas","given":"Karen"},{"family":"Muñoz","given":"Juan Carlos"},{"family":"Hurtubia","given":"Ricardo"}],"issued":{"date-parts":[["2022",6,1]]}}}],"schema":"https://github.com/citation-style-language/schema/raw/master/csl-citation.json"} </w:instrText>
      </w:r>
      <w:r w:rsidRPr="0060141E">
        <w:fldChar w:fldCharType="separate"/>
      </w:r>
      <w:r w:rsidRPr="0060141E">
        <w:t>(Lovejoy and Handy, 2008; Makarewicz et al., 2020; Tiznado-Aitken et al., 2022)</w:t>
      </w:r>
      <w:r w:rsidRPr="0060141E">
        <w:fldChar w:fldCharType="end"/>
      </w:r>
      <w:r w:rsidRPr="0060141E">
        <w:t xml:space="preserve">. Higher-income households, however, </w:t>
      </w:r>
      <w:r>
        <w:t>a</w:t>
      </w:r>
      <w:r w:rsidRPr="0060141E">
        <w:t xml:space="preserve">re </w:t>
      </w:r>
      <w:r w:rsidRPr="0060141E">
        <w:lastRenderedPageBreak/>
        <w:t>more likely to suppress trips due to health problems</w:t>
      </w:r>
      <w:r w:rsidR="001D51DA">
        <w:t>; h</w:t>
      </w:r>
      <w:r w:rsidR="00003531">
        <w:t>owever, the</w:t>
      </w:r>
      <w:r w:rsidR="001D51DA">
        <w:t>se</w:t>
      </w:r>
      <w:r w:rsidR="00003531">
        <w:t xml:space="preserve"> income effects on “health problems” are statistically significant at only the 85% significance level.</w:t>
      </w:r>
    </w:p>
    <w:p w14:paraId="220E8A33" w14:textId="0C726729" w:rsidR="001A784F" w:rsidRDefault="00E347BD" w:rsidP="00C4629A">
      <w:pPr>
        <w:spacing w:after="0" w:line="240" w:lineRule="auto"/>
        <w:ind w:firstLine="720"/>
        <w:jc w:val="both"/>
      </w:pPr>
      <w:r w:rsidRPr="00B00927">
        <w:t>Compared with homeowners, renters</w:t>
      </w:r>
      <w:r w:rsidR="004F3BBC" w:rsidRPr="00B00927">
        <w:t xml:space="preserve"> </w:t>
      </w:r>
      <w:r w:rsidR="00613104" w:rsidRPr="00B00927">
        <w:t xml:space="preserve">exhibit a </w:t>
      </w:r>
      <w:r w:rsidR="008B70FE">
        <w:t>higher</w:t>
      </w:r>
      <w:r w:rsidR="00613104" w:rsidRPr="00B00927">
        <w:t xml:space="preserve"> </w:t>
      </w:r>
      <w:r w:rsidR="008B70FE">
        <w:t xml:space="preserve">PPD </w:t>
      </w:r>
      <w:r w:rsidR="00613104" w:rsidRPr="00B00927">
        <w:t>tendency</w:t>
      </w:r>
      <w:r w:rsidR="008B70FE">
        <w:t xml:space="preserve"> (more likely to suppress planned trips)</w:t>
      </w:r>
      <w:r w:rsidR="00613104" w:rsidRPr="00B00927">
        <w:t>, largely due to concerns of safety, reliability, destination access, and affordability</w:t>
      </w:r>
      <w:r w:rsidR="00003531">
        <w:t xml:space="preserve">. </w:t>
      </w:r>
      <w:r w:rsidR="00FB1D4D">
        <w:t xml:space="preserve">This is consistent with findings suggesting that renters, particularly lower-income renters, </w:t>
      </w:r>
      <w:r w:rsidR="001D6A8D">
        <w:t>have challenges finding affordable housing in areas that also have high levels of accessible and affordable transportation</w:t>
      </w:r>
      <w:r w:rsidR="00955ADE">
        <w:t xml:space="preserve"> </w:t>
      </w:r>
      <w:r w:rsidR="00955ADE">
        <w:fldChar w:fldCharType="begin"/>
      </w:r>
      <w:r w:rsidR="00397C46">
        <w:instrText xml:space="preserve"> ADDIN ZOTERO_ITEM CSL_CITATION {"citationID":"VSmgKY5F","properties":{"formattedCitation":"(Makarewicz et al., 2020)","plainCitation":"(Makarewicz et al., 2020)","dontUpdate":true,"noteIndex":0},"citationItems":[{"id":2892,"uris":["http://zotero.org/users/12832277/items/ER57TYLI"],"itemData":{"id":2892,"type":"article-journal","abstract":"Findings from a study using the Panel Survey of Income Dynamics (PSID) and detailed urban environment and transit data support the location affordability hypothesis. Households in location-efficient places spent significantly less on household transportation, enough to offset high housing costs. Walkable blocks and good transit especially contribute to these savings. But households with very low incomes (below 35% AMI) do not see significant enough savings. Authors recommend investments in transit, sidewalks, and economic development in disinvested areas; the preservation and creation of affordable housing of all types and tenures; and more supports for households with very low incomes. For decades, researchers have explored how location efficiency (LE) affects housing affordability, including incorporating transportation costs into a holistic housing affordability measure known as location affordability. Others have argued that estimated transportation savings from LE may be overstated because of limits in data and methods. Smart and Klein’s 2018 article in Housing Policy Debate analyzed the PSID and found “no evidence to support the location affordability hypothesis.” Considering their study’s policy implications, as well as its methodological limitations, we tested the PSID data at a smaller geography using more detailed household and urban form variables, per the LE literature. With this approach, we find statistically significant and meaningful transportation cost differences that are enough to offset higher housing prices for several income groups. However, the transportation savings for households in the lowest-income group in urban areas do not offset high housing costs. Because location-affordable places are in short supply, and the extreme shortage of affordable housing, both housing and transportation investments are needed to support households with low and moderate incomes. Expanding location affordability regionally will also help to address climate change and expand access to job opportunities, goods, services, and other amenities.","container-title":"Housing Policy Debate","DOI":"10.1080/10511482.2020.1792528","ISSN":"1051-1482","issue":"6","note":"publisher: Routledge\n_eprint: https://doi.org/10.1080/10511482.2020.1792528","page":"1033-1055","source":"Taylor and Francis+NEJM","title":"Another Look at Location Affordability: Understanding the Detailed Effects of Income and Urban Form on Housing and Transportation Expenditures","volume":"30","author":[{"family":"Makarewicz","given":"Carrie"},{"family":"Dantzler","given":"Prentiss"},{"family":"Adkins","given":"Arlie"}],"issued":{"date-parts":[["2020",11,1]]}}}],"schema":"https://github.com/citation-style-language/schema/raw/master/csl-citation.json"} </w:instrText>
      </w:r>
      <w:r w:rsidR="00955ADE">
        <w:fldChar w:fldCharType="separate"/>
      </w:r>
      <w:r w:rsidR="00955ADE" w:rsidRPr="00955ADE">
        <w:t>(</w:t>
      </w:r>
      <w:r w:rsidR="00883519">
        <w:t xml:space="preserve">see </w:t>
      </w:r>
      <w:r w:rsidR="00955ADE" w:rsidRPr="00955ADE">
        <w:t>Makarewicz et al., 2020)</w:t>
      </w:r>
      <w:r w:rsidR="00955ADE">
        <w:fldChar w:fldCharType="end"/>
      </w:r>
      <w:r w:rsidR="001D6A8D">
        <w:t>.</w:t>
      </w:r>
      <w:r w:rsidR="00003531">
        <w:t xml:space="preserve"> Renters seem less concerned about time considerations relative to </w:t>
      </w:r>
      <w:r w:rsidR="00F94EF6">
        <w:t>homeowners</w:t>
      </w:r>
      <w:r w:rsidR="00003531">
        <w:t>, though this effect is statistically significant at only the 8</w:t>
      </w:r>
      <w:r w:rsidR="00A532C9">
        <w:t>1</w:t>
      </w:r>
      <w:r w:rsidR="00003531">
        <w:t xml:space="preserve">% level). </w:t>
      </w:r>
      <w:r w:rsidR="008B70FE">
        <w:t>T</w:t>
      </w:r>
      <w:r w:rsidR="009B038E" w:rsidRPr="00B00927">
        <w:t xml:space="preserve">hose living in rural locations </w:t>
      </w:r>
      <w:r w:rsidR="008B70FE">
        <w:t xml:space="preserve">also exhibit higher PPD relative to </w:t>
      </w:r>
      <w:r w:rsidR="00AD62B3" w:rsidRPr="00B00927">
        <w:t xml:space="preserve">those </w:t>
      </w:r>
      <w:r w:rsidR="008B70FE">
        <w:t xml:space="preserve">residing </w:t>
      </w:r>
      <w:r w:rsidR="00AD62B3" w:rsidRPr="00B00927">
        <w:t>in urban areas</w:t>
      </w:r>
      <w:r w:rsidR="008B70FE">
        <w:t>, primarily due to lack of a</w:t>
      </w:r>
      <w:r w:rsidR="004A46A6" w:rsidRPr="00B00927">
        <w:t>ffordability</w:t>
      </w:r>
      <w:r w:rsidR="008B70FE">
        <w:t xml:space="preserve">, which is not </w:t>
      </w:r>
      <w:r w:rsidR="004A46A6" w:rsidRPr="00B00927">
        <w:t>a</w:t>
      </w:r>
      <w:r w:rsidR="008B70FE">
        <w:t>n</w:t>
      </w:r>
      <w:r w:rsidR="004A46A6" w:rsidRPr="00B00927">
        <w:t xml:space="preserve"> unsurprising result given the longer trip distances</w:t>
      </w:r>
      <w:r w:rsidR="008B70FE">
        <w:t xml:space="preserve"> </w:t>
      </w:r>
      <w:r w:rsidR="004A46A6" w:rsidRPr="00B00927">
        <w:t>in low-density areas</w:t>
      </w:r>
      <w:r w:rsidR="00B00927" w:rsidRPr="00B00927">
        <w:t xml:space="preserve"> </w:t>
      </w:r>
      <w:r w:rsidR="00B00927" w:rsidRPr="00B00927">
        <w:fldChar w:fldCharType="begin"/>
      </w:r>
      <w:r w:rsidR="00B00927" w:rsidRPr="00B00927">
        <w:instrText xml:space="preserve"> ADDIN ZOTERO_ITEM CSL_CITATION {"citationID":"TT39cGpR","properties":{"formattedCitation":"(McGrail et al., 2015)","plainCitation":"(McGrail et al., 2015)","noteIndex":0},"citationItems":[{"id":2848,"uris":["http://zotero.org/users/12832277/items/PMPDKF97"],"itemData":{"id":2848,"type":"article-journal","abstract":"Poor access to doctors at times of need remains a significant impediment to achieving good health for many rural residents. The two-step floating catchment area (2SFCA) method has emerged as a key tool for measuring healthcare access in rural areas. However, the choice of catchment size, a key component of the 2SFCA method, is problematic because little is known about the distance tolerance of rural residents for health-related travel. Our study sought new evidence to test the hypothesis that residents of sparsely settled rural areas are prepared to travel further than residents of closely settled rural areas when accessing primary health care at times of need.","container-title":"BMC Health Services Research","DOI":"10.1186/s12913-015-0880-6","ISSN":"1472-6963","issue":"1","language":"en","page":"212","source":"Springer Link","title":"Accessing Doctors at Times of Need–Measuring the Distance Tolerance of Rural Residents for Health-Related Travel","volume":"15","author":[{"family":"McGrail","given":"Matthew Richard"},{"family":"Humphreys","given":"John Stirling"},{"family":"Ward","given":"Bernadette"}],"issued":{"date-parts":[["2015",5,29]]}}}],"schema":"https://github.com/citation-style-language/schema/raw/master/csl-citation.json"} </w:instrText>
      </w:r>
      <w:r w:rsidR="00B00927" w:rsidRPr="00B00927">
        <w:fldChar w:fldCharType="separate"/>
      </w:r>
      <w:r w:rsidR="00B00927" w:rsidRPr="00B00927">
        <w:t>(McGrail et al., 2015)</w:t>
      </w:r>
      <w:r w:rsidR="00B00927" w:rsidRPr="00B00927">
        <w:fldChar w:fldCharType="end"/>
      </w:r>
      <w:r w:rsidR="008B70FE">
        <w:t xml:space="preserve">. In urban areas, individuals suppress trips (even though not at the same intensity as rural residents) due to </w:t>
      </w:r>
      <w:r w:rsidR="00807EA9" w:rsidRPr="00B00927">
        <w:t>concerns of safety, cleanliness, and health</w:t>
      </w:r>
      <w:r w:rsidR="008B70FE">
        <w:t xml:space="preserve">, most possibly because of the higher population densities, and </w:t>
      </w:r>
      <w:r w:rsidR="0006031E">
        <w:t xml:space="preserve">the </w:t>
      </w:r>
      <w:r w:rsidR="008B70FE">
        <w:t xml:space="preserve">higher shares of travel by </w:t>
      </w:r>
      <w:r w:rsidR="00967504">
        <w:t>public transit and active modes</w:t>
      </w:r>
      <w:r w:rsidR="0006031E">
        <w:t xml:space="preserve"> (essentially, tight spaces and high occupancy travel compared to rural areas). </w:t>
      </w:r>
    </w:p>
    <w:p w14:paraId="1774C8F4" w14:textId="7437904A" w:rsidR="001F116E" w:rsidRPr="00FC6B39" w:rsidRDefault="004F3BBC" w:rsidP="00E71E8A">
      <w:pPr>
        <w:spacing w:after="0" w:line="240" w:lineRule="auto"/>
        <w:jc w:val="both"/>
        <w:rPr>
          <w:b/>
          <w:bCs/>
        </w:rPr>
      </w:pPr>
      <w:r>
        <w:tab/>
        <w:t xml:space="preserve">As far as individual level characteristics, women experience </w:t>
      </w:r>
      <w:r w:rsidR="00F35B8A">
        <w:t xml:space="preserve">more </w:t>
      </w:r>
      <w:r w:rsidR="00C109FA">
        <w:t xml:space="preserve">PPD </w:t>
      </w:r>
      <w:r>
        <w:t>th</w:t>
      </w:r>
      <w:r w:rsidR="00C109FA">
        <w:t>a</w:t>
      </w:r>
      <w:r>
        <w:t xml:space="preserve">n </w:t>
      </w:r>
      <w:r w:rsidR="00C109FA">
        <w:t xml:space="preserve">do </w:t>
      </w:r>
      <w:r>
        <w:t xml:space="preserve">men, </w:t>
      </w:r>
      <w:r w:rsidR="00387B55">
        <w:t xml:space="preserve">particularly due to </w:t>
      </w:r>
      <w:r w:rsidR="00C109FA">
        <w:t xml:space="preserve">health problems </w:t>
      </w:r>
      <w:r w:rsidR="00387B55">
        <w:t>and COVID</w:t>
      </w:r>
      <w:r w:rsidR="00C109FA">
        <w:t xml:space="preserve"> concerns</w:t>
      </w:r>
      <w:r w:rsidR="00387B55">
        <w:t>. Th</w:t>
      </w:r>
      <w:r w:rsidR="00836363">
        <w:t xml:space="preserve">e COVID concern </w:t>
      </w:r>
      <w:r w:rsidR="00387B55">
        <w:t xml:space="preserve">is consistent with findings </w:t>
      </w:r>
      <w:r w:rsidR="000963C7">
        <w:t xml:space="preserve">suggesting that women </w:t>
      </w:r>
      <w:r w:rsidR="00836363">
        <w:t xml:space="preserve">tend to be more health-conscious </w:t>
      </w:r>
      <w:r w:rsidR="00836363" w:rsidRPr="00C36035">
        <w:rPr>
          <w:color w:val="222222"/>
        </w:rPr>
        <w:fldChar w:fldCharType="begin"/>
      </w:r>
      <w:r w:rsidR="006C0BB1">
        <w:rPr>
          <w:color w:val="222222"/>
        </w:rPr>
        <w:instrText xml:space="preserve"> ADDIN ZOTERO_ITEM CSL_CITATION {"citationID":"7F6sNgiP","properties":{"unsorted":true,"formattedCitation":"(Y\\uc0\\u305{}ld\\uc0\\u305{}r\\uc0\\u305{}m et al., 2021; Feraco et al., 2024; Maslak\\uc0\\u231{}\\uc0\\u305{} and S\\uc0\\u252{}r\\uc0\\u252{}c\\uc0\\u252{}, 2024)","plainCitation":"(Yıldırım et al., 2021; Feraco et al., 2024; Maslakçı and Sürücü, 2024)","noteIndex":0},"citationItems":[{"id":2907,"uris":["http://zotero.org/users/12832277/items/GBPIQXEU"],"itemData":{"id":2907,"type":"article-journal","abstract":"The world has been under the negative effect of the COVID-19 pandemic for the last few months. While people may take many preventive behaviours to minimize the risk, very little is known about the factors that can increase preventive behaviours during the COVID-19 pandemic. This study examined the effects of vulnerability, perceived risk, and fear on preventive behaviours of COVID-19. The study used a sample of 4,536 Turkish adults (M = 30.33 ± 10.95 years) recruited from 17 March through 1 April 2020. Vulnerability, perceived risk, fear, and preventive behaviours were measured with self-rating scales. Participants mostly engaged in avoidance of public transportation and frequent handwashing as preventive behaviours. Women had a significantly higher vulnerability to, perceived risk, and fear of new coronavirus compared to men. Correlation results indicated that age, gender, education level, vulnerability, perceived risk, and fear were related to preventive behaviours. Regression results demonstrated that vulnerability, perceived risk, and fear accounted for a significant amount of variance in preventive behaviours over and above the effects of demographic variables. The results suggest that vulnerability, perceived risk, and fear can significantly increase engagement in preventive behaviours during the novel coronavirus pandemic. The results have important implications for research and practice.","container-title":"Psychology, Health &amp; Medicine","DOI":"10.1080/13548506.2020.1776891","ISSN":"1354-8506","issue":"1","note":"publisher: Taylor &amp; Francis\n_eprint: https://doi.org/10.1080/13548506.2020.1776891\nPMID: 32490689","page":"35-43","source":"Taylor and Francis+NEJM","title":"The Impacts of Vulnerability, Perceived Risk, and Fear on Preventive Behaviours Against COVID-19","volume":"26","author":[{"family":"Yıldırım","given":"Murat"},{"family":"Geçer","given":"Ekmel"},{"family":"Akgül","given":"Ömer"}],"issued":{"date-parts":[["2021",1,2]]}}},{"id":3388,"uris":["http://zotero.org/groups/5345474/items/GXRSU8SS"],"itemData":{"id":3388,"type":"article-journal","abstract":"The relationship between food tastes, meal preferences, and eating habits has been studied extensively in recent years; however, research on gender differences in these fields still needs to be addressed. The aim of this study was to investigate gender differences in food preferences and eating habits through self-administered questionnaires in a large Italian population sample. The online survey included questions on food tastes, meal preferences, eating habits, and sport involvement.The results of the study underline significant gender-specific dietary tendencies among the 2198 participants (1314 females and 884 males, average age 41.1 ± 12.7 yrs). Our analysis reveals significant gender differences in dietary preferences and eating habits. Men prefer red and processed meat, with significantly higher consumption rates than women. Women, on the other hand, show a greater inclination towards vegetables, whole grains, tofu, and high-cocoa-content dark chocolate, aligning with healthier food choices. The study also found differences in eating behaviors, including the frequency of meals, snacking habits, and hunger pa erns: women tend to eat more frequently and report higher levels of hunger in the morning, while men tend to skip snacks. Furthermore, differences extend to eating contexts, such as the speed of eating, eating out, and eating alone, with men more likely to eat quickly and dine out. Episodes of uncontrolled eating without hunger also differ, with women reporting these behaviors more frequently than men. In addition, the analysis of sports preferences showed distinct pa erns, with a lower percentage of women playing sports and those who do play sports preferring endurance and strength training, while men prefer strength training and endurance sports.These findings elucidate the complex interplay of biological, cultural, and gender-based factors in shaping dietary preferences and eating behaviors. In particular, our study reveals that gender dynamics significantly influence food choice and eating habits: women tend to choose healthier foods and eat regular meals, while men show preferences for specific tastes and meal-related behaviors. Taken together, our results highlight the importance of integrating different perspectives, thus providing valuable insights into the development of public health strategies and tailored nutrition interventions aimed at chronic disease prevention.","container-title":"Frontiers in Nutrition","DOI":"10.3389/fnut.2024.1348456","ISSN":"2296-861X","journalAbbreviation":"Front. Nutr.","language":"English","note":"publisher: Frontiers","source":"Frontiers","title":"Assessing gender differences in food preferences and physical activity: a population-based survey","title-short":"Assessing gender differences in food preferences and physical activity","URL":"https://www.frontiersin.org/articles/10.3389/fnut.2024.1348456","volume":"11","author":[{"family":"Feraco","given":"Alessandra"},{"family":"Armani","given":"Andrea"},{"family":"Amoah","given":"Isaac"},{"family":"Guseva","given":"Elena"},{"family":"Camajani","given":"Elisabetta"},{"family":"Gorini","given":"Stefania"},{"family":"Strollo","given":"Rocky"},{"family":"Padua","given":"Elvira"},{"family":"Caprio","given":"Massimiliano"},{"family":"Lombardo","given":"Mauro"}],"accessed":{"date-parts":[["2024",6,1]]},"issued":{"date-parts":[["2024",2,20]]}}},{"id":3396,"uris":["http://zotero.org/groups/5345474/items/T4EHBIXH"],"itemData":{"id":3396,"type":"article-journal","abstract":"The fear of the COVID-19 pandemic is associated with negative effects on mental health. The study investigates depression, anxiety, and stress and their relationship to gender among hospitality sector employees in the USA during COVID-19. Fear has been one of the most common psychological responses in the population during the COVID-19 pandemic. The aim of this study is to examine its relationship with depression, anxiety, and stress to combat the fear of COVID-19 between the gender. The study was conducted using an online questionnaire. A sociodemographic data form, the Fear of COVID-19 scale, and the Depression, Anxiety and Stress Scale (DASS-21) were used for data collection. In total, 341 valid questionnaires were analyzed using SPSS version 24. The results showed that the fear of COVID-19 positively and significantly impacted stress (Coeff = .4992, 95% confidence interval (CI): .4409–.5575), anxiety (Coeff = .4825, 95% CI: .4245–.5405), and depression (Coeff = . 4601, 95% CI: .3992–.5210), and these effects differed according to gender. The effects of the fear of COVID-19 on stress and anxiety were higher in women compared with men. This cross-sectional study shows that the psychological effects of the fear of COVID-19 are more significant in women than in men. The study makes significant contributions to the literature in terms of showing the gender differences related to COVID-19 within the hospitality sector. Therefore, women should be prioritized in future psychiatric recovery plans.","container-title":"Trends in Psychology","DOI":"10.1007/s43076-022-00227-x","ISSN":"2358-1883","issue":"1","journalAbbreviation":"Trends in Psychol.","language":"en","page":"152-164","source":"Springer Link","title":"Gender Effects on Depression, Anxiety, and Stress Regarding the Fear of COVID-19","volume":"32","author":[{"family":"Maslakçı","given":"Ahmet"},{"family":"Sürücü","given":"Lütfi"}],"issued":{"date-parts":[["2024",3,1]]}}}],"schema":"https://github.com/citation-style-language/schema/raw/master/csl-citation.json"} </w:instrText>
      </w:r>
      <w:r w:rsidR="00836363" w:rsidRPr="00C36035">
        <w:rPr>
          <w:color w:val="222222"/>
        </w:rPr>
        <w:fldChar w:fldCharType="separate"/>
      </w:r>
      <w:r w:rsidR="006C0BB1" w:rsidRPr="006C0BB1">
        <w:t>(Yıldırım et al., 2021; Feraco et al., 2024; Maslakçı and Sürücü, 2024)</w:t>
      </w:r>
      <w:r w:rsidR="00836363" w:rsidRPr="00C36035">
        <w:rPr>
          <w:color w:val="222222"/>
        </w:rPr>
        <w:fldChar w:fldCharType="end"/>
      </w:r>
      <w:r w:rsidR="00FD4C8F">
        <w:rPr>
          <w:color w:val="222222"/>
        </w:rPr>
        <w:t xml:space="preserve">. </w:t>
      </w:r>
      <w:r w:rsidR="00725221">
        <w:t>Men, in</w:t>
      </w:r>
      <w:r w:rsidR="001E7ADB">
        <w:t xml:space="preserve"> contrast</w:t>
      </w:r>
      <w:r w:rsidR="00725221">
        <w:t>,</w:t>
      </w:r>
      <w:r w:rsidR="00FE7FEF">
        <w:t xml:space="preserve"> seem to be more concerned with affordability</w:t>
      </w:r>
      <w:r w:rsidR="00B41317">
        <w:t xml:space="preserve"> relative to women, perhaps a </w:t>
      </w:r>
      <w:r w:rsidR="0025002F">
        <w:t>reflect</w:t>
      </w:r>
      <w:r w:rsidR="00B41317">
        <w:t xml:space="preserve">ion of </w:t>
      </w:r>
      <w:r w:rsidR="0025002F">
        <w:t>th</w:t>
      </w:r>
      <w:r w:rsidR="00FD4C8F">
        <w:t xml:space="preserve">e fact that </w:t>
      </w:r>
      <w:r w:rsidR="0025002F">
        <w:t xml:space="preserve">women </w:t>
      </w:r>
      <w:r w:rsidR="00CB52CE">
        <w:t>generally face more economic disadvantage</w:t>
      </w:r>
      <w:r w:rsidR="00FD4C8F">
        <w:t xml:space="preserve"> and </w:t>
      </w:r>
      <w:r w:rsidR="00CB52CE">
        <w:t>have less control over household finances</w:t>
      </w:r>
      <w:r w:rsidR="00B41317">
        <w:t xml:space="preserve">; </w:t>
      </w:r>
      <w:r w:rsidR="00CB52CE">
        <w:t xml:space="preserve">so </w:t>
      </w:r>
      <w:r w:rsidR="00B41317">
        <w:t xml:space="preserve">they may </w:t>
      </w:r>
      <w:r w:rsidR="00CB52CE">
        <w:t xml:space="preserve">adapt more </w:t>
      </w:r>
      <w:r w:rsidR="00B41317">
        <w:t xml:space="preserve">to the conditions surrounding their </w:t>
      </w:r>
      <w:r w:rsidR="001D51DA">
        <w:t>physical participation</w:t>
      </w:r>
      <w:r w:rsidR="00B41317">
        <w:t>, including greater</w:t>
      </w:r>
      <w:r w:rsidR="006C0BB1">
        <w:t xml:space="preserve"> use of shared and less expensive modes </w:t>
      </w:r>
      <w:r w:rsidR="006C0BB1">
        <w:fldChar w:fldCharType="begin"/>
      </w:r>
      <w:r w:rsidR="006C0BB1">
        <w:instrText xml:space="preserve"> ADDIN ZOTERO_ITEM CSL_CITATION {"citationID":"MhoEy07O","properties":{"formattedCitation":"(Kunieda and Gauthier, 2007; Priya Uteng and Turner, 2019)","plainCitation":"(Kunieda and Gauthier, 2007; Priya Uteng and Turner, 2019)","noteIndex":0},"citationItems":[{"id":3452,"uris":["http://zotero.org/users/12832277/items/CVJMT7WH"],"itemData":{"id":3452,"type":"chapter","container-title":"Sustainable Transport: A Sourcebook for Poliymakers in Developing Cities","publisher":"Federal Ministry for Economic Cooperation and Development","title":"Gender and Urban Transport: Smart and Affordable","author":[{"family":"Kunieda","given":"Mika"},{"family":"Gauthier","given":"Aimee"}],"issued":{"date-parts":[["2007",9]]}}},{"id":3449,"uris":["http://zotero.org/users/12832277/items/R73E3S8B"],"itemData":{"id":3449,"type":"article-journal","abstract":"The Millennium Development Goals (MDGs) specifies gender equality and sustainable development as their two central priorities. An area of critical importance for sustainable and gender-fair development is mobility and transport, which has so far been neglected and downplayed in research and policy making both at the national and global levels. Rooted in the history of the topic and the emerging ideas on smart, green and integrated transport, this paper presents a literature review of on gender and transport in the low- and middle-income countries. The paper presents a host of cross-cutting topics with a concentrated focus on spatial and transport planning. The paper further identifies existing research gaps and comments on the new conceptualizations on smart cities and smart mobilities in the Global South. Due attention is paid to intersections and synergies that can be created between different development sectors, emerging transport modes, data and modeling exercises, gender equality and sustainability.","container-title":"Sustainability","DOI":"10.3390/su11174555","ISSN":"2071-1050","issue":"17","language":"en","license":"http://creativecommons.org/licenses/by/3.0/","note":"number: 17\npublisher: Multidisciplinary Digital Publishing Institute","source":"www.mdpi.com","title":"Addressing the Linkages Between Gender and Transport in Low- and Middle-Income Countries","URL":"https://www.mdpi.com/2071-1050/11/17/4555","volume":"11","author":[{"family":"Priya Uteng","given":"Tanu"},{"family":"Turner","given":"Jeff"}],"accessed":{"date-parts":[["2024",6,6]]},"issued":{"date-parts":[["2019",1]]}}}],"schema":"https://github.com/citation-style-language/schema/raw/master/csl-citation.json"} </w:instrText>
      </w:r>
      <w:r w:rsidR="006C0BB1">
        <w:fldChar w:fldCharType="separate"/>
      </w:r>
      <w:r w:rsidR="006C0BB1" w:rsidRPr="006C0BB1">
        <w:t>(Kunieda and Gauthier, 2007; Priya Uteng and Turner, 2019)</w:t>
      </w:r>
      <w:r w:rsidR="006C0BB1">
        <w:fldChar w:fldCharType="end"/>
      </w:r>
      <w:r w:rsidR="00CB52CE">
        <w:t xml:space="preserve">. </w:t>
      </w:r>
      <w:r w:rsidR="00FD4C8F">
        <w:t xml:space="preserve">On the other hand, </w:t>
      </w:r>
      <w:r w:rsidR="00CB52CE">
        <w:t xml:space="preserve">men, who have more financial control, </w:t>
      </w:r>
      <w:r w:rsidR="00FD4C8F">
        <w:t xml:space="preserve">may </w:t>
      </w:r>
      <w:r w:rsidR="00B41317">
        <w:t>perceive greater lack of affordability because of higher expectations of what they believe the transportation system should provide</w:t>
      </w:r>
      <w:r w:rsidR="00690F4D">
        <w:t xml:space="preserve"> to accommodate their more expensive travel “needs</w:t>
      </w:r>
      <w:r w:rsidR="006C0BB1">
        <w:t>,</w:t>
      </w:r>
      <w:r w:rsidR="00690F4D">
        <w:t>”</w:t>
      </w:r>
      <w:r w:rsidR="00B41317">
        <w:t xml:space="preserve"> including </w:t>
      </w:r>
      <w:r w:rsidR="00690F4D">
        <w:t xml:space="preserve">the </w:t>
      </w:r>
      <w:r w:rsidR="00B41317">
        <w:t>use of private vehicles</w:t>
      </w:r>
      <w:r w:rsidR="00690F4D">
        <w:t xml:space="preserve"> for much of their travel</w:t>
      </w:r>
      <w:r w:rsidR="00B41317">
        <w:t xml:space="preserve">. </w:t>
      </w:r>
      <w:r w:rsidR="00752203">
        <w:t>Older individuals also tend to experience more</w:t>
      </w:r>
      <w:r w:rsidR="00FD4C8F">
        <w:t xml:space="preserve"> PPD</w:t>
      </w:r>
      <w:r w:rsidR="00752203">
        <w:t>, due in large part to health problems and concerns about COVID</w:t>
      </w:r>
      <w:r w:rsidR="00690F4D">
        <w:t>. This may be explained by</w:t>
      </w:r>
      <w:r w:rsidR="00FD4C8F">
        <w:t xml:space="preserve"> </w:t>
      </w:r>
      <w:r w:rsidR="00690F4D">
        <w:t xml:space="preserve">their </w:t>
      </w:r>
      <w:r w:rsidR="00FD4C8F">
        <w:t xml:space="preserve">increasing physical frailty and </w:t>
      </w:r>
      <w:r w:rsidR="00690F4D">
        <w:t xml:space="preserve">their higher </w:t>
      </w:r>
      <w:r w:rsidR="00FD4C8F">
        <w:t xml:space="preserve">likelihood of </w:t>
      </w:r>
      <w:r w:rsidR="00690F4D">
        <w:t xml:space="preserve">actually </w:t>
      </w:r>
      <w:r w:rsidR="00FD4C8F">
        <w:t>contractin</w:t>
      </w:r>
      <w:r w:rsidR="00690F4D">
        <w:t xml:space="preserve">g </w:t>
      </w:r>
      <w:r w:rsidR="00FD4C8F">
        <w:t xml:space="preserve">contagious illnesses </w:t>
      </w:r>
      <w:r w:rsidR="007F2389" w:rsidRPr="0066264D">
        <w:fldChar w:fldCharType="begin"/>
      </w:r>
      <w:r w:rsidR="007F2389" w:rsidRPr="0066264D">
        <w:instrText xml:space="preserve"> ADDIN ZOTERO_ITEM CSL_CITATION {"citationID":"03zKW2Mw","properties":{"formattedCitation":"(Roe et al., 2021)","plainCitation":"(Roe et al., 2021)","noteIndex":0},"citationItems":[{"id":2909,"uris":["http://zotero.org/users/12832277/items/YYN43EDS"],"itemData":{"id":2909,"type":"article-journal","abstract":"Coronavirus disease 2019 (COVID-19) has produced considerable morbidity and mortality worldwide, and older adults are at especially high risk for developing severe COVID-19. A cohort study of driving behavior from January 1, 2019, to April 25, 2019, and January 1, 2020, to April 25, 2020, was conducted. We hypothesized that older adults would reduce the number of days driving and number of trips/day they make after COVID-19 case acceleration. Data from 214 adults aged 66.5 to 92.8 years were used. Women comprised 47.6% of the sample and 15.4% were African American. Participants reduced the proportion of days driven during the pandemic (.673 vs. .382 [p &lt; .001]) compared with same period the year before (.695 vs. .749). Trips/day showed a similar decline (p &lt; .001). Participants also took shorter trips (p = .02), drove slower (p &lt; .001), had fewer speeding incidents (p &lt; .001), and had different trip destinations (p &lt; .001). These results indicate that older adults reduce their driving behavior when faced with a pandemic.","container-title":"Journal of Applied Gerontology","DOI":"10.1177/0733464820966516","ISSN":"0733-4648","issue":"3","language":"en","note":"publisher: SAGE Publications Inc","page":"263-267","source":"SAGE Journals","title":"Reaction to a Pandemic: Social Distancing and Driving Among Older Adults During COVID-19","volume":"40","author":[{"family":"Roe","given":"Catherine M."},{"family":"Rosnick","given":"Christopher B."},{"family":"Colletta","given":"Angela"},{"family":"Babulal","given":"Ganesh M."}],"issued":{"date-parts":[["2021",3,1]]}}}],"schema":"https://github.com/citation-style-language/schema/raw/master/csl-citation.json"} </w:instrText>
      </w:r>
      <w:r w:rsidR="007F2389" w:rsidRPr="0066264D">
        <w:fldChar w:fldCharType="separate"/>
      </w:r>
      <w:r w:rsidR="007F2389" w:rsidRPr="0066264D">
        <w:t>(Roe et al., 2021)</w:t>
      </w:r>
      <w:r w:rsidR="007F2389" w:rsidRPr="0066264D">
        <w:fldChar w:fldCharType="end"/>
      </w:r>
      <w:r w:rsidR="007F2389" w:rsidRPr="0066264D">
        <w:t>.</w:t>
      </w:r>
      <w:r w:rsidR="007F2389">
        <w:t xml:space="preserve"> </w:t>
      </w:r>
      <w:r w:rsidR="006E1C29">
        <w:t xml:space="preserve">Reliability and time-related considerations are less of an issue for older adults, particularly individuals 55+ years of age. </w:t>
      </w:r>
    </w:p>
    <w:p w14:paraId="3B976EAD" w14:textId="42C1F129" w:rsidR="006061AB" w:rsidRPr="00E71E8A" w:rsidRDefault="003923CA" w:rsidP="004F3BBC">
      <w:pPr>
        <w:spacing w:after="0" w:line="240" w:lineRule="auto"/>
        <w:jc w:val="both"/>
      </w:pPr>
      <w:r>
        <w:tab/>
        <w:t xml:space="preserve">While </w:t>
      </w:r>
      <w:r w:rsidR="00A12F4A">
        <w:t xml:space="preserve">those employed are no different than those retired or unemployed in terms of experiencing PPD, employed individuals are more likely to </w:t>
      </w:r>
      <w:r w:rsidR="00010501">
        <w:t xml:space="preserve">identify “no time” as </w:t>
      </w:r>
      <w:r w:rsidR="006E1C29">
        <w:t xml:space="preserve">a </w:t>
      </w:r>
      <w:r w:rsidR="00010501">
        <w:t xml:space="preserve">reason </w:t>
      </w:r>
      <w:r w:rsidR="006E1C29">
        <w:t xml:space="preserve">for </w:t>
      </w:r>
      <w:r w:rsidR="00010501">
        <w:t>PPD, presumably due to space-</w:t>
      </w:r>
      <w:r w:rsidR="009818DF" w:rsidRPr="008B610B">
        <w:t>time</w:t>
      </w:r>
      <w:r w:rsidR="002212B3">
        <w:t xml:space="preserve"> </w:t>
      </w:r>
      <w:r w:rsidR="009818DF" w:rsidRPr="008B610B">
        <w:t>constraints</w:t>
      </w:r>
      <w:r w:rsidR="009818DF">
        <w:t xml:space="preserve"> from work schedules</w:t>
      </w:r>
      <w:r w:rsidR="006E1C29">
        <w:t>.</w:t>
      </w:r>
      <w:r w:rsidR="009818DF" w:rsidRPr="008B610B">
        <w:t xml:space="preserve"> </w:t>
      </w:r>
      <w:r w:rsidR="006E1C29">
        <w:t>R</w:t>
      </w:r>
      <w:r w:rsidR="008F7FD2" w:rsidRPr="008B610B">
        <w:t>etired</w:t>
      </w:r>
      <w:r w:rsidR="008F7FD2">
        <w:t xml:space="preserve"> individuals</w:t>
      </w:r>
      <w:r w:rsidR="006E1C29">
        <w:t>, not surprisingly, are less concerned about reliability, though</w:t>
      </w:r>
      <w:r w:rsidR="008F7FD2" w:rsidRPr="008B610B">
        <w:t xml:space="preserve"> </w:t>
      </w:r>
      <w:r w:rsidR="00931E2D">
        <w:t xml:space="preserve">report experiencing </w:t>
      </w:r>
      <w:r w:rsidR="00010501">
        <w:t xml:space="preserve">PPD </w:t>
      </w:r>
      <w:r w:rsidR="008F7FD2" w:rsidRPr="008B610B">
        <w:t xml:space="preserve">due to </w:t>
      </w:r>
      <w:r w:rsidR="00010501">
        <w:t>“health problems</w:t>
      </w:r>
      <w:r w:rsidR="006C0BB1">
        <w:t>,</w:t>
      </w:r>
      <w:r w:rsidR="00010501">
        <w:t>”</w:t>
      </w:r>
      <w:r w:rsidR="008F7FD2">
        <w:t xml:space="preserve"> likely due to </w:t>
      </w:r>
      <w:r w:rsidR="008F7FD2" w:rsidRPr="008B610B">
        <w:t>physical mobility constraints</w:t>
      </w:r>
      <w:r w:rsidR="006E1C29">
        <w:t xml:space="preserve"> </w:t>
      </w:r>
      <w:r w:rsidR="008F7FD2">
        <w:t>limit</w:t>
      </w:r>
      <w:r w:rsidR="006E1C29">
        <w:t>ing</w:t>
      </w:r>
      <w:r w:rsidR="008F7FD2" w:rsidRPr="008B610B">
        <w:t xml:space="preserve"> </w:t>
      </w:r>
      <w:r w:rsidR="006C0BB1">
        <w:t xml:space="preserve">their </w:t>
      </w:r>
      <w:r w:rsidR="008F7FD2" w:rsidRPr="008B610B">
        <w:t>travel altern</w:t>
      </w:r>
      <w:r w:rsidR="008F7FD2" w:rsidRPr="001C4E66">
        <w:t xml:space="preserve">atives </w:t>
      </w:r>
      <w:r w:rsidR="008F7FD2" w:rsidRPr="001C4E66">
        <w:fldChar w:fldCharType="begin"/>
      </w:r>
      <w:r w:rsidR="008F7FD2" w:rsidRPr="001C4E66">
        <w:instrText xml:space="preserve"> ADDIN ZOTERO_ITEM CSL_CITATION {"citationID":"yWail2qt","properties":{"formattedCitation":"(Dabelko-Schoeny et al., 2021; Zhou et al., 2022)","plainCitation":"(Dabelko-Schoeny et al., 2021; Zhou et al., 2022)","noteIndex":0},"citationItems":[{"id":2491,"uris":["http://zotero.org/users/12832277/items/87FBAERG"],"itemData":{"id":2491,"type":"article-journal","abstract":"Introduction\nTransportation plays an important role in the social connectedness and quality of life among older adults (Black et al., 2015). Despite the increasing number of culturally and linguistically diverse older adults in the U.S. (Scommegna, 2016), studies that comprehensively investigate factors influencing their transportation use are sparse and fragmented.\nMethods\nGuided by the socio-ecological lens, we explored multi-level barriers and facilitators of transportation among diverse older adults with a specific focus on older immigrants and refugees living in a Midwestern U.S. metropolitan city. The research team conducted eight 90-min focus groups in six languages (English, Nepali, Khmer, Somali, Russian and Mandarin) with diverse older volunteers N = 70 (Male = 40%, Women = 60%). The mean age of participants was 76.81 (SD = 8.51). Data analysis followed the Rapid and Rigorous Qualitative Data Analysis (RADaR) technique (Watkins, 2017) and thematic analysis (Nowell et al., 2017) with an interactive team approach.\nResults\nFour major transportation determinants emerged: (1) transportation service: affordability, accessibility, availability and acceptability, lack of transportation options, service coordination; (2) built environment: safety and walkability; (3) social environment: language barriers and lack of information; and (4) individual attributes: being able to drive, walk, and “ask someone for a ride”.\nConclusion\nThe interconnectedness of multi-level determinants provides implications for a systematic approach to improving transportation services for diverse older adults supporting a more age-friendly community.","container-title":"Journal of Transport &amp; Health","DOI":"10.1016/j.jth.2020.100994","ISSN":"2214-1405","source":"ScienceDirect","title":"“We Want to Go, but There Are No Options”: Exploring Barriers and Facilitators of Transportation Among Diverse Older Adults","URL":"https://www.sciencedirect.com/science/article/pii/S2214140520301985","volume":"20","author":[{"family":"Dabelko-Schoeny","given":"Holly"},{"family":"Maleku","given":"Arati"},{"family":"Cao","given":"Qiuchang"},{"family":"White","given":"Katie"},{"family":"Ozbilen","given":"Basar"}],"accessed":{"date-parts":[["2024",2,15]]},"issued":{"date-parts":[["2021",3,1]]}}},{"id":2927,"uris":["http://zotero.org/users/12832277/items/PW62958U"],"itemData":{"id":2927,"type":"article-journal","abstract":"The steady trend of aging has caused great concern on how cities should better accommodate the social needs of aged population. Older people in general have more leisure time than younger adults but are found highly constrained in daily travel. To examine the imbalance between travel demand and transport supply among older adults, this paper decomposes their daily travel into two categories (visits to non-ubiquitous and ubiquitous facilities) according to major characteristics of travel behaviors using Nanjing Household Travel Survey data. Multinominal logit (MNL) models are applied to exploit the effects of household and personal characteristics, trip characteristics, local supplies, and public transport services on travel mode choices. Results show that (i) travel demand and transport supply are highly unbalanced for most non-ubiquitous facilities, (ii) relative to younger adults, older adults travel further and highly rely on public transport to access non-ubiquitous facilities, (iii) providing more public transit services nearby non-ubiquitous facilities are more reliable to increase the accessibility of older adults than increasing the number of facilities. These results would help policy-makers better understand travel behaviors of older adults and develop strategies to accommodate their travel demand, especially from the perspective of facility network reorganization.","container-title":"Journal of Transport Geography","DOI":"10.1016/j.jtrangeo.2022.103368","ISSN":"0966-6923","source":"ScienceDirect","title":"Demand, Mobility, and Constraints: Exploring Travel Behaviors and Mode Choices of Older Adults Using a Facility-Based Framework","URL":"https://www.sciencedirect.com/science/article/pii/S0966692322000916","volume":"102","author":[{"family":"Zhou","given":"Yang"},{"family":"Yuan","given":"Quan"},{"family":"Ding","given":"Fangyi"},{"family":"Chen","given":"Mingyang"},{"family":"Yang","given":"Chao"},{"family":"Guo","given":"Tangyi"}],"accessed":{"date-parts":[["2024",4,2]]},"issued":{"date-parts":[["2022",6,1]]}}}],"schema":"https://github.com/citation-style-language/schema/raw/master/csl-citation.json"} </w:instrText>
      </w:r>
      <w:r w:rsidR="008F7FD2" w:rsidRPr="001C4E66">
        <w:fldChar w:fldCharType="separate"/>
      </w:r>
      <w:r w:rsidR="008F7FD2" w:rsidRPr="001C4E66">
        <w:t>(Dabelko-Schoeny et al., 2021; Zhou et al., 2022)</w:t>
      </w:r>
      <w:r w:rsidR="008F7FD2" w:rsidRPr="001C4E66">
        <w:fldChar w:fldCharType="end"/>
      </w:r>
      <w:r w:rsidR="008F7FD2" w:rsidRPr="001C4E66">
        <w:t xml:space="preserve">. </w:t>
      </w:r>
      <w:r w:rsidR="006E1C29">
        <w:t xml:space="preserve">In terms of race effects, </w:t>
      </w:r>
      <w:r w:rsidR="00865322">
        <w:t>individuals identifying as non-white report more PPD than those identifying as white, attributing the PPD to transportation unreliability, poor destination access, and COVID concerns. These results align with the existing literature showing that minority racial groups, particularly Black Americans, face significant</w:t>
      </w:r>
      <w:r w:rsidR="001E7ADB">
        <w:t>ly more</w:t>
      </w:r>
      <w:r w:rsidR="00865322">
        <w:t xml:space="preserve"> economic and temporal constraints, live in areas with less developed transportation infrastructure, are more likely to use public transportation, and have increased safety concerns largely related to discrimination and policing </w:t>
      </w:r>
      <w:r w:rsidR="00865322">
        <w:fldChar w:fldCharType="begin"/>
      </w:r>
      <w:r w:rsidR="00740CF3">
        <w:instrText xml:space="preserve"> ADDIN ZOTERO_ITEM CSL_CITATION {"citationID":"GmfujnHj","properties":{"formattedCitation":"(Agyeman and Doran, 2021; Barajas, 2021; Haddad et al., 2023)","plainCitation":"(Agyeman and Doran, 2021; Barajas, 2021; Haddad et al., 2023)","noteIndex":0},"citationItems":[{"id":2844,"uris":["http://zotero.org/users/12832277/items/QETHYMVR"],"itemData":{"id":2844,"type":"article-journal","abstract":"Since the early 2000s, academic research on equity and justice has become an increasingly integral component of transportation planning and policy-making. Less research, however, has focused specifically on the intersection of equity, justice, and active transportation (i.e. cycling and walking). This Viewpoint builds on some of the key concerns and barriers associated with active transportation for disadvantaged groups, especially but not exclusively in relation to planning culture and processes, policing, harassment and racism, and gentrification and displacement. We investigate how issues of equity and justice can worsen the conditions that often prevent or diminish one’s capability or desire to engage in active transportation. By providing a better understanding of the deep intersectionalities of equity, justice, and the physical and social barriers to active transportation, our hope is that this Viewpoint helps to improve how such barriers can be recognised and overcome, and the opportunities for change can be understood, centred, and implemented at the policy and planning level.","container-title":"Local Environment","DOI":"10.1080/13549839.2021.1978412","ISSN":"1354-9839","issue":"12","note":"publisher: Routledge\n_eprint: https://doi.org/10.1080/13549839.2021.1978412","page":"1480-1497","source":"Taylor and Francis+NEJM","title":"“You Want Protected Bike Lanes, I Want Protected Black Children. Let’s Link”: Equity, Justice, and the Barriers to Active Transportation in North America","volume":"26","author":[{"family":"Agyeman","given":"Julian"},{"family":"Doran","given":"A."}],"issued":{"date-parts":[["2021",12,2]]}}},{"id":2414,"uris":["http://zotero.org/users/12832277/items/IMNMKRME"],"itemData":{"id":2414,"type":"article-journal","abstract":"This study asks whether deficiencies in transportation are associated with disproportionate policing in Chicago using the case of cycling. I examine how the number of bicycle citations issued per street segment are influenced by the availability of bicycle facilities and street characteristics, controlling for crash incidence, police presence, and neighborhood characteristics. Tickets were issued 8 times more often per capita in majority Black tracts and 3 times more often in majority Latino tracts compared to majority white tracts. More tickets were issued on major streets, but up to 85% fewer were issued when those streets had bike facilities, which were less prevalent in Black and Latino neighborhoods. Tickets were not associated with bicycle injury-crashes and inversely associated with vehicle injury-crashes. Infrastructure inequities compound the effects of racially-biased policing in the context of transportation safety strategies. Remedies include the removal of traffic enforcement from safe systems strategies and equitable investment in cycling.","container-title":"Transportation Research Part D: Transport and Environment","DOI":"10.1016/j.trd.2021.103027","ISSN":"1361-9209","page":"103027","source":"ScienceDirect","title":"Biking Where Black: Connecting Transportation Planning and Infrastructure to Disproportionate Policing","volume":"99","author":[{"family":"Barajas","given":"Jesus M."}],"issued":{"date-parts":[["2021",10,1]]}}},{"id":3546,"uris":["http://zotero.org/users/12832277/items/DNAGXHV3"],"itemData":{"id":3546,"type":"article-journal","abstract":"In this paper, we unpack the magnitude effects of the determinants of pedestrian crashes using a multivariate analysis approach. We consider four sets of exogenous factors that characterize residential neighborhoods as well as potentially affect pedestrian crashes and the racial composition of such crashes: (1) crash risk exposure (CE) attributes, (2) cultural variables, (3) built environment (BE) features, and (4) sociodemographic (SD) factors. Our investigation uses pedestrian crash and related data from the City of Houston, Texas, which we analyze at the spatial Census Block Group (CBG) level. Our results indicate that social resistance considerations (that is, minorities resisting norms as they are perceived as being set by the majority group), density of transit stops, and road design considerations (in particular in and around areas with high land-use diversity) are the three strongest determinants of pedestrian crashes, particularly in CBGs with a majority of the resident population being Black. The findings of this study can enable policymakers and planners to develop more effective countermeasures and interventions to contain the growing number of pedestrian crashes in recent years, as well as racial disparities in pedestrian crashes. Importantly, transportation safety engineers need to work with social scientists and engage with community leaders to build trust before leaping into implementing planning countermeasures and interventions. Issues of social resistance, in particular, need to be kept in mind.","container-title":"Accident Analysis &amp; Prevention","DOI":"10.1016/j.aap.2023.106954","ISSN":"0001-4575","journalAbbreviation":"Accident Analysis &amp; Prevention","source":"ScienceDirect","title":"Pedestrian Crash Frequency: Unpacking the Effects of Contributing Factors and Racial Disparities","title-short":"Pedestrian Crash Frequency","URL":"https://www.sciencedirect.com/science/article/pii/S0001457523000015","volume":"182","author":[{"family":"Haddad","given":"Angela J."},{"family":"Mondal","given":"Aupal"},{"family":"Bhat","given":"Chandra R."},{"family":"Zhang","given":"Angie"},{"family":"Liao","given":"Madison C."},{"family":"Macias","given":"Lisa J."},{"family":"Lee","given":"Min Kyung"},{"family":"Watkins","given":"S. Craig"}],"accessed":{"date-parts":[["2024",6,23]]},"issued":{"date-parts":[["2023",3,1]]}}}],"schema":"https://github.com/citation-style-language/schema/raw/master/csl-citation.json"} </w:instrText>
      </w:r>
      <w:r w:rsidR="00865322">
        <w:fldChar w:fldCharType="separate"/>
      </w:r>
      <w:r w:rsidR="00740CF3" w:rsidRPr="00740CF3">
        <w:t>(Agyeman and Doran, 2021; Barajas, 2021; Haddad et al., 2023)</w:t>
      </w:r>
      <w:r w:rsidR="00865322">
        <w:fldChar w:fldCharType="end"/>
      </w:r>
      <w:r w:rsidR="00865322">
        <w:t xml:space="preserve">. </w:t>
      </w:r>
      <w:r w:rsidR="00FE37BA" w:rsidRPr="001C4E66">
        <w:t xml:space="preserve">As far as educational attainment, </w:t>
      </w:r>
      <w:r w:rsidR="009202AE" w:rsidRPr="001C4E66">
        <w:t>those</w:t>
      </w:r>
      <w:r w:rsidRPr="001C4E66">
        <w:t xml:space="preserve"> with higher levels of </w:t>
      </w:r>
      <w:r w:rsidR="00931E2D">
        <w:t xml:space="preserve">formal </w:t>
      </w:r>
      <w:r w:rsidRPr="001C4E66">
        <w:t xml:space="preserve">education </w:t>
      </w:r>
      <w:r w:rsidR="00F00AA8">
        <w:t>are</w:t>
      </w:r>
      <w:r w:rsidR="002B34B2" w:rsidRPr="001C4E66">
        <w:t xml:space="preserve"> </w:t>
      </w:r>
      <w:r w:rsidR="00931E2D">
        <w:t xml:space="preserve">predisposed more to PPD, </w:t>
      </w:r>
      <w:r w:rsidR="002B34B2" w:rsidRPr="001C4E66">
        <w:t xml:space="preserve">largely due to </w:t>
      </w:r>
      <w:r w:rsidR="00931E2D">
        <w:t xml:space="preserve">transportation systems being “not </w:t>
      </w:r>
      <w:r w:rsidR="002B34B2" w:rsidRPr="001C4E66">
        <w:t>clean</w:t>
      </w:r>
      <w:r w:rsidR="00E71E8A">
        <w:t>,</w:t>
      </w:r>
      <w:r w:rsidR="00931E2D">
        <w:t>”</w:t>
      </w:r>
      <w:r w:rsidR="002B34B2" w:rsidRPr="001C4E66">
        <w:t xml:space="preserve"> </w:t>
      </w:r>
      <w:r w:rsidR="00931E2D">
        <w:t xml:space="preserve">having “no </w:t>
      </w:r>
      <w:r w:rsidR="002B34B2" w:rsidRPr="001C4E66">
        <w:t>time</w:t>
      </w:r>
      <w:r w:rsidR="00E71E8A">
        <w:t>,</w:t>
      </w:r>
      <w:r w:rsidR="00931E2D">
        <w:t>”</w:t>
      </w:r>
      <w:r w:rsidR="002B34B2" w:rsidRPr="001C4E66">
        <w:t xml:space="preserve"> and </w:t>
      </w:r>
      <w:r w:rsidR="00931E2D">
        <w:t xml:space="preserve">being COVID </w:t>
      </w:r>
      <w:r w:rsidR="00E71E8A">
        <w:t>contagion concerned</w:t>
      </w:r>
      <w:r w:rsidR="00931E2D">
        <w:t xml:space="preserve">. </w:t>
      </w:r>
      <w:r w:rsidR="00931E2D" w:rsidRPr="001C4E66">
        <w:t>These</w:t>
      </w:r>
      <w:r w:rsidR="00931E2D">
        <w:t xml:space="preserve"> PPD reasons</w:t>
      </w:r>
      <w:r w:rsidR="00931E2D" w:rsidRPr="001C4E66">
        <w:t xml:space="preserve"> reflect broad trends of greater </w:t>
      </w:r>
      <w:r w:rsidR="00931E2D">
        <w:lastRenderedPageBreak/>
        <w:t xml:space="preserve">health </w:t>
      </w:r>
      <w:r w:rsidR="00931E2D" w:rsidRPr="001C4E66">
        <w:t>concern</w:t>
      </w:r>
      <w:r w:rsidR="00931E2D">
        <w:t xml:space="preserve"> and more time constraints </w:t>
      </w:r>
      <w:r w:rsidR="00931E2D" w:rsidRPr="001C4E66">
        <w:t>among highly educated population</w:t>
      </w:r>
      <w:r w:rsidR="00931E2D">
        <w:t xml:space="preserve"> groups</w:t>
      </w:r>
      <w:r w:rsidR="00931E2D" w:rsidRPr="001C4E66">
        <w:t xml:space="preserve"> </w:t>
      </w:r>
      <w:r w:rsidR="00931E2D" w:rsidRPr="001C4E66">
        <w:fldChar w:fldCharType="begin"/>
      </w:r>
      <w:r w:rsidR="00931E2D" w:rsidRPr="001C4E66">
        <w:instrText xml:space="preserve"> ADDIN ZOTERO_ITEM CSL_CITATION {"citationID":"qo06KP5p","properties":{"formattedCitation":"(Jacobs and Burch, 2021)","plainCitation":"(Jacobs and Burch, 2021)","noteIndex":0},"citationItems":[{"id":2921,"uris":["http://zotero.org/users/12832277/items/EBLTB9NC"],"itemData":{"id":2921,"type":"article-journal","abstract":"Background\nIn addition to the threat of serious illness, COVID-19 brought abrupt changes in lifestyle resulting in widespread fear among many Americans. This study examines the evolution of anxiety over the first months of the COVID-19 pandemic, testing for differential experiences among vulnerable populations.\nMethods\nPhase 1 of the Census Bureau's Household Pulse Survey details the frequency of anxiety among a nationally representative sample of adults from April 23, 2020 through July 21, 2020. Negative binomial regression assessed differences in the frequency of anxiety among demographic, income, health and employment status cohorts. Propensity score matching to the 2019 National Health Interview Survey allowed previous anxiety and health status to be included in the model.\nResults\nAnxiety frequency for 944,719 individuals was observed over three months. Whites, blacks and Hispanics showed increasing frequency of anxiety over the time period, particularly blacks. Prior to COVID-19, 13% of respondents reported regular or semiregular anxiety, compared to 25–35% during the pandemic. Regression analysis suggests that frequent anxiety was highly and positively correlated with COVID-19 case fatality rate and higher levels of frequency were observed among those with poor health, incomes below $25,000, and without paid employment.\nLimitations\nCausal inference was not able to be investigated due to the cross-sectional study design.\nConclusions\nWhile blacks showed lower levels of anxiety initially, the proportion of the population experiencing regular anxiety increased nearly 20% over the first months of the COVID-19 pandemic. This rapid increase in anxiety could be due to inequity in health and economic outcomes among blacks.","container-title":"Journal of Affective Disorders","DOI":"10.1016/j.jad.2021.05.027","ISSN":"0165-0327","page":"58-66","source":"ScienceDirect","title":"Anxiety During the Pandemic: Racial and Ethnic Differences in the Trajectory of Fear","volume":"292","author":[{"family":"Jacobs","given":"Molly"},{"family":"Burch","given":"Ashley E."}],"issued":{"date-parts":[["2021",9,1]]}}}],"schema":"https://github.com/citation-style-language/schema/raw/master/csl-citation.json"} </w:instrText>
      </w:r>
      <w:r w:rsidR="00931E2D" w:rsidRPr="001C4E66">
        <w:fldChar w:fldCharType="separate"/>
      </w:r>
      <w:r w:rsidR="00931E2D" w:rsidRPr="001C4E66">
        <w:t>(Jacobs and Burch, 2021)</w:t>
      </w:r>
      <w:r w:rsidR="00931E2D" w:rsidRPr="001C4E66">
        <w:fldChar w:fldCharType="end"/>
      </w:r>
      <w:r w:rsidR="00931E2D">
        <w:t>.</w:t>
      </w:r>
      <w:r w:rsidR="00441699" w:rsidRPr="001C4E66">
        <w:t xml:space="preserve"> </w:t>
      </w:r>
    </w:p>
    <w:p w14:paraId="14ECBEDC" w14:textId="478442B3" w:rsidR="00F43F62" w:rsidRDefault="00F27478" w:rsidP="00502EEE">
      <w:pPr>
        <w:spacing w:after="0" w:line="240" w:lineRule="auto"/>
        <w:ind w:firstLine="720"/>
        <w:jc w:val="both"/>
      </w:pPr>
      <w:r>
        <w:t>Finally</w:t>
      </w:r>
      <w:r w:rsidR="004F3BBC">
        <w:t xml:space="preserve">, individuals without </w:t>
      </w:r>
      <w:r w:rsidR="00931E2D">
        <w:t xml:space="preserve">a </w:t>
      </w:r>
      <w:r w:rsidR="004F3BBC">
        <w:t>driver’s license</w:t>
      </w:r>
      <w:r w:rsidR="001E7ADB">
        <w:t>,</w:t>
      </w:r>
      <w:r w:rsidR="004F3BBC">
        <w:t xml:space="preserve"> and those who have medical conditions that hinder their travel</w:t>
      </w:r>
      <w:r w:rsidR="001E7ADB">
        <w:t>,</w:t>
      </w:r>
      <w:r w:rsidR="004F3BBC">
        <w:t xml:space="preserve"> experience more </w:t>
      </w:r>
      <w:r w:rsidR="00931E2D">
        <w:t>PPD</w:t>
      </w:r>
      <w:r w:rsidR="004F3BBC">
        <w:t xml:space="preserve">, reflecting the burdens of the travel constraints these groups face. </w:t>
      </w:r>
      <w:r w:rsidR="00F43F62">
        <w:t>Respondents</w:t>
      </w:r>
      <w:r w:rsidR="00931E2D">
        <w:t xml:space="preserve"> without a </w:t>
      </w:r>
      <w:r w:rsidR="00F43F62">
        <w:t>driver</w:t>
      </w:r>
      <w:r w:rsidR="00931E2D">
        <w:t>’s license</w:t>
      </w:r>
      <w:r w:rsidR="00F43F62">
        <w:t xml:space="preserve"> </w:t>
      </w:r>
      <w:r w:rsidR="00931E2D">
        <w:t xml:space="preserve">are </w:t>
      </w:r>
      <w:r w:rsidR="00F43F62">
        <w:t>less likely to attribute</w:t>
      </w:r>
      <w:r w:rsidR="00F57FF8">
        <w:t xml:space="preserve"> </w:t>
      </w:r>
      <w:r w:rsidR="00931E2D">
        <w:t xml:space="preserve">PPD </w:t>
      </w:r>
      <w:r w:rsidR="00F57FF8">
        <w:t xml:space="preserve">to </w:t>
      </w:r>
      <w:r w:rsidR="00F43F62">
        <w:t>health factors, instead citing time constraint</w:t>
      </w:r>
      <w:r w:rsidR="00931E2D">
        <w:t>s</w:t>
      </w:r>
      <w:r w:rsidR="00F43F62">
        <w:t xml:space="preserve">. </w:t>
      </w:r>
      <w:r>
        <w:t>These individuals</w:t>
      </w:r>
      <w:r w:rsidR="00F43F62">
        <w:t xml:space="preserve"> are more reliant on rides from others, active modes, and public tran</w:t>
      </w:r>
      <w:r w:rsidR="00FE22DA">
        <w:t>sportation</w:t>
      </w:r>
      <w:r w:rsidR="00F43F62">
        <w:t xml:space="preserve">, all </w:t>
      </w:r>
      <w:r w:rsidR="00F43F62" w:rsidRPr="00624B38">
        <w:t xml:space="preserve">of which are </w:t>
      </w:r>
      <w:r w:rsidR="00FE22DA">
        <w:t xml:space="preserve">typically </w:t>
      </w:r>
      <w:r w:rsidR="00F43F62" w:rsidRPr="00624B38">
        <w:t>more time consumi</w:t>
      </w:r>
      <w:r w:rsidR="00FE22DA">
        <w:t xml:space="preserve">ng (than driving) </w:t>
      </w:r>
      <w:r w:rsidR="00651A40" w:rsidRPr="00624B38">
        <w:fldChar w:fldCharType="begin"/>
      </w:r>
      <w:r w:rsidR="00651A40" w:rsidRPr="00624B38">
        <w:instrText xml:space="preserve"> ADDIN ZOTERO_ITEM CSL_CITATION {"citationID":"hgnYxbd3","properties":{"formattedCitation":"(Haustein and Siren, 2014)","plainCitation":"(Haustein and Siren, 2014)","noteIndex":0},"citationItems":[{"id":2850,"uris":["http://zotero.org/users/12832277/items/RBJXXRHB"],"itemData":{"id":2850,"type":"article-journal","abstract":"Previous studies have come to different conclusions regarding how important a driving licence is for seniors to fulfil their mobility needs. We investigated this question based on three groups of Danish seniors: persons who were licensed as drivers (“drivers”); persons who have never been licensed drivers (“never-drivers”); and persons who recently gave up their licence (“ex-drivers”). Data were collected via standardised telephone interviews in 2012 among 863 individuals born in 1939/40. The three groups differed significantly in socio-demographics and health; never-drivers had the least resources, and ex-drivers the poorest health. Moreover, the two unlicensed groups had more unmet mobility needs than drivers. In ordinal regression models, both never having had a licence and having given up a licence significantly affected unmet mobility needs. Among the background variables, which were successively added to the models, health variables were most relevant, while socio-demographics and infrastructure played a minor role. When entering the health variables to the models, the effect of giving up a licence decreased but remained significant for unmet leisure needs, while it became insignificant for unmet shopping needs. The effect of never having had a licence was hardly affected by the inclusion of control variables. The results emphasise the importance of a driving licence in fulfilling seniors’ mobility needs. Contrary to our hypotheses, more experience with, and better access to alternative transport modes cannot sufficiently compensate for mobility problems due to the lack of the option to drive.","container-title":"Journal of Transport Geography","DOI":"10.1016/j.jtrangeo.2014.08.001","ISSN":"0966-6923","page":"45-52","source":"ScienceDirect","title":"Seniors’ Unmet Mobility Needs – How Important Is a Driving Licence?","volume":"41","author":[{"family":"Haustein","given":"Sonja"},{"family":"Siren","given":"Anu"}],"issued":{"date-parts":[["2014",12,1]]}}}],"schema":"https://github.com/citation-style-language/schema/raw/master/csl-citation.json"} </w:instrText>
      </w:r>
      <w:r w:rsidR="00651A40" w:rsidRPr="00624B38">
        <w:fldChar w:fldCharType="separate"/>
      </w:r>
      <w:r w:rsidR="00651A40" w:rsidRPr="00624B38">
        <w:t>(Haustein and Siren, 2014)</w:t>
      </w:r>
      <w:r w:rsidR="00651A40" w:rsidRPr="00624B38">
        <w:fldChar w:fldCharType="end"/>
      </w:r>
      <w:r w:rsidR="00F43F62" w:rsidRPr="00624B38">
        <w:t xml:space="preserve">. </w:t>
      </w:r>
      <w:r w:rsidR="00FE22DA">
        <w:t>The reverse holds for r</w:t>
      </w:r>
      <w:r w:rsidR="00F43F62" w:rsidRPr="00624B38">
        <w:t>espondents with medical conditions</w:t>
      </w:r>
      <w:r w:rsidR="00FE22DA">
        <w:t xml:space="preserve">, who appear to experience PPD less due to time constraints, but more to health problems. </w:t>
      </w:r>
    </w:p>
    <w:p w14:paraId="1631F71E" w14:textId="77777777" w:rsidR="00D91C74" w:rsidRDefault="00D91C74" w:rsidP="00651A40">
      <w:pPr>
        <w:spacing w:after="0" w:line="240" w:lineRule="auto"/>
        <w:jc w:val="both"/>
      </w:pPr>
    </w:p>
    <w:p w14:paraId="3B216D6F" w14:textId="278AC459" w:rsidR="00D91C74" w:rsidRDefault="00D91C74" w:rsidP="00D91C74">
      <w:pPr>
        <w:spacing w:after="0" w:line="240" w:lineRule="auto"/>
        <w:jc w:val="both"/>
        <w:rPr>
          <w:b/>
          <w:bCs/>
        </w:rPr>
      </w:pPr>
      <w:r>
        <w:rPr>
          <w:b/>
          <w:bCs/>
        </w:rPr>
        <w:t>4.</w:t>
      </w:r>
      <w:r w:rsidR="002968D4">
        <w:rPr>
          <w:b/>
          <w:bCs/>
        </w:rPr>
        <w:t>2</w:t>
      </w:r>
      <w:r>
        <w:rPr>
          <w:b/>
          <w:bCs/>
        </w:rPr>
        <w:t xml:space="preserve"> Virtual Accessibility</w:t>
      </w:r>
    </w:p>
    <w:p w14:paraId="2FD23952" w14:textId="48B44E8E" w:rsidR="008738D1" w:rsidRPr="00B23176" w:rsidRDefault="007D33EE" w:rsidP="008738D1">
      <w:pPr>
        <w:spacing w:after="0" w:line="240" w:lineRule="auto"/>
        <w:jc w:val="both"/>
        <w:rPr>
          <w:b/>
          <w:bCs/>
        </w:rPr>
      </w:pPr>
      <w:r>
        <w:t>While the results in the previous section focus</w:t>
      </w:r>
      <w:r w:rsidR="00A4264C">
        <w:t>ed</w:t>
      </w:r>
      <w:r>
        <w:t xml:space="preserve"> on </w:t>
      </w:r>
      <w:r w:rsidR="00690F4D">
        <w:t>PPD</w:t>
      </w:r>
      <w:r>
        <w:t>, t</w:t>
      </w:r>
      <w:r w:rsidR="00624B38">
        <w:t>he final set of results</w:t>
      </w:r>
      <w:r>
        <w:t xml:space="preserve"> (presented in </w:t>
      </w:r>
      <w:r w:rsidR="00502EEE">
        <w:t>the last two columns of Table 3</w:t>
      </w:r>
      <w:r>
        <w:t>)</w:t>
      </w:r>
      <w:r w:rsidR="00624B38">
        <w:t xml:space="preserve"> </w:t>
      </w:r>
      <w:r w:rsidR="00A4264C">
        <w:t xml:space="preserve">center on </w:t>
      </w:r>
      <w:r w:rsidR="00624B38">
        <w:t xml:space="preserve">virtual </w:t>
      </w:r>
      <w:r w:rsidR="00690F4D">
        <w:t>participation</w:t>
      </w:r>
      <w:r>
        <w:t>, including</w:t>
      </w:r>
      <w:r w:rsidR="00690F4D">
        <w:t xml:space="preserve"> the propensity to </w:t>
      </w:r>
      <w:r>
        <w:t xml:space="preserve">telework and use delivery services. </w:t>
      </w:r>
      <w:r w:rsidR="00922E86">
        <w:t>Individuals in h</w:t>
      </w:r>
      <w:r w:rsidR="00CC29B3">
        <w:t xml:space="preserve">ouseholds with </w:t>
      </w:r>
      <w:r w:rsidR="00922E86">
        <w:t>two or more</w:t>
      </w:r>
      <w:r w:rsidR="00CC29B3">
        <w:t xml:space="preserve"> adults</w:t>
      </w:r>
      <w:r>
        <w:t xml:space="preserve"> </w:t>
      </w:r>
      <w:r w:rsidR="00922E86">
        <w:t xml:space="preserve">(relative to sole-adult individuals) </w:t>
      </w:r>
      <w:r>
        <w:t>and those with children</w:t>
      </w:r>
      <w:r w:rsidR="00CC29B3">
        <w:t xml:space="preserve"> </w:t>
      </w:r>
      <w:r w:rsidR="00922E86">
        <w:t xml:space="preserve">in the household (relative to those without children) </w:t>
      </w:r>
      <w:r w:rsidR="00BA2895">
        <w:t xml:space="preserve">have a lower propensity </w:t>
      </w:r>
      <w:r w:rsidR="00CC29B3">
        <w:t>to telework</w:t>
      </w:r>
      <w:r>
        <w:t xml:space="preserve">, </w:t>
      </w:r>
      <w:r w:rsidR="00BA2895">
        <w:t xml:space="preserve">perhaps </w:t>
      </w:r>
      <w:r>
        <w:t xml:space="preserve">due to the </w:t>
      </w:r>
      <w:r w:rsidR="00922724">
        <w:t>greater</w:t>
      </w:r>
      <w:r>
        <w:t xml:space="preserve"> number of household distractions among larger families</w:t>
      </w:r>
      <w:r w:rsidR="00D70033">
        <w:t xml:space="preserve"> </w:t>
      </w:r>
      <w:r w:rsidR="00D70033">
        <w:fldChar w:fldCharType="begin"/>
      </w:r>
      <w:r w:rsidR="00D70033">
        <w:instrText xml:space="preserve"> ADDIN ZOTERO_ITEM CSL_CITATION {"citationID":"yAhckriX","properties":{"formattedCitation":"(Pabilonia and Vernon, 2022)","plainCitation":"(Pabilonia and Vernon, 2022)","noteIndex":0},"citationItems":[{"id":3339,"uris":["http://zotero.org/users/12832277/items/GT9XVE7S"],"itemData":{"id":3339,"type":"article-journal","abstract":"Using data on full-time wage and salary workers from the 2017–2018 American Time Use Survey Leave and Job Flexibilities Module, we estimate hourly wage differentials for teleworkers and compare how workers allocate their time over the day when they work from home rather than the office. We find that some teleworkers earn a wage premium, but it varies by gender, parental status, and teleworking intensity. Fathers who telework earn more than fathers in office-based jobs, regardless of teleworking intensity. Women without children who telework occasionally earn more than their office counterparts. In industries and occupations where telework is more prevalent, mothers who work from home most days of the week pay a wage penalty compared to mothers in office-based jobs. Using time diaries, we find differences in work patterns and hours across worker groups that could drive these teleworker wage differentials. Most teleworkers work less on home days; however, those who earn wage premiums are working longer hours on weekdays, regardless of their work location. When teleworking, mothers experience more interruptions in their workdays than other workers, which could have negative effects on their productivity. We also find that teleworkers spend less time on commuting and grooming activities but more time on leisure activities and with family on work-at-home days than on office days, and female teleworkers spend more time sleeping and on household production activities.","container-title":"Review of Economics of the Household","DOI":"10.1007/s11150-022-09601-1","ISSN":"1573-7152","issue":"3","language":"en","page":"687-734","source":"Springer Link","title":"Telework, Wages, and Time Use in the United States","volume":"20","author":[{"family":"Pabilonia","given":"Sabrina Wulff"},{"family":"Vernon","given":"Victoria"}],"issued":{"date-parts":[["2022",9,1]]}}}],"schema":"https://github.com/citation-style-language/schema/raw/master/csl-citation.json"} </w:instrText>
      </w:r>
      <w:r w:rsidR="00D70033">
        <w:fldChar w:fldCharType="separate"/>
      </w:r>
      <w:r w:rsidR="00D70033" w:rsidRPr="00D70033">
        <w:t>(Pabilonia and Vernon, 2022)</w:t>
      </w:r>
      <w:r w:rsidR="00D70033">
        <w:fldChar w:fldCharType="end"/>
      </w:r>
      <w:r w:rsidR="00CC29B3">
        <w:t>.</w:t>
      </w:r>
      <w:r w:rsidR="00D946C0">
        <w:t xml:space="preserve"> T</w:t>
      </w:r>
      <w:r w:rsidR="00922724">
        <w:t xml:space="preserve">hose with </w:t>
      </w:r>
      <w:r>
        <w:t>children</w:t>
      </w:r>
      <w:r w:rsidR="00BA2895">
        <w:t xml:space="preserve"> </w:t>
      </w:r>
      <w:r>
        <w:t xml:space="preserve">in the home </w:t>
      </w:r>
      <w:r w:rsidR="00D946C0">
        <w:t xml:space="preserve">also </w:t>
      </w:r>
      <w:r w:rsidR="00BA2895">
        <w:t xml:space="preserve">appear to have a </w:t>
      </w:r>
      <w:r w:rsidR="00690F4D">
        <w:t xml:space="preserve">higher </w:t>
      </w:r>
      <w:r w:rsidR="00BA2895">
        <w:t>tendency to have deliveries (</w:t>
      </w:r>
      <w:r>
        <w:t xml:space="preserve">possibly a mechanism to reduce </w:t>
      </w:r>
      <w:r w:rsidR="00BA2895">
        <w:t xml:space="preserve">time spent on OH shopping; </w:t>
      </w:r>
      <w:r w:rsidR="003A63F9" w:rsidRPr="00B23176">
        <w:fldChar w:fldCharType="begin"/>
      </w:r>
      <w:r w:rsidR="00397C46" w:rsidRPr="00B23176">
        <w:instrText xml:space="preserve"> ADDIN ZOTERO_ITEM CSL_CITATION {"citationID":"uBpfiFZg","properties":{"formattedCitation":"(Spurlock et al., 2020)","plainCitation":"(Spurlock et al., 2020)","dontUpdate":true,"noteIndex":0},"citationItems":[{"id":2864,"uris":["http://zotero.org/users/12832277/items/WP4XGZN2"],"itemData":{"id":2864,"type":"article-journal","abstract":"Expanding e-commerce and delivery benefit consumers through increased flexibility and convenience. However, there is a potential impact on vehicle miles traveled (VMT) by delivery and personal vehicles, and the resulting energy consumption, air quality, and congestion. Delivery trips could replace personal vehicle trips, but, if not a replacement, could add to (or supplement) shopping-related VMT for a given household. We examined the benefits of e-commerce to consumers and the impact on personal shopping trips, and how these differed across item types, household child status, and income. We found that high-income households and households with children cared relatively more about time saving from deliveries. We found that, on average, deliveries substituted for 12% of vehicle shopping trips, but supplemented personal shopping trips for 9% of purchase deliveries. Underlying these averages were two main types of households: those for whom all deliveries substitute for trips (between 55% and 70% of households) and those for whom all deliveries supplement trips (between 20% and 35% of households). There was significant heterogeneity across households with and without children and with high or low incomes with respect to the use of delivery. Although time savings were more likely to motivate higher-income households and households with children to use delivery, this did not translate through to these households substituting for more of their trips; deliveries of prepared meals for both these categories of household were relatively more likely (15% for households with children, and 12% for higher-income households) to supplement, and not substitute for, personal trips.","container-title":"Transportation Research Record","DOI":"10.1177/0361198120935113","ISSN":"0361-1981","issue":"10","language":"en","note":"publisher: SAGE Publications Inc","page":"335-350","source":"SAGE Journals","title":"Children, Income, and the Impact of Home Delivery on Household Shopping Trips","volume":"2674","author":[{"family":"Spurlock","given":"C. Anna"},{"family":"Todd-Blick","given":"Annika"},{"family":"Wong-Parodi","given":"Gabrielle"},{"family":"Walker","given":"Victor"}],"issued":{"date-parts":[["2020",10,1]]}}}],"schema":"https://github.com/citation-style-language/schema/raw/master/csl-citation.json"} </w:instrText>
      </w:r>
      <w:r w:rsidR="003A63F9" w:rsidRPr="00B23176">
        <w:fldChar w:fldCharType="separate"/>
      </w:r>
      <w:r w:rsidR="003A63F9" w:rsidRPr="00B23176">
        <w:t>Spurlock et al., 2020)</w:t>
      </w:r>
      <w:r w:rsidR="003A63F9" w:rsidRPr="00B23176">
        <w:fldChar w:fldCharType="end"/>
      </w:r>
      <w:r w:rsidR="00BA2895" w:rsidRPr="00B23176">
        <w:t xml:space="preserve">, while those with a large number of workers are inclined to have </w:t>
      </w:r>
      <w:r w:rsidR="00690F4D" w:rsidRPr="00B23176">
        <w:t>fewer</w:t>
      </w:r>
      <w:r w:rsidR="00BA2895" w:rsidRPr="00B23176">
        <w:t xml:space="preserve"> deliveries (</w:t>
      </w:r>
      <w:r w:rsidR="00D946C0" w:rsidRPr="00B23176">
        <w:t xml:space="preserve">possibly because </w:t>
      </w:r>
      <w:r w:rsidR="00320E73" w:rsidRPr="00B23176">
        <w:t xml:space="preserve">these workers </w:t>
      </w:r>
      <w:r w:rsidR="00BA2895" w:rsidRPr="00B23176">
        <w:t>tend to combine OH shopping activities with the commutes of one or more workers</w:t>
      </w:r>
      <w:r w:rsidR="00690F4D" w:rsidRPr="00B23176">
        <w:t>;</w:t>
      </w:r>
      <w:r w:rsidR="00BA2895" w:rsidRPr="00B23176">
        <w:t xml:space="preserve"> </w:t>
      </w:r>
      <w:r w:rsidR="003A63F9" w:rsidRPr="00B23176">
        <w:fldChar w:fldCharType="begin"/>
      </w:r>
      <w:r w:rsidR="00397C46" w:rsidRPr="00B23176">
        <w:instrText xml:space="preserve"> ADDIN ZOTERO_ITEM CSL_CITATION {"citationID":"8E5rp3LT","properties":{"formattedCitation":"(Dirks et al., 2022)","plainCitation":"(Dirks et al., 2022)","dontUpdate":true,"noteIndex":0},"citationItems":[{"id":2251,"uris":["http://zotero.org/users/12832277/items/6D2MJCJ6"],"itemData":{"id":2251,"type":"article-journal","abstract":"The COVID-19 pandemic has revealed the fault lines in society. Whether it be remote work,\nremote learning, online shopping, grocery and meal deliveries, or medical care, there are disparities\nand inequities among socio-economic and demographic groups that leave some segments of\nsociety more vulnerable and less adaptable. This paper aims to identify vulnerable and less\nadaptable groups in the context of access to food. Using a comprehensive behavioral survey data\nset collected during the height of the pandemic in 2020, this paper aims to provide insights on the\ngroups that may have experienced food access vulnerability during the disruption when businesses\nand establishments were restricted, the risk of contagion was high, and accessing online platforms\nrequired technology-savviness and the ability to afford delivery charges. The paper proposes and\npresents estimation results for a simultaneous equations model of six endogenous choice variables\ndefined by a combination of two food types (groceries and meals) and three access modalities (inperson, online with in-person pickup, and online with delivery). The model estimation results show\nthat attitudes and perceptions play a significant role in shaping pandemic-era access modalities.\nThe model revealed that, even after controlling for a host of attitudinal indicators, minorities, lowincome individuals, and individuals residing in rural low-density areas are particularly vulnerable\nto being left behind and experiencing challenges in accessing food during a severe and prolonged\ndisruption. Social programs should aim to provide these vulnerable groups with tools and financial\nresources to leverage online activity engagement and access modalities.","container-title":"Technical paper, Department of Civil, Architectural and Environmental Engineering, The University of Texas at Austin","source":"Google Scholar","title":"Access to Food in a Severe Prolonged Disruption: The Case of Grocery and Meal Shopping During the COVID-19 Pandemic","title-short":"Access to Food in a Severe Prolonged Disruption","URL":"https://search.proquest.com/openview/25b2deb88b4f42e8b6bde60a1bc9106c/1?pq-origsite=gscholar&amp;cbl=18750&amp;diss=y","author":[{"family":"Dirks","given":"Abbie"},{"family":"Batur","given":"Irfan"},{"family":"Mondal","given":"Aupal"},{"family":"Magassy","given":"Tassio B."},{"family":"Pendyala","given":"Ram M"},{"family":"Haddad","given":"Angela"},{"family":"Bhat","given":"Chandra R."},{"family":"Chen","given":"Cynthia"},{"family":"Salon","given":"Deborah"},{"family":"Bhagat-Conway","given":"Matthew Wigginton"},{"family":"Mohammadi","given":"Motahare"},{"family":"Chauhan","given":"Rishabh"},{"family":"Mohammadian","given":"Abolfazl"},{"family":"Derrible","given":"Sybil"}],"accessed":{"date-parts":[["2024",2,7]]},"issued":{"date-parts":[["2022",8]]}}}],"schema":"https://github.com/citation-style-language/schema/raw/master/csl-citation.json"} </w:instrText>
      </w:r>
      <w:r w:rsidR="003A63F9" w:rsidRPr="00B23176">
        <w:fldChar w:fldCharType="separate"/>
      </w:r>
      <w:r w:rsidR="003A63F9" w:rsidRPr="00B23176">
        <w:t>Dirks et al., 2022)</w:t>
      </w:r>
      <w:r w:rsidR="003A63F9" w:rsidRPr="00B23176">
        <w:fldChar w:fldCharType="end"/>
      </w:r>
      <w:r w:rsidRPr="00B23176">
        <w:t xml:space="preserve">. </w:t>
      </w:r>
      <w:r w:rsidR="00BA2895" w:rsidRPr="00B23176">
        <w:t xml:space="preserve">Other effects of household characteristics are as follows: (a) </w:t>
      </w:r>
      <w:r w:rsidRPr="00B23176">
        <w:t>Individuals in v</w:t>
      </w:r>
      <w:r w:rsidR="00CC29B3" w:rsidRPr="00B23176">
        <w:t>ehicle</w:t>
      </w:r>
      <w:r w:rsidR="00D24539">
        <w:t>-</w:t>
      </w:r>
      <w:r w:rsidR="00CC29B3" w:rsidRPr="00B23176">
        <w:t>constrained households</w:t>
      </w:r>
      <w:r w:rsidR="00414546" w:rsidRPr="00B23176">
        <w:t xml:space="preserve"> </w:t>
      </w:r>
      <w:r w:rsidR="00BA2895" w:rsidRPr="00B23176">
        <w:t xml:space="preserve">have a higher predilection </w:t>
      </w:r>
      <w:r w:rsidR="00414546" w:rsidRPr="00B23176">
        <w:t>to be teleworkers</w:t>
      </w:r>
      <w:r w:rsidR="00BA2895" w:rsidRPr="00B23176">
        <w:t>,</w:t>
      </w:r>
      <w:r w:rsidR="00414546" w:rsidRPr="00B23176">
        <w:t xml:space="preserve"> but </w:t>
      </w:r>
      <w:r w:rsidR="00BA2895" w:rsidRPr="00B23176">
        <w:t xml:space="preserve">also a lower inclination for </w:t>
      </w:r>
      <w:r w:rsidR="00414546" w:rsidRPr="00B23176">
        <w:t>package deliveries</w:t>
      </w:r>
      <w:r w:rsidR="00BA2895" w:rsidRPr="00B23176">
        <w:t>, (b)</w:t>
      </w:r>
      <w:r w:rsidR="00414546" w:rsidRPr="00B23176">
        <w:t xml:space="preserve"> </w:t>
      </w:r>
      <w:r w:rsidR="00BA2895" w:rsidRPr="00B23176">
        <w:t>A</w:t>
      </w:r>
      <w:r w:rsidR="00303165" w:rsidRPr="00B23176">
        <w:t>s household income increases</w:t>
      </w:r>
      <w:r w:rsidR="003E7555" w:rsidRPr="00B23176">
        <w:t xml:space="preserve"> or when living in urban areas (rather than non-urban areas)</w:t>
      </w:r>
      <w:r w:rsidR="00303165" w:rsidRPr="00B23176">
        <w:t xml:space="preserve">, </w:t>
      </w:r>
      <w:r w:rsidR="00BA2895" w:rsidRPr="00B23176">
        <w:t xml:space="preserve">the propensity of </w:t>
      </w:r>
      <w:r w:rsidR="00303165" w:rsidRPr="00B23176">
        <w:t xml:space="preserve">teleworking and </w:t>
      </w:r>
      <w:r w:rsidR="00C359FB" w:rsidRPr="00B23176">
        <w:t xml:space="preserve">receiving </w:t>
      </w:r>
      <w:r w:rsidR="00303165" w:rsidRPr="00B23176">
        <w:t>deliveries</w:t>
      </w:r>
      <w:r w:rsidR="00BA2895" w:rsidRPr="00B23176">
        <w:t xml:space="preserve"> both increase</w:t>
      </w:r>
      <w:r w:rsidR="003E7555" w:rsidRPr="00B23176">
        <w:t>. These results have been found in many recent studies</w:t>
      </w:r>
      <w:r w:rsidR="007B2E7B" w:rsidRPr="00B23176">
        <w:t xml:space="preserve"> </w:t>
      </w:r>
      <w:r w:rsidR="007B2E7B" w:rsidRPr="00B23176">
        <w:fldChar w:fldCharType="begin"/>
      </w:r>
      <w:r w:rsidR="00374A3B">
        <w:instrText xml:space="preserve"> ADDIN ZOTERO_ITEM CSL_CITATION {"citationID":"5wyDZXsu","properties":{"unsorted":true,"formattedCitation":"(Fabusuyi et al., 2020; Kaplan et al., 2023; Asmussen et al., 2024)","plainCitation":"(Fabusuyi et al., 2020; Kaplan et al., 2023; Asmussen et al., 2024)","dontUpdate":true,"noteIndex":0},"citationItems":[{"id":3520,"uris":["http://zotero.org/users/12832277/items/YLA8T2ES"],"itemData":{"id":3520,"type":"article-journal","abstract":"Using publicly available microdata sets, we show how estimates for online delivery purchases can be generated for small geographic areas defined in our study as micro analysis zones (MAZ) and how these estimates vary across the MAZs that featured in our study. With a focus on Miami-Dade County, we use both the national household travel survey (NHTS) data and synthetic data obtained from Southeast Florida Regional Planning Model (SERPM) to generate demand estimates of online delivery purchases for more than 5300 distinct geographic units in Miami-Dade County. We assess the quality of the estimates using measures of predictive accuracy and by comparing the cumulative values obtained with the population estimates generated from the NHTS survey data for Miami-Dade County. Our approach fills a void in the area of purchases of online delivery items where rich observable data are typically unavailable and it also provides the added potential benefit of being easily replicated nationwide given the emphasis on the use of publicly available data.","container-title":"Journal of Transport Geography","DOI":"10.1016/j.jtrangeo.2020.102864","ISSN":"0966-6923","source":"ScienceDirect","title":"Estimating Small Area Demand for Online Package Delivery","URL":"https://www.sciencedirect.com/science/article/pii/S0966692320309418","volume":"88","author":[{"family":"Fabusuyi","given":"Tayo"},{"family":"Twumasi-Boakye","given":"Richard"},{"family":"Broaddus","given":"Andrea"},{"family":"Fishelson","given":"James"},{"family":"Hampshire","given":"Robert Cornelius"}],"accessed":{"date-parts":[["2024",6,20]]},"issued":{"date-parts":[["2020",10,1]]}}},{"id":2801,"uris":["http://zotero.org/users/12832277/items/J7YFDFMJ"],"itemData":{"id":2801,"type":"article-journal","abstract":"The novel coronavirus (COVID-19) pandemic created an environment where nearly all aspects of mobility changed to ensure the health and safety of the public. The Centers for Disease Control and Prevention (CDC) recommended that people quarantine for 14 days if they were potentially exposed to the virus, stay at least six feet apart from others, and stay at home as much as possible. Delivery via third-party restaurant app, grocery, and package delivery quickly became an essential service. This study assesses customer's changes in use and perceived quality of delivery services in Southwest Virginia, via an online stated-preference survey (n = 423). The responses were analyzed using ordered logit and generalized ordered logit models to identify which population segments had changing delivery behavior and perceptions due to the pandemic. Findings include that before the pandemic, only households with an income greater than $100,000 had a significantly higher demand for package delivery services than those making less than $25,000. During the pandemic, all income brackets had a significantly higher demand for package delivery “weekly” than households with less than a $25,000 income, with a 19.50%, 22.54%, and 45.59% greater chance of use for income levels $25,000 to $50,000, $50,000 to $100,000, and over $100,000, respectively. This trend highlights that package delivery became necessary during the pandemic. Respondents who lived within town limits were statistically significantly more likely to use third-party restaurant delivery apps at least once a week before (3.10%), during (9.20%), and after (4.50%) the pandemic compared to those outside town limits. The results also found people who lived within town limits were 7.77% more likely to be satisfied with delivery services in general than those who lived outside town limits. The findings from this paper identify expanding delivery equity gaps within the population and provide recommendations for policymakers and delivery agencies. Some limitations include that low sample size did not allow for fully segmented models and meant that the study should be considered exploratory in nature.","container-title":"Transport Policy","DOI":"10.1016/j.tranpol.2023.02.020","ISSN":"0967-070X","page":"217-230","source":"ScienceDirect","title":"How Has COVID-19 Impacted Customer Perceptions and Demand for Delivery Services: An Exploratory Analysis","volume":"134","author":[{"family":"Kaplan","given":"Marcella"},{"family":"Hotle","given":"Susan"},{"family":"Heaslip","given":"Kevin"}],"issued":{"date-parts":[["2023",4,1]]}}},{"id":1620,"uris":["http://zotero.org/users/12832277/items/U7G522IF"],"itemData":{"id":1620,"type":"article-journal","abstract":"With work arrangements experiencing dramatic changes over the past three years due to the COVID-19 pandemic, and the possibility that altered work arrangements may persist well into the future, the implications of teleworking on activity-travel behavior are potentially profound. This paper aims to substantially add to the body of knowledge about the present and future of telework in the wake of the pandemic through a rigorous analysis of telework arrangements between two distinct time periods. The paper focuses on three key aspects of telework, including whether to telework or not, frequency of telework, and location of telework. Behavioral data for this study is derived from a workplace location choice survey conducted across Texas in February-March 2022, which included a recall component to obtain workplace location choice information in the pre-pandemic period. The evolution of telework arrangements between the pre-and after-pandemic periods is explored through a joint model system estimated using a joint multivariate methodology. Results show that, After COVID, the population of workers is generally inclined toward a hybrid work arrangement, with an overall tendency to engage in a higher frequency of teleworking than Before COVID. Finally, teleworkers have a higher propensity to work only from home as opposed to working only from a third workplace or from a combination of home and a third workplace. Overall, our results indicate that telework arrangements may remain at an elevated level into the future, with home serving as the dominant telework location. These findings suggest that transportation demand forecasting models need to be updated to reflect higher levels of teleworking, as well as the heterogeneity across individuals in teleworking adoption, frequency, and location.","container-title":"Transportation Research Part A: Policy and Practice","DOI":"10.1016/j.tra.2023.103888","ISSN":"0965-8564","source":"ScienceDirect","title":"An Investigation of Individual-Level Telework Arrangements in the COVID-Era","URL":"https://www.sciencedirect.com/science/article/pii/S0965856423003087","volume":"179","author":[{"family":"Asmussen","given":"Katherine E."},{"family":"Mondal","given":"Aupal"},{"family":"Batur","given":"Irfan"},{"family":"Dirks","given":"Abbie"},{"family":"Pendyala","given":"Ram M."},{"family":"Bhat","given":"Chandra R."}],"accessed":{"date-parts":[["2023",12,6]]},"issued":{"date-parts":[["2024",1,1]]}}}],"schema":"https://github.com/citation-style-language/schema/raw/master/csl-citation.json"} </w:instrText>
      </w:r>
      <w:r w:rsidR="007B2E7B" w:rsidRPr="00B23176">
        <w:fldChar w:fldCharType="separate"/>
      </w:r>
      <w:r w:rsidR="00B23176" w:rsidRPr="00B23176">
        <w:t>(see, for example, Fabusuyi et al., 2020; Kaplan et al., 2023; Asmussen et al., 2024)</w:t>
      </w:r>
      <w:r w:rsidR="007B2E7B" w:rsidRPr="00B23176">
        <w:fldChar w:fldCharType="end"/>
      </w:r>
      <w:r w:rsidR="003E7555" w:rsidRPr="00B23176">
        <w:t xml:space="preserve">. For example, the urban effect may be attributed to </w:t>
      </w:r>
      <w:r w:rsidR="00C359FB" w:rsidRPr="00B23176">
        <w:t xml:space="preserve">broader internet access, </w:t>
      </w:r>
      <w:r w:rsidR="005B5F9C" w:rsidRPr="00B23176">
        <w:t xml:space="preserve">greater </w:t>
      </w:r>
      <w:r w:rsidR="00C359FB" w:rsidRPr="00B23176">
        <w:t xml:space="preserve">suitability of jobs for telework, and </w:t>
      </w:r>
      <w:r w:rsidR="005B5F9C" w:rsidRPr="00B23176">
        <w:t>more</w:t>
      </w:r>
      <w:r w:rsidR="00C359FB" w:rsidRPr="00B23176">
        <w:t xml:space="preserve"> delivery services </w:t>
      </w:r>
      <w:r w:rsidR="005B5F9C" w:rsidRPr="00B23176">
        <w:t xml:space="preserve">with lower costs </w:t>
      </w:r>
      <w:r w:rsidR="00C359FB" w:rsidRPr="00B23176">
        <w:t>in urban areas</w:t>
      </w:r>
      <w:r w:rsidR="00303165" w:rsidRPr="00B23176">
        <w:t>.</w:t>
      </w:r>
      <w:r w:rsidR="00414546" w:rsidRPr="00B23176">
        <w:rPr>
          <w:b/>
          <w:bCs/>
        </w:rPr>
        <w:t xml:space="preserve"> </w:t>
      </w:r>
    </w:p>
    <w:p w14:paraId="668DE2AD" w14:textId="0001F818" w:rsidR="00865322" w:rsidRDefault="00303165" w:rsidP="008738D1">
      <w:pPr>
        <w:spacing w:after="0" w:line="240" w:lineRule="auto"/>
        <w:jc w:val="both"/>
      </w:pPr>
      <w:r w:rsidRPr="00B23176">
        <w:tab/>
      </w:r>
      <w:r w:rsidR="00414546" w:rsidRPr="00B23176">
        <w:t>As far as i</w:t>
      </w:r>
      <w:r w:rsidRPr="00B23176">
        <w:t>ndividual</w:t>
      </w:r>
      <w:r w:rsidR="00486BE6" w:rsidRPr="00B23176">
        <w:t xml:space="preserve"> characteristics</w:t>
      </w:r>
      <w:r w:rsidR="00414546" w:rsidRPr="00B23176">
        <w:t>, w</w:t>
      </w:r>
      <w:r w:rsidR="00486BE6" w:rsidRPr="00B23176">
        <w:t>omen utilize delivery services</w:t>
      </w:r>
      <w:r w:rsidR="005B5F9C" w:rsidRPr="00B23176">
        <w:t xml:space="preserve"> more than men</w:t>
      </w:r>
      <w:r w:rsidR="00486BE6" w:rsidRPr="00B23176">
        <w:t xml:space="preserve">, </w:t>
      </w:r>
      <w:r w:rsidR="00690F4D" w:rsidRPr="00B23176">
        <w:t xml:space="preserve">perhaps </w:t>
      </w:r>
      <w:r w:rsidR="00486BE6" w:rsidRPr="00B23176">
        <w:t>representing women’s higher level of time consciousness</w:t>
      </w:r>
      <w:r w:rsidR="00414546" w:rsidRPr="00B23176">
        <w:t xml:space="preserve"> and responsibilities for home maintenance activities</w:t>
      </w:r>
      <w:r w:rsidR="00A80097" w:rsidRPr="00B23176">
        <w:t xml:space="preserve"> </w:t>
      </w:r>
      <w:r w:rsidR="00A80097" w:rsidRPr="00B23176">
        <w:fldChar w:fldCharType="begin"/>
      </w:r>
      <w:r w:rsidR="00A80097" w:rsidRPr="00B23176">
        <w:instrText xml:space="preserve"> ADDIN ZOTERO_ITEM CSL_CITATION {"citationID":"KH5n1us5","properties":{"formattedCitation":"(Young et al., 2022)","plainCitation":"(Young et al., 2022)","noteIndex":0},"citationItems":[{"id":3341,"uris":["http://zotero.org/users/12832277/items/JKSGECN6"],"itemData":{"id":3341,"type":"article-journal","abstract":"The COVID-19 pandemic and ensuing lockdown measures have led to an increase in e-shopping. Using longitudinal data from before and during the pandemic, we find that the number of respondents in our study who shop online at least once per week increased nearly five-fold between fall 2019 (11.6%) and spring 2020 (51.2%). We estimate a series of ordered logit models to establish who is responsible for this recent rise in e-commerce, and to help assess whether it will be temporary or longer lasting. We then discuss the equity implications and urban and regional restructuring that this change in e-shopping behavior may entail.","container-title":"Regional Science Policy &amp; Practice","DOI":"10.1111/rsp3.12514","ISSN":"1757-7802","issue":"S1","language":"en","license":"© 2022 The Authors. Regional Science Policy &amp; Practice © 2022 Regional Science Association International","note":"_eprint: https://onlinelibrary.wiley.com/doi/pdf/10.1111/rsp3.12514","page":"162-178","source":"Wiley Online Library","title":"The Increase in Online Shopping During COVID-19: Who Is Responsible, Will It Last, and What Does It Mean for Cities?","volume":"14","author":[{"family":"Young","given":"Mischa"},{"family":"Soza-Parra","given":"Jaime"},{"family":"Circella","given":"Giovanni"}],"issued":{"date-parts":[["2022"]]}}}],"schema":"https://github.com/citation-style-language/schema/raw/master/csl-citation.json"} </w:instrText>
      </w:r>
      <w:r w:rsidR="00A80097" w:rsidRPr="00B23176">
        <w:fldChar w:fldCharType="separate"/>
      </w:r>
      <w:r w:rsidR="00A80097" w:rsidRPr="00B23176">
        <w:t>(Young et al., 2022)</w:t>
      </w:r>
      <w:r w:rsidR="00A80097" w:rsidRPr="00B23176">
        <w:fldChar w:fldCharType="end"/>
      </w:r>
      <w:r w:rsidR="00414546" w:rsidRPr="00A80097">
        <w:t>.</w:t>
      </w:r>
      <w:r w:rsidR="00486BE6">
        <w:t xml:space="preserve"> </w:t>
      </w:r>
      <w:r w:rsidR="00C359FB">
        <w:t xml:space="preserve">Younger individuals </w:t>
      </w:r>
      <w:r w:rsidR="00690F4D">
        <w:t xml:space="preserve">are </w:t>
      </w:r>
      <w:r w:rsidR="00C359FB">
        <w:t>less</w:t>
      </w:r>
      <w:r w:rsidR="00414546">
        <w:t xml:space="preserve"> </w:t>
      </w:r>
      <w:r w:rsidR="00C12DB4">
        <w:t xml:space="preserve">predisposed </w:t>
      </w:r>
      <w:r w:rsidR="00414546">
        <w:t>to telework</w:t>
      </w:r>
      <w:r w:rsidR="00C12DB4">
        <w:t xml:space="preserve"> (p</w:t>
      </w:r>
      <w:r w:rsidR="00690F4D">
        <w:t>resumably</w:t>
      </w:r>
      <w:r w:rsidR="00C12DB4">
        <w:t xml:space="preserve"> </w:t>
      </w:r>
      <w:r w:rsidR="00414546">
        <w:t xml:space="preserve">reflecting greater preferences for </w:t>
      </w:r>
      <w:r w:rsidR="00C359FB">
        <w:t>sociability</w:t>
      </w:r>
      <w:r w:rsidR="00414546">
        <w:t xml:space="preserve"> and opportunities for advancement in physical offices</w:t>
      </w:r>
      <w:r w:rsidR="00C12DB4">
        <w:t xml:space="preserve">; </w:t>
      </w:r>
      <w:r w:rsidR="00004CBF">
        <w:fldChar w:fldCharType="begin"/>
      </w:r>
      <w:r w:rsidR="00397C46">
        <w:instrText xml:space="preserve"> ADDIN ZOTERO_ITEM CSL_CITATION {"citationID":"Gu8UAV1H","properties":{"formattedCitation":"(Tagliaro and Migliore, 2021)","plainCitation":"(Tagliaro and Migliore, 2021)","dontUpdate":true,"noteIndex":0},"citationItems":[{"id":3344,"uris":["http://zotero.org/users/12832277/items/BSXP3UDH"],"itemData":{"id":3344,"type":"article-journal","abstract":"Purpose This paper aims to explore the extent to which Covid-19 has challenged work habits and outcomes. The authors argue that after the lockdown period workers have been experiencing a new work mode called “Covid-working”. The aim is to provide a first interpretation of this phaenomenon and elaborate on future real estate strategies and workplace policies based on this experience. Design/methodology/approach Using survey data, this research analyses Covid-working in a large-sized company in Italy. The survey was answered by 90 employees and addresses three domains: locations of work; a comparison between work-from-home (WFH) and work from the office; and outcomes of Covid-working vs office-working. Findings With Covid-working, the workers of the case company drastically changed their traditional work from the office approach to pure WFH. While this abrupt switch might generate difficulties in adaptation, this working practice was generally appreciated by this company’s workers. Positive and negative outcomes of Covid-working confirm previous studies on remote working. Recommendations on multi-location of work, new value for the headquarters and diversity empowerment open up avenues for future real estate strategies. Originality/value Observations on Covid-working are still limited and mainly appear on grey literature, due to the newness of this phaenomenon. Empirical studies such as the proposed one can increase companies’ awareness of the positive and negative outcomes of this experience and support their future workplace strategies.","container-title":"Journal of Corporate Real Estate","DOI":"10.1108/JCRE-10-2020-0053","ISSN":"1463-001X","issue":"2","note":"publisher: Emerald Publishing Limited","page":"76-92","source":"Emerald Insight","title":"“COVID-Working”: What to Keep and What to Leave? Evidence from an Italian Company","volume":"24","author":[{"family":"Tagliaro","given":"Chiara"},{"family":"Migliore","given":"Alessandra"}],"issued":{"date-parts":[["2021",1,1]]}}}],"schema":"https://github.com/citation-style-language/schema/raw/master/csl-citation.json"} </w:instrText>
      </w:r>
      <w:r w:rsidR="00004CBF">
        <w:fldChar w:fldCharType="separate"/>
      </w:r>
      <w:r w:rsidR="00004CBF" w:rsidRPr="00004CBF">
        <w:t>Tagliaro and Migliore, 2021)</w:t>
      </w:r>
      <w:r w:rsidR="00004CBF">
        <w:fldChar w:fldCharType="end"/>
      </w:r>
      <w:r w:rsidR="00C12DB4">
        <w:t xml:space="preserve">, while </w:t>
      </w:r>
      <w:r w:rsidR="00A862A4">
        <w:t>older individuals</w:t>
      </w:r>
      <w:r w:rsidR="00414546">
        <w:t xml:space="preserve"> </w:t>
      </w:r>
      <w:r w:rsidR="00C12DB4">
        <w:t xml:space="preserve">have a lower propensity to </w:t>
      </w:r>
      <w:r w:rsidR="005C218B">
        <w:t>use</w:t>
      </w:r>
      <w:r w:rsidR="00414546">
        <w:t xml:space="preserve"> delivery services</w:t>
      </w:r>
      <w:r w:rsidR="005C218B">
        <w:t xml:space="preserve"> </w:t>
      </w:r>
      <w:r w:rsidR="00C12DB4">
        <w:t xml:space="preserve">(potentially reflecting less technology-savviness and </w:t>
      </w:r>
      <w:r w:rsidR="00B009AD">
        <w:t>greater concerns that delivery services will fulfill their needs</w:t>
      </w:r>
      <w:r w:rsidR="00C12DB4">
        <w:t>;</w:t>
      </w:r>
      <w:r w:rsidR="00B009AD">
        <w:t xml:space="preserve"> </w:t>
      </w:r>
      <w:r w:rsidR="00B009AD" w:rsidRPr="00B009AD">
        <w:fldChar w:fldCharType="begin"/>
      </w:r>
      <w:r w:rsidR="00397C46">
        <w:instrText xml:space="preserve"> ADDIN ZOTERO_ITEM CSL_CITATION {"citationID":"0SJQjI3h","properties":{"formattedCitation":"(Erjavec and Manfreda, 2022)","plainCitation":"(Erjavec and Manfreda, 2022)","dontUpdate":true,"noteIndex":0},"citationItems":[{"id":3346,"uris":["http://zotero.org/users/12832277/items/XYBQBRRE"],"itemData":{"id":3346,"type":"article-journal","abstract":"The COVID-19 pandemic has created a new reality for consumers all around the globe. To cope, users of digital technologies have faced the necessity of adopting and using specific technologies practically overnight. They are doing this under the condition of social isolation, all while facing the fear of catching the disease. The purpose of the paper is to study the way unexpected circumstances cause disruptions in existing theoretical models and their implications for the post-COVID-19 era. Therefore, the paper examines the unified theory of acceptance and use of technology (UTAUT) model under the circumstances of the COVID-19 pandemic and social isolation, and it identifies herd behavior as a possible new mechanism affecting behavioral intention under these unique decision-making circumstances. Behavioral intention toward online shopping was analyzed using data from 420 individuals aged 60 and older who present an increasingly important potential market for electronic commerce and who are particularly affected by COVID-19. The main results show that performance expectancy still has the most important influence on behavioral intention, whereas the impact of social influence was not supported under these conditions. Rather, herd behavior was identified as particularly influential for behavioral intention. Based on the study results, the option to reconsider the social influence factor in the UTAUT model and its possible complementary mechanisms are discussed.","container-title":"Journal of Retailing and Consumer Services","DOI":"10.1016/j.jretconser.2021.102867","ISSN":"0969-6989","source":"ScienceDirect","title":"Online Shopping Adoption During Covid-19 and Social Isolation: Extending the UTAUT Model with Herd Behavior","URL":"https://www.sciencedirect.com/science/article/pii/S0969698921004331","volume":"65","author":[{"family":"Erjavec","given":"Jure"},{"family":"Manfreda","given":"Anton"}],"accessed":{"date-parts":[["2024",5,22]]},"issued":{"date-parts":[["2022",3,1]]}}}],"schema":"https://github.com/citation-style-language/schema/raw/master/csl-citation.json"} </w:instrText>
      </w:r>
      <w:r w:rsidR="00B009AD" w:rsidRPr="00B009AD">
        <w:fldChar w:fldCharType="separate"/>
      </w:r>
      <w:r w:rsidR="00B009AD" w:rsidRPr="00B009AD">
        <w:t>see Erjavec and Manfreda, 2022)</w:t>
      </w:r>
      <w:r w:rsidR="00B009AD" w:rsidRPr="00B009AD">
        <w:fldChar w:fldCharType="end"/>
      </w:r>
      <w:r w:rsidR="00414546" w:rsidRPr="00B009AD">
        <w:t>.</w:t>
      </w:r>
      <w:r w:rsidR="00A862A4" w:rsidRPr="00B009AD">
        <w:t xml:space="preserve"> </w:t>
      </w:r>
      <w:r w:rsidR="00414546" w:rsidRPr="00B009AD">
        <w:t>Si</w:t>
      </w:r>
      <w:r w:rsidR="00414546">
        <w:t>milarly, r</w:t>
      </w:r>
      <w:r w:rsidR="00A862A4">
        <w:t xml:space="preserve">etired </w:t>
      </w:r>
      <w:r w:rsidR="00865322">
        <w:t xml:space="preserve">individuals, </w:t>
      </w:r>
      <w:r w:rsidR="00A862A4">
        <w:t xml:space="preserve">unemployed </w:t>
      </w:r>
      <w:r w:rsidR="00865322">
        <w:t>individuals, and those identifying as non-white</w:t>
      </w:r>
      <w:r w:rsidR="00A862A4">
        <w:t xml:space="preserve"> </w:t>
      </w:r>
      <w:r w:rsidR="00C12DB4">
        <w:t xml:space="preserve">have a lower generic tendency for </w:t>
      </w:r>
      <w:r w:rsidR="00A862A4">
        <w:t>deliveries</w:t>
      </w:r>
      <w:r w:rsidR="00865322">
        <w:t xml:space="preserve">. The latter result may be associated with inequities in delivery service provision, wherein delivery providers, driven by profit maximization associated with the amount of consumption of consumer goods, locate themselves to serve geographic areas with white majority populations </w:t>
      </w:r>
      <w:r w:rsidR="00AA7E2C" w:rsidRPr="00AA7E2C">
        <w:fldChar w:fldCharType="begin"/>
      </w:r>
      <w:r w:rsidR="00AA7E2C" w:rsidRPr="00AA7E2C">
        <w:instrText xml:space="preserve"> ADDIN ZOTERO_ITEM CSL_CITATION {"citationID":"YplTXNCk","properties":{"unsorted":true,"formattedCitation":"(Saphores and Xu, 2021; Hicks et al., 2022)","plainCitation":"(Saphores and Xu, 2021; Hicks et al., 2022)","noteIndex":0},"citationItems":[{"id":3351,"uris":["http://zotero.org/users/12832277/items/YXH5X4IM"],"itemData":{"id":3351,"type":"article-journal","abstract":"In spite of the popularity of e-shopping, only 16% of US adults have ordered groceries online, and 7 out of 10 of those who currently buy groceries online do so at most twice a month. Understanding the determinants of e-grocery shopping is important for grocers, supply chain managers, and urban planners. In this context, we first explore how deliveries from online shopping have been changing over time. From our analysis of the 2009 and 2017 National Household Travel Surveys, we found that online shopping has been embraced by increasingly diverse households, although income, education, and some racial/ethnic differences persist. Our analysis of the 2017 American Time Use Survey shows that Americans are 24 times more likely to shop for groceries in stores than online. Moreover, in-store grocery shoppers are more likely to be female and unemployed, but less likely to belong to younger generations, to have less than a college degree, or to be African American. The gender imbalance in grocery shopping is larger online than in stores, but e-grocery shoppers do not otherwise differ from the general population. Future travel and e-shopping surveys (especially for e-grocery) should combine time use and travel questions with retrospective questions about online purchases.","collection-title":"E-groceries, digitalization and sustainability","container-title":"Research in Transportation Economics","DOI":"10.1016/j.retrec.2020.100864","ISSN":"0739-8859","source":"ScienceDirect","title":"E-Shopping Changes and the State of E-Grocery Shopping in the US - Evidence from National Travel and Time Use Surveys","URL":"https://www.sciencedirect.com/science/article/pii/S0739885920300627","volume":"87","author":[{"family":"Saphores","given":"Jean-Daniel"},{"family":"Xu","given":"Lu"}],"accessed":{"date-parts":[["2024",5,22]]},"issued":{"date-parts":[["2021",6,1]]}}},{"id":3349,"uris":["http://zotero.org/users/12832277/items/BXSLTVCA"],"itemData":{"id":3349,"type":"article-journal","abstract":"A rapidly growing crime problem in the United States and abroad, package theft is a phenomenon that is of persistent and significant concern to the public. However, the academic study on the subject has been neglected. Because package theft is understudied, the impact it has is difficult to understand, and the crime itself is hard to address. This present study defines package theft and informs readers about package theft and examines online retail consumers’ fear of the crime. Fear of crime research has typically focused on the fear of violent crime, or it has concentrated on an abstract fear of crime. This study broadens the literature about fear of crime by examining fear of a specific crime, package theft, using an index of eleven questions measuring behavioral, cognitive, and affective impacts. Survey data of 562 participants from 49 states reveal that nearly one quarter (23.8%) have experienced package theft. Fear of package theft was statistically significant among the variables gender (women more than men), residential location (urban and suburban more than rural), and previous victimization of package theft. Additionally, the fear of package theft directly or vicariously harmed consumers and resulted in risk mitigation and risk avoidance behaviors. The present study demonstrates the usefulness of measuring fear through an index of multiple variables, for a specific crime, within an environmental context.","container-title":"American Journal of Criminal Justice","DOI":"10.1007/s12103-022-09687-4","ISSN":"1936-1351","issue":"3","language":"en","page":"399-420","source":"Springer Link","title":"Assessing the Fear of Package Theft","volume":"47","author":[{"family":"Hicks","given":"Melody"},{"family":"Stickle","given":"Ben"},{"family":"Harms","given":"Joshua"}],"issued":{"date-parts":[["2022",6,1]]}}}],"schema":"https://github.com/citation-style-language/schema/raw/master/csl-citation.json"} </w:instrText>
      </w:r>
      <w:r w:rsidR="00AA7E2C" w:rsidRPr="00AA7E2C">
        <w:fldChar w:fldCharType="separate"/>
      </w:r>
      <w:r w:rsidR="00AA7E2C" w:rsidRPr="00AA7E2C">
        <w:t>(Saphores and Xu, 2021; Hicks et al., 2022)</w:t>
      </w:r>
      <w:r w:rsidR="00AA7E2C" w:rsidRPr="00AA7E2C">
        <w:fldChar w:fldCharType="end"/>
      </w:r>
      <w:r w:rsidR="00B009AD" w:rsidRPr="00AA7E2C">
        <w:t>.</w:t>
      </w:r>
      <w:r w:rsidR="00EB549E" w:rsidRPr="00AA7E2C">
        <w:t xml:space="preserve"> </w:t>
      </w:r>
    </w:p>
    <w:p w14:paraId="3294CFCE" w14:textId="1F6E28C3" w:rsidR="00303165" w:rsidRDefault="00865322" w:rsidP="00E71E8A">
      <w:pPr>
        <w:spacing w:after="0" w:line="240" w:lineRule="auto"/>
        <w:ind w:firstLine="720"/>
        <w:jc w:val="both"/>
      </w:pPr>
      <w:r>
        <w:t xml:space="preserve">Individuals with higher levels of formal education attainment show a higher predilection </w:t>
      </w:r>
      <w:r w:rsidR="00D24539">
        <w:t>for</w:t>
      </w:r>
      <w:r>
        <w:t xml:space="preserve"> </w:t>
      </w:r>
      <w:r w:rsidR="007E7F1F">
        <w:t xml:space="preserve">telework and use </w:t>
      </w:r>
      <w:r w:rsidR="00D24539">
        <w:t xml:space="preserve">of </w:t>
      </w:r>
      <w:r w:rsidR="007E7F1F">
        <w:t>delivery services</w:t>
      </w:r>
      <w:r w:rsidR="006E75C8">
        <w:t xml:space="preserve">. </w:t>
      </w:r>
      <w:r w:rsidR="00414546">
        <w:t xml:space="preserve">This result is intuitive given that </w:t>
      </w:r>
      <w:r w:rsidR="007532C4">
        <w:t xml:space="preserve">jobs </w:t>
      </w:r>
      <w:r w:rsidR="00557FE2">
        <w:t xml:space="preserve">most suitable for telework are </w:t>
      </w:r>
      <w:r w:rsidR="007532C4">
        <w:t xml:space="preserve">associated </w:t>
      </w:r>
      <w:r w:rsidR="00557FE2">
        <w:t>with higher educational attainment</w:t>
      </w:r>
      <w:r w:rsidR="00302022">
        <w:t xml:space="preserve"> </w:t>
      </w:r>
      <w:r w:rsidR="00AA7E2C">
        <w:rPr>
          <w:b/>
          <w:bCs/>
        </w:rPr>
        <w:fldChar w:fldCharType="begin"/>
      </w:r>
      <w:r w:rsidR="007F773C">
        <w:rPr>
          <w:b/>
          <w:bCs/>
        </w:rPr>
        <w:instrText xml:space="preserve"> ADDIN ZOTERO_ITEM CSL_CITATION {"citationID":"KavI8gAm","properties":{"formattedCitation":"(L\\uc0\\u243{}pez-Igual and Rodr\\uc0\\u237{}guez-Modro\\uc0\\u241{}o, 2020; Nguyen, 2021)","plainCitation":"(López-Igual and Rodríguez-Modroño, 2020; Nguyen, 2021)","noteIndex":0},"citationItems":[{"id":3354,"uris":["http://zotero.org/users/12832277/items/X74VKKZY"],"itemData":{"id":3354,"type":"article-journal","abstract":"Telework and ICT-based mobile work (TICTM) arrangements have emerged in response to technological changes driven by digitalisation, increasing flexibility within the labour market, and globalisation. As telework becomes more widespread, these flexible models of work are rapidly expanding to new categories of employees, changing the factors traditionally found to be important for telework eligibility. The aim of this study is to gain a deeper understanding of new profiles of teleworkers, examining main factors that increase or decrease the likelihood of different TICTM arrangements. We apply multinomial logistic regression models to a sample of more than 20,000 workers from the 6th European Working Conditions Survey. Our findings confirm the heterogeneity in the profiles of teleworkers, particularly distinguishing by TICTM arrangement. Occasional teleworkers are usually male managers or professionals, but a relevant percentage of highly mobile teleworkers are technicians and associate professionals, while clerical support workers amount to a large group of home-based teleworkers. The majority of occasional and highly mobile teleworkers are still men, but this can no longer be said of home-based teleworkers. The correlations between telework and permanent contracts, full-time jobs, and living in urban areas are weak, showing that TICTM is spreading into more precarious, temporary, and lower-paid jobs, especially among home-based teleworkers and highly mobile teleworkers.","container-title":"Sustainability","DOI":"10.3390/su12218797","ISSN":"2071-1050","issue":"21","language":"en","license":"http://creativecommons.org/licenses/by/3.0/","note":"number: 21\npublisher: Multidisciplinary Digital Publishing Institute","page":"8797","source":"www.mdpi.com","title":"Who is Teleworking and Where from? Exploring the Main Determinants of Telework in Europe","title-short":"Who is Teleworking and Where from?","volume":"12","author":[{"family":"López-Igual","given":"Purificación"},{"family":"Rodríguez-Modroño","given":"Paula"}],"issued":{"date-parts":[["2020",1]]}}},{"id":2866,"uris":["http://zotero.org/users/12832277/items/KPLYTNYY"],"itemData":{"id":2866,"type":"article-journal","abstract":"During the era of COVID-19 (COronaVIrus Disease of 2019), telework has been adopted extensively in developing countries for the first time. This study analyzes data of 355 teleworkers in Hanoi (Vietnam) during April 2020, the period of social distancing, to examine various factors associated with (1) complete home-based telework (HBT), (2) the perception of HBT, and (3) the attitude toward the combination between HBT and conventional work at workplace post-COVID-19. It finds that the company’s closure policy and the frequency of working from a distance before the social distancing period were the primary determinants of exclusively teleworking. Regarding the perception of HBT, while the fear of COVID-19 was a strong positive factor, difficulties in focusing on work and accessing data were negative factors. Regarding the attitude toward the future development of HBT, attitudinal factors, commute distance, gender, children in household, and the perception of HBT in the social distancing period were the main predictors. The presence of more than one child negatively affected the perception of telework but positively affected the attitude toward establishing the hybrid work mechanism. The findings suggested that HBT has the potential to alleviate traffic congestion in developing countries and it can be promoted by emphasizing its environment-related benefits. The sample used in this research was collected in the initial stage of constrained mobility and it was not well representative; therefore, this study serves as a proof of concept for ongoing wider analyses on HBT post-COVID-19 or in the subsequent lockdown periods.","container-title":"Transportation","DOI":"10.1007/s11116-021-10169-5","ISSN":"1572-9435","issue":"6","language":"en","page":"3207-3238","source":"Springer Link","title":"Factors Influencing Home-Based Telework in Hanoi (Vietnam) During and After the COVID-19 Era","volume":"48","author":[{"family":"Nguyen","given":"Minh Hieu"}],"issued":{"date-parts":[["2021",12,1]]}}}],"schema":"https://github.com/citation-style-language/schema/raw/master/csl-citation.json"} </w:instrText>
      </w:r>
      <w:r w:rsidR="00AA7E2C">
        <w:rPr>
          <w:b/>
          <w:bCs/>
        </w:rPr>
        <w:fldChar w:fldCharType="separate"/>
      </w:r>
      <w:r w:rsidR="007F773C" w:rsidRPr="007F773C">
        <w:t>(López-Igual and Rodríguez-Modroño, 2020; Nguyen, 2021)</w:t>
      </w:r>
      <w:r w:rsidR="00AA7E2C">
        <w:rPr>
          <w:b/>
          <w:bCs/>
        </w:rPr>
        <w:fldChar w:fldCharType="end"/>
      </w:r>
      <w:r w:rsidR="00557FE2">
        <w:t xml:space="preserve">. </w:t>
      </w:r>
      <w:r w:rsidR="008D7A99">
        <w:t>Marketing of d</w:t>
      </w:r>
      <w:r w:rsidR="00464FC3">
        <w:t xml:space="preserve">elivery </w:t>
      </w:r>
      <w:r w:rsidR="00430411">
        <w:t>services</w:t>
      </w:r>
      <w:r w:rsidR="00464FC3">
        <w:t xml:space="preserve"> also </w:t>
      </w:r>
      <w:r w:rsidR="008D7A99">
        <w:t xml:space="preserve">tends to be oriented towards concerns </w:t>
      </w:r>
      <w:r w:rsidR="008E114C">
        <w:t>that resonate more with well</w:t>
      </w:r>
      <w:r w:rsidR="007532C4">
        <w:t>-</w:t>
      </w:r>
      <w:r w:rsidR="008E114C">
        <w:t>educat</w:t>
      </w:r>
      <w:r w:rsidR="007532C4">
        <w:t>ed</w:t>
      </w:r>
      <w:r w:rsidR="008E114C">
        <w:t xml:space="preserve"> population</w:t>
      </w:r>
      <w:r w:rsidR="007532C4">
        <w:t xml:space="preserve"> groups</w:t>
      </w:r>
      <w:r w:rsidR="008E114C">
        <w:t xml:space="preserve">, including convenience for students and young professionals, diverse food options aligning with the preferences of those with more </w:t>
      </w:r>
      <w:r w:rsidR="008E114C">
        <w:lastRenderedPageBreak/>
        <w:t xml:space="preserve">exposure to diverse cuisines, and health and wellness efforts appealing to those who are </w:t>
      </w:r>
      <w:r w:rsidR="008E114C" w:rsidRPr="004E7DC9">
        <w:t>mor</w:t>
      </w:r>
      <w:r w:rsidR="007532C4">
        <w:t xml:space="preserve">e </w:t>
      </w:r>
      <w:r w:rsidR="008E114C" w:rsidRPr="004E7DC9">
        <w:t>nutrition and wellness</w:t>
      </w:r>
      <w:r w:rsidR="007532C4">
        <w:t xml:space="preserve"> aware</w:t>
      </w:r>
      <w:r w:rsidR="000C14B7" w:rsidRPr="004E7DC9">
        <w:t xml:space="preserve"> </w:t>
      </w:r>
      <w:r w:rsidR="00F97CDD" w:rsidRPr="004E7DC9">
        <w:fldChar w:fldCharType="begin"/>
      </w:r>
      <w:r w:rsidR="004E7DC9" w:rsidRPr="004E7DC9">
        <w:instrText xml:space="preserve"> ADDIN ZOTERO_ITEM CSL_CITATION {"citationID":"AhhkPNoI","properties":{"unsorted":true,"formattedCitation":"(Shah et al., 2021; Zhong et al., 2022; Keeble et al., 2022)","plainCitation":"(Shah et al., 2021; Zhong et al., 2022; Keeble et al., 2022)","noteIndex":0},"citationItems":[{"id":3480,"uris":["http://zotero.org/users/12832277/items/AVHPZBKJ"],"itemData":{"id":3480,"type":"article-journal","abstract":"Purpose The purpose of this paper is to develop a model to examine how different technological and cognitive cues related to mobile food ordering applications (MFOAs) impact diners' intentions to use MFOAs continuously. The moderating role of national household demographics was also assessed in the online-to-offline (O2O) food delivery services (FDS) context. Design/methodology/approach Drawing insights from the uses and gratification (U&amp;G) theory, an online sample survey of 968 valid respondents who had ordered or purchased food through delivery apps during the COVID-19 outbreak in China was used for the analysis. The proposed model was empirically tested using structural equation modeling. Findings The results revealed that cues in MFOAs (i.e. ease of use, convenience, price saving orientation, the listing of various food choices, exploring restaurant patterns, and compatibility) directly influenced diners' e-satisfaction and that intention to use continuously is triggered by e-satisfaction during the COVID-19 crisis. Moreover, this study found that collectivist household diners emphasized ease of use, convenience, and compatibility. Comparatively, individualistic household diners placed more importance upon price saving orientation and listing of various food choices during the pandemic. Originality/value The authors offer a new insight into customers' dining choices by extending the scope of O2O services in the food industry. The findings contribute to understanding diners' purchase decision-making processes regarding MFOAs' O2O-FDS during the COVID-19 crisis. The multi-group comparison via national household demographics also provides a new perspective regarding different dining preferences toward O2O-FDS.","container-title":"British Food Journal","DOI":"10.1108/BFJ-09-2020-0781","ISSN":"0007-070X","issue":"11","note":"publisher: Emerald Publishing Limited","page":"3368-3395","source":"Emerald Insight","title":"Adoption of Mobile Food Ordering Apps for O2O Food Delivery Services During the COVID-19 Outbreak","volume":"124","author":[{"family":"Shah","given":"Adnan Muhammad"},{"family":"Yan","given":"Xiangbin"},{"family":"Qayyum","given":"Abdul"}],"issued":{"date-parts":[["2021",1,1]]}}},{"id":3478,"uris":["http://zotero.org/users/12832277/items/GWXCQBHP"],"itemData":{"id":3478,"type":"article-journal","abstract":"With the surge in online purchases, customers' requirement for last-mile delivery also increases. This study focuses on the express delivery service, the primary channel in last-mile delivery, to discover the factors influence customers' use. Based on the extended Unified Theory of Acceptance and Use of Technology, a conceptual model is proposed to structure the hypothetical effects between the constructs performance expectancy in delivery speed and delivery reliability, effort expectancy, facilitating conditions and behavioural intention. A 5-year (2015–2019) longitudinal survey was conducted in the UK, and 3964 responses were collected to validate the model. The results indicate that the performance expectancy in delivery reliability has a positive impact on customers' behaviour intention to adopt an express delivery service, while the performance expectancy in delivery speed, unexpectedly, shows insignificant impact. Moreover, the effort expectancy was found to have no effect on behaviour intention; however, the facilitating conditions have a negative influence.","container-title":"International Journal of Logistics Research and Applications","DOI":"10.1080/13675567.2021.1914563","ISSN":"1367-5567","issue":"12","note":"publisher: Taylor &amp; Francis\n_eprint: https://doi.org/10.1080/13675567.2021.1914563","page":"1491–1508","source":"Taylor and Francis+NEJM","title":"Understanding Customers' Adoption of Express Delivery Service for Last-Mile Delivery in the UK","volume":"25","author":[{"family":"Zhong","given":"Shuya"},{"family":"Lomas","given":"Carl"},{"family":"Worth","given":"Tracey"}],"issued":{"date-parts":[["2022",12,2]]}},"label":"page"},{"id":3476,"uris":["http://zotero.org/users/12832277/items/A3MISUKC"],"itemData":{"id":3476,"type":"article-journal","abstract":"Food prepared out-of-home is typically energy-dense and nutrient-poor. This food can be purchased from multiple types of retailer, including restaurants and takeaway food outlets. Using online food delivery services to purchase food prepared out-of-home is increasing in popularity. This may lead to more frequent unhealthy food consumption, which is positively associated with poor diet and living with obesity. Understanding possible reasons for using online food delivery services might contribute to the development of future public health interventions, if deemed necessary. This knowledge would be best obtained by engaging with individuals who use online food delivery services as part of established routines. Therefore, we aimed to investigate customer experiences of using online food delivery services to understand their reasons for using them, including any advantages and drawbacks.","container-title":"BMC Public Health","DOI":"10.1186/s12889-022-13721-9","ISSN":"1471-2458","issue":"1","journalAbbreviation":"BMC Public Health","language":"en","source":"Springer Link","title":"Investigating Experiences of Frequent Online Food Delivery Service Use: A Qualitative Study in UK Adults","URL":"https://doi.org/10.1186/s12889-022-13721-9","volume":"22","author":[{"family":"Keeble","given":"Matthew"},{"family":"Adams","given":"Jean"},{"family":"Burgoine","given":"Thomas"}],"accessed":{"date-parts":[["2024",6,11]]},"issued":{"date-parts":[["2022",7,16]]}},"label":"page"}],"schema":"https://github.com/citation-style-language/schema/raw/master/csl-citation.json"} </w:instrText>
      </w:r>
      <w:r w:rsidR="00F97CDD" w:rsidRPr="004E7DC9">
        <w:fldChar w:fldCharType="separate"/>
      </w:r>
      <w:r w:rsidR="004E7DC9" w:rsidRPr="004E7DC9">
        <w:t>(Shah et al., 2021; Zhong et al., 2022; Keeble et al., 2022)</w:t>
      </w:r>
      <w:r w:rsidR="00F97CDD" w:rsidRPr="004E7DC9">
        <w:fldChar w:fldCharType="end"/>
      </w:r>
      <w:r w:rsidR="00DF14E7" w:rsidRPr="004E7DC9">
        <w:t xml:space="preserve">. </w:t>
      </w:r>
      <w:r w:rsidR="00557FE2" w:rsidRPr="004E7DC9">
        <w:t>Fina</w:t>
      </w:r>
      <w:r w:rsidR="00557FE2">
        <w:t>lly, those</w:t>
      </w:r>
      <w:r w:rsidR="00414546">
        <w:t xml:space="preserve"> with a medical condition </w:t>
      </w:r>
      <w:r w:rsidR="007532C4">
        <w:t xml:space="preserve">tend to have higher propensities for telework and deliveries, suggesting </w:t>
      </w:r>
      <w:r w:rsidR="00557FE2">
        <w:t xml:space="preserve">that virtual </w:t>
      </w:r>
      <w:r w:rsidR="007532C4">
        <w:t>participation</w:t>
      </w:r>
      <w:r w:rsidR="00557FE2">
        <w:t xml:space="preserve"> may </w:t>
      </w:r>
      <w:r w:rsidR="007532C4">
        <w:t xml:space="preserve">be </w:t>
      </w:r>
      <w:r w:rsidR="00557FE2">
        <w:t>help</w:t>
      </w:r>
      <w:r w:rsidR="007532C4">
        <w:t>ing</w:t>
      </w:r>
      <w:r w:rsidR="00557FE2">
        <w:t xml:space="preserve"> alleviate </w:t>
      </w:r>
      <w:r w:rsidR="007532C4">
        <w:t xml:space="preserve">OH </w:t>
      </w:r>
      <w:r w:rsidR="00557FE2">
        <w:t>accessibility</w:t>
      </w:r>
      <w:r w:rsidR="007532C4">
        <w:t xml:space="preserve"> challenges. </w:t>
      </w:r>
    </w:p>
    <w:p w14:paraId="0DEF253C" w14:textId="77777777" w:rsidR="002968D4" w:rsidRDefault="002968D4" w:rsidP="008738D1">
      <w:pPr>
        <w:spacing w:after="0" w:line="240" w:lineRule="auto"/>
        <w:jc w:val="both"/>
      </w:pPr>
    </w:p>
    <w:p w14:paraId="4384B26A" w14:textId="0CD801BD" w:rsidR="002968D4" w:rsidRPr="00191724" w:rsidRDefault="002968D4" w:rsidP="008738D1">
      <w:pPr>
        <w:spacing w:after="0" w:line="240" w:lineRule="auto"/>
        <w:jc w:val="both"/>
        <w:rPr>
          <w:b/>
          <w:bCs/>
        </w:rPr>
      </w:pPr>
      <w:r w:rsidRPr="00191724">
        <w:rPr>
          <w:b/>
          <w:bCs/>
        </w:rPr>
        <w:t>4.3 Endogenous Effects</w:t>
      </w:r>
      <w:r w:rsidR="00401C00">
        <w:rPr>
          <w:b/>
          <w:bCs/>
        </w:rPr>
        <w:t xml:space="preserve"> and Correlations</w:t>
      </w:r>
    </w:p>
    <w:p w14:paraId="34226ED8" w14:textId="0B90B4F6" w:rsidR="00D91C74" w:rsidRPr="00191724" w:rsidRDefault="00631F61" w:rsidP="00651A40">
      <w:pPr>
        <w:spacing w:after="0" w:line="240" w:lineRule="auto"/>
        <w:jc w:val="both"/>
        <w:rPr>
          <w:b/>
          <w:bCs/>
          <w:highlight w:val="yellow"/>
        </w:rPr>
      </w:pPr>
      <w:r>
        <w:t xml:space="preserve">Higher levels (relative to lower levels) of telework and deliveries lead to statistically significant reduction in PPD, as we hypothesized earlier. </w:t>
      </w:r>
      <w:r w:rsidR="006A69A6">
        <w:t>T</w:t>
      </w:r>
      <w:r>
        <w:t xml:space="preserve">his </w:t>
      </w:r>
      <w:r w:rsidR="006A69A6">
        <w:t xml:space="preserve">overall PPD reduction </w:t>
      </w:r>
      <w:r>
        <w:t xml:space="preserve">is explained to a large extent by </w:t>
      </w:r>
      <w:r w:rsidR="00F364DB">
        <w:t xml:space="preserve">a reduction in “poor destination access” and “no time” perceptions. </w:t>
      </w:r>
      <w:r>
        <w:t>Thus</w:t>
      </w:r>
      <w:r w:rsidR="006A69A6">
        <w:t>,</w:t>
      </w:r>
      <w:r>
        <w:t xml:space="preserve"> </w:t>
      </w:r>
      <w:r w:rsidR="006A69A6">
        <w:t>virtual participation</w:t>
      </w:r>
      <w:r>
        <w:t xml:space="preserve"> opportunities do appear to have the beneficial effect of elevating overall (physical and virtual) accessibility. </w:t>
      </w:r>
    </w:p>
    <w:p w14:paraId="7E03A59F" w14:textId="31D1B8F0" w:rsidR="00C620BE" w:rsidRDefault="00F53403" w:rsidP="006A69A6">
      <w:pPr>
        <w:spacing w:after="0" w:line="240" w:lineRule="auto"/>
        <w:ind w:firstLine="720"/>
        <w:jc w:val="both"/>
      </w:pPr>
      <w:r>
        <w:t xml:space="preserve">The estimated correlation parameters and their t-statistics are shown </w:t>
      </w:r>
      <w:r w:rsidR="00FD39C5">
        <w:t xml:space="preserve">at the bottom of </w:t>
      </w:r>
      <w:r>
        <w:t xml:space="preserve">Table </w:t>
      </w:r>
      <w:r w:rsidR="00FD39C5">
        <w:t>3</w:t>
      </w:r>
      <w:r>
        <w:t xml:space="preserve">. </w:t>
      </w:r>
      <w:r w:rsidR="00F21ED1">
        <w:t>Sixteen</w:t>
      </w:r>
      <w:r w:rsidR="00126B16">
        <w:t xml:space="preserve"> correlation terms are significant at the 8</w:t>
      </w:r>
      <w:r w:rsidR="00E009E8">
        <w:t>0</w:t>
      </w:r>
      <w:r w:rsidR="00126B16">
        <w:t>% confidence level or above and are retained in the mo</w:t>
      </w:r>
      <w:r w:rsidR="00F21ED1">
        <w:t>d</w:t>
      </w:r>
      <w:r w:rsidR="00126B16">
        <w:t>el</w:t>
      </w:r>
      <w:r w:rsidR="00E009E8">
        <w:t xml:space="preserve">. </w:t>
      </w:r>
      <w:r w:rsidR="00126B16">
        <w:t>These</w:t>
      </w:r>
      <w:r w:rsidR="00C620BE">
        <w:t xml:space="preserve"> significant correlation terms indicate the presence of unobserved effects </w:t>
      </w:r>
      <w:r w:rsidR="00322358">
        <w:t xml:space="preserve">that jointly impact several of the </w:t>
      </w:r>
      <w:r w:rsidR="00401C00">
        <w:t xml:space="preserve">endogenous </w:t>
      </w:r>
      <w:r w:rsidR="00322358">
        <w:t>outcomes.</w:t>
      </w:r>
      <w:r w:rsidR="002335DC">
        <w:t xml:space="preserve"> </w:t>
      </w:r>
      <w:r w:rsidR="00401C00">
        <w:t xml:space="preserve">Importantly, the PPD reasons are only observable if a person reports PPD. To </w:t>
      </w:r>
      <w:r w:rsidR="00D269FE">
        <w:t xml:space="preserve">generalize </w:t>
      </w:r>
      <w:r w:rsidR="00401C00">
        <w:t xml:space="preserve">the </w:t>
      </w:r>
      <w:r w:rsidR="00D269FE">
        <w:t xml:space="preserve">perceived </w:t>
      </w:r>
      <w:r w:rsidR="00401C00">
        <w:t xml:space="preserve">physical participation </w:t>
      </w:r>
      <w:r w:rsidR="00D269FE">
        <w:t xml:space="preserve">barriers </w:t>
      </w:r>
      <w:r w:rsidR="00401C00">
        <w:t xml:space="preserve">due to the transportation system (which is what the PPD reasons represent) to all individuals, the </w:t>
      </w:r>
      <w:r w:rsidR="00D269FE">
        <w:t xml:space="preserve">resulting </w:t>
      </w:r>
      <w:r w:rsidR="00401C00">
        <w:t xml:space="preserve">sample selection in the observed data needs to be accounted for. </w:t>
      </w:r>
      <w:r w:rsidR="00334E11">
        <w:t xml:space="preserve">In our estimations, though, these correlations did not turn out to be statistically significant. However, there is substantial correlation across the PPD reasons, with </w:t>
      </w:r>
      <w:r w:rsidR="00C87228">
        <w:t xml:space="preserve">positive correlations among </w:t>
      </w:r>
      <w:r w:rsidR="00334E11">
        <w:t>the PPD reasons of (a) “not safe</w:t>
      </w:r>
      <w:r w:rsidR="006A69A6">
        <w:t>,</w:t>
      </w:r>
      <w:r w:rsidR="00334E11">
        <w:t>” “not clean</w:t>
      </w:r>
      <w:r w:rsidR="006A69A6">
        <w:t>,</w:t>
      </w:r>
      <w:r w:rsidR="00334E11">
        <w:t>” “not reliable</w:t>
      </w:r>
      <w:r w:rsidR="006A69A6">
        <w:t>,</w:t>
      </w:r>
      <w:r w:rsidR="00334E11">
        <w:t xml:space="preserve">” and “poor destination access” </w:t>
      </w:r>
      <w:r w:rsidR="00CB0E6C">
        <w:t xml:space="preserve">and </w:t>
      </w:r>
      <w:r w:rsidR="00334E11">
        <w:t xml:space="preserve">(b) “not </w:t>
      </w:r>
      <w:r w:rsidR="007061A2">
        <w:t>affordab</w:t>
      </w:r>
      <w:r w:rsidR="00334E11">
        <w:t>le</w:t>
      </w:r>
      <w:r w:rsidR="006A69A6">
        <w:t>,</w:t>
      </w:r>
      <w:r w:rsidR="00334E11">
        <w:t>” “not “</w:t>
      </w:r>
      <w:r w:rsidR="007061A2">
        <w:t>reliab</w:t>
      </w:r>
      <w:r w:rsidR="00334E11">
        <w:t>le</w:t>
      </w:r>
      <w:r w:rsidR="006A69A6">
        <w:t>,</w:t>
      </w:r>
      <w:r w:rsidR="00334E11">
        <w:t>”</w:t>
      </w:r>
      <w:r w:rsidR="007061A2">
        <w:t xml:space="preserve"> and </w:t>
      </w:r>
      <w:r w:rsidR="00334E11">
        <w:t xml:space="preserve">“poor </w:t>
      </w:r>
      <w:r w:rsidR="007061A2">
        <w:t>destination access</w:t>
      </w:r>
      <w:r w:rsidR="006A69A6">
        <w:t>.</w:t>
      </w:r>
      <w:r w:rsidR="00334E11">
        <w:t>”</w:t>
      </w:r>
      <w:r w:rsidR="00CB0E6C">
        <w:t xml:space="preserve"> </w:t>
      </w:r>
      <w:r w:rsidR="00E907B2">
        <w:t xml:space="preserve">These positive correlations suggest that intrinsic </w:t>
      </w:r>
      <w:r w:rsidR="00334E11">
        <w:t xml:space="preserve">(unobserved) </w:t>
      </w:r>
      <w:r w:rsidR="00200D1F">
        <w:t xml:space="preserve">individual factors </w:t>
      </w:r>
      <w:r w:rsidR="00334E11">
        <w:t xml:space="preserve">as well as unobserved location factors </w:t>
      </w:r>
      <w:r w:rsidR="00236870">
        <w:t xml:space="preserve">may </w:t>
      </w:r>
      <w:r w:rsidR="00334E11">
        <w:t xml:space="preserve">lead to </w:t>
      </w:r>
      <w:r w:rsidR="00CB0E6C">
        <w:t xml:space="preserve">a common set of </w:t>
      </w:r>
      <w:r w:rsidR="00334E11">
        <w:t xml:space="preserve">transportation barriers. </w:t>
      </w:r>
      <w:r w:rsidR="00E4701F">
        <w:t xml:space="preserve">Additionally, positive correlations between </w:t>
      </w:r>
      <w:r w:rsidR="00CB0E6C">
        <w:t>the PPD reasons of “</w:t>
      </w:r>
      <w:r w:rsidR="002E1461">
        <w:t>COVID</w:t>
      </w:r>
      <w:r w:rsidR="00CB0E6C">
        <w:t xml:space="preserve"> concerns” with</w:t>
      </w:r>
      <w:r w:rsidR="00F17B1D">
        <w:t xml:space="preserve"> </w:t>
      </w:r>
      <w:r w:rsidR="00CB0E6C">
        <w:t xml:space="preserve">“not </w:t>
      </w:r>
      <w:r w:rsidR="00F17B1D">
        <w:t>safe</w:t>
      </w:r>
      <w:r w:rsidR="00CB0E6C">
        <w:t>”</w:t>
      </w:r>
      <w:r w:rsidR="00F17B1D">
        <w:t xml:space="preserve"> and </w:t>
      </w:r>
      <w:r w:rsidR="00CB0E6C">
        <w:t xml:space="preserve">“not </w:t>
      </w:r>
      <w:r w:rsidR="00F17B1D">
        <w:t>clean</w:t>
      </w:r>
      <w:r w:rsidR="00CB0E6C">
        <w:t xml:space="preserve">” </w:t>
      </w:r>
      <w:r w:rsidR="008F7766">
        <w:t xml:space="preserve">suggest </w:t>
      </w:r>
      <w:r w:rsidR="00CB0E6C">
        <w:t xml:space="preserve">the “not safe” and “not clean” perceptions </w:t>
      </w:r>
      <w:r w:rsidR="00DD03AF">
        <w:t>may decline as pandemic effects subside</w:t>
      </w:r>
      <w:r w:rsidR="007061A2">
        <w:t xml:space="preserve">. </w:t>
      </w:r>
      <w:r w:rsidR="00E009E8">
        <w:t>The correlations between “health problems” and “safety</w:t>
      </w:r>
      <w:r w:rsidR="00617801">
        <w:t>,</w:t>
      </w:r>
      <w:r w:rsidR="00E009E8">
        <w:t>” and “</w:t>
      </w:r>
      <w:r w:rsidR="00C22D59">
        <w:t>COVID</w:t>
      </w:r>
      <w:r w:rsidR="00E009E8">
        <w:t xml:space="preserve"> concerns” and “no time</w:t>
      </w:r>
      <w:r w:rsidR="00617801">
        <w:t>,</w:t>
      </w:r>
      <w:r w:rsidR="00E009E8">
        <w:t xml:space="preserve">” are rather weak and barely significant at the 80% confidence level. </w:t>
      </w:r>
    </w:p>
    <w:p w14:paraId="56A3424E" w14:textId="6FA072EE" w:rsidR="00F471C3" w:rsidRDefault="00CC012E" w:rsidP="00011BBC">
      <w:pPr>
        <w:spacing w:after="0" w:line="240" w:lineRule="auto"/>
        <w:ind w:firstLine="720"/>
        <w:jc w:val="both"/>
      </w:pPr>
      <w:r>
        <w:t xml:space="preserve">In addition to the correlations </w:t>
      </w:r>
      <w:r w:rsidR="00CB0E6C">
        <w:t xml:space="preserve">among the PPD </w:t>
      </w:r>
      <w:r>
        <w:t xml:space="preserve">reasons, </w:t>
      </w:r>
      <w:r w:rsidR="00F471C3">
        <w:t xml:space="preserve">a positive correlation between </w:t>
      </w:r>
      <w:r w:rsidR="00CB0E6C">
        <w:t xml:space="preserve">COVID concerns and </w:t>
      </w:r>
      <w:r w:rsidR="00F471C3">
        <w:t xml:space="preserve">telework is unsurprising, indicating that </w:t>
      </w:r>
      <w:r w:rsidR="00922B39">
        <w:t xml:space="preserve">those with more intrinsic pandemic concern </w:t>
      </w:r>
      <w:r w:rsidR="00CB0E6C">
        <w:t xml:space="preserve">have a higher propensity </w:t>
      </w:r>
      <w:r w:rsidR="00922B39">
        <w:t>to</w:t>
      </w:r>
      <w:r w:rsidR="00CB0E6C">
        <w:t xml:space="preserve"> </w:t>
      </w:r>
      <w:r w:rsidR="00922B39">
        <w:t xml:space="preserve">telework. </w:t>
      </w:r>
      <w:r w:rsidR="00A4434E">
        <w:t>Similarly, a positive correlation between the use of telework and delivery services indicates that unobserved factors, such as technological savviness</w:t>
      </w:r>
      <w:r w:rsidR="00A133CC">
        <w:t xml:space="preserve"> or access to technology</w:t>
      </w:r>
      <w:r w:rsidR="00A253CD">
        <w:t xml:space="preserve">, </w:t>
      </w:r>
      <w:r w:rsidR="00A133CC">
        <w:t xml:space="preserve">impact the use of both virtual services. Finally, both </w:t>
      </w:r>
      <w:r w:rsidR="00C22D59">
        <w:t xml:space="preserve">virtual </w:t>
      </w:r>
      <w:r w:rsidR="00A133CC">
        <w:t xml:space="preserve">activities are positively correlated </w:t>
      </w:r>
      <w:r w:rsidR="00CB0E6C">
        <w:t>with PPD</w:t>
      </w:r>
      <w:r w:rsidR="00E2327F">
        <w:t xml:space="preserve">. </w:t>
      </w:r>
      <w:r w:rsidR="003740C5">
        <w:t xml:space="preserve">Notably, </w:t>
      </w:r>
      <w:r w:rsidR="00C36198">
        <w:t xml:space="preserve">these correlations between </w:t>
      </w:r>
      <w:r w:rsidR="001E7D62">
        <w:t xml:space="preserve">PPD </w:t>
      </w:r>
      <w:r w:rsidR="00C36198">
        <w:t xml:space="preserve">and </w:t>
      </w:r>
      <w:r w:rsidR="001E7D62">
        <w:t xml:space="preserve">virtual participation outcomes </w:t>
      </w:r>
      <w:r w:rsidR="00C36198">
        <w:t>take the opposite sign of the endogenous effects discussed in the previous section, indicating that</w:t>
      </w:r>
      <w:r w:rsidR="007A7070">
        <w:t>,</w:t>
      </w:r>
      <w:r w:rsidR="00C36198">
        <w:t xml:space="preserve"> </w:t>
      </w:r>
      <w:r w:rsidR="007A7070">
        <w:t xml:space="preserve">if these correlations were ignored, </w:t>
      </w:r>
      <w:r w:rsidR="00E5718B">
        <w:t>the impact</w:t>
      </w:r>
      <w:r w:rsidR="001E7D62">
        <w:t xml:space="preserve"> of virtual</w:t>
      </w:r>
      <w:r w:rsidR="00E5718B">
        <w:t xml:space="preserve"> </w:t>
      </w:r>
      <w:r w:rsidR="001E7D62">
        <w:t>participation</w:t>
      </w:r>
      <w:r w:rsidR="00E5718B">
        <w:t xml:space="preserve"> </w:t>
      </w:r>
      <w:r w:rsidR="001E7D62">
        <w:t>on</w:t>
      </w:r>
      <w:r w:rsidR="00E5718B">
        <w:t xml:space="preserve"> </w:t>
      </w:r>
      <w:r w:rsidR="00E2327F">
        <w:t xml:space="preserve">PPD </w:t>
      </w:r>
      <w:r w:rsidR="00C50E22">
        <w:t>would be underestimated</w:t>
      </w:r>
      <w:r w:rsidR="00E2327F">
        <w:t xml:space="preserve">, </w:t>
      </w:r>
      <w:r w:rsidR="001E7D62">
        <w:t>incorrectly discounting the potential of virtual participation to reduce PPD and enhance overall accessibility</w:t>
      </w:r>
      <w:r w:rsidR="00C50E22">
        <w:t xml:space="preserve">. </w:t>
      </w:r>
    </w:p>
    <w:p w14:paraId="3EDFC183" w14:textId="290F82A0" w:rsidR="00AB6F82" w:rsidRDefault="00AB6F82" w:rsidP="00D3089B">
      <w:pPr>
        <w:spacing w:after="0" w:line="240" w:lineRule="auto"/>
      </w:pPr>
      <w:r>
        <w:tab/>
      </w:r>
    </w:p>
    <w:p w14:paraId="4245F550" w14:textId="413DA839" w:rsidR="00D113BE" w:rsidRPr="00011BBC" w:rsidRDefault="00011BBC" w:rsidP="00D3089B">
      <w:pPr>
        <w:spacing w:after="0" w:line="240" w:lineRule="auto"/>
        <w:rPr>
          <w:b/>
          <w:bCs/>
        </w:rPr>
      </w:pPr>
      <w:r w:rsidRPr="008B2E58">
        <w:rPr>
          <w:b/>
          <w:bCs/>
        </w:rPr>
        <w:t>4.</w:t>
      </w:r>
      <w:r w:rsidR="003E55F4">
        <w:rPr>
          <w:b/>
          <w:bCs/>
        </w:rPr>
        <w:t>4</w:t>
      </w:r>
      <w:r w:rsidRPr="008B2E58">
        <w:rPr>
          <w:b/>
          <w:bCs/>
        </w:rPr>
        <w:t xml:space="preserve"> Model Fit</w:t>
      </w:r>
    </w:p>
    <w:p w14:paraId="23E32691" w14:textId="2B9115D8" w:rsidR="00871D72" w:rsidRDefault="00656D3F" w:rsidP="009464B2">
      <w:pPr>
        <w:autoSpaceDE w:val="0"/>
        <w:autoSpaceDN w:val="0"/>
        <w:adjustRightInd w:val="0"/>
        <w:spacing w:after="0" w:line="240" w:lineRule="auto"/>
        <w:jc w:val="both"/>
      </w:pPr>
      <w:r>
        <w:t xml:space="preserve">Although the statistically significant correlations mentioned in the previous section already motivate the use of a </w:t>
      </w:r>
      <w:r w:rsidRPr="00D66847">
        <w:t xml:space="preserve">joint modeling approach, we compare the proposed joint model to an independent ordered probit model </w:t>
      </w:r>
      <w:r w:rsidR="00810ABD" w:rsidRPr="00D66847">
        <w:t xml:space="preserve">to assess the overall model fit. </w:t>
      </w:r>
      <w:r w:rsidR="00D140BE" w:rsidRPr="00D66847">
        <w:t xml:space="preserve">The independent model assumes that the errors </w:t>
      </w:r>
      <w:r w:rsidR="00E2327F">
        <w:t xml:space="preserve">among the endogenous </w:t>
      </w:r>
      <w:r w:rsidR="00D140BE" w:rsidRPr="00D66847">
        <w:t xml:space="preserve">outcomes are </w:t>
      </w:r>
      <w:r w:rsidR="00E2327F">
        <w:t xml:space="preserve">all </w:t>
      </w:r>
      <w:r w:rsidR="00D140BE" w:rsidRPr="00D66847">
        <w:t>independent, maintaining a correlation structure with zeros for all off-diagonal terms</w:t>
      </w:r>
      <w:r w:rsidR="00913DD7">
        <w:t xml:space="preserve"> in Equation (2)</w:t>
      </w:r>
      <w:r w:rsidR="00D140BE" w:rsidRPr="00D66847">
        <w:t xml:space="preserve">. </w:t>
      </w:r>
      <w:r w:rsidR="00810ABD" w:rsidRPr="00D66847">
        <w:t xml:space="preserve">A series of disaggregate and aggregate statistics are shown in </w:t>
      </w:r>
      <w:r w:rsidR="003F4C76" w:rsidRPr="00D66847">
        <w:t xml:space="preserve">Table </w:t>
      </w:r>
      <w:r w:rsidR="006A2A62">
        <w:t>4</w:t>
      </w:r>
      <w:r w:rsidR="00810ABD" w:rsidRPr="00D66847">
        <w:t xml:space="preserve"> to compare the</w:t>
      </w:r>
      <w:r w:rsidR="00913DD7">
        <w:t xml:space="preserve"> joint and independent</w:t>
      </w:r>
      <w:r w:rsidR="00810ABD" w:rsidRPr="00D66847">
        <w:t xml:space="preserve"> models. </w:t>
      </w:r>
      <w:r w:rsidR="009464B2" w:rsidRPr="00D66847">
        <w:rPr>
          <w:bCs/>
        </w:rPr>
        <w:t xml:space="preserve">First, </w:t>
      </w:r>
      <w:r w:rsidR="00D40511" w:rsidRPr="00D66847">
        <w:rPr>
          <w:bCs/>
        </w:rPr>
        <w:lastRenderedPageBreak/>
        <w:t>comparing the disaggregate measures, the</w:t>
      </w:r>
      <w:r w:rsidR="009464B2" w:rsidRPr="00D66847">
        <w:rPr>
          <w:bCs/>
        </w:rPr>
        <w:t xml:space="preserve"> </w:t>
      </w:r>
      <w:r w:rsidR="00913DD7">
        <w:rPr>
          <w:bCs/>
        </w:rPr>
        <w:t>log-</w:t>
      </w:r>
      <w:r w:rsidR="009464B2" w:rsidRPr="00D66847">
        <w:rPr>
          <w:bCs/>
        </w:rPr>
        <w:t xml:space="preserve">likelihood </w:t>
      </w:r>
      <w:r w:rsidR="00913DD7">
        <w:rPr>
          <w:bCs/>
        </w:rPr>
        <w:t xml:space="preserve">at convergence and adjusted likelihood ratio index </w:t>
      </w:r>
      <w:r w:rsidR="009464B2" w:rsidRPr="00D66847">
        <w:rPr>
          <w:bCs/>
        </w:rPr>
        <w:t xml:space="preserve">for the full model </w:t>
      </w:r>
      <w:r w:rsidR="00913DD7">
        <w:rPr>
          <w:bCs/>
        </w:rPr>
        <w:t>are both</w:t>
      </w:r>
      <w:r w:rsidR="009464B2" w:rsidRPr="00D66847">
        <w:rPr>
          <w:bCs/>
        </w:rPr>
        <w:t xml:space="preserve"> larger than that of the independent model</w:t>
      </w:r>
      <w:r w:rsidR="00913DD7">
        <w:rPr>
          <w:bCs/>
        </w:rPr>
        <w:t xml:space="preserve">, while the </w:t>
      </w:r>
      <w:r w:rsidR="00913DD7" w:rsidRPr="00D66847">
        <w:rPr>
          <w:bCs/>
        </w:rPr>
        <w:t>Bayesian Information Criterion (BIC) statistic</w:t>
      </w:r>
      <w:r w:rsidR="00913DD7">
        <w:rPr>
          <w:bCs/>
        </w:rPr>
        <w:t xml:space="preserve"> shows a lower value for </w:t>
      </w:r>
      <w:r w:rsidR="00913DD7" w:rsidRPr="00D66847">
        <w:t xml:space="preserve">the </w:t>
      </w:r>
      <w:r w:rsidR="00913DD7">
        <w:t xml:space="preserve">joint model relative to the independent model. </w:t>
      </w:r>
      <w:r w:rsidR="00913DD7">
        <w:rPr>
          <w:bCs/>
        </w:rPr>
        <w:t>S</w:t>
      </w:r>
      <w:r w:rsidR="009464B2" w:rsidRPr="00D66847">
        <w:rPr>
          <w:bCs/>
        </w:rPr>
        <w:t xml:space="preserve">ince the independent model is a nested form of the full model, the two can be compared with a </w:t>
      </w:r>
      <w:r w:rsidR="00913DD7">
        <w:rPr>
          <w:bCs/>
        </w:rPr>
        <w:t xml:space="preserve">formal </w:t>
      </w:r>
      <w:r w:rsidR="009464B2" w:rsidRPr="00D66847">
        <w:rPr>
          <w:bCs/>
        </w:rPr>
        <w:t>likelihood ratio test. The likelihood ratio test statistic is</w:t>
      </w:r>
      <w:r w:rsidR="00BE22DC" w:rsidRPr="00D66847">
        <w:rPr>
          <w:bCs/>
        </w:rPr>
        <w:t xml:space="preserve"> </w:t>
      </w:r>
      <w:r w:rsidR="00981DF6">
        <w:rPr>
          <w:bCs/>
        </w:rPr>
        <w:t>246.14</w:t>
      </w:r>
      <w:r w:rsidR="009464B2" w:rsidRPr="003E55F4">
        <w:rPr>
          <w:bCs/>
        </w:rPr>
        <w:t xml:space="preserve">, </w:t>
      </w:r>
      <w:r w:rsidR="009464B2" w:rsidRPr="00D66847">
        <w:rPr>
          <w:bCs/>
        </w:rPr>
        <w:t xml:space="preserve">which is much higher than the chi-squared value with </w:t>
      </w:r>
      <w:r w:rsidR="004D1A46">
        <w:rPr>
          <w:bCs/>
        </w:rPr>
        <w:t>16</w:t>
      </w:r>
      <w:r w:rsidR="009464B2" w:rsidRPr="00D66847">
        <w:rPr>
          <w:b/>
        </w:rPr>
        <w:t xml:space="preserve"> </w:t>
      </w:r>
      <w:r w:rsidR="009464B2" w:rsidRPr="00D66847">
        <w:rPr>
          <w:bCs/>
        </w:rPr>
        <w:t xml:space="preserve">degrees of freedom at any reasonable level of significance, indicating a </w:t>
      </w:r>
      <w:r w:rsidR="00913DD7">
        <w:rPr>
          <w:bCs/>
        </w:rPr>
        <w:t xml:space="preserve">statistically significant </w:t>
      </w:r>
      <w:r w:rsidR="009464B2" w:rsidRPr="00D66847">
        <w:rPr>
          <w:bCs/>
        </w:rPr>
        <w:t xml:space="preserve">superior fit for the proposed model. </w:t>
      </w:r>
      <w:r w:rsidR="00871D72">
        <w:t>Finally</w:t>
      </w:r>
      <w:r w:rsidR="00DC4D11">
        <w:t xml:space="preserve">, the models can be </w:t>
      </w:r>
      <w:r w:rsidR="00913DD7">
        <w:t xml:space="preserve">intuitively </w:t>
      </w:r>
      <w:r w:rsidR="00DC4D11">
        <w:t xml:space="preserve">compared based on the average probability of correct predication, which is </w:t>
      </w:r>
      <w:r w:rsidR="00AB3873">
        <w:t xml:space="preserve">computed </w:t>
      </w:r>
      <w:r w:rsidR="00E02163">
        <w:t>using the multivariate predictions for</w:t>
      </w:r>
      <w:r w:rsidR="00AB3873">
        <w:t xml:space="preserve"> all available outcomes for each </w:t>
      </w:r>
      <w:r w:rsidR="00E27927">
        <w:t xml:space="preserve">individual (note that </w:t>
      </w:r>
      <w:r w:rsidR="00D659DA">
        <w:t xml:space="preserve">the </w:t>
      </w:r>
      <w:r w:rsidR="00913DD7">
        <w:t xml:space="preserve">average </w:t>
      </w:r>
      <w:r w:rsidR="00D659DA">
        <w:t xml:space="preserve">probability of correct prediction is low for both models due to the large number of possible combinations for the complete outcome set, </w:t>
      </w:r>
      <w:r w:rsidR="00913DD7">
        <w:t xml:space="preserve">amounting to </w:t>
      </w:r>
      <w:r w:rsidR="009A7409">
        <w:t>4096</w:t>
      </w:r>
      <w:r w:rsidR="00DB04D5">
        <w:t xml:space="preserve"> possible combinations</w:t>
      </w:r>
      <w:r w:rsidR="009A7409">
        <w:t xml:space="preserve"> for those reporting PPD and 16 possible combinations for those not reporting PPD.</w:t>
      </w:r>
      <w:r w:rsidR="00DB04D5">
        <w:t xml:space="preserve"> </w:t>
      </w:r>
    </w:p>
    <w:p w14:paraId="190383DD" w14:textId="38D86084" w:rsidR="009464B2" w:rsidRDefault="00871D72" w:rsidP="00871D72">
      <w:pPr>
        <w:autoSpaceDE w:val="0"/>
        <w:autoSpaceDN w:val="0"/>
        <w:adjustRightInd w:val="0"/>
        <w:spacing w:after="0" w:line="240" w:lineRule="auto"/>
        <w:ind w:firstLine="720"/>
        <w:jc w:val="both"/>
      </w:pPr>
      <w:r>
        <w:t>T</w:t>
      </w:r>
      <w:r w:rsidR="00CC50DF" w:rsidRPr="00D66847">
        <w:t xml:space="preserve">he models can </w:t>
      </w:r>
      <w:r w:rsidR="008F5E57">
        <w:t xml:space="preserve">also </w:t>
      </w:r>
      <w:r w:rsidR="00CC50DF" w:rsidRPr="00D66847">
        <w:t xml:space="preserve">be compared based on aggregate fit. To do so, the </w:t>
      </w:r>
      <w:r w:rsidR="0031447F" w:rsidRPr="00D66847">
        <w:t xml:space="preserve">share of individuals selecting each combination of outcomes is compared with the predicted shares based on each model. Since the total number of outcome </w:t>
      </w:r>
      <w:r w:rsidR="00400FA9" w:rsidRPr="00D66847">
        <w:t xml:space="preserve">combinations for the full set of 11 </w:t>
      </w:r>
      <w:r w:rsidR="00E31405">
        <w:t xml:space="preserve">dimensions </w:t>
      </w:r>
      <w:r w:rsidR="00400FA9" w:rsidRPr="00D66847">
        <w:t xml:space="preserve">is very large, we limit this aggregate comparison to the </w:t>
      </w:r>
      <w:r w:rsidR="00E31405">
        <w:t xml:space="preserve">PPD </w:t>
      </w:r>
      <w:r w:rsidR="00CC342E" w:rsidRPr="00D66847">
        <w:t xml:space="preserve">dimension and the two virtual accessibility dimensions, resulting in </w:t>
      </w:r>
      <w:r w:rsidR="00BE22DC" w:rsidRPr="00D66847">
        <w:t>40</w:t>
      </w:r>
      <w:r w:rsidR="00CC342E" w:rsidRPr="00D66847">
        <w:t xml:space="preserve"> possible combinations</w:t>
      </w:r>
      <w:r w:rsidR="00BE22DC" w:rsidRPr="00D66847">
        <w:t xml:space="preserve"> (including</w:t>
      </w:r>
      <w:r w:rsidR="00D66847" w:rsidRPr="00D66847">
        <w:t xml:space="preserve"> combination</w:t>
      </w:r>
      <w:r>
        <w:t>s</w:t>
      </w:r>
      <w:r w:rsidR="00D66847" w:rsidRPr="00D66847">
        <w:t xml:space="preserve"> that do not include the telework dimension for non-workers)</w:t>
      </w:r>
      <w:r w:rsidR="00CC342E" w:rsidRPr="00D66847">
        <w:t xml:space="preserve">. For each combination of these three outcomes, the absolute percent error (APE) </w:t>
      </w:r>
      <w:r w:rsidR="008B2E58">
        <w:t>between</w:t>
      </w:r>
      <w:r w:rsidR="00CC342E" w:rsidRPr="00D66847">
        <w:t xml:space="preserve"> the predicted share and the observed share in the dataset is computed for each model. Then, the weighted average percent error (WAPE) is computed by </w:t>
      </w:r>
      <w:r w:rsidR="00D66847" w:rsidRPr="00D66847">
        <w:t>weighing</w:t>
      </w:r>
      <w:r w:rsidR="00CC342E" w:rsidRPr="00D66847">
        <w:t xml:space="preserve"> these APEs by the observed shares. </w:t>
      </w:r>
      <w:r w:rsidR="00E31405">
        <w:t>T</w:t>
      </w:r>
      <w:r w:rsidR="00CC342E" w:rsidRPr="00D66847">
        <w:t>he weighted average percent error is smaller for the proposed model</w:t>
      </w:r>
      <w:r w:rsidR="008B2E58">
        <w:t xml:space="preserve"> (</w:t>
      </w:r>
      <w:r w:rsidR="00981DF6">
        <w:t>7.16</w:t>
      </w:r>
      <w:r w:rsidR="008B2E58">
        <w:t>) than the independent model (</w:t>
      </w:r>
      <w:r w:rsidR="00981DF6">
        <w:t>8.82</w:t>
      </w:r>
      <w:r w:rsidR="008B2E58">
        <w:t>)</w:t>
      </w:r>
      <w:r w:rsidR="00E31405">
        <w:t>. Overall, based on a variety of data fit metrics at both the disaggregate and aggregate data fit measures</w:t>
      </w:r>
      <w:r w:rsidR="00CC342E" w:rsidRPr="00D66847">
        <w:t xml:space="preserve">, </w:t>
      </w:r>
      <w:r w:rsidR="00E31405">
        <w:t>our joint model outperforms the independent model</w:t>
      </w:r>
      <w:r w:rsidR="00CC342E" w:rsidRPr="00D66847">
        <w:t>.</w:t>
      </w:r>
      <w:r w:rsidR="00CC342E">
        <w:t xml:space="preserve"> </w:t>
      </w:r>
    </w:p>
    <w:p w14:paraId="4904E54B" w14:textId="51405B64" w:rsidR="00011BBC" w:rsidRPr="00011BBC" w:rsidRDefault="00011BBC" w:rsidP="00D3089B">
      <w:pPr>
        <w:spacing w:after="0" w:line="240" w:lineRule="auto"/>
      </w:pPr>
    </w:p>
    <w:p w14:paraId="4F0E9979" w14:textId="715B7411" w:rsidR="00BC1043" w:rsidRDefault="00DC7402">
      <w:pPr>
        <w:spacing w:after="0" w:line="240" w:lineRule="auto"/>
        <w:rPr>
          <w:b/>
          <w:bCs/>
        </w:rPr>
      </w:pPr>
      <w:r w:rsidRPr="00E94FC7">
        <w:rPr>
          <w:b/>
          <w:bCs/>
        </w:rPr>
        <w:t>5. IMPLICATIONS</w:t>
      </w:r>
    </w:p>
    <w:p w14:paraId="11419AF4" w14:textId="348616C1" w:rsidR="00BC1043" w:rsidRDefault="005170A1">
      <w:pPr>
        <w:spacing w:after="0" w:line="240" w:lineRule="auto"/>
        <w:rPr>
          <w:b/>
          <w:bCs/>
        </w:rPr>
      </w:pPr>
      <w:r w:rsidRPr="0051016B">
        <w:rPr>
          <w:b/>
          <w:bCs/>
        </w:rPr>
        <w:t xml:space="preserve">5.1 </w:t>
      </w:r>
      <w:r w:rsidR="00BC1043" w:rsidRPr="0051016B">
        <w:rPr>
          <w:b/>
          <w:bCs/>
        </w:rPr>
        <w:t>ATE Computations</w:t>
      </w:r>
    </w:p>
    <w:p w14:paraId="1E10EB79" w14:textId="6CFE5A58" w:rsidR="00CE5802" w:rsidRDefault="00695FC2" w:rsidP="00981DF6">
      <w:pPr>
        <w:spacing w:after="0" w:line="240" w:lineRule="auto"/>
        <w:jc w:val="both"/>
      </w:pPr>
      <w:r>
        <w:t>The model results presented in the previous section</w:t>
      </w:r>
      <w:r w:rsidR="00EF7F7B">
        <w:t xml:space="preserve"> provide important insights into </w:t>
      </w:r>
      <w:r w:rsidR="00CE5802">
        <w:t xml:space="preserve">the underlying propensities associated with </w:t>
      </w:r>
      <w:r w:rsidR="001C02B4">
        <w:t xml:space="preserve">PPD, PPD reasons, and </w:t>
      </w:r>
      <w:r w:rsidR="00EF7F7B">
        <w:t xml:space="preserve">virtual </w:t>
      </w:r>
      <w:r w:rsidR="001C02B4">
        <w:t>participation</w:t>
      </w:r>
      <w:r w:rsidR="00EF7F7B">
        <w:t xml:space="preserve">. </w:t>
      </w:r>
      <w:r w:rsidR="00CE5802">
        <w:t xml:space="preserve">But, as such, they do not provide the magnitude of effect on the actual binary PPD and PPD reasons, and the ordinal virtual participation outcomes. </w:t>
      </w:r>
      <w:r w:rsidR="00371B12">
        <w:t xml:space="preserve">This is especially so for the PPD </w:t>
      </w:r>
      <w:r w:rsidR="00D83706">
        <w:t>outcome because</w:t>
      </w:r>
      <w:r w:rsidR="00371B12">
        <w:t xml:space="preserve"> the exogenous variable effects in Table 3 represent direct effects not overall effects </w:t>
      </w:r>
      <w:r w:rsidR="00981DF6">
        <w:t xml:space="preserve">that include indirect effects </w:t>
      </w:r>
      <w:r w:rsidR="00371B12">
        <w:t xml:space="preserve">through the virtual participation outcomes. For this, we use Average Treatment Effects (ATEs), which represent the impact of a change of state of an antecedent variable on the endogenous outcomes of interest. </w:t>
      </w:r>
      <w:r w:rsidR="00CE5802">
        <w:t>While we can compute such effects for each of the eleven dimensions in our analysis, here we focus on exogenous variable effects on the PPD outcome</w:t>
      </w:r>
      <w:r w:rsidR="00B63160">
        <w:t xml:space="preserve"> and the two virtual participation outcomes</w:t>
      </w:r>
      <w:r w:rsidR="00CE5802">
        <w:t>.</w:t>
      </w:r>
      <w:r w:rsidR="001C1694">
        <w:t xml:space="preserve"> </w:t>
      </w:r>
      <w:r w:rsidR="000A2B1B">
        <w:t xml:space="preserve">We begin by </w:t>
      </w:r>
      <w:r w:rsidR="000A2B1B">
        <w:rPr>
          <w:rFonts w:eastAsiaTheme="minorEastAsia"/>
          <w:lang w:eastAsia="ko-KR"/>
        </w:rPr>
        <w:t>computing</w:t>
      </w:r>
      <w:r w:rsidR="000A2B1B" w:rsidRPr="007B7A98">
        <w:rPr>
          <w:rFonts w:eastAsiaTheme="minorEastAsia"/>
          <w:lang w:eastAsia="ko-KR"/>
        </w:rPr>
        <w:t xml:space="preserve">, for each individual, the </w:t>
      </w:r>
      <w:r w:rsidR="000A2B1B">
        <w:rPr>
          <w:rFonts w:eastAsiaTheme="minorEastAsia"/>
          <w:lang w:eastAsia="ko-KR"/>
        </w:rPr>
        <w:t xml:space="preserve">tri-variate probability </w:t>
      </w:r>
      <w:r w:rsidR="000A2B1B" w:rsidRPr="007B7A98">
        <w:rPr>
          <w:rFonts w:eastAsiaTheme="minorEastAsia"/>
          <w:lang w:eastAsia="ko-KR"/>
        </w:rPr>
        <w:t xml:space="preserve">predictions </w:t>
      </w:r>
      <w:r w:rsidR="000A2B1B">
        <w:t>for each of the 32 combination outcomes of the PPD, telework, and deliveries outcomes (total possible combinations=2</w:t>
      </w:r>
      <w:r w:rsidR="000A2B1B" w:rsidRPr="004B0C88">
        <w:rPr>
          <w:i/>
        </w:rPr>
        <w:t>×</w:t>
      </w:r>
      <w:r w:rsidR="000A2B1B">
        <w:t>4</w:t>
      </w:r>
      <w:r w:rsidR="000A2B1B" w:rsidRPr="004B0C88">
        <w:rPr>
          <w:i/>
        </w:rPr>
        <w:t>×</w:t>
      </w:r>
      <w:r w:rsidR="000A2B1B">
        <w:t>4</w:t>
      </w:r>
      <w:r w:rsidR="000A2B1B">
        <w:rPr>
          <w:i/>
        </w:rPr>
        <w:t>=</w:t>
      </w:r>
      <w:r w:rsidR="000A2B1B">
        <w:rPr>
          <w:i/>
        </w:rPr>
        <w:softHyphen/>
      </w:r>
      <w:r w:rsidR="000A2B1B">
        <w:rPr>
          <w:iCs/>
        </w:rPr>
        <w:t>32, including counterfactual outcomes</w:t>
      </w:r>
      <w:r w:rsidR="000A2B1B">
        <w:t xml:space="preserve">) for the </w:t>
      </w:r>
      <w:r w:rsidR="000A2B1B" w:rsidRPr="00CB44FA">
        <w:rPr>
          <w:u w:val="single"/>
        </w:rPr>
        <w:t>base level</w:t>
      </w:r>
      <w:r w:rsidR="000A2B1B">
        <w:t xml:space="preserve"> of an exogenous variable. Then, by marginalizing over the combinations, we can obtain the probability of “yes” and “no” for the PPD outcome for each individual. </w:t>
      </w:r>
      <w:r w:rsidR="00B63160">
        <w:t xml:space="preserve">For the telework frequency and delivery frequency outcomes, we obtain the probabilities for each ordinal level and compute an expected value by assigning the </w:t>
      </w:r>
      <w:r w:rsidR="00B63160" w:rsidRPr="007B7A98">
        <w:t>m</w:t>
      </w:r>
      <w:r w:rsidR="00B63160">
        <w:t xml:space="preserve">id-point frequency </w:t>
      </w:r>
      <w:r w:rsidR="00B63160" w:rsidRPr="007B7A98">
        <w:t>value of each level</w:t>
      </w:r>
      <w:r w:rsidR="00B63160">
        <w:t xml:space="preserve"> (so, we assume 1-2 days per week represents 1.5 days a week and so on for telework</w:t>
      </w:r>
      <w:r w:rsidR="00371B12">
        <w:t>,</w:t>
      </w:r>
      <w:r w:rsidR="00B63160">
        <w:t xml:space="preserve"> and assume 1-5 deliveries in the last 30 days </w:t>
      </w:r>
      <w:r w:rsidR="00A9752A">
        <w:t>corresponds to 2.5 deliveries in the last 30 days</w:t>
      </w:r>
      <w:r w:rsidR="00371B12">
        <w:t xml:space="preserve"> and so on for deliveries</w:t>
      </w:r>
      <w:r w:rsidR="00B63160">
        <w:t>)</w:t>
      </w:r>
      <w:r w:rsidR="00B63160" w:rsidRPr="007B7A98">
        <w:t xml:space="preserve">. </w:t>
      </w:r>
      <w:r w:rsidR="000A2B1B">
        <w:t xml:space="preserve">The share of individuals with “yes” and “no” for the PPD dimensions can be computed as the average probability of each </w:t>
      </w:r>
      <w:r w:rsidR="000A2B1B">
        <w:lastRenderedPageBreak/>
        <w:t xml:space="preserve">of the two </w:t>
      </w:r>
      <w:r w:rsidR="00A9752A">
        <w:t xml:space="preserve">PPD </w:t>
      </w:r>
      <w:r w:rsidR="000A2B1B">
        <w:t>categories across all individuals</w:t>
      </w:r>
      <w:r w:rsidR="00A9752A">
        <w:t>, and the average teleworking days and monthly deliveries can be computed similarly by averaging the expected value across individuals</w:t>
      </w:r>
      <w:r w:rsidR="000A2B1B">
        <w:t xml:space="preserve">. The same procedure is adopted for the </w:t>
      </w:r>
      <w:r w:rsidR="000A2B1B" w:rsidRPr="00CB44FA">
        <w:rPr>
          <w:u w:val="single"/>
        </w:rPr>
        <w:t>treatment level</w:t>
      </w:r>
      <w:r w:rsidR="000A2B1B">
        <w:t xml:space="preserve"> of the exogenous variable. For example, consider the treatment effect of presence of children. We set </w:t>
      </w:r>
      <w:r w:rsidR="000A2B1B" w:rsidRPr="007B7A98">
        <w:t xml:space="preserve">all individuals in the dataset </w:t>
      </w:r>
      <w:r w:rsidR="000A2B1B">
        <w:t xml:space="preserve">to “no presence of children” and compute the share (in percentage terms) of “yes” for PPD, as just discussed. </w:t>
      </w:r>
      <w:r w:rsidR="000A2B1B" w:rsidRPr="007B7A98">
        <w:t xml:space="preserve">Then, all individuals are assigned to </w:t>
      </w:r>
      <w:r w:rsidR="000A2B1B">
        <w:t>the treatment level of “presence of children</w:t>
      </w:r>
      <w:r w:rsidR="00A35D9F">
        <w:t>,”</w:t>
      </w:r>
      <w:r w:rsidR="000A2B1B">
        <w:t xml:space="preserve"> </w:t>
      </w:r>
      <w:r w:rsidR="000A2B1B" w:rsidRPr="007B7A98">
        <w:t xml:space="preserve">and </w:t>
      </w:r>
      <w:r w:rsidR="000A2B1B">
        <w:t xml:space="preserve">we get the share again (in percentage terms) of “yes” for PPD. The </w:t>
      </w:r>
      <w:r w:rsidR="000A2B1B" w:rsidRPr="007B7A98">
        <w:t>change</w:t>
      </w:r>
      <w:r w:rsidR="000A2B1B">
        <w:t xml:space="preserve"> in the “yes” shares (in percentage terms) </w:t>
      </w:r>
      <w:r w:rsidR="000A2B1B" w:rsidRPr="007B7A98">
        <w:t>provide</w:t>
      </w:r>
      <w:r w:rsidR="000A2B1B">
        <w:t>s</w:t>
      </w:r>
      <w:r w:rsidR="000A2B1B" w:rsidRPr="007B7A98">
        <w:t xml:space="preserve"> the magnitude and direction of the </w:t>
      </w:r>
      <w:r w:rsidR="000A2B1B">
        <w:t>total ATE</w:t>
      </w:r>
      <w:r w:rsidR="00D750BB">
        <w:t xml:space="preserve"> </w:t>
      </w:r>
      <w:r w:rsidR="000A2B1B" w:rsidRPr="007B7A98">
        <w:t xml:space="preserve">of the </w:t>
      </w:r>
      <w:r w:rsidR="000A2B1B">
        <w:t xml:space="preserve">“presence of children” </w:t>
      </w:r>
      <w:r w:rsidR="000A2B1B" w:rsidRPr="007B7A98">
        <w:t xml:space="preserve">variable on </w:t>
      </w:r>
      <w:r w:rsidR="000A2B1B">
        <w:t>PPD.</w:t>
      </w:r>
      <w:r w:rsidR="00CE5802">
        <w:t xml:space="preserve"> </w:t>
      </w:r>
      <w:r w:rsidR="00A9752A">
        <w:t xml:space="preserve">The ATE effect for the telework and deliveries dimensions are computed as </w:t>
      </w:r>
      <w:r w:rsidR="00235244">
        <w:t xml:space="preserve">the difference in the average teleworking days and monthly deliveries between the base and treatment levels. </w:t>
      </w:r>
      <w:r w:rsidR="000A2B1B">
        <w:t>F</w:t>
      </w:r>
      <w:r w:rsidR="007A105F">
        <w:t xml:space="preserve">or the sake of </w:t>
      </w:r>
      <w:r w:rsidR="000A2B1B">
        <w:t xml:space="preserve">presentation </w:t>
      </w:r>
      <w:r w:rsidR="007A105F">
        <w:t xml:space="preserve">simplicity, </w:t>
      </w:r>
      <w:r w:rsidR="00D750BB">
        <w:t xml:space="preserve">for exogenous variables with more than two levels (such as income), we compute </w:t>
      </w:r>
      <w:r w:rsidR="004B4E6A">
        <w:t>the</w:t>
      </w:r>
      <w:r w:rsidR="00D750BB">
        <w:t xml:space="preserve"> ATEs </w:t>
      </w:r>
      <w:r w:rsidR="001C02B4">
        <w:t xml:space="preserve">for </w:t>
      </w:r>
      <w:r w:rsidR="00D750BB">
        <w:t>a</w:t>
      </w:r>
      <w:r w:rsidR="001C02B4">
        <w:t xml:space="preserve"> change between</w:t>
      </w:r>
      <w:r w:rsidR="004B4E6A">
        <w:t xml:space="preserve"> </w:t>
      </w:r>
      <w:r w:rsidR="00D750BB">
        <w:t xml:space="preserve">only </w:t>
      </w:r>
      <w:r w:rsidR="004B4E6A">
        <w:t>the highest and lowest levels</w:t>
      </w:r>
      <w:r w:rsidR="007A105F">
        <w:t xml:space="preserve">. </w:t>
      </w:r>
    </w:p>
    <w:p w14:paraId="277CFF17" w14:textId="28989FE0" w:rsidR="001A2F9E" w:rsidRDefault="00CE5802" w:rsidP="00B23176">
      <w:pPr>
        <w:spacing w:after="0" w:line="240" w:lineRule="auto"/>
        <w:ind w:firstLine="720"/>
        <w:jc w:val="both"/>
        <w:rPr>
          <w:rFonts w:eastAsiaTheme="minorEastAsia"/>
          <w:lang w:eastAsia="ko-KR"/>
        </w:rPr>
      </w:pPr>
      <w:r>
        <w:rPr>
          <w:lang w:eastAsia="ko-KR"/>
        </w:rPr>
        <w:t xml:space="preserve">An additional issue here is that there are endogenous outcome effects of telework and deliveries on PPD. This implies that the total </w:t>
      </w:r>
      <w:r w:rsidR="00D750BB">
        <w:rPr>
          <w:lang w:eastAsia="ko-KR"/>
        </w:rPr>
        <w:t xml:space="preserve">ATE </w:t>
      </w:r>
      <w:r>
        <w:rPr>
          <w:lang w:eastAsia="ko-KR"/>
        </w:rPr>
        <w:t xml:space="preserve">effect of an exogenous variable is a combination of </w:t>
      </w:r>
      <w:r w:rsidR="001A2F9E">
        <w:rPr>
          <w:lang w:eastAsia="ko-KR"/>
        </w:rPr>
        <w:t>mediating effect</w:t>
      </w:r>
      <w:r w:rsidR="00B23176">
        <w:rPr>
          <w:lang w:eastAsia="ko-KR"/>
        </w:rPr>
        <w:t>s</w:t>
      </w:r>
      <w:r w:rsidR="001A2F9E">
        <w:rPr>
          <w:lang w:eastAsia="ko-KR"/>
        </w:rPr>
        <w:t xml:space="preserve"> through the telework/deliveries outcomes (indirect effect</w:t>
      </w:r>
      <w:r w:rsidR="00A02CBC">
        <w:rPr>
          <w:lang w:eastAsia="ko-KR"/>
        </w:rPr>
        <w:t>s</w:t>
      </w:r>
      <w:r w:rsidR="001A2F9E">
        <w:rPr>
          <w:lang w:eastAsia="ko-KR"/>
        </w:rPr>
        <w:t xml:space="preserve">) as well as a </w:t>
      </w:r>
      <w:r>
        <w:rPr>
          <w:lang w:eastAsia="ko-KR"/>
        </w:rPr>
        <w:t xml:space="preserve">direct effect of the variable on </w:t>
      </w:r>
      <w:r w:rsidR="001A2F9E">
        <w:rPr>
          <w:lang w:eastAsia="ko-KR"/>
        </w:rPr>
        <w:t xml:space="preserve">PPD. </w:t>
      </w:r>
      <w:r w:rsidR="001A2F9E">
        <w:rPr>
          <w:rFonts w:eastAsiaTheme="minorEastAsia"/>
          <w:lang w:eastAsia="ko-KR"/>
        </w:rPr>
        <w:t xml:space="preserve">To </w:t>
      </w:r>
      <w:r w:rsidR="00D750BB">
        <w:rPr>
          <w:rFonts w:eastAsiaTheme="minorEastAsia"/>
          <w:lang w:eastAsia="ko-KR"/>
        </w:rPr>
        <w:t xml:space="preserve">distinguish between the two </w:t>
      </w:r>
      <w:r w:rsidR="00A02CBC">
        <w:rPr>
          <w:rFonts w:eastAsiaTheme="minorEastAsia"/>
          <w:lang w:eastAsia="ko-KR"/>
        </w:rPr>
        <w:t xml:space="preserve">types of </w:t>
      </w:r>
      <w:r w:rsidR="00D750BB">
        <w:rPr>
          <w:rFonts w:eastAsiaTheme="minorEastAsia"/>
          <w:lang w:eastAsia="ko-KR"/>
        </w:rPr>
        <w:t xml:space="preserve">effects, </w:t>
      </w:r>
      <w:r w:rsidR="001A2F9E">
        <w:rPr>
          <w:rFonts w:eastAsiaTheme="minorEastAsia"/>
          <w:lang w:eastAsia="ko-KR"/>
        </w:rPr>
        <w:t xml:space="preserve">we compute </w:t>
      </w:r>
      <w:r w:rsidR="001A2F9E" w:rsidRPr="000B2C30">
        <w:rPr>
          <w:rFonts w:eastAsiaTheme="minorEastAsia"/>
          <w:lang w:eastAsia="ko-KR"/>
        </w:rPr>
        <w:t>the direct effect of</w:t>
      </w:r>
      <w:r w:rsidR="001A2F9E">
        <w:rPr>
          <w:rFonts w:eastAsiaTheme="minorEastAsia"/>
          <w:lang w:eastAsia="ko-KR"/>
        </w:rPr>
        <w:t xml:space="preserve"> an exogenous variable </w:t>
      </w:r>
      <w:r w:rsidR="001A2F9E" w:rsidRPr="000B2C30">
        <w:rPr>
          <w:rFonts w:eastAsiaTheme="minorEastAsia"/>
          <w:lang w:eastAsia="ko-KR"/>
        </w:rPr>
        <w:t xml:space="preserve">on </w:t>
      </w:r>
      <w:r w:rsidR="00D750BB">
        <w:rPr>
          <w:rFonts w:eastAsiaTheme="minorEastAsia"/>
          <w:lang w:eastAsia="ko-KR"/>
        </w:rPr>
        <w:t xml:space="preserve">PPD </w:t>
      </w:r>
      <w:r w:rsidR="001A2F9E" w:rsidRPr="000B2C30">
        <w:rPr>
          <w:rFonts w:eastAsiaTheme="minorEastAsia"/>
          <w:lang w:eastAsia="ko-KR"/>
        </w:rPr>
        <w:t xml:space="preserve">by </w:t>
      </w:r>
      <w:r w:rsidR="001A2F9E">
        <w:rPr>
          <w:rFonts w:eastAsiaTheme="minorEastAsia"/>
          <w:lang w:eastAsia="ko-KR"/>
        </w:rPr>
        <w:t>maintaining</w:t>
      </w:r>
      <w:r w:rsidR="001A2F9E">
        <w:rPr>
          <w:rFonts w:eastAsiaTheme="minorEastAsia" w:hint="eastAsia"/>
          <w:lang w:eastAsia="ko-KR"/>
        </w:rPr>
        <w:t xml:space="preserve"> </w:t>
      </w:r>
      <w:r w:rsidR="00D750BB">
        <w:rPr>
          <w:rFonts w:eastAsiaTheme="minorEastAsia"/>
          <w:lang w:eastAsia="ko-KR"/>
        </w:rPr>
        <w:t xml:space="preserve">the </w:t>
      </w:r>
      <w:r w:rsidR="001A2F9E">
        <w:rPr>
          <w:rFonts w:eastAsiaTheme="minorEastAsia"/>
          <w:lang w:eastAsia="ko-KR"/>
        </w:rPr>
        <w:t>values of</w:t>
      </w:r>
      <w:r w:rsidR="00D750BB">
        <w:rPr>
          <w:rFonts w:eastAsiaTheme="minorEastAsia"/>
          <w:lang w:eastAsia="ko-KR"/>
        </w:rPr>
        <w:t xml:space="preserve"> all </w:t>
      </w:r>
      <w:r w:rsidR="001A2F9E">
        <w:rPr>
          <w:rFonts w:eastAsiaTheme="minorEastAsia"/>
          <w:lang w:eastAsia="ko-KR"/>
        </w:rPr>
        <w:t xml:space="preserve">other exogenous variables (as well as </w:t>
      </w:r>
      <w:r w:rsidR="00D750BB">
        <w:rPr>
          <w:rFonts w:eastAsiaTheme="minorEastAsia"/>
          <w:lang w:eastAsia="ko-KR"/>
        </w:rPr>
        <w:t xml:space="preserve">the telework/deliveries </w:t>
      </w:r>
      <w:r w:rsidR="001A2F9E">
        <w:rPr>
          <w:rFonts w:eastAsiaTheme="minorEastAsia"/>
          <w:lang w:eastAsia="ko-KR"/>
        </w:rPr>
        <w:t>endogenous outcomes affectin</w:t>
      </w:r>
      <w:r w:rsidR="00D750BB">
        <w:rPr>
          <w:rFonts w:eastAsiaTheme="minorEastAsia"/>
          <w:lang w:eastAsia="ko-KR"/>
        </w:rPr>
        <w:t>g PPD</w:t>
      </w:r>
      <w:r w:rsidR="001A2F9E">
        <w:rPr>
          <w:rFonts w:eastAsiaTheme="minorEastAsia"/>
          <w:lang w:eastAsia="ko-KR"/>
        </w:rPr>
        <w:t xml:space="preserve">) </w:t>
      </w:r>
      <w:r w:rsidR="001A2F9E" w:rsidRPr="000B2C30">
        <w:rPr>
          <w:rFonts w:eastAsiaTheme="minorEastAsia"/>
          <w:lang w:eastAsia="ko-KR"/>
        </w:rPr>
        <w:t>as they are in the data</w:t>
      </w:r>
      <w:r w:rsidR="00D750BB">
        <w:rPr>
          <w:rFonts w:eastAsiaTheme="minorEastAsia"/>
          <w:lang w:eastAsia="ko-KR"/>
        </w:rPr>
        <w:t>. The treatment effect corresponding to this computation is the direct ATE effect of the exogenous variable.</w:t>
      </w:r>
      <w:r w:rsidR="001A2F9E">
        <w:rPr>
          <w:rFonts w:eastAsiaTheme="minorEastAsia" w:hint="eastAsia"/>
          <w:lang w:eastAsia="ko-KR"/>
        </w:rPr>
        <w:t xml:space="preserve"> By subtracting</w:t>
      </w:r>
      <w:r w:rsidR="001A2F9E">
        <w:rPr>
          <w:rFonts w:eastAsiaTheme="minorEastAsia"/>
          <w:lang w:eastAsia="ko-KR"/>
        </w:rPr>
        <w:t xml:space="preserve"> the</w:t>
      </w:r>
      <w:r w:rsidR="001A2F9E">
        <w:rPr>
          <w:rFonts w:eastAsiaTheme="minorEastAsia" w:hint="eastAsia"/>
          <w:lang w:eastAsia="ko-KR"/>
        </w:rPr>
        <w:t xml:space="preserve"> direct effect from</w:t>
      </w:r>
      <w:r w:rsidR="001A2F9E">
        <w:rPr>
          <w:rFonts w:eastAsiaTheme="minorEastAsia"/>
          <w:lang w:eastAsia="ko-KR"/>
        </w:rPr>
        <w:t xml:space="preserve"> the</w:t>
      </w:r>
      <w:r w:rsidR="001A2F9E">
        <w:rPr>
          <w:rFonts w:eastAsiaTheme="minorEastAsia" w:hint="eastAsia"/>
          <w:lang w:eastAsia="ko-KR"/>
        </w:rPr>
        <w:t xml:space="preserve"> total ATE, we </w:t>
      </w:r>
      <w:r w:rsidR="001A2F9E">
        <w:rPr>
          <w:rFonts w:eastAsiaTheme="minorEastAsia"/>
          <w:lang w:eastAsia="ko-KR"/>
        </w:rPr>
        <w:t>obtain the</w:t>
      </w:r>
      <w:r w:rsidR="001A2F9E">
        <w:rPr>
          <w:rFonts w:eastAsiaTheme="minorEastAsia" w:hint="eastAsia"/>
          <w:lang w:eastAsia="ko-KR"/>
        </w:rPr>
        <w:t xml:space="preserve"> indirect effect. </w:t>
      </w:r>
      <w:r w:rsidR="007A5F6D">
        <w:rPr>
          <w:rFonts w:eastAsiaTheme="minorEastAsia"/>
          <w:lang w:eastAsia="ko-KR"/>
        </w:rPr>
        <w:t xml:space="preserve">As an example, the effect of presence of children on PPD, based on the estimation results from Table 3, is purely an indirect effect through telework and deliveries (note that “presence of children” has no direct effect on PPD). The presence of children has a negative effect on telework propensity, but a positive effect on the propensity of having deliveries. Both telework propensity and propensity of deliveries have a negative PPD effect, which implies that individuals with children in the household will have an indirect positive effect on PPD (through telework) and an indirect negative effect on PPD (through deliveries). The total ATE effect will be the net combination of the two effects. </w:t>
      </w:r>
    </w:p>
    <w:p w14:paraId="1587BF96" w14:textId="26A780CA" w:rsidR="00BC1043" w:rsidRDefault="007A5F6D" w:rsidP="00B23176">
      <w:pPr>
        <w:spacing w:after="0" w:line="240" w:lineRule="auto"/>
        <w:ind w:firstLine="720"/>
        <w:jc w:val="both"/>
      </w:pPr>
      <w:r>
        <w:rPr>
          <w:rFonts w:eastAsiaTheme="minorEastAsia"/>
          <w:lang w:eastAsia="ko-KR"/>
        </w:rPr>
        <w:t xml:space="preserve">The final ATE effects (including direct and indirect effects on PPD) are shown in Table 5. </w:t>
      </w:r>
      <w:r w:rsidR="00A9752A">
        <w:rPr>
          <w:rFonts w:eastAsiaTheme="minorEastAsia"/>
          <w:lang w:eastAsia="ko-KR"/>
        </w:rPr>
        <w:t xml:space="preserve">We order the endogenous outcomes differently from that in Table 3 because the causal pathway starts from telework and deliveries, and both these affect PPD. </w:t>
      </w:r>
      <w:r w:rsidR="005223A2">
        <w:rPr>
          <w:rFonts w:eastAsiaTheme="minorEastAsia"/>
          <w:lang w:eastAsia="ko-KR"/>
        </w:rPr>
        <w:t xml:space="preserve">Also, for easy interpretation, we take the treatment level as the one that leads to a higher overall PPD relative to the base level (so the base level in Table 5 may be different from the base level in Table 3). </w:t>
      </w:r>
      <w:r w:rsidR="00A9752A" w:rsidRPr="00B23176">
        <w:rPr>
          <w:rFonts w:eastAsiaTheme="minorEastAsia"/>
          <w:lang w:eastAsia="ko-KR"/>
        </w:rPr>
        <w:t xml:space="preserve">The exogenous variable effects on weekly teleworking days and monthly deliveries are </w:t>
      </w:r>
      <w:r w:rsidR="00626598" w:rsidRPr="00B23176">
        <w:rPr>
          <w:rFonts w:eastAsiaTheme="minorEastAsia"/>
          <w:lang w:eastAsia="ko-KR"/>
        </w:rPr>
        <w:t>straightforward and</w:t>
      </w:r>
      <w:r w:rsidR="00A9752A" w:rsidRPr="00B23176">
        <w:rPr>
          <w:rFonts w:eastAsiaTheme="minorEastAsia"/>
          <w:lang w:eastAsia="ko-KR"/>
        </w:rPr>
        <w:t xml:space="preserve"> represent direct effects (that also represent total effects). </w:t>
      </w:r>
      <w:r w:rsidR="007126AD">
        <w:rPr>
          <w:rFonts w:eastAsiaTheme="minorEastAsia"/>
          <w:lang w:eastAsia="ko-KR"/>
        </w:rPr>
        <w:t>For example, t</w:t>
      </w:r>
      <w:r w:rsidR="00A9752A" w:rsidRPr="00B23176">
        <w:rPr>
          <w:rFonts w:eastAsiaTheme="minorEastAsia"/>
          <w:lang w:eastAsia="ko-KR"/>
        </w:rPr>
        <w:t>he entry of “</w:t>
      </w:r>
      <w:r w:rsidR="00D24539">
        <w:rPr>
          <w:rFonts w:eastAsiaTheme="minorEastAsia"/>
          <w:lang w:eastAsia="ko-KR"/>
        </w:rPr>
        <w:t>-1.01</w:t>
      </w:r>
      <w:r w:rsidR="00A9752A" w:rsidRPr="00B23176">
        <w:rPr>
          <w:rFonts w:eastAsiaTheme="minorEastAsia"/>
          <w:lang w:eastAsia="ko-KR"/>
        </w:rPr>
        <w:t>” under the “</w:t>
      </w:r>
      <w:r w:rsidR="007126AD">
        <w:rPr>
          <w:rFonts w:eastAsiaTheme="minorEastAsia"/>
          <w:lang w:eastAsia="ko-KR"/>
        </w:rPr>
        <w:t>T</w:t>
      </w:r>
      <w:r w:rsidR="00A9752A" w:rsidRPr="00B23176">
        <w:rPr>
          <w:rFonts w:eastAsiaTheme="minorEastAsia"/>
          <w:lang w:eastAsia="ko-KR"/>
        </w:rPr>
        <w:t>elework</w:t>
      </w:r>
      <w:r w:rsidR="007126AD">
        <w:rPr>
          <w:rFonts w:eastAsiaTheme="minorEastAsia"/>
          <w:lang w:eastAsia="ko-KR"/>
        </w:rPr>
        <w:t xml:space="preserve"> ATE</w:t>
      </w:r>
      <w:r w:rsidR="00A9752A" w:rsidRPr="00B23176">
        <w:rPr>
          <w:rFonts w:eastAsiaTheme="minorEastAsia"/>
          <w:lang w:eastAsia="ko-KR"/>
        </w:rPr>
        <w:t xml:space="preserve">” column </w:t>
      </w:r>
      <w:r w:rsidR="00235244" w:rsidRPr="00B23176">
        <w:rPr>
          <w:rFonts w:eastAsiaTheme="minorEastAsia"/>
          <w:lang w:eastAsia="ko-KR"/>
        </w:rPr>
        <w:t>for “</w:t>
      </w:r>
      <w:r w:rsidR="00D24539">
        <w:rPr>
          <w:rFonts w:eastAsiaTheme="minorEastAsia"/>
          <w:lang w:eastAsia="ko-KR"/>
        </w:rPr>
        <w:t>Income</w:t>
      </w:r>
      <w:r w:rsidR="00235244" w:rsidRPr="00B23176">
        <w:rPr>
          <w:rFonts w:eastAsiaTheme="minorEastAsia"/>
          <w:lang w:eastAsia="ko-KR"/>
        </w:rPr>
        <w:t xml:space="preserve">” </w:t>
      </w:r>
      <w:r w:rsidR="00A9752A" w:rsidRPr="00B23176">
        <w:rPr>
          <w:rFonts w:eastAsiaTheme="minorEastAsia"/>
          <w:lang w:eastAsia="ko-KR"/>
        </w:rPr>
        <w:t>indicates that</w:t>
      </w:r>
      <w:r w:rsidR="00235244" w:rsidRPr="00B23176">
        <w:rPr>
          <w:rFonts w:eastAsiaTheme="minorEastAsia"/>
          <w:lang w:eastAsia="ko-KR"/>
        </w:rPr>
        <w:t xml:space="preserve"> individuals </w:t>
      </w:r>
      <w:r w:rsidR="00D24539">
        <w:rPr>
          <w:rFonts w:eastAsiaTheme="minorEastAsia"/>
          <w:lang w:eastAsia="ko-KR"/>
        </w:rPr>
        <w:t>in households with low income (&lt;50K annually),</w:t>
      </w:r>
      <w:r w:rsidR="00235244" w:rsidRPr="00B23176">
        <w:rPr>
          <w:rFonts w:eastAsiaTheme="minorEastAsia"/>
          <w:lang w:eastAsia="ko-KR"/>
        </w:rPr>
        <w:t xml:space="preserve"> on average, telework </w:t>
      </w:r>
      <w:r w:rsidR="00D24539">
        <w:rPr>
          <w:rFonts w:eastAsiaTheme="minorEastAsia"/>
          <w:lang w:eastAsia="ko-KR"/>
        </w:rPr>
        <w:t xml:space="preserve">about one </w:t>
      </w:r>
      <w:r w:rsidR="00550001">
        <w:rPr>
          <w:rFonts w:eastAsiaTheme="minorEastAsia"/>
          <w:lang w:eastAsia="ko-KR"/>
        </w:rPr>
        <w:t xml:space="preserve">fewer </w:t>
      </w:r>
      <w:r w:rsidR="00D24539">
        <w:rPr>
          <w:rFonts w:eastAsiaTheme="minorEastAsia"/>
          <w:lang w:eastAsia="ko-KR"/>
        </w:rPr>
        <w:t xml:space="preserve">day </w:t>
      </w:r>
      <w:r w:rsidR="00235244" w:rsidRPr="00B23176">
        <w:rPr>
          <w:rFonts w:eastAsiaTheme="minorEastAsia"/>
          <w:lang w:eastAsia="ko-KR"/>
        </w:rPr>
        <w:t xml:space="preserve">per week than individuals </w:t>
      </w:r>
      <w:r w:rsidR="00D24539">
        <w:rPr>
          <w:rFonts w:eastAsiaTheme="minorEastAsia"/>
          <w:lang w:eastAsia="ko-KR"/>
        </w:rPr>
        <w:t xml:space="preserve">from households </w:t>
      </w:r>
      <w:r w:rsidR="008B1C0C">
        <w:rPr>
          <w:rFonts w:eastAsiaTheme="minorEastAsia"/>
          <w:lang w:eastAsia="ko-KR"/>
        </w:rPr>
        <w:t>with high income (&gt;200K annually)</w:t>
      </w:r>
      <w:r w:rsidR="00235244" w:rsidRPr="00B23176">
        <w:rPr>
          <w:rFonts w:eastAsiaTheme="minorEastAsia"/>
          <w:lang w:eastAsia="ko-KR"/>
        </w:rPr>
        <w:t xml:space="preserve">. The entry of </w:t>
      </w:r>
      <w:r w:rsidR="00626598" w:rsidRPr="00B23176">
        <w:rPr>
          <w:rFonts w:eastAsiaTheme="minorEastAsia"/>
          <w:lang w:eastAsia="ko-KR"/>
        </w:rPr>
        <w:t>“</w:t>
      </w:r>
      <w:r w:rsidR="008B1C0C">
        <w:rPr>
          <w:rFonts w:eastAsiaTheme="minorEastAsia"/>
          <w:lang w:eastAsia="ko-KR"/>
        </w:rPr>
        <w:t>-1.53</w:t>
      </w:r>
      <w:r w:rsidR="00235244" w:rsidRPr="00B23176">
        <w:rPr>
          <w:rFonts w:eastAsiaTheme="minorEastAsia"/>
          <w:lang w:eastAsia="ko-KR"/>
        </w:rPr>
        <w:t>” in the “</w:t>
      </w:r>
      <w:r w:rsidR="007126AD">
        <w:rPr>
          <w:rFonts w:eastAsiaTheme="minorEastAsia"/>
          <w:lang w:eastAsia="ko-KR"/>
        </w:rPr>
        <w:t>M</w:t>
      </w:r>
      <w:r w:rsidR="00235244" w:rsidRPr="00B23176">
        <w:rPr>
          <w:rFonts w:eastAsiaTheme="minorEastAsia"/>
          <w:lang w:eastAsia="ko-KR"/>
        </w:rPr>
        <w:t xml:space="preserve">onthly </w:t>
      </w:r>
      <w:r w:rsidR="007126AD">
        <w:rPr>
          <w:rFonts w:eastAsiaTheme="minorEastAsia"/>
          <w:lang w:eastAsia="ko-KR"/>
        </w:rPr>
        <w:t>D</w:t>
      </w:r>
      <w:r w:rsidR="00235244" w:rsidRPr="00B23176">
        <w:rPr>
          <w:rFonts w:eastAsiaTheme="minorEastAsia"/>
          <w:lang w:eastAsia="ko-KR"/>
        </w:rPr>
        <w:t>eliveries</w:t>
      </w:r>
      <w:r w:rsidR="007126AD">
        <w:rPr>
          <w:rFonts w:eastAsiaTheme="minorEastAsia"/>
          <w:lang w:eastAsia="ko-KR"/>
        </w:rPr>
        <w:t xml:space="preserve"> ATE</w:t>
      </w:r>
      <w:r w:rsidR="00235244" w:rsidRPr="00B23176">
        <w:rPr>
          <w:rFonts w:eastAsiaTheme="minorEastAsia"/>
          <w:lang w:eastAsia="ko-KR"/>
        </w:rPr>
        <w:t xml:space="preserve">” column </w:t>
      </w:r>
      <w:r w:rsidR="008B1C0C">
        <w:rPr>
          <w:rFonts w:eastAsiaTheme="minorEastAsia"/>
          <w:lang w:eastAsia="ko-KR"/>
        </w:rPr>
        <w:t xml:space="preserve">for “Income” </w:t>
      </w:r>
      <w:r w:rsidR="00235244" w:rsidRPr="00B23176">
        <w:rPr>
          <w:rFonts w:eastAsiaTheme="minorEastAsia"/>
          <w:lang w:eastAsia="ko-KR"/>
        </w:rPr>
        <w:t xml:space="preserve">indicates that individuals </w:t>
      </w:r>
      <w:r w:rsidR="008B1C0C">
        <w:rPr>
          <w:rFonts w:eastAsiaTheme="minorEastAsia"/>
          <w:lang w:eastAsia="ko-KR"/>
        </w:rPr>
        <w:t>in low</w:t>
      </w:r>
      <w:r w:rsidR="00544A25">
        <w:rPr>
          <w:rFonts w:eastAsiaTheme="minorEastAsia"/>
          <w:lang w:eastAsia="ko-KR"/>
        </w:rPr>
        <w:t>-</w:t>
      </w:r>
      <w:r w:rsidR="008B1C0C">
        <w:rPr>
          <w:rFonts w:eastAsiaTheme="minorEastAsia"/>
          <w:lang w:eastAsia="ko-KR"/>
        </w:rPr>
        <w:t>income households</w:t>
      </w:r>
      <w:r w:rsidR="00235244" w:rsidRPr="00B23176">
        <w:rPr>
          <w:rFonts w:eastAsiaTheme="minorEastAsia"/>
          <w:lang w:eastAsia="ko-KR"/>
        </w:rPr>
        <w:t xml:space="preserve">, on average, have </w:t>
      </w:r>
      <w:r w:rsidR="008B1C0C">
        <w:rPr>
          <w:rFonts w:eastAsiaTheme="minorEastAsia"/>
          <w:lang w:eastAsia="ko-KR"/>
        </w:rPr>
        <w:t>1.53</w:t>
      </w:r>
      <w:r w:rsidR="00235244" w:rsidRPr="00B23176">
        <w:rPr>
          <w:rFonts w:eastAsiaTheme="minorEastAsia"/>
          <w:lang w:eastAsia="ko-KR"/>
        </w:rPr>
        <w:t xml:space="preserve"> </w:t>
      </w:r>
      <w:r w:rsidR="008B1C0C">
        <w:rPr>
          <w:rFonts w:eastAsiaTheme="minorEastAsia"/>
          <w:lang w:eastAsia="ko-KR"/>
        </w:rPr>
        <w:t xml:space="preserve">fewer </w:t>
      </w:r>
      <w:r w:rsidR="00235244" w:rsidRPr="00B23176">
        <w:rPr>
          <w:rFonts w:eastAsiaTheme="minorEastAsia"/>
          <w:lang w:eastAsia="ko-KR"/>
        </w:rPr>
        <w:t xml:space="preserve">monthly deliveries than individuals </w:t>
      </w:r>
      <w:r w:rsidR="008B1C0C">
        <w:rPr>
          <w:rFonts w:eastAsiaTheme="minorEastAsia"/>
          <w:lang w:eastAsia="ko-KR"/>
        </w:rPr>
        <w:t>in high</w:t>
      </w:r>
      <w:r w:rsidR="0041775D">
        <w:rPr>
          <w:rFonts w:eastAsiaTheme="minorEastAsia"/>
          <w:lang w:eastAsia="ko-KR"/>
        </w:rPr>
        <w:t>-</w:t>
      </w:r>
      <w:r w:rsidR="008B1C0C">
        <w:rPr>
          <w:rFonts w:eastAsiaTheme="minorEastAsia"/>
          <w:lang w:eastAsia="ko-KR"/>
        </w:rPr>
        <w:t>income households</w:t>
      </w:r>
      <w:r w:rsidR="00235244" w:rsidRPr="00B23176">
        <w:rPr>
          <w:rFonts w:eastAsiaTheme="minorEastAsia"/>
          <w:lang w:eastAsia="ko-KR"/>
        </w:rPr>
        <w:t>. The PPD column has four sub-columns. T</w:t>
      </w:r>
      <w:r w:rsidRPr="00B23176">
        <w:rPr>
          <w:rFonts w:eastAsiaTheme="minorEastAsia"/>
          <w:lang w:eastAsia="ko-KR"/>
        </w:rPr>
        <w:t xml:space="preserve">he entry of </w:t>
      </w:r>
      <w:r w:rsidR="00626598" w:rsidRPr="00B23176">
        <w:rPr>
          <w:rFonts w:eastAsiaTheme="minorEastAsia"/>
          <w:lang w:eastAsia="ko-KR"/>
        </w:rPr>
        <w:t>“</w:t>
      </w:r>
      <w:r w:rsidR="008B1C0C">
        <w:rPr>
          <w:rFonts w:eastAsiaTheme="minorEastAsia"/>
          <w:lang w:eastAsia="ko-KR"/>
        </w:rPr>
        <w:t>13.27</w:t>
      </w:r>
      <w:r w:rsidR="00626598" w:rsidRPr="00B23176">
        <w:rPr>
          <w:rFonts w:eastAsiaTheme="minorEastAsia"/>
          <w:lang w:eastAsia="ko-KR"/>
        </w:rPr>
        <w:t xml:space="preserve">” </w:t>
      </w:r>
      <w:r w:rsidR="00235244" w:rsidRPr="00B23176">
        <w:rPr>
          <w:rFonts w:eastAsiaTheme="minorEastAsia"/>
          <w:lang w:eastAsia="ko-KR"/>
        </w:rPr>
        <w:t xml:space="preserve">in the last sub-column </w:t>
      </w:r>
      <w:r w:rsidR="008B1C0C">
        <w:rPr>
          <w:rFonts w:eastAsiaTheme="minorEastAsia"/>
          <w:lang w:eastAsia="ko-KR"/>
        </w:rPr>
        <w:t xml:space="preserve">for income </w:t>
      </w:r>
      <w:r w:rsidR="00BC1043" w:rsidRPr="00B23176">
        <w:rPr>
          <w:rFonts w:eastAsiaTheme="minorEastAsia"/>
          <w:lang w:eastAsia="ko-KR"/>
        </w:rPr>
        <w:t>indicates that</w:t>
      </w:r>
      <w:r w:rsidR="008B1C0C">
        <w:rPr>
          <w:rFonts w:eastAsiaTheme="minorEastAsia"/>
          <w:lang w:eastAsia="ko-KR"/>
        </w:rPr>
        <w:t>,</w:t>
      </w:r>
      <w:r w:rsidR="00BC1043" w:rsidRPr="00B23176">
        <w:rPr>
          <w:rFonts w:eastAsiaTheme="minorEastAsia"/>
          <w:lang w:eastAsia="ko-KR"/>
        </w:rPr>
        <w:t xml:space="preserve"> </w:t>
      </w:r>
      <w:r w:rsidR="00BC1043" w:rsidRPr="00B23176">
        <w:t>in a pool of 1</w:t>
      </w:r>
      <w:r w:rsidR="008B1C0C">
        <w:t>00</w:t>
      </w:r>
      <w:r w:rsidR="00BC1043" w:rsidRPr="00B23176">
        <w:t xml:space="preserve"> individuals </w:t>
      </w:r>
      <w:r w:rsidR="008B1C0C">
        <w:t xml:space="preserve">from </w:t>
      </w:r>
      <w:r w:rsidR="00AE534B">
        <w:t>low-income</w:t>
      </w:r>
      <w:r w:rsidR="008B1C0C">
        <w:t xml:space="preserve"> households, </w:t>
      </w:r>
      <w:r w:rsidR="00BC1043" w:rsidRPr="00B23176">
        <w:t xml:space="preserve">one may expect </w:t>
      </w:r>
      <w:r w:rsidR="008B1C0C">
        <w:t xml:space="preserve">about 13 more individuals </w:t>
      </w:r>
      <w:r w:rsidR="00BC1043" w:rsidRPr="00B23176">
        <w:t xml:space="preserve">to experience PPD relative to </w:t>
      </w:r>
      <w:r w:rsidR="008B1C0C">
        <w:t xml:space="preserve">in </w:t>
      </w:r>
      <w:r w:rsidR="00BC1043" w:rsidRPr="00B23176">
        <w:t>a pool of 1</w:t>
      </w:r>
      <w:r w:rsidR="00626598" w:rsidRPr="00B23176">
        <w:t>0</w:t>
      </w:r>
      <w:r w:rsidR="008B1C0C">
        <w:t>0</w:t>
      </w:r>
      <w:r w:rsidR="00BC1043" w:rsidRPr="00B23176">
        <w:t xml:space="preserve"> individuals </w:t>
      </w:r>
      <w:r w:rsidR="008B1C0C">
        <w:t>from high</w:t>
      </w:r>
      <w:r w:rsidR="00AE534B">
        <w:t>-</w:t>
      </w:r>
      <w:r w:rsidR="008B1C0C">
        <w:t>income households.</w:t>
      </w:r>
      <w:r w:rsidR="00BC1043" w:rsidRPr="00B23176">
        <w:t xml:space="preserve"> </w:t>
      </w:r>
      <w:r w:rsidRPr="00B23176">
        <w:rPr>
          <w:rFonts w:eastAsiaTheme="minorEastAsia"/>
          <w:lang w:eastAsia="ko-KR"/>
        </w:rPr>
        <w:t xml:space="preserve">The </w:t>
      </w:r>
      <w:r w:rsidR="00BC1043" w:rsidRPr="00B23176">
        <w:rPr>
          <w:rFonts w:eastAsiaTheme="minorEastAsia"/>
          <w:lang w:eastAsia="ko-KR"/>
        </w:rPr>
        <w:t xml:space="preserve">three immediate </w:t>
      </w:r>
      <w:r w:rsidR="00235244" w:rsidRPr="00B23176">
        <w:rPr>
          <w:rFonts w:eastAsiaTheme="minorEastAsia"/>
          <w:lang w:eastAsia="ko-KR"/>
        </w:rPr>
        <w:t>sub-</w:t>
      </w:r>
      <w:r w:rsidR="00BC1043" w:rsidRPr="00B23176">
        <w:rPr>
          <w:rFonts w:eastAsiaTheme="minorEastAsia"/>
          <w:lang w:eastAsia="ko-KR"/>
        </w:rPr>
        <w:t>columns to the left of the “Total ATE” column p</w:t>
      </w:r>
      <w:r w:rsidR="00BC1043">
        <w:rPr>
          <w:rFonts w:eastAsiaTheme="minorEastAsia"/>
          <w:lang w:eastAsia="ko-KR"/>
        </w:rPr>
        <w:t xml:space="preserve">rovide the percentage splits of the total effect as originating from an indirect telework effect, from an indirect deliveries effect, and from a direct effect. Thus, </w:t>
      </w:r>
      <w:r w:rsidR="008B1C0C">
        <w:rPr>
          <w:rFonts w:eastAsiaTheme="minorEastAsia"/>
          <w:lang w:eastAsia="ko-KR"/>
        </w:rPr>
        <w:t xml:space="preserve">for income, </w:t>
      </w:r>
      <w:r w:rsidR="00BC1043">
        <w:rPr>
          <w:rFonts w:eastAsiaTheme="minorEastAsia"/>
          <w:lang w:eastAsia="ko-KR"/>
        </w:rPr>
        <w:t xml:space="preserve">the </w:t>
      </w:r>
      <w:r w:rsidR="008B1C0C">
        <w:rPr>
          <w:rFonts w:eastAsiaTheme="minorEastAsia"/>
          <w:lang w:eastAsia="ko-KR"/>
        </w:rPr>
        <w:t>increased PPD among individuals from low</w:t>
      </w:r>
      <w:r w:rsidR="00311231">
        <w:rPr>
          <w:rFonts w:eastAsiaTheme="minorEastAsia"/>
          <w:lang w:eastAsia="ko-KR"/>
        </w:rPr>
        <w:t>-</w:t>
      </w:r>
      <w:r w:rsidR="008B1C0C">
        <w:rPr>
          <w:rFonts w:eastAsiaTheme="minorEastAsia"/>
          <w:lang w:eastAsia="ko-KR"/>
        </w:rPr>
        <w:t xml:space="preserve">income </w:t>
      </w:r>
      <w:r w:rsidR="008B1C0C">
        <w:rPr>
          <w:rFonts w:eastAsiaTheme="minorEastAsia"/>
          <w:lang w:eastAsia="ko-KR"/>
        </w:rPr>
        <w:lastRenderedPageBreak/>
        <w:t>households may be attributed to a</w:t>
      </w:r>
      <w:r w:rsidR="00A00390">
        <w:rPr>
          <w:rFonts w:eastAsiaTheme="minorEastAsia"/>
          <w:lang w:eastAsia="ko-KR"/>
        </w:rPr>
        <w:t>n</w:t>
      </w:r>
      <w:r w:rsidR="008B1C0C">
        <w:rPr>
          <w:rFonts w:eastAsiaTheme="minorEastAsia"/>
          <w:lang w:eastAsia="ko-KR"/>
        </w:rPr>
        <w:t xml:space="preserve"> 11% effect through the reduced ability to telework, a 6% effect through the reduced ability to order deliveries, and an 83% direct PPD effect. </w:t>
      </w:r>
      <w:r w:rsidR="00BC1043">
        <w:t>T</w:t>
      </w:r>
      <w:r w:rsidRPr="00A40901">
        <w:t xml:space="preserve">he sign associated with </w:t>
      </w:r>
      <w:r w:rsidR="00BC1043">
        <w:t xml:space="preserve">each </w:t>
      </w:r>
      <w:r w:rsidRPr="00A40901">
        <w:t>contribution illustrate</w:t>
      </w:r>
      <w:r w:rsidR="00BC1043">
        <w:t>s</w:t>
      </w:r>
      <w:r w:rsidRPr="00A40901">
        <w:t xml:space="preserve"> whether the </w:t>
      </w:r>
      <w:r w:rsidR="00BC1043">
        <w:t xml:space="preserve">corresponding </w:t>
      </w:r>
      <w:r w:rsidRPr="00A40901">
        <w:t xml:space="preserve">effect </w:t>
      </w:r>
      <w:r w:rsidR="00BC1043">
        <w:t xml:space="preserve">increases the total </w:t>
      </w:r>
      <w:r w:rsidR="008B1C0C">
        <w:t xml:space="preserve">PPD </w:t>
      </w:r>
      <w:r w:rsidR="00BC1043">
        <w:t xml:space="preserve">ATE (+) or </w:t>
      </w:r>
      <w:r w:rsidRPr="00A40901">
        <w:t xml:space="preserve">decreases the total </w:t>
      </w:r>
      <w:r w:rsidR="008B1C0C">
        <w:t xml:space="preserve">PPD </w:t>
      </w:r>
      <w:r w:rsidRPr="00A40901">
        <w:t>ATE (-)</w:t>
      </w:r>
      <w:r w:rsidR="00BC1043">
        <w:t>.</w:t>
      </w:r>
      <w:r>
        <w:t xml:space="preserve"> </w:t>
      </w:r>
      <w:r w:rsidR="008B1C0C">
        <w:t xml:space="preserve">For example, the </w:t>
      </w:r>
      <w:r w:rsidR="008B1C0C">
        <w:rPr>
          <w:rFonts w:eastAsiaTheme="minorEastAsia"/>
          <w:lang w:eastAsia="ko-KR"/>
        </w:rPr>
        <w:t xml:space="preserve">total PPD ATE for “presence of children” may be attributable to an increase in PPD </w:t>
      </w:r>
      <w:r w:rsidR="00A75F0B">
        <w:rPr>
          <w:rFonts w:eastAsiaTheme="minorEastAsia"/>
          <w:lang w:eastAsia="ko-KR"/>
        </w:rPr>
        <w:t>due to the reduced ability to telework (contributing 75% to the total PPD) and a decrease in PPD due to increase delivery services</w:t>
      </w:r>
      <w:r w:rsidR="008B1C0C">
        <w:rPr>
          <w:rFonts w:eastAsiaTheme="minorEastAsia"/>
          <w:lang w:eastAsia="ko-KR"/>
        </w:rPr>
        <w:t xml:space="preserve"> (</w:t>
      </w:r>
      <w:r w:rsidR="00A75F0B">
        <w:rPr>
          <w:rFonts w:eastAsiaTheme="minorEastAsia"/>
          <w:lang w:eastAsia="ko-KR"/>
        </w:rPr>
        <w:t xml:space="preserve">contributing </w:t>
      </w:r>
      <w:r w:rsidR="008B1C0C">
        <w:rPr>
          <w:rFonts w:eastAsiaTheme="minorEastAsia"/>
          <w:lang w:eastAsia="ko-KR"/>
        </w:rPr>
        <w:t>25%</w:t>
      </w:r>
      <w:r w:rsidR="00A75F0B">
        <w:rPr>
          <w:rFonts w:eastAsiaTheme="minorEastAsia"/>
          <w:lang w:eastAsia="ko-KR"/>
        </w:rPr>
        <w:t xml:space="preserve"> to the total PPD</w:t>
      </w:r>
      <w:r w:rsidR="008B1C0C">
        <w:rPr>
          <w:rFonts w:eastAsiaTheme="minorEastAsia"/>
          <w:lang w:eastAsia="ko-KR"/>
        </w:rPr>
        <w:t xml:space="preserve">). </w:t>
      </w:r>
      <w:r w:rsidR="00A75F0B">
        <w:rPr>
          <w:rFonts w:eastAsiaTheme="minorEastAsia"/>
          <w:lang w:eastAsia="ko-KR"/>
        </w:rPr>
        <w:t xml:space="preserve">There is no direct effect on PPD based on the presence or absence of children. Note also that </w:t>
      </w:r>
      <w:r w:rsidR="00A75F0B">
        <w:t>the relative magnitudes of the indirect and direct effects are computed to total 100%</w:t>
      </w:r>
      <w:r w:rsidR="00A75F0B" w:rsidRPr="00A40901">
        <w:t>.</w:t>
      </w:r>
      <w:r w:rsidR="00A75F0B">
        <w:t xml:space="preserve"> </w:t>
      </w:r>
      <w:r w:rsidR="00BC1043">
        <w:t xml:space="preserve">All other entries in Table 5 may be similarly interpreted. </w:t>
      </w:r>
    </w:p>
    <w:p w14:paraId="39C3ADD7" w14:textId="438D17AE" w:rsidR="007A5F6D" w:rsidRDefault="00BC1043" w:rsidP="00900B62">
      <w:pPr>
        <w:spacing w:after="0" w:line="240" w:lineRule="auto"/>
        <w:ind w:firstLine="720"/>
        <w:jc w:val="both"/>
        <w:rPr>
          <w:rFonts w:eastAsiaTheme="minorEastAsia"/>
          <w:lang w:eastAsia="ko-KR"/>
        </w:rPr>
      </w:pPr>
      <w:r>
        <w:rPr>
          <w:rFonts w:eastAsiaTheme="minorEastAsia"/>
          <w:lang w:eastAsia="ko-KR"/>
        </w:rPr>
        <w:t>Toward the</w:t>
      </w:r>
      <w:r w:rsidR="009A7409">
        <w:rPr>
          <w:rFonts w:eastAsiaTheme="minorEastAsia"/>
          <w:lang w:eastAsia="ko-KR"/>
        </w:rPr>
        <w:t xml:space="preserve"> bottom</w:t>
      </w:r>
      <w:r>
        <w:rPr>
          <w:rFonts w:eastAsiaTheme="minorEastAsia"/>
          <w:lang w:eastAsia="ko-KR"/>
        </w:rPr>
        <w:t xml:space="preserve"> of the table, we also compute the ATE effects of telework and deliveries on PPD. </w:t>
      </w:r>
      <w:r w:rsidR="00B63160">
        <w:rPr>
          <w:rFonts w:eastAsiaTheme="minorEastAsia"/>
          <w:lang w:eastAsia="ko-KR"/>
        </w:rPr>
        <w:t>T</w:t>
      </w:r>
      <w:r>
        <w:rPr>
          <w:rFonts w:eastAsiaTheme="minorEastAsia"/>
          <w:lang w:eastAsia="ko-KR"/>
        </w:rPr>
        <w:t xml:space="preserve">hese endogenous </w:t>
      </w:r>
      <w:r w:rsidR="00B63160">
        <w:rPr>
          <w:rFonts w:eastAsiaTheme="minorEastAsia"/>
          <w:lang w:eastAsia="ko-KR"/>
        </w:rPr>
        <w:t xml:space="preserve">ATE </w:t>
      </w:r>
      <w:r>
        <w:rPr>
          <w:rFonts w:eastAsiaTheme="minorEastAsia"/>
          <w:lang w:eastAsia="ko-KR"/>
        </w:rPr>
        <w:t>effects on</w:t>
      </w:r>
      <w:r w:rsidR="00B63160">
        <w:rPr>
          <w:rFonts w:eastAsiaTheme="minorEastAsia"/>
          <w:lang w:eastAsia="ko-KR"/>
        </w:rPr>
        <w:t xml:space="preserve"> PPD </w:t>
      </w:r>
      <w:r>
        <w:rPr>
          <w:rFonts w:eastAsiaTheme="minorEastAsia"/>
          <w:lang w:eastAsia="ko-KR"/>
        </w:rPr>
        <w:t>add value to policy development and insights. For these effects, we consider a change from the base level of “</w:t>
      </w:r>
      <w:r w:rsidR="005170A1">
        <w:rPr>
          <w:rFonts w:eastAsiaTheme="minorEastAsia"/>
          <w:lang w:eastAsia="ko-KR"/>
        </w:rPr>
        <w:t>5+ days per week" to the treatment level of “</w:t>
      </w:r>
      <w:r w:rsidR="00B63160">
        <w:rPr>
          <w:rFonts w:eastAsiaTheme="minorEastAsia"/>
          <w:lang w:eastAsia="ko-KR"/>
        </w:rPr>
        <w:t>0 days per week</w:t>
      </w:r>
      <w:r>
        <w:rPr>
          <w:rFonts w:eastAsiaTheme="minorEastAsia"/>
          <w:lang w:eastAsia="ko-KR"/>
        </w:rPr>
        <w:t xml:space="preserve">” </w:t>
      </w:r>
      <w:r w:rsidR="00B63160">
        <w:rPr>
          <w:rFonts w:eastAsiaTheme="minorEastAsia"/>
          <w:lang w:eastAsia="ko-KR"/>
        </w:rPr>
        <w:t xml:space="preserve">(for telework) and from the base level of </w:t>
      </w:r>
      <w:r w:rsidR="005170A1">
        <w:rPr>
          <w:rFonts w:eastAsiaTheme="minorEastAsia"/>
          <w:lang w:eastAsia="ko-KR"/>
        </w:rPr>
        <w:t xml:space="preserve">“more than 10 deliveries in the past 30 days” to </w:t>
      </w:r>
      <w:r w:rsidR="00B63160">
        <w:rPr>
          <w:rFonts w:eastAsiaTheme="minorEastAsia"/>
          <w:lang w:eastAsia="ko-KR"/>
        </w:rPr>
        <w:t xml:space="preserve">“0 deliveries in the past 30 days” </w:t>
      </w:r>
      <w:r w:rsidR="005170A1">
        <w:rPr>
          <w:rFonts w:eastAsiaTheme="minorEastAsia"/>
          <w:lang w:eastAsia="ko-KR"/>
        </w:rPr>
        <w:t>(for deliveries)</w:t>
      </w:r>
      <w:r w:rsidR="00B63160">
        <w:rPr>
          <w:rFonts w:eastAsiaTheme="minorEastAsia"/>
          <w:lang w:eastAsia="ko-KR"/>
        </w:rPr>
        <w:t>. The corresponding ATEs indicate the substan</w:t>
      </w:r>
      <w:r w:rsidR="00A75F0B">
        <w:rPr>
          <w:rFonts w:eastAsiaTheme="minorEastAsia"/>
          <w:lang w:eastAsia="ko-KR"/>
        </w:rPr>
        <w:t>tial</w:t>
      </w:r>
      <w:r w:rsidR="00B63160">
        <w:rPr>
          <w:rFonts w:eastAsiaTheme="minorEastAsia"/>
          <w:lang w:eastAsia="ko-KR"/>
        </w:rPr>
        <w:t xml:space="preserve"> </w:t>
      </w:r>
      <w:r w:rsidR="00A75F0B">
        <w:rPr>
          <w:rFonts w:eastAsiaTheme="minorEastAsia"/>
          <w:lang w:eastAsia="ko-KR"/>
        </w:rPr>
        <w:t xml:space="preserve">PPD-alleviating </w:t>
      </w:r>
      <w:r w:rsidR="00B63160">
        <w:rPr>
          <w:rFonts w:eastAsiaTheme="minorEastAsia"/>
          <w:lang w:eastAsia="ko-KR"/>
        </w:rPr>
        <w:t xml:space="preserve">impacts of virtual participation. </w:t>
      </w:r>
    </w:p>
    <w:p w14:paraId="2A78BCD4" w14:textId="759C1C47" w:rsidR="00371B12" w:rsidRDefault="00371B12" w:rsidP="00900B62">
      <w:pPr>
        <w:spacing w:after="0" w:line="240" w:lineRule="auto"/>
        <w:ind w:firstLine="720"/>
        <w:jc w:val="both"/>
        <w:rPr>
          <w:rFonts w:eastAsiaTheme="minorEastAsia"/>
          <w:lang w:eastAsia="ko-KR"/>
        </w:rPr>
      </w:pPr>
      <w:r>
        <w:rPr>
          <w:rFonts w:eastAsiaTheme="minorEastAsia"/>
          <w:lang w:eastAsia="ko-KR"/>
        </w:rPr>
        <w:t xml:space="preserve">In the rest of this section, we discuss the implications of our results based on the ATE results from Table 5, combined with the PPD reason results in Table 3. The focus of our discussions will be on the indirect and direct ATE effects on the PPD outcome, though we invoke other results from Table 3 and Table 5 as appropriate in our discussions. </w:t>
      </w:r>
    </w:p>
    <w:p w14:paraId="7203A323" w14:textId="77777777" w:rsidR="004414DE" w:rsidRDefault="004414DE" w:rsidP="00900B62">
      <w:pPr>
        <w:spacing w:after="0" w:line="240" w:lineRule="auto"/>
        <w:jc w:val="both"/>
      </w:pPr>
    </w:p>
    <w:p w14:paraId="6E4D122A" w14:textId="2FDF9C44" w:rsidR="00D750BB" w:rsidRPr="0051016B" w:rsidRDefault="005170A1">
      <w:pPr>
        <w:spacing w:after="0" w:line="240" w:lineRule="auto"/>
        <w:jc w:val="both"/>
        <w:rPr>
          <w:b/>
          <w:bCs/>
        </w:rPr>
      </w:pPr>
      <w:r w:rsidRPr="0051016B">
        <w:rPr>
          <w:b/>
          <w:bCs/>
        </w:rPr>
        <w:t xml:space="preserve">5.2 Who is Teleworking and Who </w:t>
      </w:r>
      <w:r w:rsidR="00B45502">
        <w:rPr>
          <w:b/>
          <w:bCs/>
        </w:rPr>
        <w:t>Receives</w:t>
      </w:r>
      <w:r w:rsidR="00B45502" w:rsidRPr="0051016B">
        <w:rPr>
          <w:b/>
          <w:bCs/>
        </w:rPr>
        <w:t xml:space="preserve"> </w:t>
      </w:r>
      <w:r w:rsidRPr="0051016B">
        <w:rPr>
          <w:b/>
          <w:bCs/>
        </w:rPr>
        <w:t>Home Deliveries</w:t>
      </w:r>
      <w:r w:rsidR="005D5F7F">
        <w:rPr>
          <w:b/>
          <w:bCs/>
        </w:rPr>
        <w:t>?</w:t>
      </w:r>
    </w:p>
    <w:p w14:paraId="19925690" w14:textId="6AFA4F03" w:rsidR="00C13E66" w:rsidRDefault="00E32D63" w:rsidP="00A077E7">
      <w:pPr>
        <w:spacing w:after="0" w:line="240" w:lineRule="auto"/>
        <w:jc w:val="both"/>
      </w:pPr>
      <w:r>
        <w:t xml:space="preserve">Our results provide insights </w:t>
      </w:r>
      <w:r w:rsidR="008A7D5D">
        <w:t xml:space="preserve">based on </w:t>
      </w:r>
      <w:r w:rsidR="00907428">
        <w:t xml:space="preserve">demographic </w:t>
      </w:r>
      <w:r w:rsidR="008A7D5D">
        <w:t>variations in</w:t>
      </w:r>
      <w:r>
        <w:t xml:space="preserve"> telework and home deliver</w:t>
      </w:r>
      <w:r w:rsidR="00907428">
        <w:t xml:space="preserve">y preferences; </w:t>
      </w:r>
      <w:r w:rsidR="00E43DA4">
        <w:t>telework frequenc</w:t>
      </w:r>
      <w:r w:rsidR="00907428">
        <w:t xml:space="preserve">y is </w:t>
      </w:r>
      <w:r w:rsidR="00E43DA4">
        <w:t xml:space="preserve">higher for single adults without children, </w:t>
      </w:r>
      <w:r w:rsidR="00907428">
        <w:t xml:space="preserve">individuals from </w:t>
      </w:r>
      <w:r w:rsidR="00E43DA4">
        <w:t>vehicle</w:t>
      </w:r>
      <w:r w:rsidR="004839E5">
        <w:t>-</w:t>
      </w:r>
      <w:r w:rsidR="00E43DA4">
        <w:t>constrained households</w:t>
      </w:r>
      <w:r w:rsidR="00907428">
        <w:t xml:space="preserve"> and </w:t>
      </w:r>
      <w:r w:rsidR="00E43DA4">
        <w:t xml:space="preserve">high-income households in </w:t>
      </w:r>
      <w:r w:rsidR="00A75F0B">
        <w:t>urban</w:t>
      </w:r>
      <w:r w:rsidR="00E43DA4">
        <w:t xml:space="preserve"> areas, older adults, those with more formal education, and individuals with medical conditions. </w:t>
      </w:r>
      <w:r w:rsidR="004D25DB">
        <w:t xml:space="preserve">These </w:t>
      </w:r>
      <w:r w:rsidR="008A7D5D">
        <w:t>findings</w:t>
      </w:r>
      <w:r w:rsidR="004D25DB">
        <w:t xml:space="preserve"> have important implications for cities, developers, and urban planners as they design developments appropriate for telework</w:t>
      </w:r>
      <w:r w:rsidR="00A077E7">
        <w:t xml:space="preserve"> and consider the impacts of changing commuting patterns</w:t>
      </w:r>
      <w:r w:rsidR="004D25DB">
        <w:t xml:space="preserve">. </w:t>
      </w:r>
      <w:r w:rsidR="00A077E7">
        <w:t>Strategies such as providing local community workspaces in residential areas could be beneficial to promote telework among those who do not have suitable spaces at home and provide mechanisms to help teleworkers maintain social connections while working remotely</w:t>
      </w:r>
      <w:r w:rsidR="00F579D1">
        <w:t xml:space="preserve"> </w:t>
      </w:r>
      <w:r w:rsidR="00F579D1">
        <w:fldChar w:fldCharType="begin"/>
      </w:r>
      <w:r w:rsidR="00F579D1">
        <w:instrText xml:space="preserve"> ADDIN ZOTERO_ITEM CSL_CITATION {"citationID":"5sIJBFx6","properties":{"formattedCitation":"(Ciccarelli and Mariotti, 2024)","plainCitation":"(Ciccarelli and Mariotti, 2024)","noteIndex":0},"citationItems":[{"id":3523,"uris":["http://zotero.org/users/12832277/items/L8PGGWXU"],"itemData":{"id":3523,"type":"chapter","abstract":"The Covid-19 pandemic accelerated the spread of remote work worldwide. This work modality carries risks and opportunities for workers and communities alike. For individuals, remote work can positively contribute to their wellbeing in several ways, such as granting more autonomy and a better work-life balance. However, remote work, especially working from home, is also frequently connected with physical and psychosocial risks for workers’ wellbeing. From a collective standpoint, remote work has the potential to reduce commuting with positive effects on the environment and may contribute to preventing skilled migrations from peripheral areas. However, data on the potential impacts of remote work on peripheral and rural communities are still scant. This chapter will offer an overview of the risks and opportunities for workers and communities associated with remote work. It will describe the rise of collaborative workspaces as plausible alternatives to overcome the limits of homeworking.","collection-title":"Geography, Planning, and Tourism 2024","container-title":"Pandemic Recovery? Reframing and Rescaling Societal Challenges","ISBN":"978-1-80220-111-6","language":"en","note":"section: Pandemic Recovery?","page":"209-220","publisher":"Elgar","source":"www.elgaronline.com","title":"Chapter 15: Remote work, coworking spaces, and wellbeing during the COVID-19 pandemic and beyond: exploring peripheral and rural areas","title-short":"Chapter 15","URL":"https://www.elgaronline.com/edcollchap/book/9781802201116/book-part-9781802201116-25.xml","author":[{"family":"Ciccarelli","given":"Francesca Chiara"},{"family":"Mariotti","given":"Ilaria"}],"editor":[{"family":"Andres","given":"Lauren"},{"family":"Bryson","given":"John R."},{"family":"Ersoy","given":"Aksel"},{"family":"Reardon","given":"Louise"}],"accessed":{"date-parts":[["2024",6,21]]},"issued":{"date-parts":[["2024",1,12]]}}}],"schema":"https://github.com/citation-style-language/schema/raw/master/csl-citation.json"} </w:instrText>
      </w:r>
      <w:r w:rsidR="00F579D1">
        <w:fldChar w:fldCharType="separate"/>
      </w:r>
      <w:r w:rsidR="00F579D1" w:rsidRPr="00F579D1">
        <w:t>(Ciccarelli and Mariotti, 2024)</w:t>
      </w:r>
      <w:r w:rsidR="00F579D1">
        <w:fldChar w:fldCharType="end"/>
      </w:r>
      <w:r w:rsidR="00A077E7">
        <w:t xml:space="preserve">. At the same time, </w:t>
      </w:r>
      <w:r w:rsidR="00A75F0B">
        <w:t xml:space="preserve">the low telework among individuals with children, along with the higher overall PPD among individuals with children, reveals a need to </w:t>
      </w:r>
      <w:r w:rsidR="00C13E66">
        <w:t>promote</w:t>
      </w:r>
      <w:r w:rsidR="00A75F0B">
        <w:t xml:space="preserve"> telework opportunities for this population group, wh</w:t>
      </w:r>
      <w:r w:rsidR="007126AD">
        <w:t>ich</w:t>
      </w:r>
      <w:r w:rsidR="00A75F0B">
        <w:t xml:space="preserve"> already </w:t>
      </w:r>
      <w:r w:rsidR="00B96B3F">
        <w:t>face</w:t>
      </w:r>
      <w:r w:rsidR="007126AD">
        <w:t>s</w:t>
      </w:r>
      <w:r w:rsidR="00B96B3F">
        <w:t xml:space="preserve"> </w:t>
      </w:r>
      <w:r w:rsidR="00B96B3F" w:rsidRPr="00B96B3F">
        <w:t>a high level of mobility-related social exclusion</w:t>
      </w:r>
      <w:r w:rsidR="007126AD">
        <w:t xml:space="preserve"> </w:t>
      </w:r>
      <w:r w:rsidR="00B96B3F">
        <w:t>due to time poverty and work-family conflict issues</w:t>
      </w:r>
      <w:r w:rsidR="00D026BD">
        <w:t xml:space="preserve"> </w:t>
      </w:r>
      <w:r w:rsidR="00223F4C">
        <w:fldChar w:fldCharType="begin"/>
      </w:r>
      <w:r w:rsidR="00374A3B">
        <w:instrText xml:space="preserve"> ADDIN ZOTERO_ITEM CSL_CITATION {"citationID":"3rHVNj4Q","properties":{"formattedCitation":"(Bernardo et al., 2015)","plainCitation":"(Bernardo et al., 2015)","dontUpdate":true,"noteIndex":0},"citationItems":[{"id":3543,"uris":["http://zotero.org/users/12832277/items/C533GSUK"],"itemData":{"id":3543,"type":"article-journal","abstract":"This paper examines the time-use patterns of adults in dual-earner households with and without children as a function of several individual and household socio-demographics and employment characteristics. A disaggregate activity purpose classification including both in-home and out-of-home activity pursuits is used because of the travel demand relevance of out-of-home pursuits, as well as to examine both mobility-related and general time-use related social exclusion and time poverty issues. The study uses the Nested Multiple Discrete Continuous Extreme Value (MDCNEV) model, which recognizes that time-decisions entail the choice of participating in one or more activity purposes along with the amount of time to invest in each chosen activity purpose, and allows generic correlation structures to account for common unobserved factors that might impact the choice of multiple alternatives. The 2010 American Time Use Survey (ATUS) data is used for the empirical analysis. A major finding of the study is that the presence of a child in dual-earner households not only leads to a reduction in in-home non-work activity participation (excluding child care activities) but also a substantially larger decrease in out-of-home non-work activity participation (excluding child care and shopping activities), suggesting a higher level of mobility-related social exclusion relative to overall time-use social exclusion. To summarize, the results in the paper underscore the importance of considering household structure in activity-based travel demand models, as well as re-designing work policies in the United States to facilitate a reduction in work-family conflict in dual-earner families.","collection-title":"Emerging data and methodological considerations in time-use analysis","container-title":"Transportation Research Part A: Policy and Practice","DOI":"10.1016/j.tra.2014.12.006","ISSN":"0965-8564","page":"71-91","source":"ScienceDirect","title":"An Empirical Investigation into the Time-Use and Activity Patterns of Dual-Earner Couples with and Without Young Children","volume":"76","author":[{"family":"Bernardo","given":"Christina"},{"family":"Paleti","given":"Rajesh"},{"family":"Hoklas","given":"Megan"},{"family":"Bhat","given":"Chandra"}],"issued":{"date-parts":[["2015",6,1]]}}}],"schema":"https://github.com/citation-style-language/schema/raw/master/csl-citation.json"} </w:instrText>
      </w:r>
      <w:r w:rsidR="00223F4C">
        <w:fldChar w:fldCharType="separate"/>
      </w:r>
      <w:r w:rsidR="00223F4C" w:rsidRPr="00223F4C">
        <w:t>(</w:t>
      </w:r>
      <w:r w:rsidR="00F32CF4">
        <w:t xml:space="preserve">see </w:t>
      </w:r>
      <w:r w:rsidR="00223F4C" w:rsidRPr="00223F4C">
        <w:t>Bernardo et al., 2015)</w:t>
      </w:r>
      <w:r w:rsidR="00223F4C">
        <w:fldChar w:fldCharType="end"/>
      </w:r>
      <w:r w:rsidR="00B96B3F" w:rsidRPr="00B96B3F">
        <w:t xml:space="preserve">. </w:t>
      </w:r>
      <w:r w:rsidR="00B96B3F">
        <w:t xml:space="preserve">Work-friendly telework and flexible work policies directed toward parents, as well as establishing third </w:t>
      </w:r>
      <w:r w:rsidR="00370F85">
        <w:t>workplace</w:t>
      </w:r>
      <w:r w:rsidR="00B96B3F">
        <w:t xml:space="preserve"> facilities in communities with a sizeable share of households with children</w:t>
      </w:r>
      <w:r w:rsidR="00C13E66">
        <w:t>,</w:t>
      </w:r>
      <w:r w:rsidR="00B96B3F">
        <w:t xml:space="preserve"> </w:t>
      </w:r>
      <w:r w:rsidR="00B96B3F" w:rsidRPr="00B96B3F">
        <w:t xml:space="preserve">may be beneficial in addressing </w:t>
      </w:r>
      <w:r w:rsidR="00C13E66">
        <w:t>PPD among parents</w:t>
      </w:r>
      <w:r w:rsidR="00B96B3F" w:rsidRPr="00B96B3F">
        <w:t xml:space="preserve">. </w:t>
      </w:r>
    </w:p>
    <w:p w14:paraId="204F9FB1" w14:textId="2DC7239F" w:rsidR="004D25DB" w:rsidRPr="008523DF" w:rsidRDefault="00C13E66" w:rsidP="00F32CF4">
      <w:pPr>
        <w:spacing w:after="0" w:line="240" w:lineRule="auto"/>
        <w:ind w:firstLine="720"/>
        <w:jc w:val="both"/>
      </w:pPr>
      <w:r>
        <w:t>The</w:t>
      </w:r>
      <w:r w:rsidR="00A077E7">
        <w:t xml:space="preserve"> results </w:t>
      </w:r>
      <w:r>
        <w:t xml:space="preserve">in Table 3 also </w:t>
      </w:r>
      <w:r w:rsidR="00A077E7">
        <w:t>have implications for employers as they rethink telework policies to align with their own needs and the preferences of their employees. For instance, telework seems to have</w:t>
      </w:r>
      <w:r w:rsidR="00A077E7" w:rsidRPr="00A077E7">
        <w:t xml:space="preserve"> been particularly helpful at reducing PPD </w:t>
      </w:r>
      <w:r w:rsidR="008A7D5D">
        <w:t>(</w:t>
      </w:r>
      <w:r w:rsidR="00A077E7" w:rsidRPr="00A077E7">
        <w:t xml:space="preserve">and </w:t>
      </w:r>
      <w:r w:rsidR="008A7D5D">
        <w:t xml:space="preserve">particularly </w:t>
      </w:r>
      <w:r w:rsidR="00A077E7" w:rsidRPr="00A077E7">
        <w:t xml:space="preserve">the </w:t>
      </w:r>
      <w:r w:rsidR="008A7D5D">
        <w:t>adverse effects of COVID-19</w:t>
      </w:r>
      <w:r>
        <w:t>, as per the results of PPD reason in Table 3</w:t>
      </w:r>
      <w:r w:rsidR="008A7D5D">
        <w:t>)</w:t>
      </w:r>
      <w:r w:rsidR="00A077E7" w:rsidRPr="00A077E7">
        <w:t xml:space="preserve"> for older adults, </w:t>
      </w:r>
      <w:r w:rsidR="00A077E7" w:rsidRPr="008A7D5D">
        <w:t>allowing them</w:t>
      </w:r>
      <w:r w:rsidR="004D25DB" w:rsidRPr="00A077E7">
        <w:t xml:space="preserve"> to retain </w:t>
      </w:r>
      <w:r>
        <w:t xml:space="preserve">spatial </w:t>
      </w:r>
      <w:r w:rsidR="004D25DB" w:rsidRPr="00A077E7">
        <w:t xml:space="preserve">separation while working. </w:t>
      </w:r>
      <w:r w:rsidR="00907428">
        <w:t>T</w:t>
      </w:r>
      <w:r w:rsidR="00A077E7" w:rsidRPr="00A077E7">
        <w:t>elework opportunities</w:t>
      </w:r>
      <w:r w:rsidR="004D25DB" w:rsidRPr="00A077E7">
        <w:t xml:space="preserve"> allow older adults to con</w:t>
      </w:r>
      <w:r w:rsidR="004D25DB">
        <w:t xml:space="preserve">tinue to participate in the workforce for longer, </w:t>
      </w:r>
      <w:r>
        <w:t>enabling</w:t>
      </w:r>
      <w:r w:rsidR="004D25DB">
        <w:t xml:space="preserve"> them to </w:t>
      </w:r>
      <w:r>
        <w:t xml:space="preserve">be </w:t>
      </w:r>
      <w:r w:rsidR="004D25DB">
        <w:t>engage</w:t>
      </w:r>
      <w:r>
        <w:t xml:space="preserve">d in productive </w:t>
      </w:r>
      <w:r w:rsidR="007126AD">
        <w:t xml:space="preserve">income-generating </w:t>
      </w:r>
      <w:r>
        <w:t xml:space="preserve">activities. Doing so has been tied to feelings of less social exclusion, especially in the post-COVID era, while also providing a sense of self-empowerment and continued self-efficacy </w:t>
      </w:r>
      <w:r w:rsidR="007126AD">
        <w:t>among older adults</w:t>
      </w:r>
      <w:r>
        <w:t xml:space="preserve"> </w:t>
      </w:r>
      <w:r w:rsidR="00481D49">
        <w:fldChar w:fldCharType="begin"/>
      </w:r>
      <w:r w:rsidR="00481D49">
        <w:instrText xml:space="preserve"> ADDIN ZOTERO_ITEM CSL_CITATION {"citationID":"UTSC1p6m","properties":{"unsorted":true,"formattedCitation":"(Sheng et al., 2022; Nagarajan and Sixsmith, 2023; Yuan and Wang, 2023)","plainCitation":"(Sheng et al., 2022; Nagarajan and Sixsmith, 2023; Yuan and Wang, 2023)","noteIndex":0},"citationItems":[{"id":3532,"uris":["http://zotero.org/users/12832277/items/3QLQT2A5"],"itemData":{"id":3532,"type":"article-journal","abstract":"Digital technology, broadly defined as all the electronic tools, automatic systems, technological devices, and resources that generate, process, or store information in the form of binary code (Shah, Nogueras, Van Woerden, &amp;amp; Kiparoglou, 2019), has brought great changes to almost all aspects of human life. In particular, the development and the application of various digital technologies have great potential to facilitate successful aging by helping individuals effectively cope with different forms of age-related challenges, though an organizing framework is lacking from the literature. In this paper, we derive a taxonomy for understanding the impacts of digital technology on successful aging by considering the intersections between digital technology types and the age-related applied settings. Based on this taxonomy, we map different types of digital technology to different functions and successful aging outcomes in both non-work and work domains. We also discuss the implications of our taxonomy to research inquiries and practical applications.","container-title":"Work, Aging and Retirement","DOI":"10.1093/workar/waac008","ISSN":"2054-4650","issue":"2","page":"198-207","source":"Silverchair","title":"The Impacts of Digital Technologies on Successful Aging in Non-Work and Work Domains: An Organizing Taxonomy","volume":"8","author":[{"family":"Sheng","given":"Nan"},{"family":"Fang","given":"Yanran"},{"family":"Shao","given":"Yiduo"},{"family":"Alterman","given":"Valeria"},{"family":"Wang","given":"Mo"}],"issued":{"date-parts":[["2022",4,1]]}}},{"id":3535,"uris":["http://zotero.org/users/12832277/items/2YVEQ4GP"],"itemData":{"id":3535,"type":"article-journal","abstract":"Today’s working population is expected to experience a longer and healthier life than previous generations did. This, combined with a currently shrinking workforce, means the participation of older adults in the labor market is expected to positively contribute to national economic and social development. Policymakers have therefore implemented a series of reforms to motivate and encourage both employers and employees to embrace the prospect of an aging workforce and to respond to the associated challenges of such a demographic change in the workplace. This paper aims to provide an overview of recent policy initiatives in this context and to identify the role of technology in major international initiatives in overcoming the key challenges faced by developed countries. We have conducted a scoping review to obtain large volumes of peer-reviewed and gray literature. Our findings suggest that the stakeholders (researchers, government agencies, employers, and communities) are not only aware of the current issues relating to the aging population but also understand the importance of policies in terms of retaining older people in the workforce. In particular, our results indicate that technology, in both the public and private sectors, can be leveraged as a tool to facilitate older adults’ participation in the workforce.","container-title":"Ageing International","DOI":"10.1007/s12126-021-09442-w","ISSN":"1936-606X","issue":"1","language":"en","page":"41-77","source":"Springer Link","title":"Policy Initiatives to Address the Challenges of an Older Population in the Workforce","volume":"48","author":[{"family":"Nagarajan","given":"N. Renuga"},{"family":"Sixsmith","given":"Andrew"}],"issued":{"date-parts":[["2023",3,1]]}}},{"id":3537,"uris":["http://zotero.org/users/12832277/items/K3GLPQQ2"],"itemData":{"id":3537,"type":"article-journal","abstract":"Purpose \n          This study compares the relation between unmet health care needs and mental health of older people with different work patterns.\n          Methods \n          This study uses data of Survey of Health, Aging and Retirement in Europe Corona survey (n = 51,632 to 51,731).\n          Results \n          The unmet health care need results in depression/sadness during the pandemic (0.304, P &lt; 0.01). Besides, such problem is more salient in workers than the nonemployed population (0.066, P &lt; 0.01 for workers; 0.058, P &lt; 0.01 for the nonemployed) and more outstanding in those working on site and with hybrid work model compared with the telecommuters (0.264, P &lt; 0.01 for telecommuters; 0.378, P &lt; 0.01 for on-site workers; 0.437, P &lt; 0.01 for hybrid work model).\n          Conclusions \n          Policymakers should focus on mental health of older people especially for those fully or partially involved in on-site work, when common health care need can be crowded out for limited health care resources during the pandemic.","container-title":"Journal of Occupational and Environmental Medicine","DOI":"10.1097/JOM.0000000000002813","ISSN":"1076-2752","issue":"5","language":"en-US","source":"journals.lww.com","title":"How Work Pattern Transformation May Affect the Mental Health of Older Workers Faced With Unmet Health Care Needs During the Pandemic? A Comparative Investigation of Different Work Models","URL":"https://journals.lww.com/joem/fulltext/2023/05000/how_work_pattern_transformation_may_affect_the.17.aspx","volume":"65","author":[{"family":"Yuan","given":"Bocong"},{"family":"Wang","given":"Muqing"}],"accessed":{"date-parts":[["2024",6,22]]},"issued":{"date-parts":[["2023",5]]}}}],"schema":"https://github.com/citation-style-language/schema/raw/master/csl-citation.json"} </w:instrText>
      </w:r>
      <w:r w:rsidR="00481D49">
        <w:fldChar w:fldCharType="separate"/>
      </w:r>
      <w:r w:rsidR="00481D49" w:rsidRPr="00481D49">
        <w:t>(Sheng et al., 2022; Nagarajan and Sixsmith, 2023; Yuan and Wang, 2023)</w:t>
      </w:r>
      <w:r w:rsidR="00481D49">
        <w:fldChar w:fldCharType="end"/>
      </w:r>
      <w:r w:rsidR="004D25DB" w:rsidRPr="00300758">
        <w:t>.</w:t>
      </w:r>
      <w:r w:rsidR="004D25DB">
        <w:rPr>
          <w:b/>
          <w:bCs/>
        </w:rPr>
        <w:t xml:space="preserve"> </w:t>
      </w:r>
      <w:r w:rsidR="003A6F96" w:rsidRPr="00BB1814">
        <w:lastRenderedPageBreak/>
        <w:t>Thus,</w:t>
      </w:r>
      <w:r w:rsidR="003A6F96">
        <w:rPr>
          <w:b/>
          <w:bCs/>
        </w:rPr>
        <w:t xml:space="preserve"> </w:t>
      </w:r>
      <w:r w:rsidR="004D25DB">
        <w:t xml:space="preserve">it is important for employers to </w:t>
      </w:r>
      <w:r w:rsidR="003A6F96">
        <w:t xml:space="preserve">consider retaining </w:t>
      </w:r>
      <w:r w:rsidR="004D25DB">
        <w:t>telework opportuniti</w:t>
      </w:r>
      <w:r w:rsidR="003A6F96">
        <w:t xml:space="preserve">es </w:t>
      </w:r>
      <w:r w:rsidR="004D25DB">
        <w:t xml:space="preserve">for aging employees, provide training in the use of online services, and communicate these options to their workforce. </w:t>
      </w:r>
    </w:p>
    <w:p w14:paraId="18300533" w14:textId="3930C285" w:rsidR="00F94EF6" w:rsidRDefault="007126AD" w:rsidP="00C51DE4">
      <w:pPr>
        <w:spacing w:after="0" w:line="240" w:lineRule="auto"/>
        <w:ind w:firstLine="720"/>
        <w:jc w:val="both"/>
      </w:pPr>
      <w:r>
        <w:t>The f</w:t>
      </w:r>
      <w:r w:rsidR="00E43DA4">
        <w:t>requenc</w:t>
      </w:r>
      <w:r>
        <w:t>y</w:t>
      </w:r>
      <w:r w:rsidR="00E43DA4">
        <w:t xml:space="preserve"> of home deliveries </w:t>
      </w:r>
      <w:r>
        <w:t>is</w:t>
      </w:r>
      <w:r w:rsidR="00E43DA4">
        <w:t xml:space="preserve"> </w:t>
      </w:r>
      <w:r w:rsidR="008A7D5D">
        <w:t>higher</w:t>
      </w:r>
      <w:r w:rsidR="00E43DA4">
        <w:t xml:space="preserve"> among </w:t>
      </w:r>
      <w:r>
        <w:t xml:space="preserve">individuals in </w:t>
      </w:r>
      <w:r w:rsidR="00E43DA4">
        <w:t>households with children</w:t>
      </w:r>
      <w:r>
        <w:t xml:space="preserve">, </w:t>
      </w:r>
      <w:r w:rsidR="00E43DA4">
        <w:t xml:space="preserve">without workers, with more vehicles and high incomes, </w:t>
      </w:r>
      <w:r>
        <w:t xml:space="preserve">and </w:t>
      </w:r>
      <w:r w:rsidR="00E43DA4">
        <w:t xml:space="preserve">living in urban areas, </w:t>
      </w:r>
      <w:r>
        <w:t xml:space="preserve">as also among </w:t>
      </w:r>
      <w:r w:rsidR="00E43DA4">
        <w:t xml:space="preserve">women, younger employed individuals, white individuals, those with more formal education, and individuals with medical conditions. </w:t>
      </w:r>
      <w:r w:rsidR="001F2785">
        <w:t xml:space="preserve">These </w:t>
      </w:r>
      <w:r w:rsidR="003A6F96">
        <w:t>variations</w:t>
      </w:r>
      <w:r w:rsidR="001F2785">
        <w:t xml:space="preserve"> in delivery frequenc</w:t>
      </w:r>
      <w:r w:rsidR="00907428">
        <w:t>y</w:t>
      </w:r>
      <w:r w:rsidR="001F2785">
        <w:t xml:space="preserve"> </w:t>
      </w:r>
      <w:r w:rsidR="006559F1">
        <w:t xml:space="preserve">have implications for </w:t>
      </w:r>
      <w:r w:rsidR="00F579D1">
        <w:t xml:space="preserve">businesses and service providers, who can tailor their services and marketing to specific population segments. For instance, younger individuals who </w:t>
      </w:r>
      <w:r>
        <w:t>value</w:t>
      </w:r>
      <w:r w:rsidR="00F579D1">
        <w:t xml:space="preserve"> the flexibility afforded by delivery services may prefer more rapid service times (such as same day or 2-hour deliveries) and may make smaller but more frequent purchases. </w:t>
      </w:r>
      <w:r>
        <w:t>Beyond providing customized services to specif</w:t>
      </w:r>
      <w:r w:rsidR="00013FB2">
        <w:t>i</w:t>
      </w:r>
      <w:r>
        <w:t>c population g</w:t>
      </w:r>
      <w:r w:rsidR="00013FB2">
        <w:t>r</w:t>
      </w:r>
      <w:r>
        <w:t>oup</w:t>
      </w:r>
      <w:r w:rsidR="00013FB2">
        <w:t xml:space="preserve">s, </w:t>
      </w:r>
      <w:r w:rsidR="003A6F96">
        <w:t xml:space="preserve">from a broader societal standpoint, </w:t>
      </w:r>
      <w:r w:rsidR="00F579D1">
        <w:t xml:space="preserve">the results highlight </w:t>
      </w:r>
      <w:r w:rsidR="003A6F96">
        <w:t>inequities in delivery services, underscoring a need to better serve low-income and minority population groups (virtual participation inequities are further discussed in Section 5.4)</w:t>
      </w:r>
      <w:r w:rsidR="00F579D1">
        <w:t xml:space="preserve">. </w:t>
      </w:r>
      <w:r w:rsidR="00013FB2">
        <w:t xml:space="preserve">The </w:t>
      </w:r>
      <w:r w:rsidR="00F579D1">
        <w:t xml:space="preserve">results </w:t>
      </w:r>
      <w:r w:rsidR="00013FB2">
        <w:t xml:space="preserve">also </w:t>
      </w:r>
      <w:r w:rsidR="00F579D1">
        <w:t xml:space="preserve">highlight </w:t>
      </w:r>
      <w:r w:rsidR="008A7D5D">
        <w:t xml:space="preserve">the importance of </w:t>
      </w:r>
      <w:r w:rsidR="00F94EF6">
        <w:t>accommodat</w:t>
      </w:r>
      <w:r w:rsidR="008A7D5D">
        <w:t>ing</w:t>
      </w:r>
      <w:r w:rsidR="00F94EF6">
        <w:t xml:space="preserve"> the impacts of delivery services in travel demand m</w:t>
      </w:r>
      <w:r w:rsidR="00F94EF6" w:rsidRPr="00870DCB">
        <w:t>odels</w:t>
      </w:r>
      <w:r w:rsidR="00907428">
        <w:t xml:space="preserve">; </w:t>
      </w:r>
      <w:r w:rsidR="008A7D5D">
        <w:t>the</w:t>
      </w:r>
      <w:r w:rsidR="00F94EF6" w:rsidRPr="00870DCB">
        <w:t xml:space="preserve"> growth in delivery services may lead to reductions in personal travel for maintenance activities</w:t>
      </w:r>
      <w:r w:rsidR="00F94EF6">
        <w:t xml:space="preserve"> that </w:t>
      </w:r>
      <w:r w:rsidR="00473541">
        <w:t xml:space="preserve">then increase other OH activity participation over potentially a more expansive spatial area, </w:t>
      </w:r>
      <w:r w:rsidR="00F94EF6">
        <w:t>as well as an increased number of</w:t>
      </w:r>
      <w:r w:rsidR="00473541">
        <w:t xml:space="preserve"> delivery</w:t>
      </w:r>
      <w:r w:rsidR="00F94EF6">
        <w:t xml:space="preserve"> trips serving these orders</w:t>
      </w:r>
      <w:r w:rsidR="00481D49">
        <w:t xml:space="preserve"> </w:t>
      </w:r>
      <w:r w:rsidR="00481D49">
        <w:fldChar w:fldCharType="begin"/>
      </w:r>
      <w:r w:rsidR="00374A3B">
        <w:instrText xml:space="preserve"> ADDIN ZOTERO_ITEM CSL_CITATION {"citationID":"cSjLXhdb","properties":{"formattedCitation":"(Dias et al., 2020; Titiloye et al., 2024; Xu and Saphores, 2024)","plainCitation":"(Dias et al., 2020; Titiloye et al., 2024; Xu and Saphores, 2024)","dontUpdate":true,"noteIndex":0},"citationItems":[{"id":1939,"uris":["http://zotero.org/users/12832277/items/V4XWZC3E"],"itemData":{"id":1939,"type":"article-journal","abstract":"The virtual (online) and physical (in-person) worlds are increasingly inter-connected. Although there is considerable research into the effects of information and communication technologies (ICT) on activity-travel choices, there is little understanding of the inter-relationships between online and in-person activity participation and the extent to which the two worlds complement one another or substitute for one another. Shopping is one of the activity realms in which the virtual and physical spaces are increasingly interacting. This paper aims to unravel the relationships between online and in-person activity engagement in the shopping domain, while explicitly distinguishing between shopping for non-grocery goods, grocery products, and ready-to-eat meals. Data from the 2017 Puget Sound household travel survey is used to estimate a multivariate ordered probit model of the number of days in a week that a sample of households engages in in-person activity engagement and online activity engagement for each of these shopping activity types – leading to a model of six endogenous outcomes. Model results show that there are intricate complementary and substitution effects between in-person and online shopping activities, that these activities are considered as a single packaged bundle, and that the frequencies of these activities are significantly affected by income, built environment attributes, and household structure. The findings suggest that travel forecasting models should incorporate model components that capture the interplay between in-person and online shopping engagement and explicitly distinguish between non-grocery and grocery shopping activities. Policies that help bridge the digital divide so that households of all socio-economic strata can access goods and services in the virtual world would help improve quality of life for all. Finally, the paper highlights the need to bring passenger and freight demand modeling, at least within urban contexts, into a single integrated structure.","container-title":"Transportation Research Part C: Emerging Technologies","DOI":"10.1016/j.trc.2020.02.023","ISSN":"0968-090X","page":"643-656","source":"ScienceDirect","title":"A Comparison of Online and in-Person Activity Engagement: The Case of Shopping and Eating Meals","volume":"114","author":[{"family":"Dias","given":"Felipe F."},{"family":"Lavieri","given":"Patricia S."},{"family":"Sharda","given":"Shivam"},{"family":"Khoeini","given":"Sara"},{"family":"Bhat","given":"Chandra R."},{"family":"Pendyala","given":"Ram M."},{"family":"Pinjari","given":"Abdul R."},{"family":"Ramadurai","given":"Gitakrishnan"},{"family":"Srinivasan","given":"Karthik K."}],"issued":{"date-parts":[["2020",5,1]]}}},{"id":3539,"uris":["http://zotero.org/users/12832277/items/74UZAZ29"],"itemData":{"id":3539,"type":"article-journal","abstract":"While existing literature has extensively explored the impact of online shopping on travel behavior, few studies have undertaken segmentation analysis to uncover hidden behavioral heterogeneity. This study fills this gap by addressing heterogeneity and identifying distinct shopper segments based on online shopping and shopping travel behaviors, with a focus on product types. Data collected in November and December 2021 from 1,747 shoppers in Florida were analyzed using Latent Class Analysis (LCA) with covariates. Sociodemographic and residential characteristics, COVID-19 influences, attitudes, and perceptions of channel-specific factors served as active and inactive covariates to predict class membership. Our model identified six classes of shoppers, with short-distance dual-channel shoppers representing the largest class (28.4%) and exclusive online shoppers the smallest (6.2%). Dual-channel shopaholics, overrepresented by Gen Zers, Millennials, Blacks, and workers, exhibited high average monthly vehicle miles traveled (VMT) across all product types and a strong potential for complementary shopping behavior. Conversely, exclusive online shoppers overrepresented by members of the silent generation, those who live alone, have no vehicle, and do not enjoy shopping, demonstrated potential substitutive shopping behavior. In general, single-channel shoppers showed lower monthly VMT than their dual-channel counterparts across all product types. These findings contribute to a deeper understanding of shopping behavior, offering insights for a more accurate quantification of the net traffic and environmental impacts of e-commerce. Additionally, they provide valuable considerations for designing segment-specific policies aimed at minimizing complementary shopping and maximizing substitutive shopping.","container-title":"Transportation Research Record","DOI":"10.1177/03611981241234918","ISSN":"0361-1981","language":"en","note":"publisher: SAGE Publications Inc","page":"03611981241234918","source":"SAGE Journals","title":"Unraveling Heterogeneity in Online Shopping and Travel Behavior Through Latent Class Modeling","author":[{"family":"Titiloye","given":"Ibukun"},{"family":"Sarker","given":"Md Al Adib"},{"family":"Jin","given":"Xia"}],"issued":{"date-parts":[["2024",3,30]]}}},{"id":3205,"uris":["http://zotero.org/users/12832277/items/3PNK3A9V"],"itemData":{"id":3205,"type":"article-journal","abstract":"How does e-shopping impact household travel? To answer this question, which is particularly relevant for policymakers concerned with congestion, air pollution, and greenhouse gas emissions from transportation, we analyzed data from the 2017 National Household Travel Survey using propensity score matching. This allowed us to tackle the bias from households self-selecting into various levels of e-shopping and gain causal inference. Unlike other related papers in the literature, our unit of analysis is a household because travel and shopping decisions within a household are interrelated. We classified households into three groups based on how many orders per person per month they placed online: low (up to one), medium (more than once but less than four), and high (over four). We found that more e-shopping results in more household travel (number of trips, miles, and VMT), but this effect depends on e-shopping frequency and population density, and it affects weekdays more than weekends. E-shopping impacts household travel more for medium frequency e-shoppers in low density areas: compared to similar low frequency e-shoppers, on weekdays, they take on average 8 more monthly trips and travel </w:instrText>
      </w:r>
      <w:r w:rsidR="00374A3B">
        <w:rPr>
          <w:rFonts w:ascii="Cambria Math" w:hAnsi="Cambria Math" w:cs="Cambria Math"/>
        </w:rPr>
        <w:instrText>∼</w:instrText>
      </w:r>
      <w:r w:rsidR="00374A3B">
        <w:instrText xml:space="preserve">104 extra miles (including 31 miles for shopping). At the other end of the spectrum, high frequency e-shoppers in dense areas do not travel more on weekends than similar low e-shopping frequency households. To help reduce e-shopping induced travel, policymakers could encourage the creation of neighborhood depots where households would pick-up and return unwanted orders, and foster the development of virtual reality tools for shopping from home.","container-title":"Journal of Transport Geography","DOI":"10.1016/j.jtrangeo.2024.103827","ISSN":"0966-6923","source":"ScienceDirect","title":"Does E-Shopping Impact Household Travel? Evidence from the 2017 U.S. NHTS","URL":"https://www.sciencedirect.com/science/article/pii/S096669232400036X","volume":"115","author":[{"family":"Xu","given":"Lu"},{"family":"Saphores","given":"Jean-Daniel"}],"accessed":{"date-parts":[["2024",5,9]]},"issued":{"date-parts":[["2024",2,1]]}}}],"schema":"https://github.com/citation-style-language/schema/raw/master/csl-citation.json"} </w:instrText>
      </w:r>
      <w:r w:rsidR="00481D49">
        <w:fldChar w:fldCharType="separate"/>
      </w:r>
      <w:r w:rsidR="00481D49" w:rsidRPr="00481D49">
        <w:t>(</w:t>
      </w:r>
      <w:r w:rsidR="00C26A2A">
        <w:t xml:space="preserve">see </w:t>
      </w:r>
      <w:r w:rsidR="00481D49" w:rsidRPr="00481D49">
        <w:t>Dias et al., 2020; Titiloye et al., 2024; Xu and Saphores, 2024)</w:t>
      </w:r>
      <w:r w:rsidR="00481D49">
        <w:fldChar w:fldCharType="end"/>
      </w:r>
      <w:r w:rsidR="00F94EF6">
        <w:t xml:space="preserve">. In this context, a better integration between individual-level travel demand models and </w:t>
      </w:r>
      <w:r w:rsidR="00473541">
        <w:t xml:space="preserve">commercial vehicle movement </w:t>
      </w:r>
      <w:r w:rsidR="00F94EF6">
        <w:t>is needed.</w:t>
      </w:r>
      <w:r w:rsidR="00473541">
        <w:t xml:space="preserve"> Relatedly, there is an increasing need to collect </w:t>
      </w:r>
      <w:r w:rsidR="00473541" w:rsidRPr="00473541">
        <w:t xml:space="preserve">detailed </w:t>
      </w:r>
      <w:r w:rsidR="00473541">
        <w:t xml:space="preserve">information in activity-travel surveys on </w:t>
      </w:r>
      <w:r w:rsidR="00473541" w:rsidRPr="00473541">
        <w:t>home-based deliveries</w:t>
      </w:r>
      <w:r w:rsidR="00013FB2">
        <w:t>.</w:t>
      </w:r>
      <w:r w:rsidR="00473541" w:rsidRPr="00473541">
        <w:t xml:space="preserve"> </w:t>
      </w:r>
    </w:p>
    <w:p w14:paraId="1018F7CC" w14:textId="2288D37D" w:rsidR="005D5F7F" w:rsidRDefault="005D5F7F" w:rsidP="00596C3C">
      <w:pPr>
        <w:spacing w:after="0" w:line="240" w:lineRule="auto"/>
        <w:jc w:val="both"/>
      </w:pPr>
    </w:p>
    <w:p w14:paraId="389EA820" w14:textId="031BC63B" w:rsidR="00600963" w:rsidRDefault="008A484E" w:rsidP="00600963">
      <w:pPr>
        <w:spacing w:after="0" w:line="240" w:lineRule="auto"/>
        <w:jc w:val="both"/>
        <w:rPr>
          <w:b/>
          <w:bCs/>
        </w:rPr>
      </w:pPr>
      <w:r>
        <w:rPr>
          <w:b/>
          <w:bCs/>
        </w:rPr>
        <w:t>5.</w:t>
      </w:r>
      <w:r w:rsidR="005D5F7F">
        <w:rPr>
          <w:b/>
          <w:bCs/>
        </w:rPr>
        <w:t>3</w:t>
      </w:r>
      <w:r>
        <w:rPr>
          <w:b/>
          <w:bCs/>
        </w:rPr>
        <w:t xml:space="preserve"> </w:t>
      </w:r>
      <w:r w:rsidR="001C5ED7">
        <w:rPr>
          <w:b/>
          <w:bCs/>
        </w:rPr>
        <w:t>How ha</w:t>
      </w:r>
      <w:r w:rsidR="00A6161D">
        <w:rPr>
          <w:b/>
          <w:bCs/>
        </w:rPr>
        <w:t>s</w:t>
      </w:r>
      <w:r w:rsidR="001C5ED7">
        <w:rPr>
          <w:b/>
          <w:bCs/>
        </w:rPr>
        <w:t xml:space="preserve"> Virtual </w:t>
      </w:r>
      <w:r w:rsidR="00A6161D">
        <w:rPr>
          <w:b/>
          <w:bCs/>
        </w:rPr>
        <w:t>Participation</w:t>
      </w:r>
      <w:r w:rsidR="005170A1">
        <w:rPr>
          <w:b/>
          <w:bCs/>
        </w:rPr>
        <w:t xml:space="preserve"> </w:t>
      </w:r>
      <w:r w:rsidR="00B45502">
        <w:rPr>
          <w:b/>
          <w:bCs/>
        </w:rPr>
        <w:t xml:space="preserve">Reduced </w:t>
      </w:r>
      <w:r w:rsidR="005170A1">
        <w:rPr>
          <w:b/>
          <w:bCs/>
        </w:rPr>
        <w:t>PPD</w:t>
      </w:r>
      <w:r w:rsidR="001C5ED7">
        <w:rPr>
          <w:b/>
          <w:bCs/>
        </w:rPr>
        <w:t>?</w:t>
      </w:r>
    </w:p>
    <w:p w14:paraId="7B2EA396" w14:textId="1F5A7D92" w:rsidR="00B26292" w:rsidRPr="00A968E2" w:rsidRDefault="005D5F7F" w:rsidP="00B26292">
      <w:pPr>
        <w:spacing w:after="0" w:line="240" w:lineRule="auto"/>
        <w:jc w:val="both"/>
        <w:rPr>
          <w:b/>
          <w:bCs/>
        </w:rPr>
      </w:pPr>
      <w:r>
        <w:rPr>
          <w:rFonts w:eastAsiaTheme="minorEastAsia"/>
          <w:lang w:eastAsia="ko-KR"/>
        </w:rPr>
        <w:t>The endogenous ATE effects (of both telework and deliveries) on PPD, shown at the bottom of Table 5, indicate that virtual activities can serve to alleviate PPD.</w:t>
      </w:r>
      <w:r w:rsidR="0051016B">
        <w:rPr>
          <w:rFonts w:eastAsiaTheme="minorEastAsia"/>
          <w:lang w:eastAsia="ko-KR"/>
        </w:rPr>
        <w:t xml:space="preserve"> In particular, </w:t>
      </w:r>
      <w:r w:rsidR="00135838">
        <w:t xml:space="preserve">virtual </w:t>
      </w:r>
      <w:r w:rsidR="00A6161D">
        <w:t>participation</w:t>
      </w:r>
      <w:r w:rsidR="00B45502">
        <w:t xml:space="preserve"> </w:t>
      </w:r>
      <w:r w:rsidR="00A6161D">
        <w:t xml:space="preserve">has the effect of </w:t>
      </w:r>
      <w:r w:rsidR="00135838">
        <w:t>reduc</w:t>
      </w:r>
      <w:r w:rsidR="00A6161D">
        <w:t>ing</w:t>
      </w:r>
      <w:r w:rsidR="0048480C">
        <w:t xml:space="preserve"> </w:t>
      </w:r>
      <w:r w:rsidR="00B45502">
        <w:t>PPD</w:t>
      </w:r>
      <w:r w:rsidR="00135838">
        <w:t xml:space="preserve"> for </w:t>
      </w:r>
      <w:r w:rsidR="00A6161D">
        <w:t xml:space="preserve">individuals from </w:t>
      </w:r>
      <w:r w:rsidR="00B45502">
        <w:t>households with fewer vehicles than drivers, women, older adults, those with more formal educational attainment, and individuals with medical conditions</w:t>
      </w:r>
      <w:r w:rsidR="00435184">
        <w:t xml:space="preserve">. </w:t>
      </w:r>
      <w:r w:rsidR="00B26292">
        <w:t xml:space="preserve">For women (particularly those with children), the PPD reduction through virtual participation is through increased home deliveries, which is not surprising given the continued disproportionate </w:t>
      </w:r>
      <w:r w:rsidR="00013FB2">
        <w:t xml:space="preserve">household maintenance activity </w:t>
      </w:r>
      <w:r w:rsidR="00B26292">
        <w:t xml:space="preserve">responsibility of women </w:t>
      </w:r>
      <w:r w:rsidR="00B26292">
        <w:fldChar w:fldCharType="begin"/>
      </w:r>
      <w:r w:rsidR="00B26292">
        <w:instrText xml:space="preserve"> ADDIN ZOTERO_ITEM CSL_CITATION {"citationID":"Rsm3Rbuv","properties":{"formattedCitation":"(Wang and Cheng, 2024)","plainCitation":"(Wang and Cheng, 2024)","noteIndex":0},"citationItems":[{"id":3486,"uris":["http://zotero.org/users/12832277/items/P49H42J6"],"itemData":{"id":3486,"type":"article-journal","abstract":"It has been extensively debated over whether the rise of flexible working arrangements (FWAs) may be an “opportunity” for a more egalitarian gender division of household labor or reinforce the “exploitation” of women in the traditional gender division. Drawing on a linked-lives perspective, this study contributes to the literature by using longitudinal couple-level dyadic data in the UK (2010–2020) to examine how couple-level arrangements of flexible working affect within-couple inequality in time and different types of household labor. The results show that among heterosexual couples, women’s use of FWAs significantly intensifies their disproportionate share of housework and maintains their heavy childcare burden regardless of whether their husbands use FWAs. In contrast, men’s use of FWAs does not change the unequal gendered division of housework and childcare, even when their wives do not use any FWAs. These patterns of intensified gender inequalities are more pronounced in routine housework tasks (e.g., cooking, washing, and cleaning), and among the reduced hours and teleworking arrangements. Overall, rather than providing an “opportunity” for a more egalitarian division of household labor, the use of FWAs maintains or even exacerbates the “exploitation” of women under the existing traditional gender norms.","container-title":"Social Forces","DOI":"10.1093/sf/soad125","ISSN":"0037-7732","issue":"4","page":"1446-1466","source":"Silverchair","title":"Opportunity or Exploitation? A Longitudinal Dyadic Analysis of Flexible Working Arrangements and Gender Household Labor Inequality","volume":"102","author":[{"family":"Wang","given":"Senhu"},{"family":"Cheng","given":"Cheng"}],"issued":{"date-parts":[["2024",6,1]]}}}],"schema":"https://github.com/citation-style-language/schema/raw/master/csl-citation.json"} </w:instrText>
      </w:r>
      <w:r w:rsidR="00B26292">
        <w:fldChar w:fldCharType="separate"/>
      </w:r>
      <w:r w:rsidR="00B26292" w:rsidRPr="006F1841">
        <w:t>(Wang and Cheng, 2024)</w:t>
      </w:r>
      <w:r w:rsidR="00B26292">
        <w:fldChar w:fldCharType="end"/>
      </w:r>
      <w:r w:rsidR="00B26292">
        <w:t>. Online shopping can save time, allowing</w:t>
      </w:r>
      <w:r w:rsidR="00013FB2">
        <w:t xml:space="preserve"> women</w:t>
      </w:r>
      <w:r w:rsidR="00B26292">
        <w:t xml:space="preserve"> to allocate more time to other activities, such as education, career advancement, or leisure, potentially leading to a more balanced lifestyle (of course, we do not mean this at the </w:t>
      </w:r>
      <w:r w:rsidR="00013FB2">
        <w:t xml:space="preserve">necessary </w:t>
      </w:r>
      <w:r w:rsidR="00B26292">
        <w:t xml:space="preserve">exclusion of more general society-wide efforts to reduce </w:t>
      </w:r>
      <w:r w:rsidR="00013FB2">
        <w:t xml:space="preserve">the </w:t>
      </w:r>
      <w:r w:rsidR="00B26292">
        <w:t>gender identity-based asymmetr</w:t>
      </w:r>
      <w:r w:rsidR="00013FB2">
        <w:t>y</w:t>
      </w:r>
      <w:r w:rsidR="00B26292">
        <w:t xml:space="preserve"> in household responsibilities). In addition to releasing time pressures, online shopping can enable women, especially those with limited mobility</w:t>
      </w:r>
      <w:r w:rsidR="003344AB">
        <w:t xml:space="preserve"> and in male-dominated societies</w:t>
      </w:r>
      <w:r w:rsidR="00B26292">
        <w:t xml:space="preserve">, to make purchases independently, fostering financial autonomy </w:t>
      </w:r>
      <w:r w:rsidR="00B26292">
        <w:fldChar w:fldCharType="begin"/>
      </w:r>
      <w:r w:rsidR="00532DCA">
        <w:instrText xml:space="preserve"> ADDIN ZOTERO_ITEM CSL_CITATION {"citationID":"3k6Hqvdq","properties":{"unsorted":true,"formattedCitation":"(Roper and Alkhalifah, 2020; Liu et al., 2023)","plainCitation":"(Roper and Alkhalifah, 2020; Liu et al., 2023)","noteIndex":0},"citationItems":[{"id":3508,"uris":["http://zotero.org/users/12832277/items/CTDTEDQ4"],"itemData":{"id":3508,"type":"article-journal","abstract":"Purpose Western consumers are able to take shopping for granted, their major restriction being financial. This study aims to understand motivations to buy fashion items online in the culturally restrictive environment of Saudi Arabia, which imposes considerable fashion and behavioural restrictions, particularly on women. Design/methodology/approach Qualitative research was conducted with a sample of 34 Saudi women in their home country providing a deep insight into the restrictions that women face when shopping and how they react to these restrictions. Two theoretical lenses, psychological reactance and system justification theories are invoked to understand and explain consumer behaviour. Findings Motives for online shopping are quite different in a restrictive society. The definition of utilitarian motivations in online shopping is developed to reflect the drivers to overcome cultural restrictions or to align one’s shopping behaviour with them. Similarly, hedonic reasons for online purchases are expanded to incorporate nuances found only in such societies, where hedonic motivations include enjoying the breaking of societal restrictions. Originality/value This study is conducted is focussed on a country in which little academic marketing research has taken place due to considerable restrictions on movement and access. Western texts on consumer behaviour are not fully appropriate for understanding such a society.","container-title":"Qualitative Market Research: An International Journal","DOI":"10.1108/QMR-01-2020-0012","ISSN":"1352-2752","issue":"4","note":"publisher: Emerald Publishing Limited","page":"449-469","source":"Emerald Insight","title":"Online shopping in a restrictive society: lessons from Saudi Arabia","title-short":"Online shopping in a restrictive society","volume":"24","author":[{"family":"Roper","given":"Stuart"},{"family":"Alkhalifah","given":"Eman S."}],"issued":{"date-parts":[["2020",1,1]]}}},{"id":3506,"uris":["http://zotero.org/users/12832277/items/8F6MMNSM"],"itemData":{"id":3506,"type":"article-journal","abstract":"The literature often explains female labor force participation through factors such as schooling, wage gaps, and fertility. In this study, we identify how technology-induced time savings from household chores increase female labor force participation in South Korea. Using a leads-and-lags difference-in-differences model, we find that entry of an online food delivery platform significantly increased the female employment rate in the three years following the platform’s entry, and the results still hold after excluding employment in the food and beverage sector. Our further analyses show that such digital platforms offered a pathway for women to break free from traditional household roles, thus granting them more time and the opportunity to decide whether to join the labor market or stay at home. We examine the positive externalities generated by the online food delivery platform and find that this new technology-induced female employment accounted for 0.27% of South Korea’s GDP, or 17 times the platform’s direct revenue.History: Wonseok Oh, Senior Editor; Pei-Yu Chen, Associate Editor.Funding: This work was supported by the Hong Kong Research Grants Council [Grants GRF 165052947, 14500521, 14501320, 14503818, and TRS:T31-604/18-N].Supplemental Material: The e-companion is available at https://doi.org/10.1287/isre.2021.0182.","container-title":"Information Systems Research","DOI":"10.1287/isre.2021.0182","ISSN":"1047-7047","note":"publisher: INFORMS","source":"pubsonline.informs.org (Atypon)","title":"Online Food Delivery Platforms and Female Labor Force Participation","URL":"https://pubsonline.informs.org/doi/full/10.1287/isre.2021.0182","author":[{"family":"Liu","given":"Jialu"},{"family":"Pei","given":"Siqi"},{"family":"Zhang","given":"Xiaoquan (Michael)"}],"accessed":{"date-parts":[["2024",6,11]]},"issued":{"date-parts":[["2023",8,29]]}}}],"schema":"https://github.com/citation-style-language/schema/raw/master/csl-citation.json"} </w:instrText>
      </w:r>
      <w:r w:rsidR="00B26292">
        <w:fldChar w:fldCharType="separate"/>
      </w:r>
      <w:r w:rsidR="00532DCA" w:rsidRPr="00532DCA">
        <w:t>(Roper and Alkhalifah, 2020; Liu et al., 2023)</w:t>
      </w:r>
      <w:r w:rsidR="00B26292">
        <w:fldChar w:fldCharType="end"/>
      </w:r>
      <w:r w:rsidR="00B26292">
        <w:t xml:space="preserve">. Therefore, continuing to promote delivery services for basic household products and expanding the reach of food and grocery delivery services (including through strategies mentioned in the previous section) </w:t>
      </w:r>
      <w:r w:rsidR="00907428">
        <w:t>sh</w:t>
      </w:r>
      <w:r w:rsidR="00B26292">
        <w:t xml:space="preserve">ould help promote </w:t>
      </w:r>
      <w:r w:rsidR="003344AB">
        <w:t xml:space="preserve">gender </w:t>
      </w:r>
      <w:r w:rsidR="00B26292">
        <w:t xml:space="preserve">equity. </w:t>
      </w:r>
    </w:p>
    <w:p w14:paraId="6D36E5D1" w14:textId="626F0AA6" w:rsidR="008D7E80" w:rsidRDefault="003344AB" w:rsidP="005D159E">
      <w:pPr>
        <w:spacing w:after="0" w:line="240" w:lineRule="auto"/>
        <w:ind w:firstLine="720"/>
        <w:jc w:val="both"/>
      </w:pPr>
      <w:r>
        <w:t xml:space="preserve">Individuals with medical conditions that make travel difficult also appear to </w:t>
      </w:r>
      <w:r w:rsidR="009324C7">
        <w:t xml:space="preserve">be able to </w:t>
      </w:r>
      <w:r>
        <w:t>leverage</w:t>
      </w:r>
      <w:r w:rsidR="009324C7">
        <w:t xml:space="preserve"> </w:t>
      </w:r>
      <w:r>
        <w:t>virtual participation (</w:t>
      </w:r>
      <w:r w:rsidR="009324C7">
        <w:t xml:space="preserve">both </w:t>
      </w:r>
      <w:r>
        <w:t xml:space="preserve">in the form of </w:t>
      </w:r>
      <w:r w:rsidR="009324C7">
        <w:t>telework and delivery services</w:t>
      </w:r>
      <w:r>
        <w:t>)</w:t>
      </w:r>
      <w:r w:rsidR="009324C7">
        <w:t xml:space="preserve"> to alleviate </w:t>
      </w:r>
      <w:r w:rsidR="008077ED">
        <w:t>dissonance</w:t>
      </w:r>
      <w:r w:rsidR="009A0A02">
        <w:t xml:space="preserve"> (reducing overall </w:t>
      </w:r>
      <w:r w:rsidR="00B45502">
        <w:t>PPD</w:t>
      </w:r>
      <w:r w:rsidR="009A0A02">
        <w:t xml:space="preserve"> by </w:t>
      </w:r>
      <w:r>
        <w:t>about</w:t>
      </w:r>
      <w:r w:rsidR="009A0A02">
        <w:t xml:space="preserve"> 8%)</w:t>
      </w:r>
      <w:r w:rsidR="008077ED">
        <w:t xml:space="preserve">. </w:t>
      </w:r>
      <w:r w:rsidR="00B45502">
        <w:t xml:space="preserve">However, after accounting for the benefits of virtual </w:t>
      </w:r>
      <w:r>
        <w:t>participation</w:t>
      </w:r>
      <w:r w:rsidR="00B45502">
        <w:t>, PPD is still 15.7</w:t>
      </w:r>
      <w:r>
        <w:t xml:space="preserve">9% higher </w:t>
      </w:r>
      <w:r w:rsidR="00B45502">
        <w:t>among those with a medical condition (compared to those without)</w:t>
      </w:r>
      <w:r>
        <w:t>. Thus,</w:t>
      </w:r>
      <w:r w:rsidR="00B45502">
        <w:t xml:space="preserve"> there </w:t>
      </w:r>
      <w:r>
        <w:t xml:space="preserve">is </w:t>
      </w:r>
      <w:r w:rsidR="00B45502">
        <w:t xml:space="preserve">still </w:t>
      </w:r>
      <w:r>
        <w:t xml:space="preserve">substantial potential to </w:t>
      </w:r>
      <w:r w:rsidR="00C4388A">
        <w:t xml:space="preserve">expand </w:t>
      </w:r>
      <w:r>
        <w:t xml:space="preserve">virtual participation </w:t>
      </w:r>
      <w:r w:rsidR="00C4388A">
        <w:t xml:space="preserve">access for </w:t>
      </w:r>
      <w:r w:rsidR="00907428">
        <w:t>this population group</w:t>
      </w:r>
      <w:r w:rsidR="00C4388A">
        <w:t xml:space="preserve">. </w:t>
      </w:r>
      <w:r w:rsidR="00A214A6">
        <w:t xml:space="preserve">This can include ensuring that delivery personnel leave packages in designated </w:t>
      </w:r>
      <w:r w:rsidR="000F5494">
        <w:t xml:space="preserve">and easy to reach </w:t>
      </w:r>
      <w:r w:rsidR="00A214A6">
        <w:t>drop-off locations</w:t>
      </w:r>
      <w:r w:rsidR="004710CB">
        <w:t xml:space="preserve"> </w:t>
      </w:r>
      <w:r w:rsidR="00ED1192">
        <w:fldChar w:fldCharType="begin"/>
      </w:r>
      <w:r w:rsidR="00ED1192">
        <w:instrText xml:space="preserve"> ADDIN ZOTERO_ITEM CSL_CITATION {"citationID":"esh8ZFBZ","properties":{"formattedCitation":"(Lee et al., 2020)","plainCitation":"(Lee et al., 2020)","noteIndex":0},"citationItems":[{"id":3482,"uris":["http://zotero.org/users/12832277/items/J7JD6SXT"],"itemData":{"id":3482,"type":"article-journal","abstract":"Almost 1 in every 8 adults in the U.S. have a physical disability that impairs mobility. This participatory project aimed to identify and describe environmental and personal barriers to healthy eating among people with mobility impairments using a rigorous, structured mixed methodology. Community-dwelling adults with a self-reported mobility impairment (N = 20, M = 40.4 years old, 60% female) participated in nominal group technique focus groups. The Ecologic Model of Obesity grounded stimulus questions asked about barriers to obtaining and preparing healthy food. Participants emphasized common barriers across everyday settings—focusing, for example, on the ability to reach shelved food inside the home, navigating to and inside stores and restaurants, and using delivery services. Home environments often did not afford suitable spaces for food preparation and storage. Participants reported inadequate transportation and numerous additional barriers in many settings to be able to eat healthfully. Participants reported lack of accessible transportation and architectural barriers inside stores, restaurants, and their own homes, highlighting the need for efforts aimed at improving accessibility and usability. Findings support the use of the Ecologic Model of Obesity to guide research and suggest the need for improvement in assessment practices and policies that enhance access to healthy food.","container-title":"International Journal of Environmental Research and Public Health","DOI":"10.3390/ijerph17217781","ISSN":"1660-4601","issue":"21","language":"en","license":"http://creativecommons.org/licenses/by/3.0/","note":"number: 21\npublisher: Multidisciplinary Digital Publishing Institute","source":"www.mdpi.com","title":"Developing Content for the Food Environment Assessment Survey Tool (FEAST): A Systematic Mixed Methods Study with People with Disabilities","URL":"https://www.mdpi.com/1660-4601/17/21/7781","volume":"17","author":[{"family":"Lee","given":"Rebecca E."},{"family":"O’Neal","given":"Alicia"},{"family":"Cameron","given":"Chelsea"},{"family":"Hughes","given":"Rosemary B."},{"family":"O’Connor","given":"Daniel P."},{"family":"Ohri-Vachaspati","given":"Punam"},{"family":"Todd","given":"Michael"},{"family":"Nosek","given":"Margaret A."}],"accessed":{"date-parts":[["2024",6,11]]},"issued":{"date-parts":[["2020",1]]}}}],"schema":"https://github.com/citation-style-language/schema/raw/master/csl-citation.json"} </w:instrText>
      </w:r>
      <w:r w:rsidR="00ED1192">
        <w:fldChar w:fldCharType="separate"/>
      </w:r>
      <w:r w:rsidR="00ED1192" w:rsidRPr="00ED1192">
        <w:t>(Lee et al., 2020)</w:t>
      </w:r>
      <w:r w:rsidR="00ED1192">
        <w:fldChar w:fldCharType="end"/>
      </w:r>
      <w:r w:rsidR="00907428">
        <w:t>,</w:t>
      </w:r>
      <w:r w:rsidR="000F5494">
        <w:t xml:space="preserve"> </w:t>
      </w:r>
      <w:r w:rsidR="00D2784C">
        <w:t xml:space="preserve">and </w:t>
      </w:r>
      <w:r w:rsidR="00501BE4">
        <w:t>design</w:t>
      </w:r>
      <w:r w:rsidR="00907428">
        <w:t xml:space="preserve">ing </w:t>
      </w:r>
      <w:r w:rsidR="004710CB">
        <w:t xml:space="preserve">apps and websites </w:t>
      </w:r>
      <w:r w:rsidR="00501BE4">
        <w:lastRenderedPageBreak/>
        <w:t xml:space="preserve">that </w:t>
      </w:r>
      <w:r w:rsidR="004807F1">
        <w:t xml:space="preserve">embed </w:t>
      </w:r>
      <w:r w:rsidR="00611907">
        <w:t xml:space="preserve">screen readers, voice commands, and </w:t>
      </w:r>
      <w:r w:rsidR="00501BE4">
        <w:t xml:space="preserve">large font sizes, especially </w:t>
      </w:r>
      <w:r w:rsidR="00611907">
        <w:t>for those with visual impairme</w:t>
      </w:r>
      <w:r w:rsidR="00611907" w:rsidRPr="007330F1">
        <w:t xml:space="preserve">nts </w:t>
      </w:r>
      <w:r w:rsidR="00E83CCF" w:rsidRPr="007330F1">
        <w:fldChar w:fldCharType="begin"/>
      </w:r>
      <w:r w:rsidR="00374A3B">
        <w:instrText xml:space="preserve"> ADDIN ZOTERO_ITEM CSL_CITATION {"citationID":"c7WWvw5B","properties":{"formattedCitation":"(Kaufman-Scarborough and Childers, 2009; Leporini et al., 2023)","plainCitation":"(Kaufman-Scarborough and Childers, 2009; Leporini et al., 2023)","dontUpdate":true,"noteIndex":0},"citationItems":[{"id":3484,"uris":["http://zotero.org/users/12832277/items/6ATTLUWI"],"itemData":{"id":3484,"type":"article-journal","abstract":"More than 20% of the U.S. population is composed of people with disabilities. When such people interact with certain marketplaces, such as commercial Web sites, some become “consumers with constraints,” and others become liberated, experiencing the freedom to search for information independently for the first time. While accessibility in physical stores is mandated by the Americans with Disabilities Act, commercial Web sites do not fall under its jurisdiction, because they are not considered “public places.” This research challenges this view and examines whether actual consumers interpret Web sites as public places. The authors examine this question in the context of experiences of consumers with visual impairments in online shopping. The authors apply the concepts of consumer normalcy and consumer vulnerability to the technology acceptance model as theoretical lenses through which to interpret this context. The findings form the basis for recommendations to policy makers to develop and enforce standards for Web site accessibility and to the marketplace to create a level playing field for people with visual impairments.","container-title":"Journal of Public Policy &amp; Marketing","DOI":"10.1509/jppm.28.1.16","ISSN":"0743-9156","issue":"1","language":"en","note":"publisher: SAGE Publications Inc","page":"16-28","source":"SAGE Journals","title":"Understanding Markets as Online Public Places: Insights from Consumers with Visual Impairments","title-short":"Understanding Markets as Online Public Places","volume":"28","author":[{"family":"Kaufman-Scarborough","given":"Carol"},{"family":"Childers","given":"Terry L."}],"issued":{"date-parts":[["2009",4,1]]}}},{"id":3541,"uris":["http://zotero.org/users/12832277/items/RDFKI89Y"],"itemData":{"id":3541,"type":"article-journal","abstract":"Since the first lockdown in 2020, video conferencing tools have become increasingly important for employment, education, and social interaction, making them essential tools in everyday life. This study investigates the accessibility and usability of the desktop and mobile versions of three popular video conferencing tools, Zoom, Google Meet, and MS Teams, for visually impaired people interacting via screen readers and keyboard or gestures. This involved two inspection evaluations to test the most important features of the desktop and mobile device versions and two surveys of visually impaired users to obtain information about the accessibility of the selected video conferencing tools. Sixty-five people answered the survey for desktop and 94 for mobile platforms. The results showed that Zoom was preferred to Google Meet and MS Teams but that none of the tools was fully accessible via screen reader and keyboard or gestures. Finally, the results of this empirical study were used to develop a set of guidelines for designers of video conferencing tools and assistive technology.","container-title":"ACM Transactions on Accessible Computing","DOI":"10.1145/3573012","ISSN":"1936-7228","issue":"1","page":"1-36","source":"ACM Digital Library","title":"Video Conferencing Tools: Comparative Study of the Experiences of Screen Reader Users and the Development of More Inclusive Design Guidelines","volume":"16","author":[{"family":"Leporini","given":"Barbara"},{"family":"Buzzi","given":"Marina"},{"family":"Hersh","given":"Marion"}],"issued":{"date-parts":[["2023",3,28]]}}}],"schema":"https://github.com/citation-style-language/schema/raw/master/csl-citation.json"} </w:instrText>
      </w:r>
      <w:r w:rsidR="00E83CCF" w:rsidRPr="007330F1">
        <w:fldChar w:fldCharType="separate"/>
      </w:r>
      <w:r w:rsidR="00481D49" w:rsidRPr="007330F1">
        <w:t>(see Kaufman-Scarborough and Childers, 2009; Leporini et al., 2023)</w:t>
      </w:r>
      <w:r w:rsidR="00E83CCF" w:rsidRPr="007330F1">
        <w:fldChar w:fldCharType="end"/>
      </w:r>
      <w:r w:rsidR="00611907" w:rsidRPr="007330F1">
        <w:t>. Fina</w:t>
      </w:r>
      <w:r w:rsidR="00611907">
        <w:t xml:space="preserve">lly, </w:t>
      </w:r>
      <w:r w:rsidR="00501BE4">
        <w:t>building</w:t>
      </w:r>
      <w:r w:rsidR="00611907">
        <w:t xml:space="preserve"> inclusive </w:t>
      </w:r>
      <w:r w:rsidR="00501BE4">
        <w:t xml:space="preserve">user-centered virtual participation </w:t>
      </w:r>
      <w:r w:rsidR="00611907">
        <w:t xml:space="preserve">systems </w:t>
      </w:r>
      <w:r w:rsidR="00907428">
        <w:t xml:space="preserve">that </w:t>
      </w:r>
      <w:r w:rsidR="00611907">
        <w:t>involv</w:t>
      </w:r>
      <w:r w:rsidR="004807F1">
        <w:t>e</w:t>
      </w:r>
      <w:r w:rsidR="00611907">
        <w:t xml:space="preserve"> individuals with </w:t>
      </w:r>
      <w:r w:rsidR="00501BE4">
        <w:t xml:space="preserve">medical conditions </w:t>
      </w:r>
      <w:r w:rsidR="00611907">
        <w:t xml:space="preserve">in the design process </w:t>
      </w:r>
      <w:r w:rsidR="00501BE4">
        <w:t xml:space="preserve">from the get-go </w:t>
      </w:r>
      <w:r w:rsidR="0078661B">
        <w:t xml:space="preserve">will help increase </w:t>
      </w:r>
      <w:r w:rsidR="00501BE4">
        <w:t>virtual participation and further alleviate PPD</w:t>
      </w:r>
      <w:r w:rsidR="004807F1">
        <w:t xml:space="preserve"> in this population group</w:t>
      </w:r>
      <w:r w:rsidR="0078661B">
        <w:t xml:space="preserve">. </w:t>
      </w:r>
    </w:p>
    <w:p w14:paraId="6616672B" w14:textId="43952381" w:rsidR="00A204B2" w:rsidRDefault="00314367" w:rsidP="00600963">
      <w:pPr>
        <w:spacing w:after="0" w:line="240" w:lineRule="auto"/>
        <w:jc w:val="both"/>
      </w:pPr>
      <w:r>
        <w:tab/>
      </w:r>
      <w:r w:rsidR="004B0A9C">
        <w:t xml:space="preserve"> </w:t>
      </w:r>
    </w:p>
    <w:p w14:paraId="0DACAFB0" w14:textId="3341C8FA" w:rsidR="001E097F" w:rsidRDefault="001C5ED7" w:rsidP="00600963">
      <w:pPr>
        <w:spacing w:after="0" w:line="240" w:lineRule="auto"/>
        <w:jc w:val="both"/>
      </w:pPr>
      <w:r>
        <w:rPr>
          <w:b/>
          <w:bCs/>
        </w:rPr>
        <w:t>5.</w:t>
      </w:r>
      <w:r w:rsidR="00B45502">
        <w:rPr>
          <w:b/>
          <w:bCs/>
        </w:rPr>
        <w:t>4</w:t>
      </w:r>
      <w:r>
        <w:rPr>
          <w:b/>
          <w:bCs/>
        </w:rPr>
        <w:t xml:space="preserve"> </w:t>
      </w:r>
      <w:r w:rsidR="00501BE4">
        <w:rPr>
          <w:b/>
          <w:bCs/>
        </w:rPr>
        <w:t xml:space="preserve">For </w:t>
      </w:r>
      <w:r w:rsidR="001E097F">
        <w:rPr>
          <w:b/>
          <w:bCs/>
        </w:rPr>
        <w:t>Who</w:t>
      </w:r>
      <w:r w:rsidR="00501BE4">
        <w:rPr>
          <w:b/>
          <w:bCs/>
        </w:rPr>
        <w:t>m</w:t>
      </w:r>
      <w:r w:rsidR="001E097F">
        <w:rPr>
          <w:b/>
          <w:bCs/>
        </w:rPr>
        <w:t xml:space="preserve"> </w:t>
      </w:r>
      <w:r w:rsidR="0051016B">
        <w:rPr>
          <w:b/>
          <w:bCs/>
        </w:rPr>
        <w:t>H</w:t>
      </w:r>
      <w:r w:rsidR="001E097F">
        <w:rPr>
          <w:b/>
          <w:bCs/>
        </w:rPr>
        <w:t>a</w:t>
      </w:r>
      <w:r w:rsidR="00501BE4">
        <w:rPr>
          <w:b/>
          <w:bCs/>
        </w:rPr>
        <w:t>s</w:t>
      </w:r>
      <w:r w:rsidR="001E097F">
        <w:rPr>
          <w:b/>
          <w:bCs/>
        </w:rPr>
        <w:t xml:space="preserve"> Virtual </w:t>
      </w:r>
      <w:r w:rsidR="00501BE4">
        <w:rPr>
          <w:b/>
          <w:bCs/>
        </w:rPr>
        <w:t xml:space="preserve">Participation </w:t>
      </w:r>
      <w:r w:rsidR="001E097F">
        <w:rPr>
          <w:b/>
          <w:bCs/>
        </w:rPr>
        <w:t xml:space="preserve">Not </w:t>
      </w:r>
      <w:r w:rsidR="00501BE4">
        <w:rPr>
          <w:b/>
          <w:bCs/>
        </w:rPr>
        <w:t>Reduced PPD</w:t>
      </w:r>
      <w:r w:rsidR="001E097F">
        <w:rPr>
          <w:b/>
          <w:bCs/>
        </w:rPr>
        <w:t>?</w:t>
      </w:r>
    </w:p>
    <w:p w14:paraId="69C3F99E" w14:textId="31A4CA5B" w:rsidR="001E097F" w:rsidRPr="006559F1" w:rsidRDefault="006E1F5B" w:rsidP="00600963">
      <w:pPr>
        <w:spacing w:after="0" w:line="240" w:lineRule="auto"/>
        <w:jc w:val="both"/>
        <w:rPr>
          <w:b/>
          <w:bCs/>
        </w:rPr>
      </w:pPr>
      <w:r>
        <w:t xml:space="preserve">While virtual </w:t>
      </w:r>
      <w:r w:rsidR="006F4AC6">
        <w:t xml:space="preserve">participation has </w:t>
      </w:r>
      <w:r>
        <w:t>alleviate</w:t>
      </w:r>
      <w:r w:rsidR="006F4AC6">
        <w:t>d</w:t>
      </w:r>
      <w:r>
        <w:t xml:space="preserve"> PPD for some groups, </w:t>
      </w:r>
      <w:r w:rsidR="006F4AC6">
        <w:t xml:space="preserve">this </w:t>
      </w:r>
      <w:r>
        <w:t>h</w:t>
      </w:r>
      <w:r w:rsidR="006F4AC6">
        <w:t xml:space="preserve">as </w:t>
      </w:r>
      <w:r>
        <w:t xml:space="preserve">not been universal. </w:t>
      </w:r>
      <w:r w:rsidR="00D2784C">
        <w:t>I</w:t>
      </w:r>
      <w:r w:rsidR="00FA6DF8">
        <w:t xml:space="preserve">n terms of geographic </w:t>
      </w:r>
      <w:r w:rsidR="00D2784C">
        <w:t>variation</w:t>
      </w:r>
      <w:r w:rsidR="00FA6DF8">
        <w:t xml:space="preserve">, it is evident that individuals in rural areas have </w:t>
      </w:r>
      <w:r w:rsidR="004B0A9C">
        <w:t xml:space="preserve">lower levels of </w:t>
      </w:r>
      <w:r w:rsidR="00FA6DF8">
        <w:t xml:space="preserve">virtual </w:t>
      </w:r>
      <w:r w:rsidR="004B0A9C">
        <w:t>participation</w:t>
      </w:r>
      <w:r w:rsidR="005D3199">
        <w:t xml:space="preserve">, </w:t>
      </w:r>
      <w:r w:rsidR="00B86599">
        <w:t xml:space="preserve">contributing further </w:t>
      </w:r>
      <w:r w:rsidR="004807F1">
        <w:t xml:space="preserve">to </w:t>
      </w:r>
      <w:r w:rsidR="005D3199">
        <w:t xml:space="preserve">the </w:t>
      </w:r>
      <w:r w:rsidR="00B86599">
        <w:t xml:space="preserve">already </w:t>
      </w:r>
      <w:r w:rsidR="005D3199">
        <w:t xml:space="preserve">existing </w:t>
      </w:r>
      <w:r w:rsidR="00B86599">
        <w:t>physical a</w:t>
      </w:r>
      <w:r w:rsidR="005D3199">
        <w:t xml:space="preserve">ccessibility gap between those living in urban and rural areas. </w:t>
      </w:r>
      <w:r w:rsidR="00FA3412">
        <w:t xml:space="preserve">This </w:t>
      </w:r>
      <w:r w:rsidR="00B86599">
        <w:t xml:space="preserve">virtual participation </w:t>
      </w:r>
      <w:r w:rsidR="00FA3412">
        <w:t>disparity</w:t>
      </w:r>
      <w:r w:rsidR="00B86599">
        <w:t xml:space="preserve"> </w:t>
      </w:r>
      <w:r w:rsidR="00FA3412">
        <w:t xml:space="preserve">is a result of </w:t>
      </w:r>
      <w:r w:rsidR="00B86599">
        <w:t>several</w:t>
      </w:r>
      <w:r w:rsidR="00FA3412">
        <w:t xml:space="preserve"> interrelated factors </w:t>
      </w:r>
      <w:r w:rsidR="004807F1">
        <w:t xml:space="preserve">associated with urban areas, </w:t>
      </w:r>
      <w:r w:rsidR="00FA3412">
        <w:t xml:space="preserve">including </w:t>
      </w:r>
      <w:r w:rsidR="00B86599">
        <w:t xml:space="preserve">(a) the </w:t>
      </w:r>
      <w:r w:rsidR="00FA3412">
        <w:t xml:space="preserve">higher concentration of </w:t>
      </w:r>
      <w:r w:rsidR="004807F1">
        <w:t xml:space="preserve">telework-conducive </w:t>
      </w:r>
      <w:r w:rsidR="00FA3412">
        <w:t xml:space="preserve">knowledge-based jobs, </w:t>
      </w:r>
      <w:r w:rsidR="00B86599">
        <w:t xml:space="preserve">(b) </w:t>
      </w:r>
      <w:r w:rsidR="006711F7">
        <w:t xml:space="preserve">higher quality of internet and telecommunications infrastructure, </w:t>
      </w:r>
      <w:r w:rsidR="00BA11D1">
        <w:t xml:space="preserve">(c) </w:t>
      </w:r>
      <w:r w:rsidR="006711F7">
        <w:t xml:space="preserve">greater demand for flexible work arrangements to alleviate peak-hour </w:t>
      </w:r>
      <w:r w:rsidR="00BA11D1">
        <w:t xml:space="preserve">traffic </w:t>
      </w:r>
      <w:r w:rsidR="006711F7">
        <w:t xml:space="preserve">congestion, and </w:t>
      </w:r>
      <w:r w:rsidR="00BA11D1">
        <w:t xml:space="preserve">(d) </w:t>
      </w:r>
      <w:r w:rsidR="006711F7">
        <w:t xml:space="preserve">higher density of </w:t>
      </w:r>
      <w:r w:rsidR="00BA11D1">
        <w:t xml:space="preserve">delivery </w:t>
      </w:r>
      <w:r w:rsidR="006711F7">
        <w:t xml:space="preserve">services </w:t>
      </w:r>
      <w:r w:rsidR="003A06D7">
        <w:t xml:space="preserve">and </w:t>
      </w:r>
      <w:r w:rsidR="00BA11D1">
        <w:t xml:space="preserve">concentration of </w:t>
      </w:r>
      <w:r w:rsidR="003A06D7">
        <w:t>consumers</w:t>
      </w:r>
      <w:r w:rsidR="00BD5432">
        <w:t xml:space="preserve"> </w:t>
      </w:r>
      <w:r w:rsidR="00BD5432">
        <w:fldChar w:fldCharType="begin"/>
      </w:r>
      <w:r w:rsidR="00374A3B">
        <w:instrText xml:space="preserve"> ADDIN ZOTERO_ITEM CSL_CITATION {"citationID":"rLVJtBTl","properties":{"unsorted":true,"formattedCitation":"(Dannenberg et al., 2020; L\\uc0\\u243{}pez-Igual and Rodr\\uc0\\u237{}guez-Modro\\uc0\\u241{}o, 2020; Asmussen et al., 2023)","plainCitation":"(Dannenberg et al., 2020; López-Igual and Rodríguez-Modroño, 2020; Asmussen et al., 2023)","noteIndex":0},"citationItems":[{"id":3489,"uris":["http://zotero.org/users/12832277/items/5TYJXSYV"],"itemData":{"id":3489,"type":"article-journal","abstract":"The COVID-19 pandemic has led to a sharp increase in online trade. This article examines the impact of the pandemic on online grocery retail in Germany. Here we follow and refine the multi-level perspective by Geels, and examine to what extent and why the online grocery retail expanded during the pandemic. A particular focus is on the spatial expansion into rural areas. The study shows a general upswing in the grocery trade and disproportionately high growth in online grocery trade and identifies driving and limiting factors. While COVID-19 has opened a window of opportunity, our results indicate little transition of grocery to e-grocery. This finding can be explained by the sudden and temporary constellation at the level of the socio-technical regime during the pandemic. As a result, we argue for a rethinking the temporality of windows of opportunities and the related vulnerability of the innovations which need them.","container-title":"Tijdschrift voor Economische en Sociale Geografie","DOI":"10.1111/tesg.12453","ISSN":"1467-9663","issue":"3","language":"en","license":"© 2020 The Authors. Tijdschrift voor Economische en Sociale Geografie published by John Wiley &amp; Sons Ltd on behalf of Royal Dutch Geographical Society / Koninklijk Nederlands Aardrijkskundig","note":"_eprint: https://onlinelibrary.wiley.com/doi/pdf/10.1111/tesg.12453","page":"543-560","source":"Wiley Online Library","title":"Digital Transition by COVID-19 Pandemic? The German Food Online Retail","volume":"111","author":[{"family":"Dannenberg","given":"Peter"},{"family":"Fuchs","given":"Martina"},{"family":"Riedler","given":"Tim"},{"family":"Wiedemann","given":"Cathrin"}],"issued":{"date-parts":[["2020"]]}}},{"id":3354,"uris":["http://zotero.org/users/12832277/items/X74VKKZY"],"itemData":{"id":3354,"type":"article-journal","abstract":"Telework and ICT-based mobile work (TICTM) arrangements have emerged in response to technological changes driven by digitalisation, increasing flexibility within the labour market, and globalisation. As telework becomes more widespread, these flexible models of work are rapidly expanding to new categories of employees, changing the factors traditionally found to be important for telework eligibility. The aim of this study is to gain a deeper understanding of new profiles of teleworkers, examining main factors that increase or decrease the likelihood of different TICTM arrangements. We apply multinomial logistic regression models to a sample of more than 20,000 workers from the 6th European Working Conditions Survey. Our findings confirm the heterogeneity in the profiles of teleworkers, particularly distinguishing by TICTM arrangement. Occasional teleworkers are usually male managers or professionals, but a relevant percentage of highly mobile teleworkers are technicians and associate professionals, while clerical support workers amount to a large group of home-based teleworkers. The majority of occasional and highly mobile teleworkers are still men, but this can no longer be said of home-based teleworkers. The correlations between telework and permanent contracts, full-time jobs, and living in urban areas are weak, showing that TICTM is spreading into more precarious, temporary, and lower-paid jobs, especially among home-based teleworkers and highly mobile teleworkers.","container-title":"Sustainability","DOI":"10.3390/su12218797","ISSN":"2071-1050","issue":"21","language":"en","license":"http://creativecommons.org/licenses/by/3.0/","note":"number: 21\npublisher: Multidisciplinary Digital Publishing Institute","page":"8797","source":"www.mdpi.com","title":"Who is Teleworking and Where from? Exploring the Main Determinants of Telework in Europe","title-short":"Who is Teleworking and Where from?","volume":"12","author":[{"family":"López-Igual","given":"Purificación"},{"family":"Rodríguez-Modroño","given":"Paula"}],"issued":{"date-parts":[["2020",1]]}}},{"id":1944,"uris":["http://zotero.org/users/12832277/items/Y3TQLUZT"],"itemData":{"id":1944,"type":"article-journal","container-title":"Transportation Research Part C: Emerging Technologies","title":"The Interplay Between Teleworking Choice and Commute Distance","author":[{"family":"Asmussen","given":"Katherine"},{"family":"Mondal","given":"Aupal"},{"family":"Bhat","given":"Chandra R."}],"issued":{"date-parts":[["2023",12]]}}}],"schema":"https://github.com/citation-style-language/schema/raw/master/csl-citation.json"} </w:instrText>
      </w:r>
      <w:r w:rsidR="00BD5432">
        <w:fldChar w:fldCharType="separate"/>
      </w:r>
      <w:r w:rsidR="00E942CF" w:rsidRPr="00E942CF">
        <w:t>(Dannenberg et al., 2020; López-Igual and Rodríguez-Modroño, 2020; Asmussen et al., 2023)</w:t>
      </w:r>
      <w:r w:rsidR="00BD5432">
        <w:fldChar w:fldCharType="end"/>
      </w:r>
      <w:r w:rsidR="003A06D7">
        <w:t xml:space="preserve">. </w:t>
      </w:r>
      <w:r w:rsidR="00E81746">
        <w:t>E</w:t>
      </w:r>
      <w:r w:rsidR="00894F04">
        <w:t xml:space="preserve">xpanding high-speed internet </w:t>
      </w:r>
      <w:r w:rsidR="00907428">
        <w:t>access</w:t>
      </w:r>
      <w:r w:rsidR="00E81746">
        <w:t>, including</w:t>
      </w:r>
      <w:r w:rsidR="002007B4">
        <w:t xml:space="preserve"> through traditional broadband services as well as cellular and satellite networks</w:t>
      </w:r>
      <w:r w:rsidR="00E81746">
        <w:t xml:space="preserve">, and providing greater access to technological resources and public working spaces will help </w:t>
      </w:r>
      <w:r w:rsidR="00F235D4">
        <w:t xml:space="preserve">the </w:t>
      </w:r>
      <w:r w:rsidR="00E81746">
        <w:t xml:space="preserve">growth of virtual </w:t>
      </w:r>
      <w:r w:rsidR="00F235D4">
        <w:t>participation</w:t>
      </w:r>
      <w:r w:rsidR="00E81746">
        <w:t xml:space="preserve"> in rural areas. </w:t>
      </w:r>
      <w:r w:rsidR="00F614A2">
        <w:t xml:space="preserve">In terms of </w:t>
      </w:r>
      <w:r w:rsidR="004B0A9C">
        <w:t xml:space="preserve">home </w:t>
      </w:r>
      <w:r w:rsidR="00F614A2">
        <w:t>deliver</w:t>
      </w:r>
      <w:r w:rsidR="004B0A9C">
        <w:t>ies</w:t>
      </w:r>
      <w:r w:rsidR="00F614A2">
        <w:t xml:space="preserve">, there is a growing need to ensure that rural areas are provided with adequate </w:t>
      </w:r>
      <w:r w:rsidR="004B0A9C">
        <w:t>coverage and service quality</w:t>
      </w:r>
      <w:r w:rsidR="00F235D4">
        <w:t>,</w:t>
      </w:r>
      <w:r w:rsidR="00D2784C">
        <w:t xml:space="preserve"> and</w:t>
      </w:r>
      <w:r w:rsidR="00F235D4">
        <w:t xml:space="preserve"> at affordable prices (note </w:t>
      </w:r>
      <w:r w:rsidR="00656A55">
        <w:t xml:space="preserve">from Table 3 </w:t>
      </w:r>
      <w:r w:rsidR="00F235D4">
        <w:t>that “not affordable” is a common PPD reason in rural areas</w:t>
      </w:r>
      <w:r w:rsidR="00656A55">
        <w:t>)</w:t>
      </w:r>
      <w:r w:rsidR="00BD6AEB">
        <w:t xml:space="preserve">. This includes maintaining </w:t>
      </w:r>
      <w:r w:rsidR="004B0A9C">
        <w:t xml:space="preserve">local and </w:t>
      </w:r>
      <w:r w:rsidR="00BD6AEB">
        <w:t>regional</w:t>
      </w:r>
      <w:r w:rsidR="004B0A9C">
        <w:t xml:space="preserve"> </w:t>
      </w:r>
      <w:r w:rsidR="00BD6AEB">
        <w:t xml:space="preserve">delivery hubs that serve as locations to collect and dispatch </w:t>
      </w:r>
      <w:r w:rsidR="00611F66">
        <w:t>deliveries</w:t>
      </w:r>
      <w:r w:rsidR="00BD6AEB">
        <w:t xml:space="preserve"> to rural areas</w:t>
      </w:r>
      <w:r w:rsidR="00611F66">
        <w:t xml:space="preserve">. In addition, </w:t>
      </w:r>
      <w:r w:rsidR="00143672">
        <w:t xml:space="preserve">collaboration with local businesses </w:t>
      </w:r>
      <w:r w:rsidR="00656A55">
        <w:t>(</w:t>
      </w:r>
      <w:r w:rsidR="00F235D4">
        <w:t>in a community-centered approach that is customizable to the needs of local residents</w:t>
      </w:r>
      <w:r w:rsidR="00656A55">
        <w:t>)</w:t>
      </w:r>
      <w:r w:rsidR="00F235D4">
        <w:t xml:space="preserve"> </w:t>
      </w:r>
      <w:r w:rsidR="004B0A9C">
        <w:t>is</w:t>
      </w:r>
      <w:r w:rsidR="00143672">
        <w:t xml:space="preserve"> especially important in lower-density areas</w:t>
      </w:r>
      <w:r w:rsidR="00F235D4">
        <w:t xml:space="preserve">; </w:t>
      </w:r>
      <w:r w:rsidR="00143672">
        <w:t xml:space="preserve">local businesses can serve as pick-up and drop-off points for deliveries, </w:t>
      </w:r>
      <w:r w:rsidR="00B57F70">
        <w:t xml:space="preserve">can assist in last-mile delivery, and can </w:t>
      </w:r>
      <w:r w:rsidR="00F235D4">
        <w:t xml:space="preserve">provide reliable and cost-effective </w:t>
      </w:r>
      <w:r w:rsidR="00B24AC9">
        <w:t xml:space="preserve">service fulfillment </w:t>
      </w:r>
      <w:r w:rsidR="00F235D4">
        <w:t xml:space="preserve">by </w:t>
      </w:r>
      <w:r w:rsidR="00B24AC9">
        <w:t>minimiz</w:t>
      </w:r>
      <w:r w:rsidR="00F235D4">
        <w:t xml:space="preserve">ing </w:t>
      </w:r>
      <w:r w:rsidR="00B24AC9">
        <w:t>shipping distances and costs</w:t>
      </w:r>
      <w:r w:rsidR="00C3644A">
        <w:t xml:space="preserve"> </w:t>
      </w:r>
      <w:r w:rsidR="00C3644A">
        <w:fldChar w:fldCharType="begin"/>
      </w:r>
      <w:r w:rsidR="00C3644A">
        <w:instrText xml:space="preserve"> ADDIN ZOTERO_ITEM CSL_CITATION {"citationID":"aFF4mfga","properties":{"formattedCitation":"(Sousa et al., 2020; Wu et al., 2022)","plainCitation":"(Sousa et al., 2020; Wu et al., 2022)","noteIndex":0},"citationItems":[{"id":3494,"uris":["http://zotero.org/users/12832277/items/C9L7MNVD"],"itemData":{"id":3494,"type":"article-journal","abstract":"Online shopping is growing significantly among rural consumers interested in overcoming product assortment limitations in their local markets. Retailers are taking notice, and some are looking for first-mover-advantage opportunities in rural areas where they see greater potential for growth when compared to saturated urban markets. However, expanding to these areas presents significant and unresolved challenges related to last mile fulfillment caused by low levels of population density as well as other socioeconomic and demographic characteristics. In this article, we present an integrated set of recommendations for online retailers to differentiate strategies to serve rural markets efficiently. To that end, we partnered with an online grocery retailer to examine differences between rural and urban consumers across online shopping preferences that significantly impact fulfillment costs. We draw on those differences and existing knowledge on last mile fulfillment operations to propose a tailored consumer value proposition and operational model for last mile fulfillment in rural markets.","container-title":"Business Horizons","DOI":"10.1016/j.bushor.2020.01.007","ISSN":"0007-6813","issue":"3","journalAbbreviation":"Business Horizons","page":"351-362","source":"ScienceDirect","title":"How to Serve Online Consumers in Rural Markets: Evidence-Based Recommendations","title-short":"How to Serve Online Consumers in Rural Markets","volume":"63","author":[{"family":"Sousa","given":"Rui"},{"family":"Horta","given":"Carolina"},{"family":"Ribeiro","given":"Ricardo"},{"family":"Rabinovich","given":"Elliot"}],"issued":{"date-parts":[["2020",5,1]]}}},{"id":3497,"uris":["http://zotero.org/users/12832277/items/RVQUES5N"],"itemData":{"id":3497,"type":"article-journal","abstract":"Focusing on bottleneck of express package delivery in rural regions, this study proposes a new potential solution, namely, Collaboration of Delivery and Sale (CDS), which integrates the express package delivery with the offline mobile sales. In order to figure out how to implement the CDS mode, the demand for offline mobile shopping is predicted based on the fitted probability distribution of customers’ arrival time, and on this basis, the vehicle routing optimisation model is developed with the objective of maximising profit of CDS service providers. The methodology is applied in three rural towns with different sizes in China. The case-study result demonstrates that adopting the CDS mode is able to greatly improve the profit of CDS service providers, and thus to resolve the problem of high delivery cost in rural regions with sparse delivery demand, and to facilitate the sustainable development of express package delivery service in remote rural regions.","container-title":"International Journal of Logistics Research and Applications","DOI":"10.1080/13675567.2022.2153356","ISSN":"1367-5567","note":"publisher: Taylor &amp; Francis\n_eprint: https://doi.org/10.1080/13675567.2022.2153356","page":"1–29","source":"Taylor and Francis+NEJM","title":"Integrating Express Package Delivery Service with Offline Mobile Sales: A New Potential Solution to Sustainable Last-Mile Logistics in Rural China","author":[{"family":"Wu","given":"Shanhua"},{"family":"Yang","given":"Qian"},{"family":"Yang","given":"Zhongzhen"}],"issued":{"date-parts":[["2022"]]}}}],"schema":"https://github.com/citation-style-language/schema/raw/master/csl-citation.json"} </w:instrText>
      </w:r>
      <w:r w:rsidR="00C3644A">
        <w:fldChar w:fldCharType="separate"/>
      </w:r>
      <w:r w:rsidR="00C3644A" w:rsidRPr="00C3644A">
        <w:t>(Sousa et al., 2020; Wu et al., 2022)</w:t>
      </w:r>
      <w:r w:rsidR="00C3644A">
        <w:fldChar w:fldCharType="end"/>
      </w:r>
      <w:r w:rsidR="00656A55">
        <w:t>.</w:t>
      </w:r>
      <w:r w:rsidR="00F235D4">
        <w:t xml:space="preserve"> </w:t>
      </w:r>
    </w:p>
    <w:p w14:paraId="323D7D57" w14:textId="7C1437AB" w:rsidR="00E37856" w:rsidRDefault="00E37856" w:rsidP="00600963">
      <w:pPr>
        <w:spacing w:after="0" w:line="240" w:lineRule="auto"/>
        <w:jc w:val="both"/>
      </w:pPr>
      <w:r w:rsidRPr="00E37856">
        <w:tab/>
        <w:t xml:space="preserve">In addition to geographic disparities, </w:t>
      </w:r>
      <w:r w:rsidR="00656A55">
        <w:t xml:space="preserve">demographic </w:t>
      </w:r>
      <w:r w:rsidR="00390D29">
        <w:t xml:space="preserve">disparities </w:t>
      </w:r>
      <w:r w:rsidR="00656A55">
        <w:t xml:space="preserve">in virtual participation </w:t>
      </w:r>
      <w:r w:rsidR="00390D29">
        <w:t>exist based on income and race</w:t>
      </w:r>
      <w:r w:rsidR="00907428">
        <w:t>;</w:t>
      </w:r>
      <w:r w:rsidR="00390D29">
        <w:t xml:space="preserve"> </w:t>
      </w:r>
      <w:r w:rsidR="004807F1">
        <w:t xml:space="preserve">virtual participation is </w:t>
      </w:r>
      <w:r w:rsidR="004B0A9C">
        <w:t xml:space="preserve">less </w:t>
      </w:r>
      <w:r w:rsidR="00B40E76">
        <w:t xml:space="preserve">common </w:t>
      </w:r>
      <w:r w:rsidR="004807F1">
        <w:t xml:space="preserve">among individuals from </w:t>
      </w:r>
      <w:r w:rsidR="004B0A9C">
        <w:t xml:space="preserve">low-income </w:t>
      </w:r>
      <w:r w:rsidR="004807F1">
        <w:t>households</w:t>
      </w:r>
      <w:r w:rsidR="004B0A9C">
        <w:t xml:space="preserve"> and racial minorities</w:t>
      </w:r>
      <w:r w:rsidR="004807F1">
        <w:t xml:space="preserve">, population groups that </w:t>
      </w:r>
      <w:r w:rsidR="004B0A9C">
        <w:t>already face high</w:t>
      </w:r>
      <w:r w:rsidR="004807F1">
        <w:t xml:space="preserve"> </w:t>
      </w:r>
      <w:r w:rsidR="004B0A9C">
        <w:t>PPD</w:t>
      </w:r>
      <w:r w:rsidR="00C42B9B">
        <w:t xml:space="preserve">. </w:t>
      </w:r>
      <w:r w:rsidR="004807F1">
        <w:t xml:space="preserve">Telework promotion strategies </w:t>
      </w:r>
      <w:r w:rsidR="007517B7">
        <w:t xml:space="preserve">among these population segments </w:t>
      </w:r>
      <w:r w:rsidR="004807F1">
        <w:t xml:space="preserve">can </w:t>
      </w:r>
      <w:r w:rsidR="00A755E6">
        <w:t xml:space="preserve">include </w:t>
      </w:r>
      <w:r w:rsidR="00832FE1">
        <w:t xml:space="preserve">diverse hiring initiatives and </w:t>
      </w:r>
      <w:r w:rsidR="00786077">
        <w:t>financial assistance to cover upfront telework-related expenses such as internet bills, utility costs, and office supplies.</w:t>
      </w:r>
      <w:r w:rsidR="00A7014B">
        <w:t xml:space="preserve"> For deliveries, </w:t>
      </w:r>
      <w:r w:rsidR="00A93E03">
        <w:t xml:space="preserve">hubs </w:t>
      </w:r>
      <w:r w:rsidR="007D29A9">
        <w:t xml:space="preserve">located near underserved communities to </w:t>
      </w:r>
      <w:r w:rsidR="00656A55">
        <w:t xml:space="preserve">increase reliability </w:t>
      </w:r>
      <w:r w:rsidR="007517B7">
        <w:t xml:space="preserve">and reduce costs, as well as </w:t>
      </w:r>
      <w:r w:rsidR="0046658E">
        <w:t xml:space="preserve">the </w:t>
      </w:r>
      <w:r w:rsidR="00656A55">
        <w:t>provi</w:t>
      </w:r>
      <w:r w:rsidR="0046658E">
        <w:t xml:space="preserve">sion of </w:t>
      </w:r>
      <w:r w:rsidR="00891CF3">
        <w:t xml:space="preserve">access to a full range of products through </w:t>
      </w:r>
      <w:r w:rsidR="007517B7">
        <w:t xml:space="preserve">online </w:t>
      </w:r>
      <w:r w:rsidR="00891CF3">
        <w:t>ordering platforms</w:t>
      </w:r>
      <w:r w:rsidR="007517B7">
        <w:t>, can be beneficial</w:t>
      </w:r>
      <w:r w:rsidR="00B56304">
        <w:t xml:space="preserve">. </w:t>
      </w:r>
      <w:r w:rsidR="00656A55">
        <w:t xml:space="preserve">In contrast, today, </w:t>
      </w:r>
      <w:r w:rsidR="00B56304">
        <w:t>many</w:t>
      </w:r>
      <w:r w:rsidR="00473DC2">
        <w:t xml:space="preserve"> </w:t>
      </w:r>
      <w:proofErr w:type="gramStart"/>
      <w:r w:rsidR="00473DC2">
        <w:t>food</w:t>
      </w:r>
      <w:proofErr w:type="gramEnd"/>
      <w:r w:rsidR="00473DC2">
        <w:t xml:space="preserve"> and grocery delivery platforms</w:t>
      </w:r>
      <w:r w:rsidR="00B56304">
        <w:t xml:space="preserve"> </w:t>
      </w:r>
      <w:r w:rsidR="00656A55">
        <w:t>customize their delivery options (in both the variety of the product line and the time/cost of delivery)</w:t>
      </w:r>
      <w:r w:rsidR="00B16D37">
        <w:t xml:space="preserve"> based on profit-maximizing margins, </w:t>
      </w:r>
      <w:r w:rsidR="0061481F">
        <w:t xml:space="preserve">essentially </w:t>
      </w:r>
      <w:r w:rsidR="00B16D37">
        <w:t>exacerbating</w:t>
      </w:r>
      <w:r w:rsidR="0061481F">
        <w:t xml:space="preserve"> </w:t>
      </w:r>
      <w:r w:rsidR="00825DDA">
        <w:t>existing disparities in physical accessibility</w:t>
      </w:r>
      <w:r w:rsidR="00B16D37">
        <w:t>. Equity considerations need to be brou</w:t>
      </w:r>
      <w:r w:rsidR="007517B7">
        <w:t>ght</w:t>
      </w:r>
      <w:r w:rsidR="00B16D37">
        <w:t xml:space="preserve"> to the fore</w:t>
      </w:r>
      <w:r w:rsidR="00B56304">
        <w:t xml:space="preserve">, </w:t>
      </w:r>
      <w:r w:rsidR="00B16D37">
        <w:t xml:space="preserve">through government incentives for businesses in underserved markets and the creation of </w:t>
      </w:r>
      <w:r w:rsidR="00707E46">
        <w:t xml:space="preserve">shared delivery hubs </w:t>
      </w:r>
      <w:r w:rsidR="00B16D37">
        <w:t xml:space="preserve">to improve the affordability of delivery services </w:t>
      </w:r>
      <w:r w:rsidR="00544293">
        <w:fldChar w:fldCharType="begin"/>
      </w:r>
      <w:r w:rsidR="00397C46">
        <w:instrText xml:space="preserve"> ADDIN ZOTERO_ITEM CSL_CITATION {"citationID":"Q4BTNe8k","properties":{"unsorted":true,"formattedCitation":"(Haider et al., 2022; Buettner et al., 2023)","plainCitation":"(Haider et al., 2022; Buettner et al., 2023)","dontUpdate":true,"noteIndex":0},"citationItems":[{"id":3499,"uris":["http://zotero.org/users/12832277/items/9H67MATZ"],"itemData":{"id":3499,"type":"article-journal","container-title":"Socio-Economic Planning Sciences","note":"publisher: Elsevier","page":"101301","source":"Google Scholar","title":"Creating grocery delivery hubs for food deserts at local convenience stores via spatial and temporal consolidation","volume":"82","author":[{"family":"Haider","given":"Zulqarnain"},{"family":"Hu","given":"Yujie"},{"family":"Charkhgard","given":"Hadi"},{"family":"Himmelgreen","given":"David"},{"family":"Kwon","given":"Changhyun"}],"issued":{"date-parts":[["2022"]]}}},{"id":3502,"uris":["http://zotero.org/users/12832277/items/LXW4VMNP"],"itemData":{"id":3502,"type":"article-journal","abstract":"Food delivery apps are popular among young adults and often used to purchase calorie-dense foods. Limited research exists on the use of food delivery apps among young adults. The purpose of this study was to describe food delivery app use among young adults and examine the correlates of food delivery app use. Data are from a panel of U.S. young adults aged 18–25 (n = 1,576) who completed an online survey between January-April 2022. Participants were 51.8% female and 39.3% identified as non-Hispanic white, 24.4% as Hispanic/Latinx, 29.6% as non-Hispanic Black, and 6.8% as another race/ethnicity. Poisson regression was used to examine the relationship between food delivery app use and age, race, ethnicity, sex, SES, food insecurity, living arrangement, financial responsibility, and full-time student status. Young adults used food delivery apps approximately twice a week. Participants who identified as non-Hispanic Black and Hispanic/Latinx used food delivery apps more frequently than participants who identified as white. Having higher perceived subjective social status, food insecurity, financial responsibility, and being a full-time student were significantly associated with using food delivery apps more frequently. Living with someone else was associated with using food delivery apps less frequently. This study provides a first step in understanding the characteristics of young adults who use food delivery apps. Given that food delivery apps are a new technology that can both increase access to unhealthy food options as well as healthy food options, further research is needed to better understand the types of food purchased through food delivery apps.","container-title":"Journal of Community Health","DOI":"10.1007/s10900-023-01229-1","ISSN":"1573-3610","issue":"5","language":"en","page":"840-846","source":"Springer Link","title":"Factors Associated with Food Delivery App use Among Young Adults","volume":"48","author":[{"family":"Buettner","given":"Sarah A."},{"family":"Pasch","given":"Keryn E."},{"family":"Poulos","given":"Natalie S."}],"issued":{"date-parts":[["2023",10,1]]}}}],"schema":"https://github.com/citation-style-language/schema/raw/master/csl-citation.json"} </w:instrText>
      </w:r>
      <w:r w:rsidR="00544293">
        <w:fldChar w:fldCharType="separate"/>
      </w:r>
      <w:r w:rsidR="00544293" w:rsidRPr="00544293">
        <w:t>(</w:t>
      </w:r>
      <w:r w:rsidR="006A75E5">
        <w:t xml:space="preserve">see </w:t>
      </w:r>
      <w:r w:rsidR="00544293" w:rsidRPr="00544293">
        <w:t>Haider et al., 2022; Buettner et al., 2023)</w:t>
      </w:r>
      <w:r w:rsidR="00544293">
        <w:fldChar w:fldCharType="end"/>
      </w:r>
      <w:r w:rsidR="00953F20">
        <w:t xml:space="preserve">. </w:t>
      </w:r>
      <w:r w:rsidR="003475FC">
        <w:t xml:space="preserve"> </w:t>
      </w:r>
    </w:p>
    <w:p w14:paraId="54770329" w14:textId="77777777" w:rsidR="005D5F7F" w:rsidRDefault="005D5F7F" w:rsidP="00600963">
      <w:pPr>
        <w:spacing w:after="0" w:line="240" w:lineRule="auto"/>
        <w:jc w:val="both"/>
      </w:pPr>
    </w:p>
    <w:p w14:paraId="2B1D748E" w14:textId="0546AE97" w:rsidR="005D5F7F" w:rsidRDefault="005D5F7F" w:rsidP="00600963">
      <w:pPr>
        <w:spacing w:after="0" w:line="240" w:lineRule="auto"/>
        <w:jc w:val="both"/>
        <w:rPr>
          <w:b/>
          <w:bCs/>
        </w:rPr>
      </w:pPr>
      <w:r>
        <w:rPr>
          <w:b/>
          <w:bCs/>
        </w:rPr>
        <w:t>5.</w:t>
      </w:r>
      <w:r w:rsidR="00B45502">
        <w:rPr>
          <w:b/>
          <w:bCs/>
        </w:rPr>
        <w:t>5</w:t>
      </w:r>
      <w:r>
        <w:rPr>
          <w:b/>
          <w:bCs/>
        </w:rPr>
        <w:t xml:space="preserve"> How </w:t>
      </w:r>
      <w:r w:rsidR="00B45502">
        <w:rPr>
          <w:b/>
          <w:bCs/>
        </w:rPr>
        <w:t xml:space="preserve">Can </w:t>
      </w:r>
      <w:r>
        <w:rPr>
          <w:b/>
          <w:bCs/>
        </w:rPr>
        <w:t>Physical Infrastructure Improvement</w:t>
      </w:r>
      <w:r w:rsidR="00B45502">
        <w:rPr>
          <w:b/>
          <w:bCs/>
        </w:rPr>
        <w:t xml:space="preserve"> Reduce PPD?</w:t>
      </w:r>
    </w:p>
    <w:p w14:paraId="02A0865B" w14:textId="4298E22A" w:rsidR="005D5F7F" w:rsidRPr="00C51DE4" w:rsidRDefault="00022CB3" w:rsidP="004414DE">
      <w:pPr>
        <w:spacing w:after="0" w:line="240" w:lineRule="auto"/>
        <w:jc w:val="both"/>
        <w:rPr>
          <w:b/>
          <w:bCs/>
        </w:rPr>
      </w:pPr>
      <w:r>
        <w:t xml:space="preserve">While virtual </w:t>
      </w:r>
      <w:r w:rsidR="00840F80">
        <w:t>participation</w:t>
      </w:r>
      <w:r>
        <w:t xml:space="preserve"> can play an important role in reducing PPD, </w:t>
      </w:r>
      <w:r w:rsidR="00BA494C">
        <w:t xml:space="preserve">it is (as of yet) not doing much </w:t>
      </w:r>
      <w:r w:rsidR="004414DE">
        <w:t xml:space="preserve">for those in low-income, renting, and rural-residing households, as well as for </w:t>
      </w:r>
      <w:r w:rsidR="004414DE" w:rsidRPr="00206544">
        <w:t>racial minorities</w:t>
      </w:r>
      <w:r w:rsidR="004414DE">
        <w:t xml:space="preserve"> and non-drivers</w:t>
      </w:r>
      <w:r w:rsidR="00BA494C">
        <w:t>. Many of these population groups cite “not reliable” and “poor destination access” as PPD reasons (see Table 3)</w:t>
      </w:r>
      <w:r w:rsidR="007517B7">
        <w:t xml:space="preserve">, which </w:t>
      </w:r>
      <w:r w:rsidR="00BA494C">
        <w:t xml:space="preserve">underscores </w:t>
      </w:r>
      <w:r w:rsidR="004414DE">
        <w:t xml:space="preserve">the need </w:t>
      </w:r>
      <w:r w:rsidR="00BA494C">
        <w:t xml:space="preserve">not to lose sight of </w:t>
      </w:r>
      <w:r w:rsidR="0046658E">
        <w:lastRenderedPageBreak/>
        <w:t xml:space="preserve">more traditional </w:t>
      </w:r>
      <w:r w:rsidR="004414DE">
        <w:t xml:space="preserve">physical infrastructure improvements to alleviate PPD. </w:t>
      </w:r>
      <w:r w:rsidR="00C772A2">
        <w:t xml:space="preserve">Some specific strategies </w:t>
      </w:r>
      <w:r w:rsidR="00EA509F">
        <w:t xml:space="preserve">include expanding access to public transportation </w:t>
      </w:r>
      <w:r w:rsidR="00BA494C">
        <w:t xml:space="preserve">by (a) designing </w:t>
      </w:r>
      <w:r w:rsidR="00EA509F">
        <w:t xml:space="preserve">routes </w:t>
      </w:r>
      <w:r w:rsidR="00BA494C">
        <w:t xml:space="preserve">that </w:t>
      </w:r>
      <w:r w:rsidR="00EA509F">
        <w:t xml:space="preserve">connect </w:t>
      </w:r>
      <w:r w:rsidR="006559F1">
        <w:t xml:space="preserve">low-income </w:t>
      </w:r>
      <w:r w:rsidR="00EA509F">
        <w:t xml:space="preserve">residential areas to key points of interest (including employment centers, educational institutions, healthcare facilities, grocery stores, and recreational facilities), </w:t>
      </w:r>
      <w:r w:rsidR="00BA494C">
        <w:t xml:space="preserve">(b) </w:t>
      </w:r>
      <w:r w:rsidR="00EA509F">
        <w:t xml:space="preserve">improving last-mile connectivity </w:t>
      </w:r>
      <w:r w:rsidR="00CD7BC1">
        <w:t xml:space="preserve">both </w:t>
      </w:r>
      <w:r w:rsidR="00EA509F">
        <w:t xml:space="preserve">through the use of bike-sharing and scooter programs </w:t>
      </w:r>
      <w:r w:rsidR="00CD7BC1">
        <w:t xml:space="preserve">and </w:t>
      </w:r>
      <w:r w:rsidR="00BA494C">
        <w:t xml:space="preserve">good provision of </w:t>
      </w:r>
      <w:r w:rsidR="00EA509F">
        <w:t>sidewalks</w:t>
      </w:r>
      <w:r w:rsidR="00BA494C">
        <w:t>/</w:t>
      </w:r>
      <w:r w:rsidR="00EA509F">
        <w:t xml:space="preserve">bike lanes, and </w:t>
      </w:r>
      <w:r w:rsidR="00BA494C">
        <w:t xml:space="preserve">(c) provision of reliable </w:t>
      </w:r>
      <w:r w:rsidR="00EA509F">
        <w:t>public tr</w:t>
      </w:r>
      <w:r w:rsidR="00BA494C">
        <w:t xml:space="preserve">ansportation services </w:t>
      </w:r>
      <w:r w:rsidR="00EA509F">
        <w:t>by establishing dedicated bus lanes, increasing frequency during peak hours, and implementing real-time tracking systems so that users can efficiently navigate schedules and delays</w:t>
      </w:r>
      <w:r w:rsidR="003009E9">
        <w:t xml:space="preserve"> </w:t>
      </w:r>
      <w:r w:rsidR="00874395">
        <w:fldChar w:fldCharType="begin"/>
      </w:r>
      <w:r w:rsidR="00374A3B">
        <w:instrText xml:space="preserve"> ADDIN ZOTERO_ITEM CSL_CITATION {"citationID":"69ROJHrR","properties":{"formattedCitation":"(Al-Hawari et al., 2020; Beale et al., 2023)","plainCitation":"(Al-Hawari et al., 2020; Beale et al., 2023)","dontUpdate":true,"noteIndex":0},"citationItems":[{"id":3524,"uris":["http://zotero.org/users/12832277/items/U8HCIZI9"],"itemData":{"id":3524,"type":"article-journal","abstract":"This paper addresses various aspects related to the design, development, and validation of a web-based information system that is intended to facilitate the management of a bus transportation service offered by a Jordanian university to its staff and students. Passengers can use this system to track bus trips to find out how far a desired bus is from a specific location. Also, they can know about arrivals and departures of buses managed using this system. Specifically, this work explores UI design, data structures, database design, system architecture, and development methods to realize the required features (e.g., user roles, bus setup, driver assignment, bus routes, bus schedules, and trip monitoring) in the proposed bus location tracking system. It also suggests using the free open-source API, rather than the proprietary Google Maps API, to develop the interactive maps. The system also records trip information and solicits passenger feedback to allow reviewing and analyzing that data to enhance the quality of service, reduce operation cost, and improve passenger satisfaction. The conducted comparative analysis results illustrate that the open-source API is accurate, fast, and responsive similar to the proprietary API. Furthermore, the user survey output confirms that the deployed system is easy to use, helpful, fast, responsive, and accurate.","container-title":"Journal of Advanced Transportation","DOI":"10.1155/2020/8895927","ISSN":"2042-3195","issue":"1","language":"en","license":"Copyright © 2020 Feras Al-Hawari et al.","note":"_eprint: https://onlinelibrary.wiley.com/doi/pdf/10.1155/2020/8895927","source":"Wiley Online Library","title":"Design, Validation, and Comparative Analysis of a Private Bus Location Tracking Information System","URL":"https://onlinelibrary.wiley.com/doi/abs/10.1155/2020/8895927","volume":"2020","author":[{"family":"Al-Hawari","given":"Feras"},{"family":"Al-Sammarraie","given":"Mohammed"},{"family":"Al-Khaffaf","given":"Taha"}],"accessed":{"date-parts":[["2024",6,21]]},"issued":{"date-parts":[["2020"]]}}},{"id":3527,"uris":["http://zotero.org/users/12832277/items/VS2SA86D"],"itemData":{"id":3527,"type":"article-journal","abstract":"This study explores how shared micromobility services can integrate with public transit through equitable payment structures to address first and last mile issues for light rail transit riders in Seattle, WA, and increase accessibility for low-income households. Seattle has recently permitted shared micromobility services such as e-scooter companies to begin operating alongside existing bikesharing services in the city. However, equity concerns have arisen as the users of bikeshare have been disproportionately white, affluent, and well-educated. To address these concerns, efforts have been made to reduce barriers to access and make these services more equitable to encourage their use among marginalized populations. Previous research has demonstrated evidence that these services can improve accessibility for disadvantaged populations such as low-income people of color. This research consists primarily of a literature review of relevant academic and gray literature, and a jurisdictional scan of cities in the U.S., Canada, Finland, and China. The objective of this research is to identify barriers to accessing shared micromobility services and synthesize existing best practices to propose solutions to make these services more equitable. Findings from this research then inform a set of recommendations for equitable payment integration in King County, which can also be generalized to other municipalities that are striving for equitable public transit and shared micromobility integration.","container-title":"Transportation Research Record","DOI":"10.1177/03611981221103233","ISSN":"0361-1981","issue":"1","language":"en","note":"publisher: SAGE Publications Inc","page":"968-980","source":"SAGE Journals","title":"Integrating Public Transit and Shared Micromobility Payments to Improve Transportation Equity in Seattle, WA","volume":"2677","author":[{"family":"Beale","given":"Kirsten"},{"family":"Kapatsila","given":"Bogdan"},{"family":"Grisé","given":"Emily"}],"issued":{"date-parts":[["2023",1,1]]}}}],"schema":"https://github.com/citation-style-language/schema/raw/master/csl-citation.json"} </w:instrText>
      </w:r>
      <w:r w:rsidR="00874395">
        <w:fldChar w:fldCharType="separate"/>
      </w:r>
      <w:r w:rsidR="004C31C8" w:rsidRPr="004C31C8">
        <w:t>(</w:t>
      </w:r>
      <w:r w:rsidR="004C31C8">
        <w:t xml:space="preserve">see, for example, </w:t>
      </w:r>
      <w:r w:rsidR="004C31C8" w:rsidRPr="004C31C8">
        <w:t>Al-Hawari et al., 2020; Beale et al., 2023)</w:t>
      </w:r>
      <w:r w:rsidR="00874395">
        <w:fldChar w:fldCharType="end"/>
      </w:r>
      <w:r w:rsidR="00EA509F">
        <w:t>.</w:t>
      </w:r>
      <w:r w:rsidR="00BA494C">
        <w:t xml:space="preserve"> </w:t>
      </w:r>
      <w:r w:rsidR="00F92434">
        <w:t>A</w:t>
      </w:r>
      <w:r w:rsidR="00EA509F">
        <w:t>ffordability is a</w:t>
      </w:r>
      <w:r w:rsidR="00F92434">
        <w:t>nother</w:t>
      </w:r>
      <w:r w:rsidR="00EA509F">
        <w:t xml:space="preserve"> common concern for rural-residing residents as </w:t>
      </w:r>
      <w:r w:rsidR="00EA509F" w:rsidRPr="00C51DE4">
        <w:t xml:space="preserve">well as renters and low-income individuals. Providing discounted or free public transportation ridership, partnering with ride-sharing companies to offer subsidized rides, and </w:t>
      </w:r>
      <w:r w:rsidR="00C51DE4" w:rsidRPr="00C51DE4">
        <w:t xml:space="preserve">implementing income-based </w:t>
      </w:r>
      <w:r w:rsidR="00BA494C">
        <w:t>fare</w:t>
      </w:r>
      <w:r w:rsidR="00C51DE4" w:rsidRPr="00C51DE4">
        <w:t xml:space="preserve"> structures </w:t>
      </w:r>
      <w:r w:rsidR="00204072" w:rsidRPr="00C51DE4">
        <w:t xml:space="preserve">may all be </w:t>
      </w:r>
      <w:r w:rsidR="00EA509F" w:rsidRPr="00C51DE4">
        <w:t xml:space="preserve">effective </w:t>
      </w:r>
      <w:r w:rsidR="00204072" w:rsidRPr="00C51DE4">
        <w:t xml:space="preserve">ways of </w:t>
      </w:r>
      <w:r w:rsidR="007517B7">
        <w:t xml:space="preserve">addressing </w:t>
      </w:r>
      <w:r w:rsidR="00204072" w:rsidRPr="00C51DE4">
        <w:t>affordability</w:t>
      </w:r>
      <w:r w:rsidR="007517B7">
        <w:t xml:space="preserve"> concerns</w:t>
      </w:r>
      <w:r w:rsidR="00204072" w:rsidRPr="00C51DE4">
        <w:t>. Ad</w:t>
      </w:r>
      <w:r w:rsidR="00204072">
        <w:t>ditionally, investing in demand-responsive transit may be</w:t>
      </w:r>
      <w:r w:rsidR="0036695F">
        <w:t xml:space="preserve"> </w:t>
      </w:r>
      <w:r w:rsidR="00204072">
        <w:t xml:space="preserve">effective </w:t>
      </w:r>
      <w:r w:rsidR="0036695F">
        <w:t>in</w:t>
      </w:r>
      <w:r w:rsidR="00204072">
        <w:t xml:space="preserve"> rural areas as </w:t>
      </w:r>
      <w:r w:rsidR="00EE7F28">
        <w:t xml:space="preserve">it </w:t>
      </w:r>
      <w:r w:rsidR="00204072">
        <w:t>can offer</w:t>
      </w:r>
      <w:r w:rsidR="006559F1">
        <w:t xml:space="preserve"> a</w:t>
      </w:r>
      <w:r w:rsidR="00204072">
        <w:t xml:space="preserve"> </w:t>
      </w:r>
      <w:r w:rsidR="006559F1">
        <w:t>cost-effective and flexible transportation alternative</w:t>
      </w:r>
      <w:r w:rsidR="00204072">
        <w:t xml:space="preserve"> in areas without enough demand to support fixed-route public transportation</w:t>
      </w:r>
      <w:r w:rsidR="0033421A">
        <w:t xml:space="preserve"> </w:t>
      </w:r>
      <w:r w:rsidR="00BB630B">
        <w:rPr>
          <w:b/>
          <w:bCs/>
        </w:rPr>
        <w:fldChar w:fldCharType="begin"/>
      </w:r>
      <w:r w:rsidR="00374A3B">
        <w:rPr>
          <w:b/>
          <w:bCs/>
        </w:rPr>
        <w:instrText xml:space="preserve"> ADDIN ZOTERO_ITEM CSL_CITATION {"citationID":"0afc9kdE","properties":{"formattedCitation":"(Vansteenwegen et al., 2022)","plainCitation":"(Vansteenwegen et al., 2022)","noteIndex":0},"citationItems":[{"id":3529,"uris":["http://zotero.org/users/12832277/items/ZB8DMVE9"],"itemData":{"id":3529,"type":"article-journal","abstract":"When demand for transportation is low or highly variable, traditional public bus services tend to lose their efficiency and typically frustrate (potential) passengers. In the literature, a large number of demand-responsive systems, that promise improved flexibility, have therefore been developed. At present, however, a comprehensive survey of these systems is lacking. In this paper, we fill this gap by presenting a unifying framework that classifies all demand-responsive public bus systems. The classification is mainly based on three degrees of responsiveness: dynamic online, dynamic offline, and static. For each system we discuss the specific optimization problem modeled, whether realistic data is considered, and the size of the instances used for testing. Where possible, we try to draw conclusions on the current state of the literature and try to identify potential avenues for future research. Different tables are included to structure and summarize the information of all papers.","container-title":"Transportation Research Part C: Emerging Technologies","DOI":"10.1016/j.trc.2022.103573","ISSN":"0968-090X","source":"ScienceDirect","title":"A Survey on Demand-Responsive Public Bus Systems","URL":"https://www.sciencedirect.com/science/article/pii/S0968090X22000195","volume":"137","author":[{"family":"Vansteenwegen","given":"Pieter"},{"family":"Melis","given":"Lissa"},{"family":"Aktaş","given":"Dilay"},{"family":"Montenegro","given":"Bryan David Galarza"},{"family":"Sartori Vieira","given":"Fábio"},{"family":"Sörensen","given":"Kenneth"}],"accessed":{"date-parts":[["2024",6,21]]},"issued":{"date-parts":[["2022",4,1]]}}}],"schema":"https://github.com/citation-style-language/schema/raw/master/csl-citation.json"} </w:instrText>
      </w:r>
      <w:r w:rsidR="00BB630B">
        <w:rPr>
          <w:b/>
          <w:bCs/>
        </w:rPr>
        <w:fldChar w:fldCharType="separate"/>
      </w:r>
      <w:r w:rsidR="00BB630B" w:rsidRPr="00BB630B">
        <w:t>(Vansteenwegen et al., 2022)</w:t>
      </w:r>
      <w:r w:rsidR="00BB630B">
        <w:rPr>
          <w:b/>
          <w:bCs/>
        </w:rPr>
        <w:fldChar w:fldCharType="end"/>
      </w:r>
      <w:r w:rsidR="00204072">
        <w:t>.</w:t>
      </w:r>
      <w:r w:rsidR="006559F1">
        <w:t xml:space="preserve"> </w:t>
      </w:r>
      <w:r w:rsidR="0036695F">
        <w:t>P</w:t>
      </w:r>
      <w:r w:rsidR="00F92434">
        <w:t>rioritizing these types of physical</w:t>
      </w:r>
      <w:r w:rsidR="0036695F">
        <w:t xml:space="preserve"> transportation </w:t>
      </w:r>
      <w:r w:rsidR="00F92434">
        <w:t xml:space="preserve">infrastructure improvements </w:t>
      </w:r>
      <w:r w:rsidR="0036695F">
        <w:t xml:space="preserve">is particularly important given the substantial direct PPD effect for these population groups, as evidenced in Table 5. </w:t>
      </w:r>
    </w:p>
    <w:p w14:paraId="1D340EB6" w14:textId="77777777" w:rsidR="004414DE" w:rsidRDefault="004414DE" w:rsidP="00D3089B">
      <w:pPr>
        <w:spacing w:after="0" w:line="240" w:lineRule="auto"/>
        <w:rPr>
          <w:b/>
          <w:bCs/>
        </w:rPr>
      </w:pPr>
    </w:p>
    <w:p w14:paraId="5EA95095" w14:textId="630A4CE0" w:rsidR="00DC7402" w:rsidRDefault="00DC7402" w:rsidP="00D3089B">
      <w:pPr>
        <w:spacing w:after="0" w:line="240" w:lineRule="auto"/>
        <w:rPr>
          <w:b/>
          <w:bCs/>
        </w:rPr>
      </w:pPr>
      <w:r>
        <w:rPr>
          <w:b/>
          <w:bCs/>
        </w:rPr>
        <w:t>6. CONCLUSIONS</w:t>
      </w:r>
    </w:p>
    <w:p w14:paraId="32148B5D" w14:textId="3508C51F" w:rsidR="00DC7402" w:rsidRPr="00166BF8" w:rsidRDefault="00CF5194" w:rsidP="008F1D0F">
      <w:pPr>
        <w:spacing w:after="0" w:line="240" w:lineRule="auto"/>
        <w:jc w:val="both"/>
        <w:rPr>
          <w:b/>
          <w:bCs/>
        </w:rPr>
      </w:pPr>
      <w:r>
        <w:t xml:space="preserve">The growth of virtual activities presents </w:t>
      </w:r>
      <w:r w:rsidR="00482796">
        <w:t xml:space="preserve">many opportunities to increase </w:t>
      </w:r>
      <w:r w:rsidR="003A428A">
        <w:t xml:space="preserve">overall activity accessibility, especially </w:t>
      </w:r>
      <w:r w:rsidR="00560A65">
        <w:t>for those with limited transportation options</w:t>
      </w:r>
      <w:r w:rsidR="00482796">
        <w:t xml:space="preserve">. </w:t>
      </w:r>
      <w:r w:rsidR="00045A87">
        <w:t>In the current study, using data from the 2022 National Household Travel Survey, we investigate the</w:t>
      </w:r>
      <w:r w:rsidR="00A364DD">
        <w:t xml:space="preserve"> </w:t>
      </w:r>
      <w:r w:rsidR="008F1D0F">
        <w:t>dissonance</w:t>
      </w:r>
      <w:r w:rsidR="00A364DD">
        <w:t xml:space="preserve"> that exists between how much individuals would like to participate in </w:t>
      </w:r>
      <w:r w:rsidR="003A428A">
        <w:t xml:space="preserve">in-person OH </w:t>
      </w:r>
      <w:r w:rsidR="00A364DD">
        <w:t xml:space="preserve">activities </w:t>
      </w:r>
      <w:r w:rsidR="00A957D4">
        <w:t>and how much they are actually able to</w:t>
      </w:r>
      <w:r w:rsidR="008F1D0F">
        <w:t xml:space="preserve"> (PPD)</w:t>
      </w:r>
      <w:r w:rsidR="00A957D4">
        <w:t xml:space="preserve">, as well as the extent to which virtual </w:t>
      </w:r>
      <w:r w:rsidR="003A428A">
        <w:t xml:space="preserve">participation </w:t>
      </w:r>
      <w:r w:rsidR="00A957D4">
        <w:t xml:space="preserve">can alleviate this </w:t>
      </w:r>
      <w:r w:rsidR="008F1D0F">
        <w:t>dissonance</w:t>
      </w:r>
      <w:r w:rsidR="00A957D4">
        <w:t>.</w:t>
      </w:r>
      <w:r w:rsidR="00787CD6">
        <w:t xml:space="preserve"> </w:t>
      </w:r>
      <w:r w:rsidR="00F17E7A">
        <w:t xml:space="preserve">Our results reveal that </w:t>
      </w:r>
      <w:r w:rsidR="002259E3">
        <w:t xml:space="preserve">low-income individuals, racial minorities, </w:t>
      </w:r>
      <w:r w:rsidR="007B0C52">
        <w:t>older individuals, those without driver’s licenses</w:t>
      </w:r>
      <w:r w:rsidR="000C34FA">
        <w:t xml:space="preserve">, and individuals with medical conditions </w:t>
      </w:r>
      <w:r w:rsidR="003A428A">
        <w:t xml:space="preserve">(that </w:t>
      </w:r>
      <w:r w:rsidR="000C34FA">
        <w:t>limi</w:t>
      </w:r>
      <w:r w:rsidR="003A428A">
        <w:t>t</w:t>
      </w:r>
      <w:r w:rsidR="000C34FA">
        <w:t xml:space="preserve"> </w:t>
      </w:r>
      <w:r w:rsidR="003A428A">
        <w:t xml:space="preserve">their ability to travel) </w:t>
      </w:r>
      <w:r w:rsidR="007B0C52">
        <w:t xml:space="preserve">are more likely to experience </w:t>
      </w:r>
      <w:r w:rsidR="008F1D0F">
        <w:t>PPD</w:t>
      </w:r>
      <w:r w:rsidR="003A428A">
        <w:t xml:space="preserve"> than their peers</w:t>
      </w:r>
      <w:r w:rsidR="007B0C52">
        <w:t xml:space="preserve">. </w:t>
      </w:r>
      <w:r w:rsidR="007806C8">
        <w:t xml:space="preserve">We </w:t>
      </w:r>
      <w:r w:rsidR="008F1D0F">
        <w:t xml:space="preserve">also </w:t>
      </w:r>
      <w:r w:rsidR="007806C8">
        <w:t xml:space="preserve">find significant heterogeneity in the </w:t>
      </w:r>
      <w:r w:rsidR="003A428A">
        <w:t xml:space="preserve">PPD </w:t>
      </w:r>
      <w:r w:rsidR="0046658E">
        <w:t xml:space="preserve">reasons </w:t>
      </w:r>
      <w:r w:rsidR="003A428A">
        <w:t>across different population group</w:t>
      </w:r>
      <w:r w:rsidR="0046658E">
        <w:t xml:space="preserve">s; </w:t>
      </w:r>
      <w:r w:rsidR="00B864B5">
        <w:t xml:space="preserve">low-income individuals and racial minorities tend to attribute </w:t>
      </w:r>
      <w:r w:rsidR="003A428A">
        <w:t>PPD</w:t>
      </w:r>
      <w:r w:rsidR="00B864B5">
        <w:t xml:space="preserve"> to </w:t>
      </w:r>
      <w:r w:rsidR="003A428A">
        <w:t>infrastructure-related</w:t>
      </w:r>
      <w:r w:rsidR="00B864B5">
        <w:t xml:space="preserve"> factors</w:t>
      </w:r>
      <w:r w:rsidR="00CC1CDF">
        <w:t xml:space="preserve"> (</w:t>
      </w:r>
      <w:r w:rsidR="008F1D0F">
        <w:t>such as</w:t>
      </w:r>
      <w:r w:rsidR="00CC1CDF">
        <w:t xml:space="preserve"> “poor destination access,” “not reliable,” and “not affordable”),</w:t>
      </w:r>
      <w:r w:rsidR="00B864B5">
        <w:t xml:space="preserve"> </w:t>
      </w:r>
      <w:r w:rsidR="0046658E">
        <w:t xml:space="preserve">while </w:t>
      </w:r>
      <w:r w:rsidR="00B864B5">
        <w:t xml:space="preserve">older individuals </w:t>
      </w:r>
      <w:r w:rsidR="007806C8">
        <w:t xml:space="preserve">and those with medical conditions tend to attribute dissonance to health problems and </w:t>
      </w:r>
      <w:r w:rsidR="00CC1CDF">
        <w:t xml:space="preserve">COVID </w:t>
      </w:r>
      <w:r w:rsidR="007806C8">
        <w:t xml:space="preserve">concerns. </w:t>
      </w:r>
      <w:r w:rsidR="00B8789A">
        <w:t xml:space="preserve">Finally, </w:t>
      </w:r>
      <w:r w:rsidR="003A428A">
        <w:t>virtual</w:t>
      </w:r>
      <w:r w:rsidR="00B8789A">
        <w:t xml:space="preserve"> </w:t>
      </w:r>
      <w:r w:rsidR="003A428A">
        <w:t>participation</w:t>
      </w:r>
      <w:r w:rsidR="00B8789A">
        <w:t xml:space="preserve"> </w:t>
      </w:r>
      <w:r w:rsidR="003A428A">
        <w:t xml:space="preserve">appears </w:t>
      </w:r>
      <w:r w:rsidR="002C784A">
        <w:t xml:space="preserve">to </w:t>
      </w:r>
      <w:r w:rsidR="00B8789A">
        <w:t xml:space="preserve">help reduce </w:t>
      </w:r>
      <w:r w:rsidR="00CC1CDF">
        <w:t>PPD</w:t>
      </w:r>
      <w:r w:rsidR="00B8789A">
        <w:t xml:space="preserve"> for </w:t>
      </w:r>
      <w:r w:rsidR="00596587">
        <w:t>those with medical conditions, women, older adults, and vehicle</w:t>
      </w:r>
      <w:r w:rsidR="004839E5">
        <w:t>-</w:t>
      </w:r>
      <w:r w:rsidR="00596587">
        <w:t>constrained households</w:t>
      </w:r>
      <w:r w:rsidR="003A428A">
        <w:t>,</w:t>
      </w:r>
      <w:r w:rsidR="00596587">
        <w:t xml:space="preserve"> bu</w:t>
      </w:r>
      <w:r w:rsidR="003A428A">
        <w:t xml:space="preserve">t not </w:t>
      </w:r>
      <w:r w:rsidR="00596587">
        <w:t xml:space="preserve">for </w:t>
      </w:r>
      <w:r w:rsidR="00D66505">
        <w:t>those living in rural areas, low-income indivi</w:t>
      </w:r>
      <w:r w:rsidR="00D66505" w:rsidRPr="00206544">
        <w:t xml:space="preserve">duals, </w:t>
      </w:r>
      <w:r w:rsidR="003A428A">
        <w:t>and</w:t>
      </w:r>
      <w:r w:rsidR="00D66505" w:rsidRPr="00206544">
        <w:t xml:space="preserve"> racial minorities. </w:t>
      </w:r>
      <w:r w:rsidR="007E5278" w:rsidRPr="00206544">
        <w:t xml:space="preserve">These results have important implications, suggesting a growing need to </w:t>
      </w:r>
      <w:r w:rsidR="00E44EFC" w:rsidRPr="00206544">
        <w:t>incorporate both physical and virtual participation modalities into measures of accessibility</w:t>
      </w:r>
      <w:r w:rsidR="00AE49B2" w:rsidRPr="00206544">
        <w:t xml:space="preserve"> </w:t>
      </w:r>
      <w:r w:rsidR="00953213" w:rsidRPr="00206544">
        <w:t>and activity-based travel demand modeling</w:t>
      </w:r>
      <w:r w:rsidR="00E90359" w:rsidRPr="00206544">
        <w:t xml:space="preserve">. </w:t>
      </w:r>
      <w:r w:rsidR="00770EDF" w:rsidRPr="00206544">
        <w:t xml:space="preserve">In terms of employment accessibility, </w:t>
      </w:r>
      <w:r w:rsidR="00847E59" w:rsidRPr="00206544">
        <w:t>telework</w:t>
      </w:r>
      <w:r w:rsidR="00770EDF" w:rsidRPr="00206544">
        <w:t xml:space="preserve"> has significantly changed the need for </w:t>
      </w:r>
      <w:r w:rsidR="008451C0" w:rsidRPr="00206544">
        <w:t>physical access, potentially expanding the reach of many people with limited mobility. Similarly, delivery services should be carefully considered when evaluating access to health</w:t>
      </w:r>
      <w:r w:rsidR="00847E59" w:rsidRPr="00206544">
        <w:t>y</w:t>
      </w:r>
      <w:r w:rsidR="008451C0" w:rsidRPr="00206544">
        <w:t xml:space="preserve"> food, as these service</w:t>
      </w:r>
      <w:r w:rsidR="00847E59" w:rsidRPr="00206544">
        <w:t>s</w:t>
      </w:r>
      <w:r w:rsidR="008451C0" w:rsidRPr="00206544">
        <w:t xml:space="preserve"> may </w:t>
      </w:r>
      <w:r w:rsidR="00847E59" w:rsidRPr="00206544">
        <w:t xml:space="preserve">provide a greater range of options than individuals can access on their own. </w:t>
      </w:r>
      <w:r w:rsidR="005A596D" w:rsidRPr="00206544">
        <w:t xml:space="preserve">At the same time, </w:t>
      </w:r>
      <w:r w:rsidR="00CC1CDF">
        <w:t xml:space="preserve">however, </w:t>
      </w:r>
      <w:r w:rsidR="005A596D" w:rsidRPr="00206544">
        <w:t xml:space="preserve">we find that some existing disparities in physical </w:t>
      </w:r>
      <w:r w:rsidR="00104FEC" w:rsidRPr="00206544">
        <w:t>accessibility</w:t>
      </w:r>
      <w:r w:rsidR="005A596D" w:rsidRPr="00206544">
        <w:t xml:space="preserve"> are rep</w:t>
      </w:r>
      <w:r w:rsidR="003A428A">
        <w:t>licated and exacerbated</w:t>
      </w:r>
      <w:r w:rsidR="005A596D" w:rsidRPr="00206544">
        <w:t xml:space="preserve"> </w:t>
      </w:r>
      <w:r w:rsidR="00104FEC" w:rsidRPr="00206544">
        <w:t>by</w:t>
      </w:r>
      <w:r w:rsidR="00520AEC" w:rsidRPr="00206544">
        <w:t xml:space="preserve"> disparities in</w:t>
      </w:r>
      <w:r w:rsidR="005A596D" w:rsidRPr="00206544">
        <w:t xml:space="preserve"> virtual </w:t>
      </w:r>
      <w:r w:rsidR="00520AEC" w:rsidRPr="00206544">
        <w:t>accessibility</w:t>
      </w:r>
      <w:r w:rsidR="005A596D" w:rsidRPr="00206544">
        <w:t xml:space="preserve">, </w:t>
      </w:r>
      <w:r w:rsidR="00206544">
        <w:t>highlighting the</w:t>
      </w:r>
      <w:r w:rsidR="00520AEC" w:rsidRPr="00206544">
        <w:t xml:space="preserve"> need to </w:t>
      </w:r>
      <w:r w:rsidR="00206544" w:rsidRPr="00206544">
        <w:t xml:space="preserve">carefully consider the </w:t>
      </w:r>
      <w:r w:rsidR="00B94A31">
        <w:t xml:space="preserve">interplay </w:t>
      </w:r>
      <w:r w:rsidR="00206544" w:rsidRPr="00206544">
        <w:t xml:space="preserve">between physical and virtual </w:t>
      </w:r>
      <w:r w:rsidR="00B94A31">
        <w:t>participation from an overall accessibility as well as equity standpoint</w:t>
      </w:r>
      <w:r w:rsidR="00206544" w:rsidRPr="00206544">
        <w:t xml:space="preserve">. </w:t>
      </w:r>
    </w:p>
    <w:p w14:paraId="36ED2D15" w14:textId="77E85DCE" w:rsidR="00821D65" w:rsidRDefault="00821D65" w:rsidP="008D49F1">
      <w:pPr>
        <w:spacing w:after="0" w:line="240" w:lineRule="auto"/>
        <w:jc w:val="both"/>
      </w:pPr>
      <w:r>
        <w:tab/>
      </w:r>
      <w:r w:rsidR="00B94A31">
        <w:t>As with any research</w:t>
      </w:r>
      <w:r w:rsidR="00444053">
        <w:t xml:space="preserve">, there are </w:t>
      </w:r>
      <w:r w:rsidR="00B94A31">
        <w:t xml:space="preserve">several </w:t>
      </w:r>
      <w:r w:rsidR="00444053">
        <w:t xml:space="preserve">avenues to extend this research. </w:t>
      </w:r>
      <w:r>
        <w:t xml:space="preserve">While we provide evidence of the potential of virtual </w:t>
      </w:r>
      <w:r w:rsidR="00B94A31">
        <w:t>participation</w:t>
      </w:r>
      <w:r>
        <w:t xml:space="preserve"> to reduce </w:t>
      </w:r>
      <w:r w:rsidR="00CC1CDF">
        <w:t>PPD</w:t>
      </w:r>
      <w:r w:rsidR="00B94A31">
        <w:t xml:space="preserve"> from an activity accessibility standpoint</w:t>
      </w:r>
      <w:r>
        <w:t xml:space="preserve">, </w:t>
      </w:r>
      <w:r w:rsidR="00B94A31">
        <w:t>we have not examined the broader social</w:t>
      </w:r>
      <w:r w:rsidR="007517B7">
        <w:t xml:space="preserve"> </w:t>
      </w:r>
      <w:r w:rsidR="00B94A31">
        <w:t xml:space="preserve">aspects of the two different activity </w:t>
      </w:r>
      <w:r w:rsidR="00B94A31">
        <w:lastRenderedPageBreak/>
        <w:t>participation</w:t>
      </w:r>
      <w:r w:rsidR="007517B7">
        <w:t xml:space="preserve"> channels</w:t>
      </w:r>
      <w:r w:rsidR="00B94A31">
        <w:t>. F</w:t>
      </w:r>
      <w:r w:rsidR="000B4351" w:rsidRPr="000B4351">
        <w:t>or instance, delivery services may provide better access to healthy food, but obviously do not provide the same level of social interactions that are possible at the neighborhood grocery store. There is a need to consider activity participation at this broader level of fulfilment, satisfaction, and quality of life, beyond simply subjective perceptions of access to activity opportunities afforded by the transportation system. On the opposite end of the spectrum, future studies also can focus on PPD at the more specific levels of activity purpose, travel mode, and location quality of activity performance for individual activity episodes, and expand the consideration of virtual participation to</w:t>
      </w:r>
      <w:r w:rsidR="000B4351">
        <w:t xml:space="preserve"> </w:t>
      </w:r>
      <w:r w:rsidR="008D49F1">
        <w:t xml:space="preserve">include </w:t>
      </w:r>
      <w:r w:rsidR="00166BF8">
        <w:t xml:space="preserve">other online activities such as telemedicine </w:t>
      </w:r>
      <w:r w:rsidR="008D49F1">
        <w:t>and tele</w:t>
      </w:r>
      <w:r w:rsidR="00166BF8">
        <w:t>social activities</w:t>
      </w:r>
      <w:r w:rsidR="008D49F1">
        <w:t>.</w:t>
      </w:r>
      <w:r w:rsidR="003553BE">
        <w:t xml:space="preserve"> In summary, the rich and nuanced interplay between physical and virtual participation offers a variety of research opportunities, especially because of </w:t>
      </w:r>
      <w:r w:rsidR="007517B7">
        <w:t xml:space="preserve">its </w:t>
      </w:r>
      <w:r w:rsidR="003553BE">
        <w:t xml:space="preserve">evolving nature at a time of rapid technological development. </w:t>
      </w:r>
    </w:p>
    <w:p w14:paraId="1DE149F4" w14:textId="77777777" w:rsidR="002949C7" w:rsidRDefault="002949C7" w:rsidP="003E55F4">
      <w:pPr>
        <w:spacing w:after="0" w:line="240" w:lineRule="auto"/>
        <w:jc w:val="both"/>
        <w:rPr>
          <w:b/>
          <w:bCs/>
        </w:rPr>
      </w:pPr>
    </w:p>
    <w:p w14:paraId="5AAAE872" w14:textId="32136A8C" w:rsidR="0009518B" w:rsidRDefault="00DC7402" w:rsidP="003E55F4">
      <w:pPr>
        <w:spacing w:after="0" w:line="240" w:lineRule="auto"/>
        <w:jc w:val="both"/>
      </w:pPr>
      <w:r>
        <w:rPr>
          <w:b/>
          <w:bCs/>
        </w:rPr>
        <w:t>ACKNOWLEDGEMENTS</w:t>
      </w:r>
    </w:p>
    <w:p w14:paraId="47E6C886" w14:textId="76E036E3" w:rsidR="003E55F4" w:rsidRDefault="003E55F4" w:rsidP="003E55F4">
      <w:pPr>
        <w:spacing w:after="0"/>
        <w:jc w:val="both"/>
      </w:pPr>
      <w:r w:rsidRPr="00351D1D">
        <w:t>This research was partially supported by the U.S. Department of Transportation through the Center for Understanding Future Travel Behavior and Demand (TBD) (Grant No. 69A3552344815 and No. 69A3552348320).</w:t>
      </w:r>
      <w:r>
        <w:t xml:space="preserve"> The authors are grateful to Lisa Macias for her help in formatting this document.</w:t>
      </w:r>
    </w:p>
    <w:p w14:paraId="5B49C12D" w14:textId="77777777" w:rsidR="0009518B" w:rsidRDefault="0009518B" w:rsidP="003E55F4">
      <w:pPr>
        <w:spacing w:after="0" w:line="240" w:lineRule="auto"/>
        <w:jc w:val="both"/>
      </w:pPr>
    </w:p>
    <w:p w14:paraId="7CF63844" w14:textId="3A477169" w:rsidR="0009518B" w:rsidRPr="002B0064" w:rsidRDefault="00DC7402" w:rsidP="00DE4E50">
      <w:pPr>
        <w:spacing w:after="0" w:line="240" w:lineRule="auto"/>
        <w:jc w:val="both"/>
        <w:rPr>
          <w:b/>
          <w:bCs/>
        </w:rPr>
      </w:pPr>
      <w:r>
        <w:rPr>
          <w:b/>
          <w:bCs/>
        </w:rPr>
        <w:t>REFERENCES</w:t>
      </w:r>
    </w:p>
    <w:p w14:paraId="06DE5C01" w14:textId="77777777" w:rsidR="00374A3B" w:rsidRPr="003E55F4" w:rsidRDefault="002B0064" w:rsidP="003E55F4">
      <w:pPr>
        <w:pStyle w:val="Bibliography"/>
        <w:ind w:left="540" w:hanging="540"/>
      </w:pPr>
      <w:r>
        <w:fldChar w:fldCharType="begin"/>
      </w:r>
      <w:r w:rsidR="00374A3B">
        <w:instrText xml:space="preserve"> ADDIN ZOTERO_BIBL {"uncited":[],"omitted":[],"custom":[]} CSL_BIBLIOGRAPHY </w:instrText>
      </w:r>
      <w:r>
        <w:fldChar w:fldCharType="separate"/>
      </w:r>
      <w:r w:rsidR="00374A3B" w:rsidRPr="003E55F4">
        <w:t>Agyeman, J., Doran, A., 2021. “You Want Protected Bike Lanes, I Want Protected Black Children. Let’s Link”: Equity, Justice, and the Barriers to Active Transportation in North America. Local Environment 26, 1480–1497. https://doi.org/10.1080/13549839.2021.1978412</w:t>
      </w:r>
    </w:p>
    <w:p w14:paraId="1B7C3582" w14:textId="77777777" w:rsidR="00374A3B" w:rsidRPr="003E55F4" w:rsidRDefault="00374A3B" w:rsidP="003E55F4">
      <w:pPr>
        <w:pStyle w:val="Bibliography"/>
        <w:ind w:left="540" w:hanging="540"/>
      </w:pPr>
      <w:r w:rsidRPr="003E55F4">
        <w:t>Al-Hawari, F., Al-Sammarraie, M., Al-Khaffaf, T., 2020. Design, Validation, and Comparative Analysis of a Private Bus Location Tracking Information System. Journal of Advanced Transportation 2020. https://doi.org/10.1155/2020/8895927</w:t>
      </w:r>
    </w:p>
    <w:p w14:paraId="071D76F9" w14:textId="77777777" w:rsidR="00374A3B" w:rsidRPr="003E55F4" w:rsidRDefault="00374A3B" w:rsidP="003E55F4">
      <w:pPr>
        <w:pStyle w:val="Bibliography"/>
        <w:ind w:left="540" w:hanging="540"/>
      </w:pPr>
      <w:r w:rsidRPr="003E55F4">
        <w:t>Allen, J., Farber, S., 2020. Planning Transport for Social Inclusion: An Accessibility-Activity Participation Approach. Transportation Research Part D: Transport and Environment 78. https://doi.org/10.1016/j.trd.2019.102212</w:t>
      </w:r>
    </w:p>
    <w:p w14:paraId="1069F185" w14:textId="77777777" w:rsidR="00374A3B" w:rsidRPr="003E55F4" w:rsidRDefault="00374A3B" w:rsidP="003E55F4">
      <w:pPr>
        <w:pStyle w:val="Bibliography"/>
        <w:ind w:left="540" w:hanging="540"/>
      </w:pPr>
      <w:r w:rsidRPr="003E55F4">
        <w:t>An, Z., Heinen, E., Watling, D., 2022. Multimodal Travel Behaviour, Attitudes, and Cognitive Dissonance. Transportation Research Part F: Traffic Psychology and Behaviour 91, 260–273. https://doi.org/10.1016/j.trf.2022.10.007</w:t>
      </w:r>
    </w:p>
    <w:p w14:paraId="4B634499" w14:textId="77777777" w:rsidR="00374A3B" w:rsidRPr="003E55F4" w:rsidRDefault="00374A3B" w:rsidP="003E55F4">
      <w:pPr>
        <w:pStyle w:val="Bibliography"/>
        <w:ind w:left="540" w:hanging="540"/>
      </w:pPr>
      <w:r w:rsidRPr="003E55F4">
        <w:t>Anderson, S.M., Asmussen, K.E., Saxena, S., Batur, I., Pendyala, R.M., Bhat, C.R., 2024. An Investigation of Dissonance in Telework Frequency. Transportation Research Part C: Emerging Technologies.</w:t>
      </w:r>
    </w:p>
    <w:p w14:paraId="3A4B6DC9" w14:textId="77777777" w:rsidR="00374A3B" w:rsidRPr="003E55F4" w:rsidRDefault="00374A3B" w:rsidP="003E55F4">
      <w:pPr>
        <w:pStyle w:val="Bibliography"/>
        <w:ind w:left="540" w:hanging="540"/>
      </w:pPr>
      <w:r w:rsidRPr="003E55F4">
        <w:t>Åslund, O., Östh, J., Zenou, Y., 2010. How Important Is Access to Jobs? Old Question—Improved Answer. Journal of Economic Geography 10, 389–422. https://doi.org/10.1093/jeg/lbp040</w:t>
      </w:r>
    </w:p>
    <w:p w14:paraId="7ABF8771" w14:textId="77777777" w:rsidR="00374A3B" w:rsidRPr="003E55F4" w:rsidRDefault="00374A3B" w:rsidP="003E55F4">
      <w:pPr>
        <w:pStyle w:val="Bibliography"/>
        <w:ind w:left="540" w:hanging="540"/>
      </w:pPr>
      <w:r w:rsidRPr="003E55F4">
        <w:t>Asmussen, K., Mondal, A., Bhat, C.R., 2023. The Interplay Between Teleworking Choice and Commute Distance. Transportation Research Part C: Emerging Technologies.</w:t>
      </w:r>
    </w:p>
    <w:p w14:paraId="20BBE892" w14:textId="77777777" w:rsidR="00374A3B" w:rsidRPr="003E55F4" w:rsidRDefault="00374A3B" w:rsidP="003E55F4">
      <w:pPr>
        <w:pStyle w:val="Bibliography"/>
        <w:ind w:left="540" w:hanging="540"/>
      </w:pPr>
      <w:r w:rsidRPr="003E55F4">
        <w:t>Asmussen, K.E., Mondal, A., Batur, I., Dirks, A., Pendyala, R.M., Bhat, C.R., 2024. An Investigation of Individual-Level Telework Arrangements in the COVID-Era. Transportation Research Part A: Policy and Practice 179. https://doi.org/10.1016/j.tra.2023.103888</w:t>
      </w:r>
    </w:p>
    <w:p w14:paraId="63D5FFE1" w14:textId="77777777" w:rsidR="00374A3B" w:rsidRPr="003E55F4" w:rsidRDefault="00374A3B" w:rsidP="003E55F4">
      <w:pPr>
        <w:pStyle w:val="Bibliography"/>
        <w:ind w:left="540" w:hanging="540"/>
      </w:pPr>
      <w:r w:rsidRPr="003E55F4">
        <w:lastRenderedPageBreak/>
        <w:t>Bantis, T., Haworth, J., 2020. Assessing Transport Related Social Exclusion Using a Capabilities Approach to Accessibility Framework: A Dynamic Bayesian Network Approach. Journal of Transport Geography 84. https://doi.org/10.1016/j.jtrangeo.2020.102673</w:t>
      </w:r>
    </w:p>
    <w:p w14:paraId="23C64896" w14:textId="77777777" w:rsidR="00374A3B" w:rsidRPr="003E55F4" w:rsidRDefault="00374A3B" w:rsidP="003E55F4">
      <w:pPr>
        <w:pStyle w:val="Bibliography"/>
        <w:ind w:left="540" w:hanging="540"/>
      </w:pPr>
      <w:r w:rsidRPr="003E55F4">
        <w:t>Barajas, J.M., 2021. Biking Where Black: Connecting Transportation Planning and Infrastructure to Disproportionate Policing. Transportation Research Part D: Transport and Environment 99, 103027. https://doi.org/10.1016/j.trd.2021.103027</w:t>
      </w:r>
    </w:p>
    <w:p w14:paraId="08DB60E9" w14:textId="77777777" w:rsidR="00374A3B" w:rsidRPr="003E55F4" w:rsidRDefault="00374A3B" w:rsidP="003E55F4">
      <w:pPr>
        <w:pStyle w:val="Bibliography"/>
        <w:ind w:left="540" w:hanging="540"/>
      </w:pPr>
      <w:r w:rsidRPr="003E55F4">
        <w:t>Beale, K., Kapatsila, B., Grisé, E., 2023. Integrating Public Transit and Shared Micromobility Payments to Improve Transportation Equity in Seattle, WA. Transportation Research Record 2677, 968–980. https://doi.org/10.1177/03611981221103233</w:t>
      </w:r>
    </w:p>
    <w:p w14:paraId="632189E2" w14:textId="77777777" w:rsidR="00374A3B" w:rsidRPr="003E55F4" w:rsidRDefault="00374A3B" w:rsidP="003E55F4">
      <w:pPr>
        <w:pStyle w:val="Bibliography"/>
        <w:ind w:left="540" w:hanging="540"/>
      </w:pPr>
      <w:r w:rsidRPr="003E55F4">
        <w:t>Bernardo, C., Paleti, R., Hoklas, M., Bhat, C., 2015. An Empirical Investigation into the Time-Use and Activity Patterns of Dual-Earner Couples with and Without Young Children. Transportation Research Part A: Policy and Practice, Emerging data and methodological considerations in time-use analysis 76, 71–91. https://doi.org/10.1016/j.tra.2014.12.006</w:t>
      </w:r>
    </w:p>
    <w:p w14:paraId="18B388A2" w14:textId="77777777" w:rsidR="00374A3B" w:rsidRPr="003E55F4" w:rsidRDefault="00374A3B" w:rsidP="003E55F4">
      <w:pPr>
        <w:pStyle w:val="Bibliography"/>
        <w:ind w:left="540" w:hanging="540"/>
      </w:pPr>
      <w:r w:rsidRPr="003E55F4">
        <w:t>Bezyak, J.L., Sabella, S., Hammel, J., McDonald, K., Jones, R.A., Barton, D., 2020. Community Participation and Public Transportation Barriers Experienced by People with Disabilities. Disability and Rehabilitation 42, 3275–3283. https://doi.org/10.1080/09638288.2019.1590469</w:t>
      </w:r>
    </w:p>
    <w:p w14:paraId="3A8D670C" w14:textId="77777777" w:rsidR="00374A3B" w:rsidRPr="003E55F4" w:rsidRDefault="00374A3B" w:rsidP="003E55F4">
      <w:pPr>
        <w:pStyle w:val="Bibliography"/>
        <w:ind w:left="540" w:hanging="540"/>
      </w:pPr>
      <w:r w:rsidRPr="003E55F4">
        <w:t>Bhat, C.R., 2018. New Matrix-Based Methods for the Analytic Evaluation of the Multivariate Cumulative Normal Distribution Function. Transportation Research Part B: Methodological 109, 238–256. https://doi.org/10.1016/j.trb.2018.01.011</w:t>
      </w:r>
    </w:p>
    <w:p w14:paraId="5DB71A0A" w14:textId="77777777" w:rsidR="00374A3B" w:rsidRPr="003E55F4" w:rsidRDefault="00374A3B" w:rsidP="003E55F4">
      <w:pPr>
        <w:pStyle w:val="Bibliography"/>
        <w:ind w:left="540" w:hanging="540"/>
      </w:pPr>
      <w:r w:rsidRPr="003E55F4">
        <w:t>Bhat, C.R., 2015. A New Generalized Heterogeneous Data Model (GHDM) to Jointly Model Mixed Types of Dependent Variables. Transportation Research Part B: Methodological 79, 50–77. https://doi.org/10.1016/j.trb.2015.05.017</w:t>
      </w:r>
    </w:p>
    <w:p w14:paraId="546ED3F0" w14:textId="77777777" w:rsidR="00374A3B" w:rsidRPr="003E55F4" w:rsidRDefault="00374A3B" w:rsidP="003E55F4">
      <w:pPr>
        <w:pStyle w:val="Bibliography"/>
        <w:ind w:left="540" w:hanging="540"/>
      </w:pPr>
      <w:r w:rsidRPr="003E55F4">
        <w:t>Bills, T.S., Twumasi-Boakye, R., Broaddus, A., Fishelson, J., 2022. Towards Transit Equity in Detroit: An Assessment of Microtransit and Its Impact on Employment Accessibility. Transportation Research Part D: Transport and Environment 109. https://doi.org/10.1016/j.trd.2022.103341</w:t>
      </w:r>
    </w:p>
    <w:p w14:paraId="3AC58404" w14:textId="77777777" w:rsidR="00374A3B" w:rsidRPr="003E55F4" w:rsidRDefault="00374A3B" w:rsidP="003E55F4">
      <w:pPr>
        <w:pStyle w:val="Bibliography"/>
        <w:ind w:left="540" w:hanging="540"/>
      </w:pPr>
      <w:r w:rsidRPr="003E55F4">
        <w:t>Blumenberg, E., Brown, A., Schouten, A., 2020. Car-Deficit Households: Determinants and Implications for Household Travel in the U.S. Transportation 47, 1103–1125. https://doi.org/10.1007/s11116-018-9956-6</w:t>
      </w:r>
    </w:p>
    <w:p w14:paraId="46666186" w14:textId="77777777" w:rsidR="00374A3B" w:rsidRPr="003E55F4" w:rsidRDefault="00374A3B" w:rsidP="003E55F4">
      <w:pPr>
        <w:pStyle w:val="Bibliography"/>
        <w:ind w:left="540" w:hanging="540"/>
      </w:pPr>
      <w:r w:rsidRPr="003E55F4">
        <w:t>Budnitz, H., Tranos, E., Chapman, L., 2020. Telecommuting and Other Trips: An English Case Study. Journal of Transport Geography 85. https://doi.org/10.1016/j.jtrangeo.2020.102713</w:t>
      </w:r>
    </w:p>
    <w:p w14:paraId="60B823E0" w14:textId="77777777" w:rsidR="00374A3B" w:rsidRPr="003E55F4" w:rsidRDefault="00374A3B" w:rsidP="003E55F4">
      <w:pPr>
        <w:pStyle w:val="Bibliography"/>
        <w:ind w:left="540" w:hanging="540"/>
      </w:pPr>
      <w:r w:rsidRPr="003E55F4">
        <w:t>Buettner, S.A., Pasch, K.E., Poulos, N.S., 2023. Factors Associated with Food Delivery App use Among Young Adults. Journal of Community Health 48, 840–846. https://doi.org/10.1007/s10900-023-01229-1</w:t>
      </w:r>
    </w:p>
    <w:p w14:paraId="13452C2F" w14:textId="77777777" w:rsidR="00374A3B" w:rsidRPr="003E55F4" w:rsidRDefault="00374A3B" w:rsidP="003E55F4">
      <w:pPr>
        <w:pStyle w:val="Bibliography"/>
        <w:ind w:left="540" w:hanging="540"/>
      </w:pPr>
      <w:r w:rsidRPr="003E55F4">
        <w:t>Carrion, C., Levinson, D., 2012. Value of Travel Time Reliability: A Review of Current Evidence. Transportation Research Part A: Policy and Practice 46, 720–741. https://doi.org/10.1016/j.tra.2012.01.003</w:t>
      </w:r>
    </w:p>
    <w:p w14:paraId="5FBCB873" w14:textId="77777777" w:rsidR="00374A3B" w:rsidRPr="003E55F4" w:rsidRDefault="00374A3B" w:rsidP="003E55F4">
      <w:pPr>
        <w:pStyle w:val="Bibliography"/>
        <w:ind w:left="540" w:hanging="540"/>
      </w:pPr>
      <w:r w:rsidRPr="003E55F4">
        <w:t>Cavallaro, F., Dianin, A., 2022. Combining Transport and Digital Accessibilities in the Evaluation of Regional Work Opportunities. Journal of Transport Geography 98. https://doi.org/10.1016/j.jtrangeo.2021.103224</w:t>
      </w:r>
    </w:p>
    <w:p w14:paraId="65FD0883" w14:textId="77777777" w:rsidR="00374A3B" w:rsidRPr="003E55F4" w:rsidRDefault="00374A3B" w:rsidP="003E55F4">
      <w:pPr>
        <w:pStyle w:val="Bibliography"/>
        <w:ind w:left="540" w:hanging="540"/>
      </w:pPr>
      <w:r w:rsidRPr="003E55F4">
        <w:t>Chen, B.Y., Yuan, H., Li, Q., Wang, D., Shaw, S.-L., Chen, H.-P., Lam, W.H.K., 2017. Measuring Place-Based Accessibility Under Travel Time Uncertainty. International Journal of Geographical Information Science 31, 783–804. https://doi.org/10.1080/13658816.2016.1238919</w:t>
      </w:r>
    </w:p>
    <w:p w14:paraId="373C89A5" w14:textId="77777777" w:rsidR="00374A3B" w:rsidRPr="003E55F4" w:rsidRDefault="00374A3B" w:rsidP="003E55F4">
      <w:pPr>
        <w:pStyle w:val="Bibliography"/>
        <w:ind w:left="540" w:hanging="540"/>
      </w:pPr>
      <w:r w:rsidRPr="003E55F4">
        <w:lastRenderedPageBreak/>
        <w:t>Chen, J., Cui, M., Levinson, D., 2024. The Cost of Shopping: Measuring Virtual and Physical Access for Obtaining Goods. TeMA - Journal of Land Use, Mobility and Environment 17, 129–145. https://doi.org/10.6093/1970-9870/10688</w:t>
      </w:r>
    </w:p>
    <w:p w14:paraId="287942AE" w14:textId="77777777" w:rsidR="00374A3B" w:rsidRPr="003E55F4" w:rsidRDefault="00374A3B" w:rsidP="003E55F4">
      <w:pPr>
        <w:pStyle w:val="Bibliography"/>
        <w:ind w:left="540" w:hanging="540"/>
      </w:pPr>
      <w:r w:rsidRPr="003E55F4">
        <w:t>Chen, Y., Hou, A.Y.C., Huang, L., 2021. Development of Distance Education in Chinese Higher Education in Perspectives of Accessibility, Quality and Equity Under COVID-19. Asian Education and Development Studies 11, 356–365. https://doi.org/10.1108/AEDS-05-2020-0118</w:t>
      </w:r>
    </w:p>
    <w:p w14:paraId="4EFFC87B" w14:textId="77777777" w:rsidR="00374A3B" w:rsidRPr="003E55F4" w:rsidRDefault="00374A3B" w:rsidP="003E55F4">
      <w:pPr>
        <w:pStyle w:val="Bibliography"/>
        <w:ind w:left="540" w:hanging="540"/>
      </w:pPr>
      <w:r w:rsidRPr="003E55F4">
        <w:t>Ciccarelli, F.C., Mariotti, I., 2024. Chapter 15: Remote work, coworking spaces, and wellbeing during the COVID-19 pandemic and beyond: exploring peripheral and rural areas, in: Andres, L., Bryson, J.R., Ersoy, A., Reardon, L. (Eds.), Pandemic Recovery? Reframing and Rescaling Societal Challenges, Geography, Planning, and Tourism 2024. Elgar, pp. 209–220.</w:t>
      </w:r>
    </w:p>
    <w:p w14:paraId="45BAE429" w14:textId="77777777" w:rsidR="00374A3B" w:rsidRPr="003E55F4" w:rsidRDefault="00374A3B" w:rsidP="003E55F4">
      <w:pPr>
        <w:pStyle w:val="Bibliography"/>
        <w:ind w:left="540" w:hanging="540"/>
      </w:pPr>
      <w:r w:rsidRPr="003E55F4">
        <w:t>Cochran, A.L., 2020. Impacts of COVID-19 on Access to Transportation for People with Disabilities. Transportation Research Interdisciplinary Perspectives 8. https://doi.org/10.1016/j.trip.2020.100263</w:t>
      </w:r>
    </w:p>
    <w:p w14:paraId="2DCFCBB1" w14:textId="77777777" w:rsidR="00374A3B" w:rsidRPr="003E55F4" w:rsidRDefault="00374A3B" w:rsidP="003E55F4">
      <w:pPr>
        <w:pStyle w:val="Bibliography"/>
        <w:ind w:left="540" w:hanging="540"/>
      </w:pPr>
      <w:r w:rsidRPr="003E55F4">
        <w:t>Currie, G., Delbosc, A., Mahmoud, S., 2013. Factors Influencing Young Peoples ‘ Perceptions of Personal Safety on Public Transport. Journal of Public Transportation 16, 1–19. https://doi.org/10.5038/2375-0901.16.1.1</w:t>
      </w:r>
    </w:p>
    <w:p w14:paraId="17C61421" w14:textId="77777777" w:rsidR="00374A3B" w:rsidRPr="003E55F4" w:rsidRDefault="00374A3B" w:rsidP="003E55F4">
      <w:pPr>
        <w:pStyle w:val="Bibliography"/>
        <w:ind w:left="540" w:hanging="540"/>
      </w:pPr>
      <w:r w:rsidRPr="003E55F4">
        <w:t>Currie, G., Richardson, T., Smyth, P., Vella-Brodrick, D., Hine, J., Lucas, K., Stanley, Janet, Morris, J., Kinnear, R., Stanley, John, 2010. Investigating Links Between Transport Disadvantage, Social Exclusion and Well-Being in Melbourne – Updated Results. Research in Transportation Economics, Reforming Public Transport throughout the World 29, 287–295. https://doi.org/10.1016/j.retrec.2010.07.036</w:t>
      </w:r>
    </w:p>
    <w:p w14:paraId="24FEECC3" w14:textId="77777777" w:rsidR="00374A3B" w:rsidRPr="003E55F4" w:rsidRDefault="00374A3B" w:rsidP="003E55F4">
      <w:pPr>
        <w:pStyle w:val="Bibliography"/>
        <w:ind w:left="540" w:hanging="540"/>
      </w:pPr>
      <w:r w:rsidRPr="003E55F4">
        <w:t>Dabelko-Schoeny, H., Maleku, A., Cao, Q., White, K., Ozbilen, B., 2021. “We Want to Go, but There Are No Options”: Exploring Barriers and Facilitators of Transportation Among Diverse Older Adults. Journal of Transport &amp; Health 20. https://doi.org/10.1016/j.jth.2020.100994</w:t>
      </w:r>
    </w:p>
    <w:p w14:paraId="62CDC636" w14:textId="77777777" w:rsidR="00374A3B" w:rsidRPr="003E55F4" w:rsidRDefault="00374A3B" w:rsidP="003E55F4">
      <w:pPr>
        <w:pStyle w:val="Bibliography"/>
        <w:ind w:left="540" w:hanging="540"/>
      </w:pPr>
      <w:r w:rsidRPr="003E55F4">
        <w:t>Dannenberg, P., Fuchs, M., Riedler, T., Wiedemann, C., 2020. Digital Transition by COVID-19 Pandemic? The German Food Online Retail. Tijdschrift voor Economische en Sociale Geografie 111, 543–560. https://doi.org/10.1111/tesg.12453</w:t>
      </w:r>
    </w:p>
    <w:p w14:paraId="0B39E980" w14:textId="77777777" w:rsidR="00374A3B" w:rsidRPr="003E55F4" w:rsidRDefault="00374A3B" w:rsidP="003E55F4">
      <w:pPr>
        <w:pStyle w:val="Bibliography"/>
        <w:ind w:left="540" w:hanging="540"/>
      </w:pPr>
      <w:r w:rsidRPr="003E55F4">
        <w:t>De Vos, J., 2018. Do People Travel with Their Preferred Travel Mode? Analysing the Extent of Travel Mode Dissonance and Its Effect on Travel Satisfaction. Transportation Research Part A: Policy and Practice 117, 261–274. https://doi.org/10.1016/j.tra.2018.08.034</w:t>
      </w:r>
    </w:p>
    <w:p w14:paraId="47BF8BD9" w14:textId="77777777" w:rsidR="00374A3B" w:rsidRPr="003E55F4" w:rsidRDefault="00374A3B" w:rsidP="003E55F4">
      <w:pPr>
        <w:pStyle w:val="Bibliography"/>
        <w:ind w:left="540" w:hanging="540"/>
      </w:pPr>
      <w:r w:rsidRPr="003E55F4">
        <w:t>De Vos, J., Lättman, K., van der Vlugt, A.-L., Welsch, J., Otsuka, N., 2023. Determinants and Effects of Perceived Walkability: A Literature Review, Conceptual Model and Research Agenda. Transport Reviews 43, 303–324. https://doi.org/10.1080/01441647.2022.2101072</w:t>
      </w:r>
    </w:p>
    <w:p w14:paraId="1A64CE17" w14:textId="77777777" w:rsidR="00374A3B" w:rsidRPr="003E55F4" w:rsidRDefault="00374A3B" w:rsidP="003E55F4">
      <w:pPr>
        <w:pStyle w:val="Bibliography"/>
        <w:ind w:left="540" w:hanging="540"/>
      </w:pPr>
      <w:r w:rsidRPr="003E55F4">
        <w:t>De Vos, J., Singleton, P.A., 2020. Travel and cognitive dissonance. Transportation Research Part A: Policy and Practice 138, 525–536. https://doi.org/10.1016/j.tra.2020.06.014</w:t>
      </w:r>
    </w:p>
    <w:p w14:paraId="2842FC0F" w14:textId="77777777" w:rsidR="00374A3B" w:rsidRPr="003E55F4" w:rsidRDefault="00374A3B" w:rsidP="003E55F4">
      <w:pPr>
        <w:pStyle w:val="Bibliography"/>
        <w:ind w:left="540" w:hanging="540"/>
      </w:pPr>
      <w:r w:rsidRPr="003E55F4">
        <w:t>Deboosere, R., El-Geneidy, A., 2018. Evaluating Equity and Accessibility to Jobs by Public Transport Across Canada. Journal of Transport Geography 73, 54–63. https://doi.org/10.1016/j.jtrangeo.2018.10.006</w:t>
      </w:r>
    </w:p>
    <w:p w14:paraId="2CCC8BAA" w14:textId="77777777" w:rsidR="00374A3B" w:rsidRPr="003E55F4" w:rsidRDefault="00374A3B" w:rsidP="003E55F4">
      <w:pPr>
        <w:pStyle w:val="Bibliography"/>
        <w:ind w:left="540" w:hanging="540"/>
      </w:pPr>
      <w:r w:rsidRPr="003E55F4">
        <w:t>Dias, F.F., Lavieri, P.S., Sharda, S., Khoeini, S., Bhat, C.R., Pendyala, R.M., Pinjari, A.R., Ramadurai, G., Srinivasan, K.K., 2020. A Comparison of Online and in-Person Activity Engagement: The Case of Shopping and Eating Meals. Transportation Research Part C: Emerging Technologies 114, 643–656. https://doi.org/10.1016/j.trc.2020.02.023</w:t>
      </w:r>
    </w:p>
    <w:p w14:paraId="3E16C5C9" w14:textId="77777777" w:rsidR="00374A3B" w:rsidRPr="003E55F4" w:rsidRDefault="00374A3B" w:rsidP="003E55F4">
      <w:pPr>
        <w:pStyle w:val="Bibliography"/>
        <w:ind w:left="540" w:hanging="540"/>
      </w:pPr>
      <w:r w:rsidRPr="003E55F4">
        <w:lastRenderedPageBreak/>
        <w:t>Dillahunt, T.R., Veinot, T.C., 2018. Getting There: Barriers and Facilitators to Transportation Access in Underserved Communities. ACM Transactions on Computer-Human Interaction 25, 29:1-29:39. https://doi.org/10.1145/3233985</w:t>
      </w:r>
    </w:p>
    <w:p w14:paraId="0AAE7F5F" w14:textId="77777777" w:rsidR="00374A3B" w:rsidRPr="003E55F4" w:rsidRDefault="00374A3B" w:rsidP="003E55F4">
      <w:pPr>
        <w:pStyle w:val="Bibliography"/>
        <w:ind w:left="540" w:hanging="540"/>
      </w:pPr>
      <w:r w:rsidRPr="003E55F4">
        <w:t>Ding, Y., Lu, H., 2017. The Interactions Between Online Shopping and Personal Activity Travel Behavior: An Analysis with a GPS-Based Activity Travel Diary. Transportation 44, 311–324. https://doi.org/10.1007/s11116-015-9639-5</w:t>
      </w:r>
    </w:p>
    <w:p w14:paraId="635920B3" w14:textId="77777777" w:rsidR="00374A3B" w:rsidRPr="003E55F4" w:rsidRDefault="00374A3B" w:rsidP="003E55F4">
      <w:pPr>
        <w:pStyle w:val="Bibliography"/>
        <w:ind w:left="540" w:hanging="540"/>
      </w:pPr>
      <w:r w:rsidRPr="003E55F4">
        <w:t>Dirks, A., Batur, I., Mondal, A., Magassy, T.B., Pendyala, R.M., Haddad, A., Bhat, C.R., Chen, C., Salon, D., Bhagat-Conway, M.W., Mohammadi, M., Chauhan, R., Mohammadian, A., Derrible, S., 2022. Access to Food in a Severe Prolonged Disruption: The Case of Grocery and Meal Shopping During the COVID-19 Pandemic. Technical paper, Department of Civil, Architectural and Environmental Engineering, The University of Texas at Austin.</w:t>
      </w:r>
    </w:p>
    <w:p w14:paraId="6D484DEA" w14:textId="77777777" w:rsidR="00374A3B" w:rsidRPr="003E55F4" w:rsidRDefault="00374A3B" w:rsidP="003E55F4">
      <w:pPr>
        <w:pStyle w:val="Bibliography"/>
        <w:ind w:left="540" w:hanging="540"/>
      </w:pPr>
      <w:r w:rsidRPr="003E55F4">
        <w:t>Dixit, M., Sivakumar, A., 2020. Capturing the Impact of Individual Characteristics on Transport Accessibility and Equity Analysis. Transportation Research Part D: Transport and Environment 87. https://doi.org/10.1016/j.trd.2020.102473</w:t>
      </w:r>
    </w:p>
    <w:p w14:paraId="09E1F083" w14:textId="77777777" w:rsidR="00374A3B" w:rsidRPr="003E55F4" w:rsidRDefault="00374A3B" w:rsidP="003E55F4">
      <w:pPr>
        <w:pStyle w:val="Bibliography"/>
        <w:ind w:left="540" w:hanging="540"/>
      </w:pPr>
      <w:r w:rsidRPr="003E55F4">
        <w:t>Dong, H., Ma, S., Jia, N., Tian, J., 2021. Understanding Public Transport Satisfaction in Post COVID-19 Pandemic. Transport Policy 101, 81–88. https://doi.org/10.1016/j.tranpol.2020.12.004</w:t>
      </w:r>
    </w:p>
    <w:p w14:paraId="3BD497A6" w14:textId="77777777" w:rsidR="00374A3B" w:rsidRPr="003E55F4" w:rsidRDefault="00374A3B" w:rsidP="003E55F4">
      <w:pPr>
        <w:pStyle w:val="Bibliography"/>
        <w:ind w:left="540" w:hanging="540"/>
      </w:pPr>
      <w:r w:rsidRPr="003E55F4">
        <w:t>El-Assi, W., Salah Mahmoud, M., Nurul Habib, K., 2017. Effects of Built Environment and Weather on Bike Sharing Demand: A Station Level Analysis of Commercial Bike Sharing in Toronto. Transportation 44, 589–613. https://doi.org/10.1007/s11116-015-9669-z</w:t>
      </w:r>
    </w:p>
    <w:p w14:paraId="65CA8EC6" w14:textId="77777777" w:rsidR="00374A3B" w:rsidRPr="003E55F4" w:rsidRDefault="00374A3B" w:rsidP="003E55F4">
      <w:pPr>
        <w:pStyle w:val="Bibliography"/>
        <w:ind w:left="540" w:hanging="540"/>
      </w:pPr>
      <w:r w:rsidRPr="003E55F4">
        <w:t>Elldér, E., 2020. Telework and Daily Travel: New Evidence from Sweden. Journal of Transport Geography 86. https://doi.org/10.1016/j.jtrangeo.2020.102777</w:t>
      </w:r>
    </w:p>
    <w:p w14:paraId="26D4291C" w14:textId="77777777" w:rsidR="00374A3B" w:rsidRPr="003E55F4" w:rsidRDefault="00374A3B" w:rsidP="003E55F4">
      <w:pPr>
        <w:pStyle w:val="Bibliography"/>
        <w:ind w:left="540" w:hanging="540"/>
      </w:pPr>
      <w:r w:rsidRPr="003E55F4">
        <w:t>Erjavec, J., Manfreda, A., 2022. Online Shopping Adoption During Covid-19 and Social Isolation: Extending the UTAUT Model with Herd Behavior. Journal of Retailing and Consumer Services 65. https://doi.org/10.1016/j.jretconser.2021.102867</w:t>
      </w:r>
    </w:p>
    <w:p w14:paraId="3439CF38" w14:textId="77777777" w:rsidR="00374A3B" w:rsidRPr="003E55F4" w:rsidRDefault="00374A3B" w:rsidP="003E55F4">
      <w:pPr>
        <w:pStyle w:val="Bibliography"/>
        <w:ind w:left="540" w:hanging="540"/>
      </w:pPr>
      <w:r w:rsidRPr="003E55F4">
        <w:t>Etminani-Ghasrodashti, R., Hamidi, S., 2020. Online Shopping as a Substitute or Complement to in-Store Shopping Trips in Iran? Cities 103. https://doi.org/10.1016/j.cities.2020.102768</w:t>
      </w:r>
    </w:p>
    <w:p w14:paraId="28CF6C17" w14:textId="77777777" w:rsidR="00374A3B" w:rsidRPr="003E55F4" w:rsidRDefault="00374A3B" w:rsidP="003E55F4">
      <w:pPr>
        <w:pStyle w:val="Bibliography"/>
        <w:ind w:left="540" w:hanging="540"/>
      </w:pPr>
      <w:r w:rsidRPr="003E55F4">
        <w:t>Fabusuyi, T., Twumasi-Boakye, R., Broaddus, A., Fishelson, J., Hampshire, R.C., 2020. Estimating Small Area Demand for Online Package Delivery. Journal of Transport Geography 88. https://doi.org/10.1016/j.jtrangeo.2020.102864</w:t>
      </w:r>
    </w:p>
    <w:p w14:paraId="3872728A" w14:textId="77777777" w:rsidR="00374A3B" w:rsidRPr="003E55F4" w:rsidRDefault="00374A3B" w:rsidP="003E55F4">
      <w:pPr>
        <w:pStyle w:val="Bibliography"/>
        <w:ind w:left="540" w:hanging="540"/>
      </w:pPr>
      <w:r w:rsidRPr="003E55F4">
        <w:t>Federal Highway Administration, 2023. 2022 NextGen National Household Travel Survey. https://nhts.ornl.gov</w:t>
      </w:r>
    </w:p>
    <w:p w14:paraId="19A0FD37" w14:textId="77777777" w:rsidR="00374A3B" w:rsidRPr="003E55F4" w:rsidRDefault="00374A3B" w:rsidP="003E55F4">
      <w:pPr>
        <w:pStyle w:val="Bibliography"/>
        <w:ind w:left="540" w:hanging="540"/>
      </w:pPr>
      <w:r w:rsidRPr="003E55F4">
        <w:t>Feraco, A., Armani, A., Amoah, I., Guseva, E., Camajani, E., Gorini, S., Strollo, R., Padua, E., Caprio, M., Lombardo, M., 2024. Assessing gender differences in food preferences and physical activity: a population-based survey. Front. Nutr. 11. https://doi.org/10.3389/fnut.2024.1348456</w:t>
      </w:r>
    </w:p>
    <w:p w14:paraId="501EDBBB" w14:textId="77777777" w:rsidR="00374A3B" w:rsidRPr="003E55F4" w:rsidRDefault="00374A3B" w:rsidP="003E55F4">
      <w:pPr>
        <w:pStyle w:val="Bibliography"/>
        <w:ind w:left="540" w:hanging="540"/>
      </w:pPr>
      <w:r w:rsidRPr="003E55F4">
        <w:t>Festinger, L., 1975. A Theory of Cognitive Dissonance. Row, Peterson, and Company, Evanston, IL.</w:t>
      </w:r>
    </w:p>
    <w:p w14:paraId="4AE069FA" w14:textId="77777777" w:rsidR="00374A3B" w:rsidRPr="003E55F4" w:rsidRDefault="00374A3B" w:rsidP="003E55F4">
      <w:pPr>
        <w:pStyle w:val="Bibliography"/>
        <w:ind w:left="540" w:hanging="540"/>
      </w:pPr>
      <w:r w:rsidRPr="003E55F4">
        <w:t>Geurs, K.T., van Wee, B., 2004. Accessibility Evaluation of Land-Use and Transport Strategies: Review and Research Directions. Journal of Transport Geography 12, 127–140. https://doi.org/10.1016/j.jtrangeo.2003.10.005</w:t>
      </w:r>
    </w:p>
    <w:p w14:paraId="1E4E7BE1" w14:textId="77777777" w:rsidR="00374A3B" w:rsidRPr="003E55F4" w:rsidRDefault="00374A3B" w:rsidP="003E55F4">
      <w:pPr>
        <w:pStyle w:val="Bibliography"/>
        <w:ind w:left="540" w:hanging="540"/>
      </w:pPr>
      <w:r w:rsidRPr="003E55F4">
        <w:t>Gliebe, J.P., Koppelman, F.S., 2005. Modeling Household Activity–Travel Interactions as Parallel Constrained Choices. Transportation 32, 449–471. https://doi.org/10.1007/s11116-005-5328-0</w:t>
      </w:r>
    </w:p>
    <w:p w14:paraId="43F33B55" w14:textId="77777777" w:rsidR="00374A3B" w:rsidRPr="003E55F4" w:rsidRDefault="00374A3B" w:rsidP="003E55F4">
      <w:pPr>
        <w:pStyle w:val="Bibliography"/>
        <w:keepLines/>
        <w:ind w:left="547" w:hanging="547"/>
      </w:pPr>
      <w:r w:rsidRPr="003E55F4">
        <w:lastRenderedPageBreak/>
        <w:t>Grisé, E., Boisjoly, G., Maguire, M., El-Geneidy, A., 2019. Elevating Access: Comparing Accessibility to Jobs by Public Transport for Individuals with and Without a Physical Disability. Transportation Research Part A: Policy and Practice 125, 280–293. https://doi.org/10.1016/j.tra.2018.02.017</w:t>
      </w:r>
    </w:p>
    <w:p w14:paraId="6538087D" w14:textId="77777777" w:rsidR="00374A3B" w:rsidRPr="003E55F4" w:rsidRDefault="00374A3B" w:rsidP="003E55F4">
      <w:pPr>
        <w:pStyle w:val="Bibliography"/>
        <w:ind w:left="540" w:hanging="540"/>
      </w:pPr>
      <w:r w:rsidRPr="003E55F4">
        <w:t>Guzman, L.A., Cantillo-Garcia, V.A., Oviedo, D., Arellana, J., 2023. How Much Is Accessibility Worth? Utility-Based Accessibility to Evaluate Transport Policies. Journal of Transport Geography 112. https://doi.org/10.1016/j.jtrangeo.2023.103683</w:t>
      </w:r>
    </w:p>
    <w:p w14:paraId="31AA90BB" w14:textId="77777777" w:rsidR="00374A3B" w:rsidRPr="003E55F4" w:rsidRDefault="00374A3B" w:rsidP="003E55F4">
      <w:pPr>
        <w:pStyle w:val="Bibliography"/>
        <w:ind w:left="540" w:hanging="540"/>
      </w:pPr>
      <w:r w:rsidRPr="003E55F4">
        <w:t>Haddad, A.J., Mondal, A., Bhat, C.R., Zhang, A., Liao, M.C., Macias, L.J., Lee, M.K., Watkins, S.C., 2023. Pedestrian Crash Frequency: Unpacking the Effects of Contributing Factors and Racial Disparities. Accident Analysis &amp; Prevention 182. https://doi.org/10.1016/j.aap.2023.106954</w:t>
      </w:r>
    </w:p>
    <w:p w14:paraId="777F304B" w14:textId="77777777" w:rsidR="00374A3B" w:rsidRPr="003E55F4" w:rsidRDefault="00374A3B" w:rsidP="003E55F4">
      <w:pPr>
        <w:pStyle w:val="Bibliography"/>
        <w:ind w:left="540" w:hanging="540"/>
      </w:pPr>
      <w:r w:rsidRPr="003E55F4">
        <w:t>Haider, Z., Hu, Y., Charkhgard, H., Himmelgreen, D., Kwon, C., 2022. Creating grocery delivery hubs for food deserts at local convenience stores via spatial and temporal consolidation. Socio-Economic Planning Sciences 82, 101301.</w:t>
      </w:r>
    </w:p>
    <w:p w14:paraId="656CAFB2" w14:textId="77777777" w:rsidR="00374A3B" w:rsidRPr="003E55F4" w:rsidRDefault="00374A3B" w:rsidP="003E55F4">
      <w:pPr>
        <w:pStyle w:val="Bibliography"/>
        <w:ind w:left="540" w:hanging="540"/>
      </w:pPr>
      <w:r w:rsidRPr="003E55F4">
        <w:t>Handy, S., 2020. Is Accessibility an Idea Whose Time Has Finally Come? Transportation Research Part D: Transport and Environment 83. https://doi.org/10.1016/j.trd.2020.102319</w:t>
      </w:r>
    </w:p>
    <w:p w14:paraId="159D22A6" w14:textId="77777777" w:rsidR="00374A3B" w:rsidRPr="003E55F4" w:rsidRDefault="00374A3B" w:rsidP="003E55F4">
      <w:pPr>
        <w:pStyle w:val="Bibliography"/>
        <w:ind w:left="540" w:hanging="540"/>
      </w:pPr>
      <w:r w:rsidRPr="003E55F4">
        <w:t>Hansen, W.G., 1959. How Accessibility Shapes Land Use. Journal of the American Institute of Planners 25, 73–76. https://doi.org/10.1080/01944365908978307</w:t>
      </w:r>
    </w:p>
    <w:p w14:paraId="4846EBC2" w14:textId="77777777" w:rsidR="00374A3B" w:rsidRPr="003E55F4" w:rsidRDefault="00374A3B" w:rsidP="003E55F4">
      <w:pPr>
        <w:pStyle w:val="Bibliography"/>
        <w:ind w:left="540" w:hanging="540"/>
      </w:pPr>
      <w:r w:rsidRPr="003E55F4">
        <w:t>Haustein, S., Hunecke, M., 2007. Reduced Use of Environmentally Friendly Modes of Transportation Caused by Perceived Mobility Necessities: An Extension of the Theory of Planned Behavior. Journal of Applied Social Psychology 37, 1856–1883. https://doi.org/10.1111/j.1559-1816.2007.00241.x</w:t>
      </w:r>
    </w:p>
    <w:p w14:paraId="63CF46D1" w14:textId="77777777" w:rsidR="00374A3B" w:rsidRPr="003E55F4" w:rsidRDefault="00374A3B" w:rsidP="003E55F4">
      <w:pPr>
        <w:pStyle w:val="Bibliography"/>
        <w:ind w:left="540" w:hanging="540"/>
      </w:pPr>
      <w:r w:rsidRPr="003E55F4">
        <w:t>Haustein, S., Siren, A., 2014. Seniors’ Unmet Mobility Needs – How Important Is a Driving Licence? Journal of Transport Geography 41, 45–52. https://doi.org/10.1016/j.jtrangeo.2014.08.001</w:t>
      </w:r>
    </w:p>
    <w:p w14:paraId="21DCBBDC" w14:textId="77777777" w:rsidR="00374A3B" w:rsidRPr="003E55F4" w:rsidRDefault="00374A3B" w:rsidP="003E55F4">
      <w:pPr>
        <w:pStyle w:val="Bibliography"/>
        <w:ind w:left="540" w:hanging="540"/>
      </w:pPr>
      <w:r w:rsidRPr="003E55F4">
        <w:t>Hicks, M., Stickle, B., Harms, J., 2022. Assessing the Fear of Package Theft. American Journal of Criminal Justice 47, 399–420. https://doi.org/10.1007/s12103-022-09687-4</w:t>
      </w:r>
    </w:p>
    <w:p w14:paraId="2C1FAB09" w14:textId="77777777" w:rsidR="00374A3B" w:rsidRPr="003E55F4" w:rsidRDefault="00374A3B" w:rsidP="003E55F4">
      <w:pPr>
        <w:pStyle w:val="Bibliography"/>
        <w:ind w:left="540" w:hanging="540"/>
      </w:pPr>
      <w:r w:rsidRPr="003E55F4">
        <w:t>Higham, J., Cohen, S.A., Peeters, P., Gössling, S., 2013. Psychological and Behavioural Approaches to Understanding and Governing Sustainable Mobility. Journal of Sustainable Tourism 21, 949–967. https://doi.org/10.1080/09669582.2013.828733</w:t>
      </w:r>
    </w:p>
    <w:p w14:paraId="55F13004" w14:textId="77777777" w:rsidR="00374A3B" w:rsidRPr="003E55F4" w:rsidRDefault="00374A3B" w:rsidP="003E55F4">
      <w:pPr>
        <w:pStyle w:val="Bibliography"/>
        <w:ind w:left="540" w:hanging="540"/>
      </w:pPr>
      <w:r w:rsidRPr="003E55F4">
        <w:t>Hu, L., 2017. Job Accessibility and Employment Outcomes: Which Income Groups Benefit the Most? Transportation 44, 1421–1443. https://doi.org/10.1007/s11116-016-9708-4</w:t>
      </w:r>
    </w:p>
    <w:p w14:paraId="20CBE8B0" w14:textId="77777777" w:rsidR="00374A3B" w:rsidRPr="003E55F4" w:rsidRDefault="00374A3B" w:rsidP="003E55F4">
      <w:pPr>
        <w:pStyle w:val="Bibliography"/>
        <w:ind w:left="540" w:hanging="540"/>
      </w:pPr>
      <w:r w:rsidRPr="003E55F4">
        <w:t>Jacobs, M., Burch, A.E., 2021. Anxiety During the Pandemic: Racial and Ethnic Differences in the Trajectory of Fear. Journal of Affective Disorders 292, 58–66. https://doi.org/10.1016/j.jad.2021.05.027</w:t>
      </w:r>
    </w:p>
    <w:p w14:paraId="49AA7C9B" w14:textId="77777777" w:rsidR="00374A3B" w:rsidRPr="003E55F4" w:rsidRDefault="00374A3B" w:rsidP="003E55F4">
      <w:pPr>
        <w:pStyle w:val="Bibliography"/>
        <w:ind w:left="540" w:hanging="540"/>
      </w:pPr>
      <w:r w:rsidRPr="003E55F4">
        <w:t>Javadinasr, M., Maggasy, T., Mohammadi, M., Mohammadain, K., Rahimi, E., Salon, D., Conway, M.W., Pendyala, R., Derrible, S., 2022. The Long-Term Effects of COVID-19 on Travel Behavior in the United States: A Panel Study on Work from Home, Mode Choice, Online Shopping, and Air Travel. Transportation Research Part F: Traffic Psychology and Behaviour 90, 466–484. https://doi.org/10.1016/j.trf.2022.09.019</w:t>
      </w:r>
    </w:p>
    <w:p w14:paraId="2C7B29E4" w14:textId="77777777" w:rsidR="00374A3B" w:rsidRPr="003E55F4" w:rsidRDefault="00374A3B" w:rsidP="003E55F4">
      <w:pPr>
        <w:pStyle w:val="Bibliography"/>
        <w:ind w:left="540" w:hanging="540"/>
      </w:pPr>
      <w:r w:rsidRPr="003E55F4">
        <w:t>Kapatsila, B., Palacios, M.S., Grisé, E., El-Geneidy, A., 2023. Resolving the Accessibility Dilemma: Comparing Cumulative and Gravity-Based Measures of Accessibility in Eight Canadian Cities. Journal of Transport Geography 107. https://doi.org/10.1016/j.jtrangeo.2023.103530</w:t>
      </w:r>
    </w:p>
    <w:p w14:paraId="0C02D2AB" w14:textId="77777777" w:rsidR="00374A3B" w:rsidRPr="003E55F4" w:rsidRDefault="00374A3B" w:rsidP="003E55F4">
      <w:pPr>
        <w:pStyle w:val="Bibliography"/>
        <w:ind w:left="540" w:hanging="540"/>
      </w:pPr>
      <w:r w:rsidRPr="003E55F4">
        <w:lastRenderedPageBreak/>
        <w:t>Kaplan, M., Hotle, S., Heaslip, K., 2023. How Has COVID-19 Impacted Customer Perceptions and Demand for Delivery Services: An Exploratory Analysis. Transport Policy 134, 217–230. https://doi.org/10.1016/j.tranpol.2023.02.020</w:t>
      </w:r>
    </w:p>
    <w:p w14:paraId="63589E7F" w14:textId="77777777" w:rsidR="00374A3B" w:rsidRPr="003E55F4" w:rsidRDefault="00374A3B" w:rsidP="003E55F4">
      <w:pPr>
        <w:pStyle w:val="Bibliography"/>
        <w:ind w:left="540" w:hanging="540"/>
      </w:pPr>
      <w:r w:rsidRPr="003E55F4">
        <w:t>Kaufman-Scarborough, C., Childers, T.L., 2009. Understanding Markets as Online Public Places: Insights from Consumers with Visual Impairments. Journal of Public Policy &amp; Marketing 28, 16–28. https://doi.org/10.1509/jppm.28.1.16</w:t>
      </w:r>
    </w:p>
    <w:p w14:paraId="59C546B3" w14:textId="77777777" w:rsidR="00374A3B" w:rsidRPr="003E55F4" w:rsidRDefault="00374A3B" w:rsidP="003E55F4">
      <w:pPr>
        <w:pStyle w:val="Bibliography"/>
        <w:ind w:left="540" w:hanging="540"/>
      </w:pPr>
      <w:r w:rsidRPr="003E55F4">
        <w:t>Keeble, M., Adams, J., Burgoine, T., 2022. Investigating Experiences of Frequent Online Food Delivery Service Use: A Qualitative Study in UK Adults. BMC Public Health 22. https://doi.org/10.1186/s12889-022-13721-9</w:t>
      </w:r>
    </w:p>
    <w:p w14:paraId="003635B2" w14:textId="77777777" w:rsidR="00374A3B" w:rsidRPr="003E55F4" w:rsidRDefault="00374A3B" w:rsidP="003E55F4">
      <w:pPr>
        <w:pStyle w:val="Bibliography"/>
        <w:ind w:left="540" w:hanging="540"/>
      </w:pPr>
      <w:r w:rsidRPr="003E55F4">
        <w:t>Kenyon, S., 2006. Reshaping Patterns of Mobility and Exclusion? The Impact of Virtual Mobility upon Accessibility, Mobility and Social Exclusion, in: Mobile Technologies of the City. Routledge.</w:t>
      </w:r>
    </w:p>
    <w:p w14:paraId="3AB69A06" w14:textId="77777777" w:rsidR="00374A3B" w:rsidRPr="003E55F4" w:rsidRDefault="00374A3B" w:rsidP="003E55F4">
      <w:pPr>
        <w:pStyle w:val="Bibliography"/>
        <w:ind w:left="540" w:hanging="540"/>
      </w:pPr>
      <w:r w:rsidRPr="003E55F4">
        <w:t>Khaddar, S., Rahman Fatmi, M., 2024. Modeling Telecommuting and Teleshopping Preferences in the Post-Pandemic Era. Transportation Research Record 03611981231222238. https://doi.org/10.1177/03611981231222238</w:t>
      </w:r>
    </w:p>
    <w:p w14:paraId="0A3FA00A" w14:textId="77777777" w:rsidR="00374A3B" w:rsidRPr="003E55F4" w:rsidRDefault="00374A3B" w:rsidP="003E55F4">
      <w:pPr>
        <w:pStyle w:val="Bibliography"/>
        <w:ind w:left="540" w:hanging="540"/>
      </w:pPr>
      <w:r w:rsidRPr="003E55F4">
        <w:t>Kim, S., Ulfarsson, G.F., Todd Hennessy, J., 2007. Analysis of Light Rail Rider Travel Behavior: Impacts of Individual, Built Environment, and Crime Characteristics on Transit Access. Transportation Research Part A: Policy and Practice 41, 511–522. https://doi.org/10.1016/j.tra.2006.11.001</w:t>
      </w:r>
    </w:p>
    <w:p w14:paraId="45EB68EA" w14:textId="77777777" w:rsidR="00374A3B" w:rsidRPr="003E55F4" w:rsidRDefault="00374A3B" w:rsidP="003E55F4">
      <w:pPr>
        <w:pStyle w:val="Bibliography"/>
        <w:ind w:left="540" w:hanging="540"/>
      </w:pPr>
      <w:r w:rsidRPr="003E55F4">
        <w:t>Klein, N.J., Basu, R., Smart, M.J., 2023. Transitions into and Out of Car Ownership Among Low-Income Households in the United States. Journal of Planning Education and Research 0739456X231163755. https://doi.org/10.1177/0739456X231163755</w:t>
      </w:r>
    </w:p>
    <w:p w14:paraId="7324A535" w14:textId="77777777" w:rsidR="00374A3B" w:rsidRPr="003E55F4" w:rsidRDefault="00374A3B" w:rsidP="003E55F4">
      <w:pPr>
        <w:pStyle w:val="Bibliography"/>
        <w:ind w:left="540" w:hanging="540"/>
      </w:pPr>
      <w:r w:rsidRPr="003E55F4">
        <w:t>Kunieda, M., Gauthier, A., 2007. Gender and Urban Transport: Smart and Affordable, in: Sustainable Transport: A Sourcebook for Poliymakers in Developing Cities. Federal Ministry for Economic Cooperation and Development.</w:t>
      </w:r>
    </w:p>
    <w:p w14:paraId="5FE2D80A" w14:textId="77777777" w:rsidR="00374A3B" w:rsidRPr="003E55F4" w:rsidRDefault="00374A3B" w:rsidP="003E55F4">
      <w:pPr>
        <w:pStyle w:val="Bibliography"/>
        <w:ind w:left="540" w:hanging="540"/>
      </w:pPr>
      <w:r w:rsidRPr="003E55F4">
        <w:t>Landby, E., 2019. Everyday Travel for Families with Children Using Wheelchairs: Parents’ Perceptions of Constraints and Adaptation Strategies. Children’s Geographies 17, 388–400. https://doi.org/10.1080/14733285.2018.1528342</w:t>
      </w:r>
    </w:p>
    <w:p w14:paraId="1C86E628" w14:textId="77777777" w:rsidR="00374A3B" w:rsidRPr="003E55F4" w:rsidRDefault="00374A3B" w:rsidP="003E55F4">
      <w:pPr>
        <w:pStyle w:val="Bibliography"/>
        <w:ind w:left="540" w:hanging="540"/>
      </w:pPr>
      <w:r w:rsidRPr="003E55F4">
        <w:t>Lättman, K., Friman, M., Olsson, L.E., 2016. Perceived Accessibility of Public Transport as a Potential Indicator of Social Inclusion. Social Inclusion 4, 36–45. https://doi.org/10.17645/si.v4i3.481</w:t>
      </w:r>
    </w:p>
    <w:p w14:paraId="7E383CEE" w14:textId="77777777" w:rsidR="00374A3B" w:rsidRPr="003E55F4" w:rsidRDefault="00374A3B" w:rsidP="003E55F4">
      <w:pPr>
        <w:pStyle w:val="Bibliography"/>
        <w:ind w:left="540" w:hanging="540"/>
      </w:pPr>
      <w:r w:rsidRPr="003E55F4">
        <w:t>Lättman, K., Olsson, L.E., Friman, M., 2018. A New Approach to Accessibility – Examining Perceived Accessibility in Contrast to Objectively Measured Accessibility in Daily Travel. Research in Transportation Economics, Competition and Ownership in Land Passenger Transport (selected papers from the Thredbo 15 conference) 69, 501–511. https://doi.org/10.1016/j.retrec.2018.06.002</w:t>
      </w:r>
    </w:p>
    <w:p w14:paraId="4E8683B3" w14:textId="77777777" w:rsidR="00374A3B" w:rsidRPr="003E55F4" w:rsidRDefault="00374A3B" w:rsidP="003E55F4">
      <w:pPr>
        <w:pStyle w:val="Bibliography"/>
        <w:ind w:left="540" w:hanging="540"/>
      </w:pPr>
      <w:r w:rsidRPr="003E55F4">
        <w:t>Laumer, S., Maier, C., 2021. Why Do People (Not) Want to Work from Home? An Individual-Focused Literature Review on Telework, in: Proceedings of the 2021 on Computers and People Research Conference. ACM, pp. 41–49. https://doi.org/10.1145/3458026.3462155</w:t>
      </w:r>
    </w:p>
    <w:p w14:paraId="19775301" w14:textId="77777777" w:rsidR="00374A3B" w:rsidRPr="003E55F4" w:rsidRDefault="00374A3B" w:rsidP="003E55F4">
      <w:pPr>
        <w:pStyle w:val="Bibliography"/>
        <w:ind w:left="540" w:hanging="540"/>
      </w:pPr>
      <w:r w:rsidRPr="003E55F4">
        <w:t>Lavieri, P.S., Dai, Q., Bhat, C.R., 2018. Using Virtual Accessibility and Physical Accessibility as Joint Predictors of Activity-Travel Behavior. Transportation Research Part A: Policy and Practice 118, 527–544. https://doi.org/10.1016/j.tra.2018.08.042</w:t>
      </w:r>
    </w:p>
    <w:p w14:paraId="11B81333" w14:textId="77777777" w:rsidR="00374A3B" w:rsidRPr="003E55F4" w:rsidRDefault="00374A3B" w:rsidP="003E55F4">
      <w:pPr>
        <w:pStyle w:val="Bibliography"/>
        <w:ind w:left="540" w:hanging="540"/>
      </w:pPr>
      <w:r w:rsidRPr="003E55F4">
        <w:t>Le, H.T.K., Carrel, A.L., Shah, H., 2022. Impacts of Online Shopping on Travel Demand: A Systematic Review. Transport Reviews 42, 273–295. https://doi.org/10.1080/01441647.2021.1961917</w:t>
      </w:r>
    </w:p>
    <w:p w14:paraId="5DC54A17" w14:textId="77777777" w:rsidR="00374A3B" w:rsidRPr="003E55F4" w:rsidRDefault="00374A3B" w:rsidP="003E55F4">
      <w:pPr>
        <w:pStyle w:val="Bibliography"/>
        <w:ind w:left="540" w:hanging="540"/>
      </w:pPr>
      <w:r w:rsidRPr="003E55F4">
        <w:lastRenderedPageBreak/>
        <w:t>Lee, R.E., O’Neal, A., Cameron, C., Hughes, R.B., O’Connor, D.P., Ohri-Vachaspati, P., Todd, M., Nosek, M.A., 2020. Developing Content for the Food Environment Assessment Survey Tool (FEAST): A Systematic Mixed Methods Study with People with Disabilities. International Journal of Environmental Research and Public Health 17. https://doi.org/10.3390/ijerph17217781</w:t>
      </w:r>
    </w:p>
    <w:p w14:paraId="74B847E4" w14:textId="77777777" w:rsidR="00374A3B" w:rsidRPr="003E55F4" w:rsidRDefault="00374A3B" w:rsidP="003E55F4">
      <w:pPr>
        <w:pStyle w:val="Bibliography"/>
        <w:ind w:left="540" w:hanging="540"/>
      </w:pPr>
      <w:r w:rsidRPr="003E55F4">
        <w:t>Lee, R.J., Sener, I.N., Mokhtarian, P.L., Handy, S.L., 2017. Relationships Between the Online and in-Store Shopping Frequency of Davis, California Residents. Transportation Research Part A: Policy and Practice 100, 40–52. https://doi.org/10.1016/j.tra.2017.03.001</w:t>
      </w:r>
    </w:p>
    <w:p w14:paraId="5CAAF97A" w14:textId="77777777" w:rsidR="00374A3B" w:rsidRPr="003E55F4" w:rsidRDefault="00374A3B" w:rsidP="003E55F4">
      <w:pPr>
        <w:pStyle w:val="Bibliography"/>
        <w:ind w:left="540" w:hanging="540"/>
      </w:pPr>
      <w:r w:rsidRPr="003E55F4">
        <w:t>Lee, Y., Hickman, M., Washington, S., 2007. Household Type and Structure, Time-Use Pattern, and Trip-Chaining Behavior. Transportation Research Part A: Policy and Practice 41, 1004–1020. https://doi.org/10.1016/j.tra.2007.06.007</w:t>
      </w:r>
    </w:p>
    <w:p w14:paraId="26319CB5" w14:textId="77777777" w:rsidR="00374A3B" w:rsidRPr="003E55F4" w:rsidRDefault="00374A3B" w:rsidP="003E55F4">
      <w:pPr>
        <w:pStyle w:val="Bibliography"/>
        <w:ind w:left="540" w:hanging="540"/>
      </w:pPr>
      <w:r w:rsidRPr="003E55F4">
        <w:t>Leporini, B., Buzzi, M., Hersh, M., 2023. Video Conferencing Tools: Comparative Study of the Experiences of Screen Reader Users and the Development of More Inclusive Design Guidelines. ACM Transactions on Accessible Computing 16, 1–36. https://doi.org/10.1145/3573012</w:t>
      </w:r>
    </w:p>
    <w:p w14:paraId="585587FF" w14:textId="77777777" w:rsidR="00374A3B" w:rsidRPr="003E55F4" w:rsidRDefault="00374A3B" w:rsidP="003E55F4">
      <w:pPr>
        <w:pStyle w:val="Bibliography"/>
        <w:ind w:left="540" w:hanging="540"/>
      </w:pPr>
      <w:r w:rsidRPr="003E55F4">
        <w:t>Leroy, S., Schmidt, A.M., Madjar, N., 2021. Working from Home During COVID-19: A Study of the Interruption Landscape. Journal of Applied Psychology 106, 1448–1465. https://doi.org/10.1037/apl0000972</w:t>
      </w:r>
    </w:p>
    <w:p w14:paraId="644F1CF9" w14:textId="77777777" w:rsidR="00374A3B" w:rsidRPr="003E55F4" w:rsidRDefault="00374A3B" w:rsidP="003E55F4">
      <w:pPr>
        <w:pStyle w:val="Bibliography"/>
        <w:ind w:left="540" w:hanging="540"/>
      </w:pPr>
      <w:r w:rsidRPr="003E55F4">
        <w:t>Levine, J., Grengs, J., Merlin, L.A., 2019. From Mobility to Accessibility: Transforming Urban Transportation and Land-Use Planning. Cornell University Press.</w:t>
      </w:r>
    </w:p>
    <w:p w14:paraId="4A176668" w14:textId="77777777" w:rsidR="00374A3B" w:rsidRPr="003E55F4" w:rsidRDefault="00374A3B" w:rsidP="003E55F4">
      <w:pPr>
        <w:pStyle w:val="Bibliography"/>
        <w:ind w:left="540" w:hanging="540"/>
      </w:pPr>
      <w:r w:rsidRPr="003E55F4">
        <w:t>Liu, J., Pei, S., Zhang, X. (Michael), 2023. Online Food Delivery Platforms and Female Labor Force Participation. Information Systems Research. https://doi.org/10.1287/isre.2021.0182</w:t>
      </w:r>
    </w:p>
    <w:p w14:paraId="7EC07779" w14:textId="77777777" w:rsidR="00374A3B" w:rsidRPr="003E55F4" w:rsidRDefault="00374A3B" w:rsidP="003E55F4">
      <w:pPr>
        <w:pStyle w:val="Bibliography"/>
        <w:ind w:left="540" w:hanging="540"/>
      </w:pPr>
      <w:r w:rsidRPr="003E55F4">
        <w:t>López-Igual, P., Rodríguez-Modroño, P., 2020. Who is Teleworking and Where from? Exploring the Main Determinants of Telework in Europe. Sustainability 12, 8797. https://doi.org/10.3390/su12218797</w:t>
      </w:r>
    </w:p>
    <w:p w14:paraId="38B4590A" w14:textId="77777777" w:rsidR="00374A3B" w:rsidRPr="003E55F4" w:rsidRDefault="00374A3B" w:rsidP="003E55F4">
      <w:pPr>
        <w:pStyle w:val="Bibliography"/>
        <w:ind w:left="540" w:hanging="540"/>
      </w:pPr>
      <w:r w:rsidRPr="003E55F4">
        <w:t>Lotfi, S., Koohsari, M.J., 2009. Analyzing Accessibility Dimension of Urban Quality of Life: Where Urban Designers Face Duality Between Subjective and Objective Reading of Place. Social Indicators Research 94, 417–435. https://doi.org/10.1007/s11205-009-9438-5</w:t>
      </w:r>
    </w:p>
    <w:p w14:paraId="79C8A6AD" w14:textId="77777777" w:rsidR="00374A3B" w:rsidRPr="003E55F4" w:rsidRDefault="00374A3B" w:rsidP="003E55F4">
      <w:pPr>
        <w:pStyle w:val="Bibliography"/>
        <w:ind w:left="540" w:hanging="540"/>
      </w:pPr>
      <w:r w:rsidRPr="003E55F4">
        <w:t>Lovejoy, K., Handy, S., 2008. A Case for Measuring Individuals’ Access to Private-Vehicle Travel as a Matter of Degrees: Lessons from Focus Groups with Mexican Immigrants in California. Transportation 35, 601–612. https://doi.org/10.1007/s11116-008-9169-5</w:t>
      </w:r>
    </w:p>
    <w:p w14:paraId="21AF3715" w14:textId="77777777" w:rsidR="00374A3B" w:rsidRPr="003E55F4" w:rsidRDefault="00374A3B" w:rsidP="003E55F4">
      <w:pPr>
        <w:pStyle w:val="Bibliography"/>
        <w:ind w:left="540" w:hanging="540"/>
      </w:pPr>
      <w:r w:rsidRPr="003E55F4">
        <w:t>Luz, G., Portugal, L., 2022. Understanding Transport-Related Social Exclusion Through the Lens of Capabilities Approach. Transport Reviews 42, 503–525. https://doi.org/10.1080/01441647.2021.2005183</w:t>
      </w:r>
    </w:p>
    <w:p w14:paraId="59E0DA66" w14:textId="77777777" w:rsidR="00374A3B" w:rsidRPr="003E55F4" w:rsidRDefault="00374A3B" w:rsidP="003E55F4">
      <w:pPr>
        <w:pStyle w:val="Bibliography"/>
        <w:ind w:left="540" w:hanging="540"/>
      </w:pPr>
      <w:r w:rsidRPr="003E55F4">
        <w:t>Lyons, G., Farag, S., Haddad, H., 2008. The Substitution of Communications for Travel?, in: The Implementation and Effectiveness of Transport Demand Management Measures. Routledge.</w:t>
      </w:r>
    </w:p>
    <w:p w14:paraId="2227569F" w14:textId="77777777" w:rsidR="00374A3B" w:rsidRPr="003E55F4" w:rsidRDefault="00374A3B" w:rsidP="003E55F4">
      <w:pPr>
        <w:pStyle w:val="Bibliography"/>
        <w:ind w:left="540" w:hanging="540"/>
      </w:pPr>
      <w:r w:rsidRPr="003E55F4">
        <w:t>Mackett, R.L., 2013. Children’s Travel Behaviour and Its Health Implications. Transport Policy, “Understanding Behavioural Change: An International Perspective on Sustainable Travel Behaviours and Their Motivations”: Selected Papers from the 12th World Conference on Transportation Research 26, 66–72. https://doi.org/10.1016/j.tranpol.2012.01.002</w:t>
      </w:r>
    </w:p>
    <w:p w14:paraId="5A32C3E3" w14:textId="77777777" w:rsidR="00374A3B" w:rsidRPr="003E55F4" w:rsidRDefault="00374A3B" w:rsidP="003E55F4">
      <w:pPr>
        <w:pStyle w:val="Bibliography"/>
        <w:ind w:left="540" w:hanging="540"/>
      </w:pPr>
      <w:r w:rsidRPr="003E55F4">
        <w:t>Makarewicz, C., Dantzler, P., Adkins, A., 2020. Another Look at Location Affordability: Understanding the Detailed Effects of Income and Urban Form on Housing and Transportation Expenditures. Housing Policy Debate 30, 1033–1055. https://doi.org/10.1080/10511482.2020.1792528</w:t>
      </w:r>
    </w:p>
    <w:p w14:paraId="6891C928" w14:textId="77777777" w:rsidR="00374A3B" w:rsidRPr="003E55F4" w:rsidRDefault="00374A3B" w:rsidP="003E55F4">
      <w:pPr>
        <w:pStyle w:val="Bibliography"/>
        <w:ind w:left="540" w:hanging="540"/>
      </w:pPr>
      <w:r w:rsidRPr="003E55F4">
        <w:t>Martens, K., 2016. Transport Justice: Designing Fair Transportation Systems. Routledge.</w:t>
      </w:r>
    </w:p>
    <w:p w14:paraId="3BDF00BD" w14:textId="77777777" w:rsidR="00374A3B" w:rsidRPr="003E55F4" w:rsidRDefault="00374A3B" w:rsidP="003E55F4">
      <w:pPr>
        <w:pStyle w:val="Bibliography"/>
        <w:ind w:left="540" w:hanging="540"/>
      </w:pPr>
      <w:r w:rsidRPr="003E55F4">
        <w:lastRenderedPageBreak/>
        <w:t>Maslakçı, A., Sürücü, L., 2024. Gender Effects on Depression, Anxiety, and Stress Regarding the Fear of COVID-19. Trends in Psychol. 32, 152–164. https://doi.org/10.1007/s43076-022-00227-x</w:t>
      </w:r>
    </w:p>
    <w:p w14:paraId="752C1A24" w14:textId="77777777" w:rsidR="00374A3B" w:rsidRPr="003E55F4" w:rsidRDefault="00374A3B" w:rsidP="003E55F4">
      <w:pPr>
        <w:pStyle w:val="Bibliography"/>
        <w:ind w:left="540" w:hanging="540"/>
      </w:pPr>
      <w:r w:rsidRPr="003E55F4">
        <w:t>McGrail, M.R., Humphreys, J.S., Ward, B., 2015. Accessing Doctors at Times of Need–Measuring the Distance Tolerance of Rural Residents for Health-Related Travel. BMC Health Services Research 15, 212. https://doi.org/10.1186/s12913-015-0880-6</w:t>
      </w:r>
    </w:p>
    <w:p w14:paraId="37F3BBDC" w14:textId="77777777" w:rsidR="00374A3B" w:rsidRPr="003E55F4" w:rsidRDefault="00374A3B" w:rsidP="003E55F4">
      <w:pPr>
        <w:pStyle w:val="Bibliography"/>
        <w:ind w:left="540" w:hanging="540"/>
      </w:pPr>
      <w:r w:rsidRPr="003E55F4">
        <w:t>Miller, E.J., 2018. Accessibility: Measurement and Application in Transportation Planning. Transport Reviews 38, 551–555. https://doi.org/10.1080/01441647.2018.1492778</w:t>
      </w:r>
    </w:p>
    <w:p w14:paraId="1C7AA63D" w14:textId="77777777" w:rsidR="00374A3B" w:rsidRPr="003E55F4" w:rsidRDefault="00374A3B" w:rsidP="003E55F4">
      <w:pPr>
        <w:pStyle w:val="Bibliography"/>
        <w:ind w:left="540" w:hanging="540"/>
      </w:pPr>
      <w:r w:rsidRPr="003E55F4">
        <w:t>Morris, E.A., Speroni, S., Taylor, B.D., 2023. Going Nowhere Fast: Might Changing Activity Patterns Help Explain Falling Travel? Journal of Transport Geography 110. https://doi.org/10.1016/j.jtrangeo.2023.103620</w:t>
      </w:r>
    </w:p>
    <w:p w14:paraId="2848384B" w14:textId="77777777" w:rsidR="00374A3B" w:rsidRPr="003E55F4" w:rsidRDefault="00374A3B" w:rsidP="003E55F4">
      <w:pPr>
        <w:pStyle w:val="Bibliography"/>
        <w:ind w:left="540" w:hanging="540"/>
      </w:pPr>
      <w:r w:rsidRPr="003E55F4">
        <w:t>Morrison-Smith, S., Ruiz, J., 2020. Challenges and Barriers in Virtual Teams: A Literature Review. SN Applied Sciences 2. https://doi.org/10.1007/s42452-020-2801-5</w:t>
      </w:r>
    </w:p>
    <w:p w14:paraId="75A46FAE" w14:textId="77777777" w:rsidR="00374A3B" w:rsidRPr="003E55F4" w:rsidRDefault="00374A3B" w:rsidP="003E55F4">
      <w:pPr>
        <w:pStyle w:val="Bibliography"/>
        <w:ind w:left="540" w:hanging="540"/>
      </w:pPr>
      <w:r w:rsidRPr="003E55F4">
        <w:t>Muhammad, S., de Jong, T., Ottens, H.F.L., 2008. Job Accessibility Under the Influence of Information and Communication Technologies, in the Netherlands. Journal of Transport Geography 16, 203–216. https://doi.org/10.1016/j.jtrangeo.2007.05.005</w:t>
      </w:r>
    </w:p>
    <w:p w14:paraId="405D6FA1" w14:textId="77777777" w:rsidR="00374A3B" w:rsidRPr="003E55F4" w:rsidRDefault="00374A3B" w:rsidP="003E55F4">
      <w:pPr>
        <w:pStyle w:val="Bibliography"/>
        <w:ind w:left="540" w:hanging="540"/>
      </w:pPr>
      <w:r w:rsidRPr="003E55F4">
        <w:t>Nagarajan, N.R., Sixsmith, A., 2023. Policy Initiatives to Address the Challenges of an Older Population in the Workforce. Ageing International 48, 41–77. https://doi.org/10.1007/s12126-021-09442-w</w:t>
      </w:r>
    </w:p>
    <w:p w14:paraId="5B90526C" w14:textId="77777777" w:rsidR="00374A3B" w:rsidRPr="003E55F4" w:rsidRDefault="00374A3B" w:rsidP="003E55F4">
      <w:pPr>
        <w:pStyle w:val="Bibliography"/>
        <w:ind w:left="540" w:hanging="540"/>
      </w:pPr>
      <w:r w:rsidRPr="003E55F4">
        <w:t>Neutens, T., Delafontaine, M., Scott, D.M., De Maeyer, P., 2012. An Analysis of Day-to-Day Variations in Individual Space–Time Accessibility. Journal of Transport Geography, Special Issue on Time Geography 23, 81–91. https://doi.org/10.1016/j.jtrangeo.2012.04.001</w:t>
      </w:r>
    </w:p>
    <w:p w14:paraId="4AB6D865" w14:textId="77777777" w:rsidR="00374A3B" w:rsidRPr="003E55F4" w:rsidRDefault="00374A3B" w:rsidP="003E55F4">
      <w:pPr>
        <w:pStyle w:val="Bibliography"/>
        <w:ind w:left="540" w:hanging="540"/>
      </w:pPr>
      <w:r w:rsidRPr="003E55F4">
        <w:t>Ng, A., Debnath, A.K., Heesch, K.C., 2017. Cyclist’ Safety Perceptions of Cycling Infrastructure at Un-Signalised Intersections: Cross-Sectional Survey of Queensland Cyclists. Journal of Transport &amp; Health 6, 13–22. https://doi.org/10.1016/j.jth.2017.03.001</w:t>
      </w:r>
    </w:p>
    <w:p w14:paraId="63986864" w14:textId="77777777" w:rsidR="00374A3B" w:rsidRPr="003E55F4" w:rsidRDefault="00374A3B" w:rsidP="003E55F4">
      <w:pPr>
        <w:pStyle w:val="Bibliography"/>
        <w:ind w:left="540" w:hanging="540"/>
      </w:pPr>
      <w:r w:rsidRPr="003E55F4">
        <w:t>Nguyen, M.H., 2021. Factors Influencing Home-Based Telework in Hanoi (Vietnam) During and After the COVID-19 Era. Transportation 48, 3207–3238. https://doi.org/10.1007/s11116-021-10169-5</w:t>
      </w:r>
    </w:p>
    <w:p w14:paraId="68E9AC07" w14:textId="77777777" w:rsidR="00374A3B" w:rsidRPr="003E55F4" w:rsidRDefault="00374A3B" w:rsidP="003E55F4">
      <w:pPr>
        <w:pStyle w:val="Bibliography"/>
        <w:ind w:left="540" w:hanging="540"/>
      </w:pPr>
      <w:r w:rsidRPr="003E55F4">
        <w:t>Ozbilen, B., Wang, K., Akar, G., 2021. Revisiting the Impacts of Virtual Mobility on Travel Behavior: An Exploration of Daily Travel Time Expenditures. Transportation Research Part A: Policy and Practice 145, 49–62. https://doi.org/10.1016/j.tra.2021.01.002</w:t>
      </w:r>
    </w:p>
    <w:p w14:paraId="6779715E" w14:textId="77777777" w:rsidR="00374A3B" w:rsidRPr="003E55F4" w:rsidRDefault="00374A3B" w:rsidP="003E55F4">
      <w:pPr>
        <w:pStyle w:val="Bibliography"/>
        <w:ind w:left="540" w:hanging="540"/>
      </w:pPr>
      <w:r w:rsidRPr="003E55F4">
        <w:t>Pabilonia, S.W., Vernon, V., 2022. Telework, Wages, and Time Use in the United States. Review of Economics of the Household 20, 687–734. https://doi.org/10.1007/s11150-022-09601-1</w:t>
      </w:r>
    </w:p>
    <w:p w14:paraId="38FF0169" w14:textId="77777777" w:rsidR="00374A3B" w:rsidRPr="003E55F4" w:rsidRDefault="00374A3B" w:rsidP="003E55F4">
      <w:pPr>
        <w:pStyle w:val="Bibliography"/>
        <w:ind w:left="540" w:hanging="540"/>
      </w:pPr>
      <w:r w:rsidRPr="003E55F4">
        <w:t>Palacios, M.S., El-Geneidy, A., 2022. Cumulative Versus Gravity-Based Accessibility Measures: Which One to Use? Findings. https://doi.org/10.32866/001c.32444</w:t>
      </w:r>
    </w:p>
    <w:p w14:paraId="29E5DFF4" w14:textId="77777777" w:rsidR="00374A3B" w:rsidRPr="003E55F4" w:rsidRDefault="00374A3B" w:rsidP="003E55F4">
      <w:pPr>
        <w:pStyle w:val="Bibliography"/>
        <w:ind w:left="540" w:hanging="540"/>
      </w:pPr>
      <w:r w:rsidRPr="003E55F4">
        <w:t>Pedreira Junior, J.U., Pitombo, C.S., 2024. Unveiling Substitution Patterns of Work Trips by Teleworking and Their Associations with Physical and Virtual Accessibility in the Brazilian COVID-19 Crisis. Travel Behaviour and Society 34. https://doi.org/10.1016/j.tbs.2023.100657</w:t>
      </w:r>
    </w:p>
    <w:p w14:paraId="72CD6011" w14:textId="77777777" w:rsidR="00374A3B" w:rsidRPr="003E55F4" w:rsidRDefault="00374A3B" w:rsidP="003E55F4">
      <w:pPr>
        <w:pStyle w:val="Bibliography"/>
        <w:ind w:left="540" w:hanging="540"/>
      </w:pPr>
      <w:r w:rsidRPr="003E55F4">
        <w:t>Pot, F.J., Heinen, E., Tillema, T., 2024. Sufficient Access? Activity Participation, Perceived Accessibility and Transport-Related Social Exclusion Across Spatial Contexts. Transportation. https://doi.org/10.1007/s11116-024-10470-z</w:t>
      </w:r>
    </w:p>
    <w:p w14:paraId="4BEB5081" w14:textId="77777777" w:rsidR="00374A3B" w:rsidRPr="003E55F4" w:rsidRDefault="00374A3B" w:rsidP="003E55F4">
      <w:pPr>
        <w:pStyle w:val="Bibliography"/>
        <w:ind w:left="540" w:hanging="540"/>
      </w:pPr>
      <w:r w:rsidRPr="003E55F4">
        <w:lastRenderedPageBreak/>
        <w:t>Pot, F.J., van Wee, B., Tillema, T., 2021. Perceived Accessibility: What It Is and Why It Differs from Calculated Accessibility Measures Based on Spatial Data. Journal of Transport Geography 94. https://doi.org/10.1016/j.jtrangeo.2021.103090</w:t>
      </w:r>
    </w:p>
    <w:p w14:paraId="1D7C4719" w14:textId="77777777" w:rsidR="00374A3B" w:rsidRPr="003E55F4" w:rsidRDefault="00374A3B" w:rsidP="003E55F4">
      <w:pPr>
        <w:pStyle w:val="Bibliography"/>
        <w:ind w:left="540" w:hanging="540"/>
      </w:pPr>
      <w:r w:rsidRPr="003E55F4">
        <w:t>Preston, J., Rajé, F., 2007. Accessibility, Mobility and Transport-Related Social Exclusion. Journal of Transport Geography 15, 151–160. https://doi.org/10.1016/j.jtrangeo.2006.05.002</w:t>
      </w:r>
    </w:p>
    <w:p w14:paraId="43C04294" w14:textId="77777777" w:rsidR="00374A3B" w:rsidRPr="003E55F4" w:rsidRDefault="00374A3B" w:rsidP="003E55F4">
      <w:pPr>
        <w:pStyle w:val="Bibliography"/>
        <w:ind w:left="540" w:hanging="540"/>
      </w:pPr>
      <w:r w:rsidRPr="003E55F4">
        <w:t>Priya Uteng, T., Turner, J., 2019. Addressing the Linkages Between Gender and Transport in Low- and Middle-Income Countries. Sustainability 11. https://doi.org/10.3390/su11174555</w:t>
      </w:r>
    </w:p>
    <w:p w14:paraId="41C6FFF5" w14:textId="77777777" w:rsidR="00374A3B" w:rsidRPr="003E55F4" w:rsidRDefault="00374A3B" w:rsidP="003E55F4">
      <w:pPr>
        <w:pStyle w:val="Bibliography"/>
        <w:ind w:left="540" w:hanging="540"/>
      </w:pPr>
      <w:r w:rsidRPr="003E55F4">
        <w:t>Roe, C.M., Rosnick, C.B., Colletta, A., Babulal, G.M., 2021. Reaction to a Pandemic: Social Distancing and Driving Among Older Adults During COVID-19. Journal of Applied Gerontology 40, 263–267. https://doi.org/10.1177/0733464820966516</w:t>
      </w:r>
    </w:p>
    <w:p w14:paraId="0A562BD4" w14:textId="77777777" w:rsidR="00374A3B" w:rsidRPr="003E55F4" w:rsidRDefault="00374A3B" w:rsidP="003E55F4">
      <w:pPr>
        <w:pStyle w:val="Bibliography"/>
        <w:ind w:left="540" w:hanging="540"/>
      </w:pPr>
      <w:r w:rsidRPr="003E55F4">
        <w:t>Roper, S., Alkhalifah, E.S., 2020. Online shopping in a restrictive society: lessons from Saudi Arabia. Qualitative Market Research: An International Journal 24, 449–469. https://doi.org/10.1108/QMR-01-2020-0012</w:t>
      </w:r>
    </w:p>
    <w:p w14:paraId="26DC24FB" w14:textId="77777777" w:rsidR="00374A3B" w:rsidRPr="003E55F4" w:rsidRDefault="00374A3B" w:rsidP="003E55F4">
      <w:pPr>
        <w:pStyle w:val="Bibliography"/>
        <w:ind w:left="540" w:hanging="540"/>
      </w:pPr>
      <w:r w:rsidRPr="003E55F4">
        <w:t>Saphores, J.-D., Xu, L., 2021. E-Shopping Changes and the State of E-Grocery Shopping in the US - Evidence from National Travel and Time Use Surveys. Research in Transportation Economics, E-groceries, digitalization and sustainability 87. https://doi.org/10.1016/j.retrec.2020.100864</w:t>
      </w:r>
    </w:p>
    <w:p w14:paraId="6683772A" w14:textId="77777777" w:rsidR="00374A3B" w:rsidRPr="003E55F4" w:rsidRDefault="00374A3B" w:rsidP="003E55F4">
      <w:pPr>
        <w:pStyle w:val="Bibliography"/>
        <w:ind w:left="540" w:hanging="540"/>
      </w:pPr>
      <w:r w:rsidRPr="003E55F4">
        <w:t>Seabra, C., Silva, C., Paiva, O., Reis, M., Abrantes, J.L., 2021. Perceptions of Safety and Risk in the Daily Life and Travel Plans in the COVID-19 Context: One Year and Three Waves After, in: Pandemics and Travel: COVID-19 Impacts in the Tourism Industry. Emerald Group Publishing.</w:t>
      </w:r>
    </w:p>
    <w:p w14:paraId="5C7F791F" w14:textId="77777777" w:rsidR="00374A3B" w:rsidRPr="003E55F4" w:rsidRDefault="00374A3B" w:rsidP="003E55F4">
      <w:pPr>
        <w:pStyle w:val="Bibliography"/>
        <w:ind w:left="540" w:hanging="540"/>
      </w:pPr>
      <w:r w:rsidRPr="003E55F4">
        <w:t>Sen, A., 2000. Social exclusion: Concept, application, and scrutiny (No. Social Development Papers No. 1). Office of Environment and Social Development, Asian Development Bank, Manila, Philippines.</w:t>
      </w:r>
    </w:p>
    <w:p w14:paraId="21568590" w14:textId="77777777" w:rsidR="00374A3B" w:rsidRPr="003E55F4" w:rsidRDefault="00374A3B" w:rsidP="003E55F4">
      <w:pPr>
        <w:pStyle w:val="Bibliography"/>
        <w:ind w:left="540" w:hanging="540"/>
      </w:pPr>
      <w:r w:rsidRPr="003E55F4">
        <w:t>Shah, A.M., Yan, X., Qayyum, A., 2021. Adoption of Mobile Food Ordering Apps for O2O Food Delivery Services During the COVID-19 Outbreak. British Food Journal 124, 3368–3395. https://doi.org/10.1108/BFJ-09-2020-0781</w:t>
      </w:r>
    </w:p>
    <w:p w14:paraId="0F4E9CFD" w14:textId="77777777" w:rsidR="00374A3B" w:rsidRPr="003E55F4" w:rsidRDefault="00374A3B" w:rsidP="003E55F4">
      <w:pPr>
        <w:pStyle w:val="Bibliography"/>
        <w:ind w:left="540" w:hanging="540"/>
      </w:pPr>
      <w:r w:rsidRPr="003E55F4">
        <w:t>Shah, H., Carrel, A.L., Le, H.T.K., 2024. Impacts of Teleworking and Online Shopping on Travel: A Tour-Based Analysis. Transportation 51, 99–127. https://doi.org/10.1007/s11116-022-10321-9</w:t>
      </w:r>
    </w:p>
    <w:p w14:paraId="55E947D0" w14:textId="77777777" w:rsidR="00374A3B" w:rsidRPr="003E55F4" w:rsidRDefault="00374A3B" w:rsidP="003E55F4">
      <w:pPr>
        <w:pStyle w:val="Bibliography"/>
        <w:ind w:left="540" w:hanging="540"/>
      </w:pPr>
      <w:r w:rsidRPr="003E55F4">
        <w:t>Shao, R., Derudder, B., Witlox, F., 2022. The Geography of E-Shopping in China: On the Role of Physical and Virtual Accessibility. Journal of Retailing and Consumer Services 64. https://doi.org/10.1016/j.jretconser.2021.102753</w:t>
      </w:r>
    </w:p>
    <w:p w14:paraId="7174CF5A" w14:textId="77777777" w:rsidR="00374A3B" w:rsidRPr="003E55F4" w:rsidRDefault="00374A3B" w:rsidP="003E55F4">
      <w:pPr>
        <w:pStyle w:val="Bibliography"/>
        <w:ind w:left="540" w:hanging="540"/>
      </w:pPr>
      <w:r w:rsidRPr="003E55F4">
        <w:t>Sheng, N., Fang, Y., Shao, Y., Alterman, V., Wang, M., 2022. The Impacts of Digital Technologies on Successful Aging in Non-Work and Work Domains: An Organizing Taxonomy. Work, Aging and Retirement 8, 198–207. https://doi.org/10.1093/workar/waac008</w:t>
      </w:r>
    </w:p>
    <w:p w14:paraId="294392E7" w14:textId="77777777" w:rsidR="00374A3B" w:rsidRPr="003E55F4" w:rsidRDefault="00374A3B" w:rsidP="003E55F4">
      <w:pPr>
        <w:pStyle w:val="Bibliography"/>
        <w:ind w:left="540" w:hanging="540"/>
      </w:pPr>
      <w:r w:rsidRPr="003E55F4">
        <w:t>Shukla, R., Raval, P.M., 2021. Impact of Virtual Accessibility on Out-of-Home Activity and Travel in Indian Urban Context: A Structural Equation Analysis. Transportation Research Interdisciplinary Perspectives 12. https://doi.org/10.1016/j.trip.2021.100483</w:t>
      </w:r>
    </w:p>
    <w:p w14:paraId="20676E47" w14:textId="77777777" w:rsidR="00374A3B" w:rsidRPr="003E55F4" w:rsidRDefault="00374A3B" w:rsidP="003E55F4">
      <w:pPr>
        <w:pStyle w:val="Bibliography"/>
        <w:ind w:left="540" w:hanging="540"/>
      </w:pPr>
      <w:r w:rsidRPr="003E55F4">
        <w:t>Siddiq, F., Taylor, B.D., 2021. Tools of the Trade? Journal of the American Planning Association 87, 497–511. https://doi.org/10.1080/01944363.2021.1899036</w:t>
      </w:r>
    </w:p>
    <w:p w14:paraId="3AFE62C6" w14:textId="77777777" w:rsidR="00374A3B" w:rsidRPr="003E55F4" w:rsidRDefault="00374A3B" w:rsidP="003E55F4">
      <w:pPr>
        <w:pStyle w:val="Bibliography"/>
        <w:ind w:left="540" w:hanging="540"/>
      </w:pPr>
      <w:r w:rsidRPr="003E55F4">
        <w:t>Solon, G., Haider, S.J., Wooldridge, J.M., 2015. What Are We Weighting For? Journal of Human Resources 50, 301–316. https://doi.org/10.3368/jhr.50.2.301</w:t>
      </w:r>
    </w:p>
    <w:p w14:paraId="4C201C9F" w14:textId="77777777" w:rsidR="00374A3B" w:rsidRPr="003E55F4" w:rsidRDefault="00374A3B" w:rsidP="003E55F4">
      <w:pPr>
        <w:pStyle w:val="Bibliography"/>
        <w:ind w:left="540" w:hanging="540"/>
      </w:pPr>
      <w:r w:rsidRPr="003E55F4">
        <w:lastRenderedPageBreak/>
        <w:t>Sousa, R., Horta, C., Ribeiro, R., Rabinovich, E., 2020. How to Serve Online Consumers in Rural Markets: Evidence-Based Recommendations. Business Horizons 63, 351–362. https://doi.org/10.1016/j.bushor.2020.01.007</w:t>
      </w:r>
    </w:p>
    <w:p w14:paraId="06F6DFAC" w14:textId="77777777" w:rsidR="00374A3B" w:rsidRPr="003E55F4" w:rsidRDefault="00374A3B" w:rsidP="003E55F4">
      <w:pPr>
        <w:pStyle w:val="Bibliography"/>
        <w:ind w:left="540" w:hanging="540"/>
      </w:pPr>
      <w:r w:rsidRPr="003E55F4">
        <w:t>Spieler, C., 2020. Racism has shaped public transit, and it’s riddled with inequities | Kinder Institute for Urban Research [WWW Document]. Kinder Institute for Urban Research | Rice University. URL https://kinder.rice.edu/urbanedge/racism-has-shaped-public-transit-and-its-riddled-inequities (accessed 6.7.24).</w:t>
      </w:r>
    </w:p>
    <w:p w14:paraId="47EF9024" w14:textId="77777777" w:rsidR="00374A3B" w:rsidRPr="003E55F4" w:rsidRDefault="00374A3B" w:rsidP="003E55F4">
      <w:pPr>
        <w:pStyle w:val="Bibliography"/>
        <w:ind w:left="540" w:hanging="540"/>
      </w:pPr>
      <w:r w:rsidRPr="003E55F4">
        <w:t>Spurlock, C.A., Todd-Blick, A., Wong-Parodi, G., Walker, V., 2020. Children, Income, and the Impact of Home Delivery on Household Shopping Trips. Transportation Research Record 2674, 335–350. https://doi.org/10.1177/0361198120935113</w:t>
      </w:r>
    </w:p>
    <w:p w14:paraId="4C7999EE" w14:textId="77777777" w:rsidR="00374A3B" w:rsidRPr="003E55F4" w:rsidRDefault="00374A3B" w:rsidP="003E55F4">
      <w:pPr>
        <w:pStyle w:val="Bibliography"/>
        <w:ind w:left="540" w:hanging="540"/>
      </w:pPr>
      <w:r w:rsidRPr="003E55F4">
        <w:t>Squire, K.D., 2022. From Virtual to Participatory Learning with Technology During COVID-19. E-Learning and Digital Media 19, 55–77. https://doi.org/10.1177/20427530211022926</w:t>
      </w:r>
    </w:p>
    <w:p w14:paraId="70132C08" w14:textId="77777777" w:rsidR="00374A3B" w:rsidRPr="003E55F4" w:rsidRDefault="00374A3B" w:rsidP="003E55F4">
      <w:pPr>
        <w:pStyle w:val="Bibliography"/>
        <w:ind w:left="540" w:hanging="540"/>
      </w:pPr>
      <w:r w:rsidRPr="003E55F4">
        <w:t>Stark, J., Meschik, M., 2018. Women’s Everyday Mobility: Frightening Situations and Their Impacts on Travel Behaviour. Transportation Research Part F: Traffic Psychology and Behaviour 54, 311–323. https://doi.org/10.1016/j.trf.2018.02.017</w:t>
      </w:r>
    </w:p>
    <w:p w14:paraId="2A8D1051" w14:textId="77777777" w:rsidR="00374A3B" w:rsidRPr="003E55F4" w:rsidRDefault="00374A3B" w:rsidP="003E55F4">
      <w:pPr>
        <w:pStyle w:val="Bibliography"/>
        <w:ind w:left="540" w:hanging="540"/>
      </w:pPr>
      <w:r w:rsidRPr="003E55F4">
        <w:t>Suminski, R.R., Poston, W.S.C., Petosa, R.L., Stevens, E., Katzenmoyer, L.M., 2005. Features of the Neighborhood Environment and Walking by U.S. Adults. American Journal of Preventive Medicine 28, 149–155. https://doi.org/10.1016/j.amepre.2004.09.009</w:t>
      </w:r>
    </w:p>
    <w:p w14:paraId="00B7AC00" w14:textId="77777777" w:rsidR="00374A3B" w:rsidRPr="003E55F4" w:rsidRDefault="00374A3B" w:rsidP="003E55F4">
      <w:pPr>
        <w:pStyle w:val="Bibliography"/>
        <w:ind w:left="540" w:hanging="540"/>
      </w:pPr>
      <w:r w:rsidRPr="003E55F4">
        <w:t>Tagliaro, C., Migliore, A., 2021. “COVID-Working”: What to Keep and What to Leave? Evidence from an Italian Company. Journal of Corporate Real Estate 24, 76–92. https://doi.org/10.1108/JCRE-10-2020-0053</w:t>
      </w:r>
    </w:p>
    <w:p w14:paraId="214E34CC" w14:textId="77777777" w:rsidR="00374A3B" w:rsidRPr="003E55F4" w:rsidRDefault="00374A3B" w:rsidP="003E55F4">
      <w:pPr>
        <w:pStyle w:val="Bibliography"/>
        <w:ind w:left="540" w:hanging="540"/>
      </w:pPr>
      <w:r w:rsidRPr="003E55F4">
        <w:t>Taylor, M.A.P., 2013. Travel Through Time: The Story of Research on Travel Time Reliability. Transportmetrica B: Transport Dynamics 1, 174–194. https://doi.org/10.1080/21680566.2013.859107</w:t>
      </w:r>
    </w:p>
    <w:p w14:paraId="504C43CF" w14:textId="77777777" w:rsidR="00374A3B" w:rsidRPr="003E55F4" w:rsidRDefault="00374A3B" w:rsidP="003E55F4">
      <w:pPr>
        <w:pStyle w:val="Bibliography"/>
        <w:ind w:left="540" w:hanging="540"/>
      </w:pPr>
      <w:r w:rsidRPr="003E55F4">
        <w:t>Thulin, E., Vilhelmson, B., Brundin, L., 2023. Telework After Confinement: Interrogating the Spatiotemporalities of Home-Based Work Life. Journal of Transport Geography 113. https://doi.org/10.1016/j.jtrangeo.2023.103740</w:t>
      </w:r>
    </w:p>
    <w:p w14:paraId="18D24F67" w14:textId="77777777" w:rsidR="00374A3B" w:rsidRPr="003E55F4" w:rsidRDefault="00374A3B" w:rsidP="003E55F4">
      <w:pPr>
        <w:pStyle w:val="Bibliography"/>
        <w:ind w:left="540" w:hanging="540"/>
      </w:pPr>
      <w:r w:rsidRPr="003E55F4">
        <w:t>Titiloye, I., Sarker, M.A.A., Jin, X., 2024. Unraveling Heterogeneity in Online Shopping and Travel Behavior Through Latent Class Modeling. Transportation Research Record 03611981241234918. https://doi.org/10.1177/03611981241234918</w:t>
      </w:r>
    </w:p>
    <w:p w14:paraId="573CF37D" w14:textId="77777777" w:rsidR="00374A3B" w:rsidRPr="003E55F4" w:rsidRDefault="00374A3B" w:rsidP="003E55F4">
      <w:pPr>
        <w:pStyle w:val="Bibliography"/>
        <w:ind w:left="540" w:hanging="540"/>
      </w:pPr>
      <w:r w:rsidRPr="003E55F4">
        <w:t>Tiznado-Aitken, I., Lucas, K., Muñoz, J.C., Hurtubia, R., 2022. Freedom of Choice? Social and Spatial Disparities on Combined Housing and Transport Affordability. Transport Policy 122, 39–53. https://doi.org/10.1016/j.tranpol.2022.04.005</w:t>
      </w:r>
    </w:p>
    <w:p w14:paraId="5855F0C7" w14:textId="77777777" w:rsidR="00374A3B" w:rsidRPr="003E55F4" w:rsidRDefault="00374A3B" w:rsidP="003E55F4">
      <w:pPr>
        <w:pStyle w:val="Bibliography"/>
        <w:ind w:left="540" w:hanging="540"/>
      </w:pPr>
      <w:r w:rsidRPr="003E55F4">
        <w:t>Tiznado-Aitken, I., Lucas, K., Muñoz, J.C., Hurtubia, R., 2020. Understanding Accessibility Through Public Transport Users’ Experiences: A Mixed Methods Approach. Journal of Transport Geography 88. https://doi.org/10.1016/j.jtrangeo.2020.102857</w:t>
      </w:r>
    </w:p>
    <w:p w14:paraId="7402F17C" w14:textId="77777777" w:rsidR="00374A3B" w:rsidRPr="003E55F4" w:rsidRDefault="00374A3B" w:rsidP="003E55F4">
      <w:pPr>
        <w:pStyle w:val="Bibliography"/>
        <w:ind w:left="540" w:hanging="540"/>
      </w:pPr>
      <w:r w:rsidRPr="003E55F4">
        <w:t>U.S. Census Bureau, 2020. Profile of General Population and Housing Characteristics., Decennial Census, DEC Demographic Profile, Table DP1.</w:t>
      </w:r>
    </w:p>
    <w:p w14:paraId="2FF7112B" w14:textId="77777777" w:rsidR="00374A3B" w:rsidRPr="003E55F4" w:rsidRDefault="00374A3B" w:rsidP="003E55F4">
      <w:pPr>
        <w:pStyle w:val="Bibliography"/>
        <w:ind w:left="540" w:hanging="540"/>
      </w:pPr>
      <w:r w:rsidRPr="003E55F4">
        <w:t>van de Coevering, P., Maat, K., van Wee, B., 2018. Residential Self-Selection, Reverse Causality and Residential Dissonance. A Latent Class Transition Model of Interactions Between the Built Environment, Travel Attitudes and Travel Behavior. Transportation Research Part A: Policy and Practice 118, 466–479. https://doi.org/10.1016/j.tra.2018.08.035</w:t>
      </w:r>
    </w:p>
    <w:p w14:paraId="345A607C" w14:textId="77777777" w:rsidR="00374A3B" w:rsidRPr="003E55F4" w:rsidRDefault="00374A3B" w:rsidP="003E55F4">
      <w:pPr>
        <w:pStyle w:val="Bibliography"/>
        <w:ind w:left="540" w:hanging="540"/>
      </w:pPr>
      <w:r w:rsidRPr="003E55F4">
        <w:t>van der Vlugt, A.-L., Curl, A., Wittowsky, D., 2019. What About the People? Developing Measures of Perceived Accessibility from Case Studies in Germany and the UK. Applied Mobilities 4, 142–162. https://doi.org/10.1080/23800127.2019.1573450</w:t>
      </w:r>
    </w:p>
    <w:p w14:paraId="0A3441ED" w14:textId="77777777" w:rsidR="00374A3B" w:rsidRPr="003E55F4" w:rsidRDefault="00374A3B" w:rsidP="003E55F4">
      <w:pPr>
        <w:pStyle w:val="Bibliography"/>
        <w:ind w:left="540" w:hanging="540"/>
      </w:pPr>
      <w:r w:rsidRPr="003E55F4">
        <w:lastRenderedPageBreak/>
        <w:t>van Lierop, D., El-Geneidy, A., 2016. Enjoying Loyalty: The Relationship Between Service Quality, Customer Satisfaction, and Behavioral Intentions in Public Transit. Research in Transportation Economics, Competition and Ownership in Land Passenger Transport (selected papers from the Thredbo 14 conference) 59, 50–59. https://doi.org/10.1016/j.retrec.2016.04.001</w:t>
      </w:r>
    </w:p>
    <w:p w14:paraId="11D1E283" w14:textId="77777777" w:rsidR="00374A3B" w:rsidRPr="003E55F4" w:rsidRDefault="00374A3B" w:rsidP="003E55F4">
      <w:pPr>
        <w:pStyle w:val="Bibliography"/>
        <w:ind w:left="540" w:hanging="540"/>
      </w:pPr>
      <w:r w:rsidRPr="003E55F4">
        <w:t>van Wee, B., 2022. Accessibility and Equity: A Conceptual Framework and Research Agenda. Journal of Transport Geography 104. https://doi.org/10.1016/j.jtrangeo.2022.103421</w:t>
      </w:r>
    </w:p>
    <w:p w14:paraId="3BEB8505" w14:textId="77777777" w:rsidR="00374A3B" w:rsidRPr="003E55F4" w:rsidRDefault="00374A3B" w:rsidP="003E55F4">
      <w:pPr>
        <w:pStyle w:val="Bibliography"/>
        <w:ind w:left="540" w:hanging="540"/>
      </w:pPr>
      <w:r w:rsidRPr="003E55F4">
        <w:t>Vansteenwegen, P., Melis, L., Aktaş, D., Montenegro, B.D.G., Sartori Vieira, F., Sörensen, K., 2022. A Survey on Demand-Responsive Public Bus Systems. Transportation Research Part C: Emerging Technologies 137. https://doi.org/10.1016/j.trc.2022.103573</w:t>
      </w:r>
    </w:p>
    <w:p w14:paraId="555AEAF4" w14:textId="77777777" w:rsidR="00374A3B" w:rsidRPr="003E55F4" w:rsidRDefault="00374A3B" w:rsidP="003E55F4">
      <w:pPr>
        <w:pStyle w:val="Bibliography"/>
        <w:ind w:left="540" w:hanging="540"/>
      </w:pPr>
      <w:r w:rsidRPr="003E55F4">
        <w:t>Vinella-Brusher, E., Cochran, A.L., Iacobucci, E., Wang, J., Wolfe, M., Oluyede, L., Prunkl, L., McDonald, N.C., 2022. Potential of Telehealth to Mitigate Transport Barriers: Evidence from the COVID-19 Pandemic. Findings. https://doi.org/10.32866/001c.37060</w:t>
      </w:r>
    </w:p>
    <w:p w14:paraId="1BF48030" w14:textId="77777777" w:rsidR="00374A3B" w:rsidRPr="003E55F4" w:rsidRDefault="00374A3B" w:rsidP="003E55F4">
      <w:pPr>
        <w:pStyle w:val="Bibliography"/>
        <w:ind w:left="540" w:hanging="540"/>
      </w:pPr>
      <w:r w:rsidRPr="003E55F4">
        <w:t>Wachs, M., Kumagai, T.G., 1973. Physical Accessibility as a Social Indicator. Socio-Economic Planning Sciences 7, 437–456. https://doi.org/10.1016/0038-0121(73)90041-4</w:t>
      </w:r>
    </w:p>
    <w:p w14:paraId="0DE67A59" w14:textId="77777777" w:rsidR="00374A3B" w:rsidRPr="003E55F4" w:rsidRDefault="00374A3B" w:rsidP="003E55F4">
      <w:pPr>
        <w:pStyle w:val="Bibliography"/>
        <w:ind w:left="540" w:hanging="540"/>
      </w:pPr>
      <w:r w:rsidRPr="003E55F4">
        <w:t>Wang, S., Cheng, C., 2024. Opportunity or Exploitation? A Longitudinal Dyadic Analysis of Flexible Working Arrangements and Gender Household Labor Inequality. Social Forces 102, 1446–1466. https://doi.org/10.1093/sf/soad125</w:t>
      </w:r>
    </w:p>
    <w:p w14:paraId="5DF051B1" w14:textId="77777777" w:rsidR="00374A3B" w:rsidRPr="003E55F4" w:rsidRDefault="00374A3B" w:rsidP="003E55F4">
      <w:pPr>
        <w:pStyle w:val="Bibliography"/>
        <w:ind w:left="540" w:hanging="540"/>
      </w:pPr>
      <w:r w:rsidRPr="003E55F4">
        <w:t>Wooldridge, J.M., 1995. Selection Corrections for Panel Data Models Under Conditional Mean Independence Assumptions. Journal of Econometrics 68, 115–132. https://doi.org/10.1016/0304-4076(94)01645-G</w:t>
      </w:r>
    </w:p>
    <w:p w14:paraId="677AD754" w14:textId="77777777" w:rsidR="00374A3B" w:rsidRPr="003E55F4" w:rsidRDefault="00374A3B" w:rsidP="003E55F4">
      <w:pPr>
        <w:pStyle w:val="Bibliography"/>
        <w:ind w:left="540" w:hanging="540"/>
      </w:pPr>
      <w:r w:rsidRPr="003E55F4">
        <w:t>Wu, S., Yang, Q., Yang, Z., 2022. Integrating Express Package Delivery Service with Offline Mobile Sales: A New Potential Solution to Sustainable Last-Mile Logistics in Rural China. International Journal of Logistics Research and Applications 1–29. https://doi.org/10.1080/13675567.2022.2153356</w:t>
      </w:r>
    </w:p>
    <w:p w14:paraId="6EA39E29" w14:textId="77777777" w:rsidR="00374A3B" w:rsidRPr="003E55F4" w:rsidRDefault="00374A3B" w:rsidP="003E55F4">
      <w:pPr>
        <w:pStyle w:val="Bibliography"/>
        <w:ind w:left="540" w:hanging="540"/>
      </w:pPr>
      <w:r w:rsidRPr="003E55F4">
        <w:t>Xu, L., Saphores, J.-D., 2024. Does E-Shopping Impact Household Travel? Evidence from the 2017 U.S. NHTS. Journal of Transport Geography 115. https://doi.org/10.1016/j.jtrangeo.2024.103827</w:t>
      </w:r>
    </w:p>
    <w:p w14:paraId="15F77346" w14:textId="77777777" w:rsidR="00374A3B" w:rsidRPr="003E55F4" w:rsidRDefault="00374A3B" w:rsidP="003E55F4">
      <w:pPr>
        <w:pStyle w:val="Bibliography"/>
        <w:ind w:left="540" w:hanging="540"/>
      </w:pPr>
      <w:r w:rsidRPr="003E55F4">
        <w:t>Yavuz, N., Welch, E.W., 2010. Addressing Fear of Crime in Public Space: Gender Differences in Reaction to Safety Measures in Train Transit. Urban Studies 47, 2491–2515. https://doi.org/10.1177/0042098009359033</w:t>
      </w:r>
    </w:p>
    <w:p w14:paraId="510DF8F4" w14:textId="77777777" w:rsidR="00374A3B" w:rsidRPr="003E55F4" w:rsidRDefault="00374A3B" w:rsidP="003E55F4">
      <w:pPr>
        <w:pStyle w:val="Bibliography"/>
        <w:ind w:left="540" w:hanging="540"/>
      </w:pPr>
      <w:r w:rsidRPr="003E55F4">
        <w:t>Yıldırım, M., Geçer, E., Akgül, Ö., 2021. The Impacts of Vulnerability, Perceived Risk, and Fear on Preventive Behaviours Against COVID-19. Psychology, Health &amp; Medicine 26, 35–43. https://doi.org/10.1080/13548506.2020.1776891</w:t>
      </w:r>
    </w:p>
    <w:p w14:paraId="20148F25" w14:textId="77777777" w:rsidR="00374A3B" w:rsidRPr="003E55F4" w:rsidRDefault="00374A3B" w:rsidP="003E55F4">
      <w:pPr>
        <w:pStyle w:val="Bibliography"/>
        <w:ind w:left="540" w:hanging="540"/>
      </w:pPr>
      <w:r w:rsidRPr="003E55F4">
        <w:t>Young, M., Soza-Parra, J., Circella, G., 2022. The Increase in Online Shopping During COVID-19: Who Is Responsible, Will It Last, and What Does It Mean for Cities? Regional Science Policy &amp; Practice 14, 162–178. https://doi.org/10.1111/rsp3.12514</w:t>
      </w:r>
    </w:p>
    <w:p w14:paraId="4FC44480" w14:textId="77777777" w:rsidR="00374A3B" w:rsidRPr="003E55F4" w:rsidRDefault="00374A3B" w:rsidP="003E55F4">
      <w:pPr>
        <w:pStyle w:val="Bibliography"/>
        <w:ind w:left="540" w:hanging="540"/>
      </w:pPr>
      <w:r w:rsidRPr="003E55F4">
        <w:t>Yousefzadeh Barri, E., Farber, S., Kramer, A., Jahanshahi, H., Allen, J., Beyazit, E., 2021. Can Transit Investments in Low-Income Neighbourhoods Increase Transit Use? Exploring the Nexus of Income, Car-Ownership, and Transit Accessibility in Toronto. Transportation Research Part D: Transport and Environment 95, 102849. https://doi.org/10.1016/j.trd.2021.102849</w:t>
      </w:r>
    </w:p>
    <w:p w14:paraId="3784B5F9" w14:textId="77777777" w:rsidR="00374A3B" w:rsidRPr="003E55F4" w:rsidRDefault="00374A3B" w:rsidP="003E55F4">
      <w:pPr>
        <w:pStyle w:val="Bibliography"/>
        <w:ind w:left="540" w:hanging="540"/>
      </w:pPr>
      <w:r w:rsidRPr="003E55F4">
        <w:t>Yuan, B., Wang, M., 2023. How Work Pattern Transformation May Affect the Mental Health of Older Workers Faced With Unmet Health Care Needs During the Pandemic? A Comparative Investigation of Different Work Models. Journal of Occupational and Environmental Medicine 65. https://doi.org/10.1097/JOM.0000000000002813</w:t>
      </w:r>
    </w:p>
    <w:p w14:paraId="7945D244" w14:textId="77777777" w:rsidR="00374A3B" w:rsidRPr="003E55F4" w:rsidRDefault="00374A3B" w:rsidP="003E55F4">
      <w:pPr>
        <w:pStyle w:val="Bibliography"/>
        <w:ind w:left="540" w:hanging="540"/>
      </w:pPr>
      <w:r w:rsidRPr="003E55F4">
        <w:lastRenderedPageBreak/>
        <w:t>Zhong, S., Lomas, C., Worth, T., 2022. Understanding Customers’ Adoption of Express Delivery Service for Last-Mile Delivery in the UK. International Journal of Logistics Research and Applications 25, 1491–1508. https://doi.org/10.1080/13675567.2021.1914563</w:t>
      </w:r>
    </w:p>
    <w:p w14:paraId="06A07F7B" w14:textId="77777777" w:rsidR="00374A3B" w:rsidRPr="003E55F4" w:rsidRDefault="00374A3B" w:rsidP="003E55F4">
      <w:pPr>
        <w:pStyle w:val="Bibliography"/>
        <w:ind w:left="540" w:hanging="540"/>
      </w:pPr>
      <w:r w:rsidRPr="003E55F4">
        <w:t>Zhou, Y., Yuan, Q., Ding, F., Chen, M., Yang, C., Guo, T., 2022. Demand, Mobility, and Constraints: Exploring Travel Behaviors and Mode Choices of Older Adults Using a Facility-Based Framework. Journal of Transport Geography 102. https://doi.org/10.1016/j.jtrangeo.2022.103368</w:t>
      </w:r>
    </w:p>
    <w:p w14:paraId="7A3631E1" w14:textId="0671905D" w:rsidR="005D67B1" w:rsidRDefault="002B0064" w:rsidP="00DE4E50">
      <w:pPr>
        <w:spacing w:after="0" w:line="240" w:lineRule="auto"/>
        <w:jc w:val="both"/>
      </w:pPr>
      <w:r>
        <w:fldChar w:fldCharType="end"/>
      </w:r>
    </w:p>
    <w:p w14:paraId="6DE21C54" w14:textId="77777777" w:rsidR="005D67B1" w:rsidRDefault="005D67B1">
      <w:r>
        <w:br w:type="page"/>
      </w:r>
    </w:p>
    <w:p w14:paraId="39AE7C2E" w14:textId="77777777" w:rsidR="00687312" w:rsidRDefault="00687312" w:rsidP="00687312">
      <w:pPr>
        <w:spacing w:after="0"/>
        <w:jc w:val="center"/>
        <w:rPr>
          <w:b/>
          <w:bCs/>
          <w:sz w:val="20"/>
          <w:szCs w:val="20"/>
        </w:rPr>
      </w:pPr>
      <w:r>
        <w:rPr>
          <w:b/>
          <w:bCs/>
          <w:noProof/>
          <w:sz w:val="20"/>
          <w:szCs w:val="20"/>
        </w:rPr>
        <w:lastRenderedPageBreak/>
        <w:drawing>
          <wp:inline distT="0" distB="0" distL="0" distR="0" wp14:anchorId="29BF174D" wp14:editId="22EDBE84">
            <wp:extent cx="5528466" cy="3025454"/>
            <wp:effectExtent l="0" t="0" r="0" b="3810"/>
            <wp:docPr id="668182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5546259" cy="3035191"/>
                    </a:xfrm>
                    <a:prstGeom prst="rect">
                      <a:avLst/>
                    </a:prstGeom>
                    <a:noFill/>
                  </pic:spPr>
                </pic:pic>
              </a:graphicData>
            </a:graphic>
          </wp:inline>
        </w:drawing>
      </w:r>
    </w:p>
    <w:p w14:paraId="75DECCCB" w14:textId="77777777" w:rsidR="00687312" w:rsidRDefault="00687312" w:rsidP="00687312">
      <w:pPr>
        <w:spacing w:after="0"/>
        <w:jc w:val="center"/>
        <w:rPr>
          <w:b/>
          <w:bCs/>
          <w:sz w:val="20"/>
          <w:szCs w:val="20"/>
        </w:rPr>
      </w:pPr>
    </w:p>
    <w:p w14:paraId="7F639103" w14:textId="77777777" w:rsidR="00687312" w:rsidRDefault="00687312" w:rsidP="00687312">
      <w:pPr>
        <w:spacing w:after="0" w:line="240" w:lineRule="auto"/>
        <w:jc w:val="center"/>
        <w:rPr>
          <w:b/>
          <w:bCs/>
        </w:rPr>
      </w:pPr>
      <w:r>
        <w:rPr>
          <w:b/>
          <w:bCs/>
        </w:rPr>
        <w:t>Figure 1 Framework of Physical Participation Dissonance (PPD)</w:t>
      </w:r>
    </w:p>
    <w:p w14:paraId="59394B24" w14:textId="77777777" w:rsidR="00687312" w:rsidRDefault="00687312" w:rsidP="00DE4E50">
      <w:pPr>
        <w:spacing w:after="0" w:line="240" w:lineRule="auto"/>
        <w:jc w:val="both"/>
        <w:rPr>
          <w:b/>
          <w:bCs/>
        </w:rPr>
      </w:pPr>
    </w:p>
    <w:p w14:paraId="764E074E" w14:textId="77777777" w:rsidR="00687312" w:rsidRDefault="00687312" w:rsidP="00DE4E50">
      <w:pPr>
        <w:spacing w:after="0" w:line="240" w:lineRule="auto"/>
        <w:jc w:val="both"/>
        <w:rPr>
          <w:b/>
          <w:bCs/>
        </w:rPr>
      </w:pPr>
    </w:p>
    <w:p w14:paraId="55124A05" w14:textId="77777777" w:rsidR="00687312" w:rsidRDefault="00687312" w:rsidP="00DE4E50">
      <w:pPr>
        <w:spacing w:after="0" w:line="240" w:lineRule="auto"/>
        <w:jc w:val="both"/>
        <w:rPr>
          <w:b/>
          <w:bCs/>
        </w:rPr>
      </w:pPr>
    </w:p>
    <w:p w14:paraId="3A2334DA" w14:textId="77777777" w:rsidR="00687312" w:rsidRDefault="00687312" w:rsidP="00DE4E50">
      <w:pPr>
        <w:spacing w:after="0" w:line="240" w:lineRule="auto"/>
        <w:jc w:val="both"/>
        <w:rPr>
          <w:b/>
          <w:bCs/>
        </w:rPr>
      </w:pPr>
      <w:r>
        <w:rPr>
          <w:b/>
          <w:bCs/>
        </w:rPr>
        <w:br w:type="page"/>
      </w:r>
    </w:p>
    <w:p w14:paraId="592CA784" w14:textId="7C75469F" w:rsidR="0009518B" w:rsidRDefault="00B81205" w:rsidP="00DE4E50">
      <w:pPr>
        <w:spacing w:after="0" w:line="240" w:lineRule="auto"/>
        <w:jc w:val="both"/>
        <w:rPr>
          <w:b/>
          <w:bCs/>
        </w:rPr>
      </w:pPr>
      <w:r>
        <w:rPr>
          <w:b/>
          <w:bCs/>
        </w:rPr>
        <w:lastRenderedPageBreak/>
        <w:t xml:space="preserve">Table 1 </w:t>
      </w:r>
      <w:r w:rsidR="00624879">
        <w:rPr>
          <w:b/>
          <w:bCs/>
        </w:rPr>
        <w:t>Descriptive Statistics of Outcomes</w:t>
      </w:r>
    </w:p>
    <w:p w14:paraId="0D45BD26" w14:textId="77777777" w:rsidR="00624879" w:rsidRPr="00B81205" w:rsidRDefault="00624879" w:rsidP="00DE4E50">
      <w:pPr>
        <w:spacing w:after="0" w:line="240" w:lineRule="auto"/>
        <w:jc w:val="both"/>
        <w:rPr>
          <w:b/>
          <w:bCs/>
        </w:rPr>
      </w:pP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5"/>
        <w:gridCol w:w="1800"/>
        <w:gridCol w:w="1530"/>
      </w:tblGrid>
      <w:tr w:rsidR="00A442FE" w:rsidRPr="003E55F4" w14:paraId="0D80410A" w14:textId="77777777" w:rsidTr="003E55F4">
        <w:trPr>
          <w:trHeight w:val="288"/>
          <w:jc w:val="center"/>
        </w:trPr>
        <w:tc>
          <w:tcPr>
            <w:tcW w:w="5925" w:type="dxa"/>
            <w:tcBorders>
              <w:top w:val="single" w:sz="12" w:space="0" w:color="auto"/>
              <w:left w:val="single" w:sz="12" w:space="0" w:color="auto"/>
              <w:bottom w:val="single" w:sz="6" w:space="0" w:color="auto"/>
              <w:right w:val="single" w:sz="6" w:space="0" w:color="auto"/>
            </w:tcBorders>
            <w:shd w:val="clear" w:color="000000" w:fill="FFFFFF"/>
            <w:vAlign w:val="center"/>
          </w:tcPr>
          <w:p w14:paraId="1CB760A5" w14:textId="2B56DADE" w:rsidR="00A442FE" w:rsidRPr="003E55F4" w:rsidRDefault="00A65C6D" w:rsidP="00E56366">
            <w:pPr>
              <w:spacing w:after="0" w:line="240" w:lineRule="auto"/>
              <w:jc w:val="center"/>
              <w:rPr>
                <w:rFonts w:eastAsia="Times New Roman"/>
                <w:b/>
                <w:bCs/>
                <w:color w:val="000000"/>
                <w:sz w:val="22"/>
                <w:szCs w:val="22"/>
              </w:rPr>
            </w:pPr>
            <w:r w:rsidRPr="003E55F4">
              <w:rPr>
                <w:rFonts w:eastAsia="Times New Roman"/>
                <w:b/>
                <w:bCs/>
                <w:color w:val="000000"/>
                <w:sz w:val="22"/>
                <w:szCs w:val="22"/>
              </w:rPr>
              <w:t>Physical Participation Dissonance (PPD)</w:t>
            </w:r>
          </w:p>
        </w:tc>
        <w:tc>
          <w:tcPr>
            <w:tcW w:w="1800" w:type="dxa"/>
            <w:tcBorders>
              <w:top w:val="single" w:sz="12" w:space="0" w:color="auto"/>
              <w:left w:val="single" w:sz="6" w:space="0" w:color="auto"/>
              <w:bottom w:val="single" w:sz="6" w:space="0" w:color="auto"/>
              <w:right w:val="single" w:sz="6" w:space="0" w:color="auto"/>
            </w:tcBorders>
            <w:shd w:val="clear" w:color="000000" w:fill="FFFFFF"/>
            <w:vAlign w:val="center"/>
          </w:tcPr>
          <w:p w14:paraId="420361DF" w14:textId="77777777" w:rsidR="00A442FE" w:rsidRPr="003E55F4" w:rsidRDefault="00A442FE" w:rsidP="00E56366">
            <w:pPr>
              <w:spacing w:after="0" w:line="240" w:lineRule="auto"/>
              <w:jc w:val="center"/>
              <w:rPr>
                <w:rFonts w:eastAsia="Times New Roman"/>
                <w:b/>
                <w:bCs/>
                <w:color w:val="000000"/>
                <w:sz w:val="22"/>
                <w:szCs w:val="22"/>
              </w:rPr>
            </w:pPr>
            <w:r w:rsidRPr="003E55F4">
              <w:rPr>
                <w:rFonts w:eastAsia="Times New Roman"/>
                <w:b/>
                <w:bCs/>
                <w:color w:val="000000"/>
                <w:sz w:val="22"/>
                <w:szCs w:val="22"/>
              </w:rPr>
              <w:t>Number</w:t>
            </w:r>
          </w:p>
        </w:tc>
        <w:tc>
          <w:tcPr>
            <w:tcW w:w="1530" w:type="dxa"/>
            <w:tcBorders>
              <w:top w:val="single" w:sz="12" w:space="0" w:color="auto"/>
              <w:left w:val="single" w:sz="6" w:space="0" w:color="auto"/>
              <w:bottom w:val="single" w:sz="6" w:space="0" w:color="auto"/>
              <w:right w:val="single" w:sz="12" w:space="0" w:color="auto"/>
            </w:tcBorders>
            <w:shd w:val="clear" w:color="000000" w:fill="FFFFFF"/>
            <w:vAlign w:val="center"/>
          </w:tcPr>
          <w:p w14:paraId="16CE903D" w14:textId="77777777" w:rsidR="00A442FE" w:rsidRPr="003E55F4" w:rsidRDefault="00A442FE" w:rsidP="00E56366">
            <w:pPr>
              <w:spacing w:after="0" w:line="240" w:lineRule="auto"/>
              <w:jc w:val="center"/>
              <w:rPr>
                <w:rFonts w:eastAsia="Times New Roman"/>
                <w:b/>
                <w:bCs/>
                <w:color w:val="000000"/>
                <w:sz w:val="22"/>
                <w:szCs w:val="22"/>
              </w:rPr>
            </w:pPr>
            <w:r w:rsidRPr="003E55F4">
              <w:rPr>
                <w:rFonts w:eastAsia="Times New Roman"/>
                <w:b/>
                <w:bCs/>
                <w:color w:val="000000"/>
                <w:sz w:val="22"/>
                <w:szCs w:val="22"/>
              </w:rPr>
              <w:t>Percent</w:t>
            </w:r>
          </w:p>
        </w:tc>
      </w:tr>
      <w:tr w:rsidR="00A442FE" w:rsidRPr="003E55F4" w14:paraId="0AC471DD" w14:textId="77777777" w:rsidTr="003E55F4">
        <w:trPr>
          <w:trHeight w:val="288"/>
          <w:jc w:val="center"/>
        </w:trPr>
        <w:tc>
          <w:tcPr>
            <w:tcW w:w="5925" w:type="dxa"/>
            <w:tcBorders>
              <w:top w:val="single" w:sz="6" w:space="0" w:color="auto"/>
              <w:left w:val="single" w:sz="12" w:space="0" w:color="auto"/>
              <w:bottom w:val="nil"/>
              <w:right w:val="single" w:sz="6" w:space="0" w:color="auto"/>
            </w:tcBorders>
            <w:shd w:val="clear" w:color="000000" w:fill="FFFFFF"/>
            <w:vAlign w:val="center"/>
          </w:tcPr>
          <w:p w14:paraId="0C4BDE0C" w14:textId="77777777" w:rsidR="00A442FE" w:rsidRPr="003E55F4" w:rsidRDefault="00A442FE" w:rsidP="00E56366">
            <w:pPr>
              <w:spacing w:after="0" w:line="240" w:lineRule="auto"/>
              <w:rPr>
                <w:rFonts w:eastAsia="Times New Roman"/>
                <w:color w:val="000000"/>
                <w:sz w:val="22"/>
                <w:szCs w:val="22"/>
              </w:rPr>
            </w:pPr>
            <w:r w:rsidRPr="003E55F4">
              <w:rPr>
                <w:rFonts w:eastAsia="Times New Roman"/>
                <w:color w:val="000000"/>
                <w:sz w:val="22"/>
                <w:szCs w:val="22"/>
              </w:rPr>
              <w:t>Suppressed trips in the last 30 days</w:t>
            </w:r>
          </w:p>
        </w:tc>
        <w:tc>
          <w:tcPr>
            <w:tcW w:w="1800" w:type="dxa"/>
            <w:tcBorders>
              <w:top w:val="single" w:sz="6" w:space="0" w:color="auto"/>
              <w:left w:val="single" w:sz="6" w:space="0" w:color="auto"/>
              <w:bottom w:val="nil"/>
              <w:right w:val="single" w:sz="6" w:space="0" w:color="auto"/>
            </w:tcBorders>
            <w:shd w:val="clear" w:color="000000" w:fill="FFFFFF"/>
            <w:vAlign w:val="center"/>
          </w:tcPr>
          <w:p w14:paraId="55923BCA" w14:textId="77777777" w:rsidR="00A442FE" w:rsidRPr="003E55F4" w:rsidRDefault="00A442FE" w:rsidP="00E56366">
            <w:pPr>
              <w:tabs>
                <w:tab w:val="decimal" w:pos="391"/>
              </w:tabs>
              <w:spacing w:after="0" w:line="240" w:lineRule="auto"/>
              <w:jc w:val="center"/>
              <w:rPr>
                <w:rFonts w:eastAsia="Times New Roman"/>
                <w:color w:val="000000"/>
                <w:sz w:val="22"/>
                <w:szCs w:val="22"/>
              </w:rPr>
            </w:pPr>
            <w:r w:rsidRPr="003E55F4">
              <w:rPr>
                <w:rFonts w:eastAsia="Times New Roman"/>
                <w:color w:val="000000"/>
                <w:sz w:val="22"/>
                <w:szCs w:val="22"/>
              </w:rPr>
              <w:t>2553</w:t>
            </w:r>
          </w:p>
        </w:tc>
        <w:tc>
          <w:tcPr>
            <w:tcW w:w="1530" w:type="dxa"/>
            <w:tcBorders>
              <w:top w:val="single" w:sz="6" w:space="0" w:color="auto"/>
              <w:left w:val="single" w:sz="6" w:space="0" w:color="auto"/>
              <w:bottom w:val="nil"/>
              <w:right w:val="single" w:sz="12" w:space="0" w:color="auto"/>
            </w:tcBorders>
            <w:shd w:val="clear" w:color="000000" w:fill="FFFFFF"/>
            <w:vAlign w:val="center"/>
          </w:tcPr>
          <w:p w14:paraId="660C8E85" w14:textId="77777777" w:rsidR="00A442FE" w:rsidRPr="003E55F4" w:rsidRDefault="00A442FE" w:rsidP="00E56366">
            <w:pPr>
              <w:tabs>
                <w:tab w:val="decimal" w:pos="211"/>
              </w:tabs>
              <w:spacing w:after="0" w:line="240" w:lineRule="auto"/>
              <w:jc w:val="center"/>
              <w:rPr>
                <w:rFonts w:eastAsia="Times New Roman"/>
                <w:color w:val="000000"/>
                <w:sz w:val="22"/>
                <w:szCs w:val="22"/>
              </w:rPr>
            </w:pPr>
            <w:r w:rsidRPr="003E55F4">
              <w:rPr>
                <w:rFonts w:eastAsia="Times New Roman"/>
                <w:color w:val="000000"/>
                <w:sz w:val="22"/>
                <w:szCs w:val="22"/>
              </w:rPr>
              <w:t>20.5</w:t>
            </w:r>
          </w:p>
        </w:tc>
      </w:tr>
      <w:tr w:rsidR="00A442FE" w:rsidRPr="003E55F4" w14:paraId="54C48766" w14:textId="77777777" w:rsidTr="003E55F4">
        <w:trPr>
          <w:trHeight w:val="288"/>
          <w:jc w:val="center"/>
        </w:trPr>
        <w:tc>
          <w:tcPr>
            <w:tcW w:w="5925" w:type="dxa"/>
            <w:tcBorders>
              <w:top w:val="nil"/>
              <w:left w:val="single" w:sz="12" w:space="0" w:color="auto"/>
              <w:bottom w:val="single" w:sz="12" w:space="0" w:color="auto"/>
              <w:right w:val="single" w:sz="6" w:space="0" w:color="auto"/>
            </w:tcBorders>
            <w:shd w:val="clear" w:color="000000" w:fill="FFFFFF"/>
            <w:vAlign w:val="center"/>
          </w:tcPr>
          <w:p w14:paraId="2D50F431" w14:textId="77777777" w:rsidR="00A442FE" w:rsidRPr="003E55F4" w:rsidRDefault="00A442FE" w:rsidP="00E56366">
            <w:pPr>
              <w:spacing w:after="0" w:line="240" w:lineRule="auto"/>
              <w:rPr>
                <w:rFonts w:eastAsia="Times New Roman"/>
                <w:color w:val="000000"/>
                <w:sz w:val="22"/>
                <w:szCs w:val="22"/>
              </w:rPr>
            </w:pPr>
            <w:r w:rsidRPr="003E55F4">
              <w:rPr>
                <w:rFonts w:eastAsia="Times New Roman"/>
                <w:color w:val="000000"/>
                <w:sz w:val="22"/>
                <w:szCs w:val="22"/>
              </w:rPr>
              <w:t>No suppressed trips in the last 30 days</w:t>
            </w:r>
          </w:p>
        </w:tc>
        <w:tc>
          <w:tcPr>
            <w:tcW w:w="1800" w:type="dxa"/>
            <w:tcBorders>
              <w:top w:val="nil"/>
              <w:left w:val="single" w:sz="6" w:space="0" w:color="auto"/>
              <w:bottom w:val="single" w:sz="12" w:space="0" w:color="auto"/>
              <w:right w:val="single" w:sz="6" w:space="0" w:color="auto"/>
            </w:tcBorders>
            <w:shd w:val="clear" w:color="000000" w:fill="FFFFFF"/>
            <w:vAlign w:val="center"/>
          </w:tcPr>
          <w:p w14:paraId="15B4CB87" w14:textId="77777777" w:rsidR="00A442FE" w:rsidRPr="003E55F4" w:rsidRDefault="00A442FE" w:rsidP="00E56366">
            <w:pPr>
              <w:tabs>
                <w:tab w:val="decimal" w:pos="391"/>
              </w:tabs>
              <w:spacing w:after="0" w:line="240" w:lineRule="auto"/>
              <w:jc w:val="center"/>
              <w:rPr>
                <w:rFonts w:eastAsia="Times New Roman"/>
                <w:color w:val="000000"/>
                <w:sz w:val="22"/>
                <w:szCs w:val="22"/>
              </w:rPr>
            </w:pPr>
            <w:r w:rsidRPr="003E55F4">
              <w:rPr>
                <w:rFonts w:eastAsia="Times New Roman"/>
                <w:color w:val="000000"/>
                <w:sz w:val="22"/>
                <w:szCs w:val="22"/>
              </w:rPr>
              <w:t>9916</w:t>
            </w:r>
          </w:p>
        </w:tc>
        <w:tc>
          <w:tcPr>
            <w:tcW w:w="1530" w:type="dxa"/>
            <w:tcBorders>
              <w:top w:val="nil"/>
              <w:left w:val="single" w:sz="6" w:space="0" w:color="auto"/>
              <w:bottom w:val="single" w:sz="12" w:space="0" w:color="auto"/>
              <w:right w:val="single" w:sz="12" w:space="0" w:color="auto"/>
            </w:tcBorders>
            <w:shd w:val="clear" w:color="000000" w:fill="FFFFFF"/>
            <w:vAlign w:val="center"/>
          </w:tcPr>
          <w:p w14:paraId="53F0B7B5" w14:textId="77777777" w:rsidR="00A442FE" w:rsidRPr="003E55F4" w:rsidRDefault="00A442FE" w:rsidP="00E56366">
            <w:pPr>
              <w:tabs>
                <w:tab w:val="decimal" w:pos="211"/>
              </w:tabs>
              <w:spacing w:after="0" w:line="240" w:lineRule="auto"/>
              <w:jc w:val="center"/>
              <w:rPr>
                <w:rFonts w:eastAsia="Times New Roman"/>
                <w:color w:val="000000"/>
                <w:sz w:val="22"/>
                <w:szCs w:val="22"/>
              </w:rPr>
            </w:pPr>
            <w:r w:rsidRPr="003E55F4">
              <w:rPr>
                <w:rFonts w:eastAsia="Times New Roman"/>
                <w:color w:val="000000"/>
                <w:sz w:val="22"/>
                <w:szCs w:val="22"/>
              </w:rPr>
              <w:t>79.5</w:t>
            </w:r>
          </w:p>
        </w:tc>
      </w:tr>
      <w:tr w:rsidR="00A442FE" w:rsidRPr="003E55F4" w14:paraId="7E53D069" w14:textId="77777777" w:rsidTr="003E55F4">
        <w:trPr>
          <w:trHeight w:val="288"/>
          <w:jc w:val="center"/>
        </w:trPr>
        <w:tc>
          <w:tcPr>
            <w:tcW w:w="5925" w:type="dxa"/>
            <w:tcBorders>
              <w:top w:val="single" w:sz="12" w:space="0" w:color="auto"/>
              <w:left w:val="single" w:sz="12" w:space="0" w:color="auto"/>
              <w:bottom w:val="single" w:sz="6" w:space="0" w:color="auto"/>
              <w:right w:val="single" w:sz="6" w:space="0" w:color="auto"/>
            </w:tcBorders>
            <w:shd w:val="clear" w:color="000000" w:fill="FFFFFF"/>
            <w:vAlign w:val="center"/>
            <w:hideMark/>
          </w:tcPr>
          <w:p w14:paraId="128B3C6F" w14:textId="2E156228" w:rsidR="00A442FE" w:rsidRPr="003E55F4" w:rsidRDefault="00A65C6D" w:rsidP="00E56366">
            <w:pPr>
              <w:spacing w:after="0" w:line="240" w:lineRule="auto"/>
              <w:jc w:val="center"/>
              <w:rPr>
                <w:rFonts w:eastAsia="Times New Roman"/>
                <w:b/>
                <w:bCs/>
                <w:color w:val="000000"/>
                <w:sz w:val="22"/>
                <w:szCs w:val="22"/>
              </w:rPr>
            </w:pPr>
            <w:r w:rsidRPr="003E55F4">
              <w:rPr>
                <w:rFonts w:eastAsia="Times New Roman"/>
                <w:b/>
                <w:bCs/>
                <w:color w:val="000000"/>
                <w:sz w:val="22"/>
                <w:szCs w:val="22"/>
              </w:rPr>
              <w:t xml:space="preserve">PPD </w:t>
            </w:r>
            <w:r w:rsidR="00A442FE" w:rsidRPr="003E55F4">
              <w:rPr>
                <w:rFonts w:eastAsia="Times New Roman"/>
                <w:b/>
                <w:bCs/>
                <w:color w:val="000000"/>
                <w:sz w:val="22"/>
                <w:szCs w:val="22"/>
              </w:rPr>
              <w:t>Reason</w:t>
            </w:r>
            <w:r w:rsidRPr="003E55F4">
              <w:rPr>
                <w:rFonts w:eastAsia="Times New Roman"/>
                <w:b/>
                <w:bCs/>
                <w:color w:val="000000"/>
                <w:sz w:val="22"/>
                <w:szCs w:val="22"/>
              </w:rPr>
              <w:t>s</w:t>
            </w:r>
          </w:p>
        </w:tc>
        <w:tc>
          <w:tcPr>
            <w:tcW w:w="1800" w:type="dxa"/>
            <w:tcBorders>
              <w:top w:val="single" w:sz="12" w:space="0" w:color="auto"/>
              <w:left w:val="single" w:sz="6" w:space="0" w:color="auto"/>
              <w:bottom w:val="single" w:sz="6" w:space="0" w:color="auto"/>
              <w:right w:val="single" w:sz="6" w:space="0" w:color="auto"/>
            </w:tcBorders>
            <w:shd w:val="clear" w:color="000000" w:fill="FFFFFF"/>
            <w:vAlign w:val="center"/>
            <w:hideMark/>
          </w:tcPr>
          <w:p w14:paraId="029A22C7" w14:textId="77777777" w:rsidR="00A442FE" w:rsidRPr="003E55F4" w:rsidRDefault="00A442FE" w:rsidP="00E56366">
            <w:pPr>
              <w:tabs>
                <w:tab w:val="decimal" w:pos="391"/>
              </w:tabs>
              <w:spacing w:after="0" w:line="240" w:lineRule="auto"/>
              <w:jc w:val="center"/>
              <w:rPr>
                <w:rFonts w:eastAsia="Times New Roman"/>
                <w:b/>
                <w:bCs/>
                <w:color w:val="000000"/>
                <w:sz w:val="22"/>
                <w:szCs w:val="22"/>
              </w:rPr>
            </w:pPr>
            <w:r w:rsidRPr="003E55F4">
              <w:rPr>
                <w:rFonts w:eastAsia="Times New Roman"/>
                <w:b/>
                <w:bCs/>
                <w:color w:val="000000"/>
                <w:sz w:val="22"/>
                <w:szCs w:val="22"/>
              </w:rPr>
              <w:t>Times Selected</w:t>
            </w:r>
          </w:p>
        </w:tc>
        <w:tc>
          <w:tcPr>
            <w:tcW w:w="1530" w:type="dxa"/>
            <w:tcBorders>
              <w:top w:val="single" w:sz="12" w:space="0" w:color="auto"/>
              <w:left w:val="single" w:sz="6" w:space="0" w:color="auto"/>
              <w:bottom w:val="single" w:sz="6" w:space="0" w:color="auto"/>
              <w:right w:val="single" w:sz="12" w:space="0" w:color="auto"/>
            </w:tcBorders>
            <w:shd w:val="clear" w:color="000000" w:fill="FFFFFF"/>
            <w:vAlign w:val="center"/>
            <w:hideMark/>
          </w:tcPr>
          <w:p w14:paraId="6E34E576" w14:textId="77777777" w:rsidR="00A442FE" w:rsidRPr="003E55F4" w:rsidRDefault="00A442FE" w:rsidP="00E56366">
            <w:pPr>
              <w:tabs>
                <w:tab w:val="decimal" w:pos="211"/>
              </w:tabs>
              <w:spacing w:after="0" w:line="240" w:lineRule="auto"/>
              <w:jc w:val="center"/>
              <w:rPr>
                <w:rFonts w:eastAsia="Times New Roman"/>
                <w:b/>
                <w:bCs/>
                <w:color w:val="000000"/>
                <w:sz w:val="22"/>
                <w:szCs w:val="22"/>
              </w:rPr>
            </w:pPr>
            <w:r w:rsidRPr="003E55F4">
              <w:rPr>
                <w:rFonts w:eastAsia="Times New Roman"/>
                <w:b/>
                <w:bCs/>
                <w:color w:val="000000"/>
                <w:sz w:val="22"/>
                <w:szCs w:val="22"/>
              </w:rPr>
              <w:t>Percent</w:t>
            </w:r>
          </w:p>
        </w:tc>
      </w:tr>
      <w:tr w:rsidR="00A442FE" w:rsidRPr="003E55F4" w14:paraId="1767B5D7" w14:textId="77777777" w:rsidTr="003E55F4">
        <w:trPr>
          <w:trHeight w:val="288"/>
          <w:jc w:val="center"/>
        </w:trPr>
        <w:tc>
          <w:tcPr>
            <w:tcW w:w="5925" w:type="dxa"/>
            <w:tcBorders>
              <w:top w:val="single" w:sz="6" w:space="0" w:color="auto"/>
              <w:left w:val="single" w:sz="12" w:space="0" w:color="auto"/>
              <w:bottom w:val="nil"/>
              <w:right w:val="single" w:sz="6" w:space="0" w:color="auto"/>
            </w:tcBorders>
            <w:shd w:val="clear" w:color="000000" w:fill="FFFFFF"/>
            <w:noWrap/>
            <w:vAlign w:val="center"/>
            <w:hideMark/>
          </w:tcPr>
          <w:p w14:paraId="706F3651" w14:textId="77777777" w:rsidR="00A442FE" w:rsidRPr="003E55F4" w:rsidRDefault="00A442FE" w:rsidP="00E56366">
            <w:pPr>
              <w:spacing w:after="0" w:line="240" w:lineRule="auto"/>
              <w:rPr>
                <w:sz w:val="22"/>
                <w:szCs w:val="22"/>
              </w:rPr>
            </w:pPr>
            <w:r w:rsidRPr="003E55F4">
              <w:rPr>
                <w:sz w:val="22"/>
                <w:szCs w:val="22"/>
              </w:rPr>
              <w:t>Transportation did not feel safe</w:t>
            </w:r>
          </w:p>
          <w:p w14:paraId="7583AA19" w14:textId="77777777" w:rsidR="00A442FE" w:rsidRPr="003E55F4" w:rsidRDefault="00A442FE" w:rsidP="00E56366">
            <w:pPr>
              <w:spacing w:after="0" w:line="240" w:lineRule="auto"/>
              <w:ind w:firstLineChars="100" w:firstLine="220"/>
              <w:rPr>
                <w:rFonts w:eastAsia="Times New Roman"/>
                <w:color w:val="000000"/>
                <w:sz w:val="22"/>
                <w:szCs w:val="22"/>
              </w:rPr>
            </w:pPr>
          </w:p>
        </w:tc>
        <w:tc>
          <w:tcPr>
            <w:tcW w:w="1800" w:type="dxa"/>
            <w:tcBorders>
              <w:top w:val="single" w:sz="6" w:space="0" w:color="auto"/>
              <w:left w:val="single" w:sz="6" w:space="0" w:color="auto"/>
              <w:bottom w:val="nil"/>
              <w:right w:val="single" w:sz="6" w:space="0" w:color="auto"/>
            </w:tcBorders>
            <w:shd w:val="clear" w:color="000000" w:fill="FFFFFF"/>
            <w:vAlign w:val="center"/>
            <w:hideMark/>
          </w:tcPr>
          <w:p w14:paraId="572177D8" w14:textId="77777777" w:rsidR="00A442FE" w:rsidRPr="003E55F4" w:rsidRDefault="00A442FE" w:rsidP="00E56366">
            <w:pPr>
              <w:tabs>
                <w:tab w:val="decimal" w:pos="391"/>
              </w:tabs>
              <w:spacing w:after="0" w:line="240" w:lineRule="auto"/>
              <w:jc w:val="center"/>
              <w:rPr>
                <w:rFonts w:eastAsia="Times New Roman"/>
                <w:color w:val="000000"/>
                <w:sz w:val="22"/>
                <w:szCs w:val="22"/>
              </w:rPr>
            </w:pPr>
            <w:r w:rsidRPr="003E55F4">
              <w:rPr>
                <w:rFonts w:eastAsia="Times New Roman"/>
                <w:color w:val="000000"/>
                <w:sz w:val="22"/>
                <w:szCs w:val="22"/>
              </w:rPr>
              <w:t>169</w:t>
            </w:r>
          </w:p>
        </w:tc>
        <w:tc>
          <w:tcPr>
            <w:tcW w:w="1530" w:type="dxa"/>
            <w:tcBorders>
              <w:top w:val="single" w:sz="6" w:space="0" w:color="auto"/>
              <w:left w:val="single" w:sz="6" w:space="0" w:color="auto"/>
              <w:bottom w:val="nil"/>
              <w:right w:val="single" w:sz="12" w:space="0" w:color="auto"/>
            </w:tcBorders>
            <w:shd w:val="clear" w:color="000000" w:fill="FFFFFF"/>
            <w:vAlign w:val="center"/>
            <w:hideMark/>
          </w:tcPr>
          <w:p w14:paraId="39FF6F90" w14:textId="77777777" w:rsidR="00A442FE" w:rsidRPr="003E55F4" w:rsidRDefault="00A442FE" w:rsidP="00E56366">
            <w:pPr>
              <w:tabs>
                <w:tab w:val="decimal" w:pos="211"/>
              </w:tabs>
              <w:spacing w:after="0" w:line="240" w:lineRule="auto"/>
              <w:jc w:val="center"/>
              <w:rPr>
                <w:rFonts w:eastAsia="Times New Roman"/>
                <w:color w:val="000000"/>
                <w:sz w:val="22"/>
                <w:szCs w:val="22"/>
              </w:rPr>
            </w:pPr>
            <w:r w:rsidRPr="003E55F4">
              <w:rPr>
                <w:rFonts w:eastAsia="Times New Roman"/>
                <w:color w:val="000000"/>
                <w:sz w:val="22"/>
                <w:szCs w:val="22"/>
              </w:rPr>
              <w:t>6.6</w:t>
            </w:r>
          </w:p>
        </w:tc>
      </w:tr>
      <w:tr w:rsidR="00A442FE" w:rsidRPr="003E55F4" w14:paraId="372C2F6D" w14:textId="77777777" w:rsidTr="003E55F4">
        <w:trPr>
          <w:trHeight w:val="288"/>
          <w:jc w:val="center"/>
        </w:trPr>
        <w:tc>
          <w:tcPr>
            <w:tcW w:w="5925" w:type="dxa"/>
            <w:tcBorders>
              <w:top w:val="nil"/>
              <w:left w:val="single" w:sz="12" w:space="0" w:color="auto"/>
              <w:bottom w:val="nil"/>
              <w:right w:val="single" w:sz="6" w:space="0" w:color="auto"/>
            </w:tcBorders>
            <w:shd w:val="clear" w:color="000000" w:fill="FFFFFF"/>
            <w:noWrap/>
            <w:vAlign w:val="center"/>
            <w:hideMark/>
          </w:tcPr>
          <w:p w14:paraId="00B7BA5F" w14:textId="77777777" w:rsidR="00A442FE" w:rsidRPr="003E55F4" w:rsidRDefault="00A442FE" w:rsidP="00E56366">
            <w:pPr>
              <w:spacing w:after="0" w:line="240" w:lineRule="auto"/>
              <w:rPr>
                <w:sz w:val="22"/>
                <w:szCs w:val="22"/>
              </w:rPr>
            </w:pPr>
            <w:r w:rsidRPr="003E55F4">
              <w:rPr>
                <w:sz w:val="22"/>
                <w:szCs w:val="22"/>
              </w:rPr>
              <w:t>Transportation did not feel clean or healthy</w:t>
            </w:r>
          </w:p>
          <w:p w14:paraId="23758A02" w14:textId="77777777" w:rsidR="00A442FE" w:rsidRPr="003E55F4" w:rsidRDefault="00A442FE" w:rsidP="00E56366">
            <w:pPr>
              <w:spacing w:after="0" w:line="240" w:lineRule="auto"/>
              <w:ind w:firstLineChars="100" w:firstLine="220"/>
              <w:rPr>
                <w:rFonts w:eastAsia="Times New Roman"/>
                <w:color w:val="000000"/>
                <w:sz w:val="22"/>
                <w:szCs w:val="22"/>
              </w:rPr>
            </w:pPr>
          </w:p>
        </w:tc>
        <w:tc>
          <w:tcPr>
            <w:tcW w:w="1800" w:type="dxa"/>
            <w:tcBorders>
              <w:top w:val="nil"/>
              <w:left w:val="single" w:sz="6" w:space="0" w:color="auto"/>
              <w:bottom w:val="nil"/>
              <w:right w:val="single" w:sz="6" w:space="0" w:color="auto"/>
            </w:tcBorders>
            <w:shd w:val="clear" w:color="000000" w:fill="FFFFFF"/>
            <w:vAlign w:val="center"/>
            <w:hideMark/>
          </w:tcPr>
          <w:p w14:paraId="6F3C2ABE" w14:textId="77777777" w:rsidR="00A442FE" w:rsidRPr="003E55F4" w:rsidRDefault="00A442FE" w:rsidP="00E56366">
            <w:pPr>
              <w:tabs>
                <w:tab w:val="decimal" w:pos="391"/>
              </w:tabs>
              <w:spacing w:after="0" w:line="240" w:lineRule="auto"/>
              <w:jc w:val="center"/>
              <w:rPr>
                <w:rFonts w:eastAsia="Times New Roman"/>
                <w:color w:val="000000"/>
                <w:sz w:val="22"/>
                <w:szCs w:val="22"/>
              </w:rPr>
            </w:pPr>
            <w:r w:rsidRPr="003E55F4">
              <w:rPr>
                <w:rFonts w:eastAsia="Times New Roman"/>
                <w:color w:val="000000"/>
                <w:sz w:val="22"/>
                <w:szCs w:val="22"/>
              </w:rPr>
              <w:t>109</w:t>
            </w:r>
          </w:p>
        </w:tc>
        <w:tc>
          <w:tcPr>
            <w:tcW w:w="1530" w:type="dxa"/>
            <w:tcBorders>
              <w:top w:val="nil"/>
              <w:left w:val="single" w:sz="6" w:space="0" w:color="auto"/>
              <w:bottom w:val="nil"/>
              <w:right w:val="single" w:sz="12" w:space="0" w:color="auto"/>
            </w:tcBorders>
            <w:shd w:val="clear" w:color="000000" w:fill="FFFFFF"/>
            <w:vAlign w:val="center"/>
          </w:tcPr>
          <w:p w14:paraId="7240B351" w14:textId="77777777" w:rsidR="00A442FE" w:rsidRPr="003E55F4" w:rsidRDefault="00A442FE" w:rsidP="00E56366">
            <w:pPr>
              <w:tabs>
                <w:tab w:val="decimal" w:pos="211"/>
              </w:tabs>
              <w:spacing w:after="0" w:line="240" w:lineRule="auto"/>
              <w:jc w:val="center"/>
              <w:rPr>
                <w:rFonts w:eastAsia="Times New Roman"/>
                <w:color w:val="000000"/>
                <w:sz w:val="22"/>
                <w:szCs w:val="22"/>
              </w:rPr>
            </w:pPr>
            <w:r w:rsidRPr="003E55F4">
              <w:rPr>
                <w:rFonts w:eastAsia="Times New Roman"/>
                <w:color w:val="000000"/>
                <w:sz w:val="22"/>
                <w:szCs w:val="22"/>
              </w:rPr>
              <w:t>4.3</w:t>
            </w:r>
          </w:p>
        </w:tc>
      </w:tr>
      <w:tr w:rsidR="00A442FE" w:rsidRPr="003E55F4" w14:paraId="5B2D396F" w14:textId="77777777" w:rsidTr="003E55F4">
        <w:trPr>
          <w:trHeight w:val="288"/>
          <w:jc w:val="center"/>
        </w:trPr>
        <w:tc>
          <w:tcPr>
            <w:tcW w:w="5925" w:type="dxa"/>
            <w:tcBorders>
              <w:top w:val="nil"/>
              <w:left w:val="single" w:sz="12" w:space="0" w:color="auto"/>
              <w:bottom w:val="nil"/>
              <w:right w:val="single" w:sz="6" w:space="0" w:color="auto"/>
            </w:tcBorders>
            <w:shd w:val="clear" w:color="000000" w:fill="FFFFFF"/>
            <w:noWrap/>
            <w:vAlign w:val="center"/>
            <w:hideMark/>
          </w:tcPr>
          <w:p w14:paraId="35242BF6" w14:textId="77777777" w:rsidR="00A442FE" w:rsidRPr="003E55F4" w:rsidRDefault="00A442FE" w:rsidP="00E56366">
            <w:pPr>
              <w:spacing w:after="0" w:line="240" w:lineRule="auto"/>
              <w:rPr>
                <w:sz w:val="22"/>
                <w:szCs w:val="22"/>
              </w:rPr>
            </w:pPr>
            <w:r w:rsidRPr="003E55F4">
              <w:rPr>
                <w:sz w:val="22"/>
                <w:szCs w:val="22"/>
              </w:rPr>
              <w:t>Transportation was not reliable</w:t>
            </w:r>
          </w:p>
          <w:p w14:paraId="47B73B28" w14:textId="77777777" w:rsidR="00A442FE" w:rsidRPr="003E55F4" w:rsidRDefault="00A442FE" w:rsidP="00E56366">
            <w:pPr>
              <w:spacing w:after="0" w:line="240" w:lineRule="auto"/>
              <w:ind w:firstLineChars="100" w:firstLine="220"/>
              <w:rPr>
                <w:rFonts w:eastAsia="Times New Roman"/>
                <w:color w:val="000000"/>
                <w:sz w:val="22"/>
                <w:szCs w:val="22"/>
              </w:rPr>
            </w:pPr>
          </w:p>
        </w:tc>
        <w:tc>
          <w:tcPr>
            <w:tcW w:w="1800" w:type="dxa"/>
            <w:tcBorders>
              <w:top w:val="nil"/>
              <w:left w:val="single" w:sz="6" w:space="0" w:color="auto"/>
              <w:bottom w:val="nil"/>
              <w:right w:val="single" w:sz="6" w:space="0" w:color="auto"/>
            </w:tcBorders>
            <w:shd w:val="clear" w:color="000000" w:fill="FFFFFF"/>
            <w:vAlign w:val="center"/>
            <w:hideMark/>
          </w:tcPr>
          <w:p w14:paraId="5B654F9C" w14:textId="77777777" w:rsidR="00A442FE" w:rsidRPr="003E55F4" w:rsidRDefault="00A442FE" w:rsidP="00E56366">
            <w:pPr>
              <w:tabs>
                <w:tab w:val="decimal" w:pos="391"/>
              </w:tabs>
              <w:spacing w:after="0" w:line="240" w:lineRule="auto"/>
              <w:jc w:val="center"/>
              <w:rPr>
                <w:rFonts w:eastAsia="Times New Roman"/>
                <w:color w:val="000000"/>
                <w:sz w:val="22"/>
                <w:szCs w:val="22"/>
              </w:rPr>
            </w:pPr>
            <w:r w:rsidRPr="003E55F4">
              <w:rPr>
                <w:rFonts w:eastAsia="Times New Roman"/>
                <w:color w:val="000000"/>
                <w:sz w:val="22"/>
                <w:szCs w:val="22"/>
              </w:rPr>
              <w:t>234</w:t>
            </w:r>
          </w:p>
        </w:tc>
        <w:tc>
          <w:tcPr>
            <w:tcW w:w="1530" w:type="dxa"/>
            <w:tcBorders>
              <w:top w:val="nil"/>
              <w:left w:val="single" w:sz="6" w:space="0" w:color="auto"/>
              <w:bottom w:val="nil"/>
              <w:right w:val="single" w:sz="12" w:space="0" w:color="auto"/>
            </w:tcBorders>
            <w:shd w:val="clear" w:color="000000" w:fill="FFFFFF"/>
            <w:vAlign w:val="center"/>
          </w:tcPr>
          <w:p w14:paraId="58AC0AF5" w14:textId="77777777" w:rsidR="00A442FE" w:rsidRPr="003E55F4" w:rsidRDefault="00A442FE" w:rsidP="00E56366">
            <w:pPr>
              <w:tabs>
                <w:tab w:val="decimal" w:pos="211"/>
              </w:tabs>
              <w:spacing w:after="0" w:line="240" w:lineRule="auto"/>
              <w:jc w:val="center"/>
              <w:rPr>
                <w:rFonts w:eastAsia="Times New Roman"/>
                <w:color w:val="000000"/>
                <w:sz w:val="22"/>
                <w:szCs w:val="22"/>
              </w:rPr>
            </w:pPr>
            <w:r w:rsidRPr="003E55F4">
              <w:rPr>
                <w:rFonts w:eastAsia="Times New Roman"/>
                <w:color w:val="000000"/>
                <w:sz w:val="22"/>
                <w:szCs w:val="22"/>
              </w:rPr>
              <w:t>9.2</w:t>
            </w:r>
          </w:p>
        </w:tc>
      </w:tr>
      <w:tr w:rsidR="00A442FE" w:rsidRPr="003E55F4" w14:paraId="2FC810A2" w14:textId="77777777" w:rsidTr="003E55F4">
        <w:trPr>
          <w:trHeight w:val="288"/>
          <w:jc w:val="center"/>
        </w:trPr>
        <w:tc>
          <w:tcPr>
            <w:tcW w:w="5925" w:type="dxa"/>
            <w:tcBorders>
              <w:top w:val="nil"/>
              <w:left w:val="single" w:sz="12" w:space="0" w:color="auto"/>
              <w:bottom w:val="nil"/>
              <w:right w:val="single" w:sz="6" w:space="0" w:color="auto"/>
            </w:tcBorders>
            <w:shd w:val="clear" w:color="000000" w:fill="FFFFFF"/>
            <w:noWrap/>
            <w:vAlign w:val="center"/>
            <w:hideMark/>
          </w:tcPr>
          <w:p w14:paraId="71014EC2" w14:textId="77777777" w:rsidR="00A442FE" w:rsidRPr="003E55F4" w:rsidRDefault="00A442FE" w:rsidP="00E56366">
            <w:pPr>
              <w:spacing w:after="0" w:line="240" w:lineRule="auto"/>
              <w:rPr>
                <w:sz w:val="22"/>
                <w:szCs w:val="22"/>
              </w:rPr>
            </w:pPr>
            <w:r w:rsidRPr="003E55F4">
              <w:rPr>
                <w:sz w:val="22"/>
                <w:szCs w:val="22"/>
              </w:rPr>
              <w:t>Available transportation did not go where I need to go</w:t>
            </w:r>
          </w:p>
          <w:p w14:paraId="5A3756D8" w14:textId="77777777" w:rsidR="00A442FE" w:rsidRPr="003E55F4" w:rsidRDefault="00A442FE" w:rsidP="00E56366">
            <w:pPr>
              <w:spacing w:after="0" w:line="240" w:lineRule="auto"/>
              <w:ind w:firstLineChars="100" w:firstLine="220"/>
              <w:rPr>
                <w:rFonts w:eastAsia="Times New Roman"/>
                <w:color w:val="000000"/>
                <w:sz w:val="22"/>
                <w:szCs w:val="22"/>
              </w:rPr>
            </w:pPr>
          </w:p>
        </w:tc>
        <w:tc>
          <w:tcPr>
            <w:tcW w:w="1800" w:type="dxa"/>
            <w:tcBorders>
              <w:top w:val="nil"/>
              <w:left w:val="single" w:sz="6" w:space="0" w:color="auto"/>
              <w:bottom w:val="nil"/>
              <w:right w:val="single" w:sz="6" w:space="0" w:color="auto"/>
            </w:tcBorders>
            <w:shd w:val="clear" w:color="000000" w:fill="FFFFFF"/>
            <w:vAlign w:val="center"/>
            <w:hideMark/>
          </w:tcPr>
          <w:p w14:paraId="180B8BBD" w14:textId="77777777" w:rsidR="00A442FE" w:rsidRPr="003E55F4" w:rsidRDefault="00A442FE" w:rsidP="00E56366">
            <w:pPr>
              <w:tabs>
                <w:tab w:val="decimal" w:pos="391"/>
              </w:tabs>
              <w:spacing w:after="0" w:line="240" w:lineRule="auto"/>
              <w:jc w:val="center"/>
              <w:rPr>
                <w:rFonts w:eastAsia="Times New Roman"/>
                <w:color w:val="000000"/>
                <w:sz w:val="22"/>
                <w:szCs w:val="22"/>
              </w:rPr>
            </w:pPr>
            <w:r w:rsidRPr="003E55F4">
              <w:rPr>
                <w:rFonts w:eastAsia="Times New Roman"/>
                <w:color w:val="000000"/>
                <w:sz w:val="22"/>
                <w:szCs w:val="22"/>
              </w:rPr>
              <w:t>199</w:t>
            </w:r>
          </w:p>
        </w:tc>
        <w:tc>
          <w:tcPr>
            <w:tcW w:w="1530" w:type="dxa"/>
            <w:tcBorders>
              <w:top w:val="nil"/>
              <w:left w:val="single" w:sz="6" w:space="0" w:color="auto"/>
              <w:bottom w:val="nil"/>
              <w:right w:val="single" w:sz="12" w:space="0" w:color="auto"/>
            </w:tcBorders>
            <w:shd w:val="clear" w:color="000000" w:fill="FFFFFF"/>
            <w:vAlign w:val="center"/>
          </w:tcPr>
          <w:p w14:paraId="0DFCA163" w14:textId="77777777" w:rsidR="00A442FE" w:rsidRPr="003E55F4" w:rsidRDefault="00A442FE" w:rsidP="00E56366">
            <w:pPr>
              <w:tabs>
                <w:tab w:val="decimal" w:pos="211"/>
              </w:tabs>
              <w:spacing w:after="0" w:line="240" w:lineRule="auto"/>
              <w:jc w:val="center"/>
              <w:rPr>
                <w:rFonts w:eastAsia="Times New Roman"/>
                <w:color w:val="000000"/>
                <w:sz w:val="22"/>
                <w:szCs w:val="22"/>
              </w:rPr>
            </w:pPr>
            <w:r w:rsidRPr="003E55F4">
              <w:rPr>
                <w:rFonts w:eastAsia="Times New Roman"/>
                <w:color w:val="000000"/>
                <w:sz w:val="22"/>
                <w:szCs w:val="22"/>
              </w:rPr>
              <w:t>7.8</w:t>
            </w:r>
          </w:p>
        </w:tc>
      </w:tr>
      <w:tr w:rsidR="00A442FE" w:rsidRPr="003E55F4" w14:paraId="066672E6" w14:textId="77777777" w:rsidTr="003E55F4">
        <w:trPr>
          <w:trHeight w:val="288"/>
          <w:jc w:val="center"/>
        </w:trPr>
        <w:tc>
          <w:tcPr>
            <w:tcW w:w="5925" w:type="dxa"/>
            <w:tcBorders>
              <w:top w:val="nil"/>
              <w:left w:val="single" w:sz="12" w:space="0" w:color="auto"/>
              <w:bottom w:val="nil"/>
              <w:right w:val="single" w:sz="6" w:space="0" w:color="auto"/>
            </w:tcBorders>
            <w:shd w:val="clear" w:color="000000" w:fill="FFFFFF"/>
            <w:noWrap/>
            <w:vAlign w:val="center"/>
            <w:hideMark/>
          </w:tcPr>
          <w:p w14:paraId="2932DD23" w14:textId="77777777" w:rsidR="00A442FE" w:rsidRPr="003E55F4" w:rsidRDefault="00A442FE" w:rsidP="00E56366">
            <w:pPr>
              <w:spacing w:after="0" w:line="240" w:lineRule="auto"/>
              <w:rPr>
                <w:sz w:val="22"/>
                <w:szCs w:val="22"/>
              </w:rPr>
            </w:pPr>
            <w:r w:rsidRPr="003E55F4">
              <w:rPr>
                <w:sz w:val="22"/>
                <w:szCs w:val="22"/>
              </w:rPr>
              <w:t xml:space="preserve">Unable to afford available forms of transportation </w:t>
            </w:r>
          </w:p>
          <w:p w14:paraId="1F5A49BB" w14:textId="77777777" w:rsidR="00A442FE" w:rsidRPr="003E55F4" w:rsidRDefault="00A442FE" w:rsidP="00E56366">
            <w:pPr>
              <w:spacing w:after="0" w:line="240" w:lineRule="auto"/>
              <w:ind w:firstLineChars="100" w:firstLine="220"/>
              <w:rPr>
                <w:rFonts w:eastAsia="Times New Roman"/>
                <w:color w:val="000000"/>
                <w:sz w:val="22"/>
                <w:szCs w:val="22"/>
              </w:rPr>
            </w:pPr>
          </w:p>
        </w:tc>
        <w:tc>
          <w:tcPr>
            <w:tcW w:w="1800" w:type="dxa"/>
            <w:tcBorders>
              <w:top w:val="nil"/>
              <w:left w:val="single" w:sz="6" w:space="0" w:color="auto"/>
              <w:bottom w:val="nil"/>
              <w:right w:val="single" w:sz="6" w:space="0" w:color="auto"/>
            </w:tcBorders>
            <w:shd w:val="clear" w:color="000000" w:fill="FFFFFF"/>
            <w:vAlign w:val="center"/>
            <w:hideMark/>
          </w:tcPr>
          <w:p w14:paraId="65CB3F62" w14:textId="77777777" w:rsidR="00A442FE" w:rsidRPr="003E55F4" w:rsidRDefault="00A442FE" w:rsidP="00E56366">
            <w:pPr>
              <w:tabs>
                <w:tab w:val="decimal" w:pos="391"/>
              </w:tabs>
              <w:spacing w:after="0" w:line="240" w:lineRule="auto"/>
              <w:jc w:val="center"/>
              <w:rPr>
                <w:rFonts w:eastAsia="Times New Roman"/>
                <w:color w:val="000000"/>
                <w:sz w:val="22"/>
                <w:szCs w:val="22"/>
              </w:rPr>
            </w:pPr>
            <w:r w:rsidRPr="003E55F4">
              <w:rPr>
                <w:rFonts w:eastAsia="Times New Roman"/>
                <w:color w:val="000000"/>
                <w:sz w:val="22"/>
                <w:szCs w:val="22"/>
              </w:rPr>
              <w:t>482</w:t>
            </w:r>
          </w:p>
        </w:tc>
        <w:tc>
          <w:tcPr>
            <w:tcW w:w="1530" w:type="dxa"/>
            <w:tcBorders>
              <w:top w:val="nil"/>
              <w:left w:val="single" w:sz="6" w:space="0" w:color="auto"/>
              <w:bottom w:val="nil"/>
              <w:right w:val="single" w:sz="12" w:space="0" w:color="auto"/>
            </w:tcBorders>
            <w:shd w:val="clear" w:color="000000" w:fill="FFFFFF"/>
            <w:vAlign w:val="center"/>
          </w:tcPr>
          <w:p w14:paraId="414B7223" w14:textId="77777777" w:rsidR="00A442FE" w:rsidRPr="003E55F4" w:rsidRDefault="00A442FE" w:rsidP="00E56366">
            <w:pPr>
              <w:tabs>
                <w:tab w:val="decimal" w:pos="211"/>
              </w:tabs>
              <w:spacing w:after="0" w:line="240" w:lineRule="auto"/>
              <w:jc w:val="center"/>
              <w:rPr>
                <w:rFonts w:eastAsia="Times New Roman"/>
                <w:color w:val="000000"/>
                <w:sz w:val="22"/>
                <w:szCs w:val="22"/>
              </w:rPr>
            </w:pPr>
            <w:r w:rsidRPr="003E55F4">
              <w:rPr>
                <w:rFonts w:eastAsia="Times New Roman"/>
                <w:color w:val="000000"/>
                <w:sz w:val="22"/>
                <w:szCs w:val="22"/>
              </w:rPr>
              <w:t>18.9</w:t>
            </w:r>
          </w:p>
        </w:tc>
      </w:tr>
      <w:tr w:rsidR="00A442FE" w:rsidRPr="003E55F4" w14:paraId="412A7B05" w14:textId="77777777" w:rsidTr="003E55F4">
        <w:trPr>
          <w:trHeight w:val="288"/>
          <w:jc w:val="center"/>
        </w:trPr>
        <w:tc>
          <w:tcPr>
            <w:tcW w:w="5925" w:type="dxa"/>
            <w:tcBorders>
              <w:top w:val="nil"/>
              <w:left w:val="single" w:sz="12" w:space="0" w:color="auto"/>
              <w:bottom w:val="nil"/>
              <w:right w:val="single" w:sz="6" w:space="0" w:color="auto"/>
            </w:tcBorders>
            <w:shd w:val="clear" w:color="000000" w:fill="FFFFFF"/>
            <w:noWrap/>
            <w:vAlign w:val="center"/>
            <w:hideMark/>
          </w:tcPr>
          <w:p w14:paraId="23528E4A" w14:textId="77777777" w:rsidR="00A442FE" w:rsidRPr="003E55F4" w:rsidRDefault="00A442FE" w:rsidP="00E56366">
            <w:pPr>
              <w:spacing w:after="0" w:line="240" w:lineRule="auto"/>
              <w:rPr>
                <w:sz w:val="22"/>
                <w:szCs w:val="22"/>
              </w:rPr>
            </w:pPr>
            <w:r w:rsidRPr="003E55F4">
              <w:rPr>
                <w:sz w:val="22"/>
                <w:szCs w:val="22"/>
              </w:rPr>
              <w:t>Had health problems and unable to travel</w:t>
            </w:r>
          </w:p>
          <w:p w14:paraId="31297138" w14:textId="77777777" w:rsidR="00A442FE" w:rsidRPr="003E55F4" w:rsidRDefault="00A442FE" w:rsidP="00E56366">
            <w:pPr>
              <w:spacing w:after="0" w:line="240" w:lineRule="auto"/>
              <w:ind w:firstLineChars="100" w:firstLine="220"/>
              <w:rPr>
                <w:rFonts w:eastAsia="Times New Roman"/>
                <w:color w:val="000000"/>
                <w:sz w:val="22"/>
                <w:szCs w:val="22"/>
              </w:rPr>
            </w:pPr>
          </w:p>
        </w:tc>
        <w:tc>
          <w:tcPr>
            <w:tcW w:w="1800" w:type="dxa"/>
            <w:tcBorders>
              <w:top w:val="nil"/>
              <w:left w:val="single" w:sz="6" w:space="0" w:color="auto"/>
              <w:bottom w:val="nil"/>
              <w:right w:val="single" w:sz="6" w:space="0" w:color="auto"/>
            </w:tcBorders>
            <w:shd w:val="clear" w:color="000000" w:fill="FFFFFF"/>
            <w:vAlign w:val="center"/>
            <w:hideMark/>
          </w:tcPr>
          <w:p w14:paraId="1DE93DFF" w14:textId="77777777" w:rsidR="00A442FE" w:rsidRPr="003E55F4" w:rsidRDefault="00A442FE" w:rsidP="00E56366">
            <w:pPr>
              <w:tabs>
                <w:tab w:val="decimal" w:pos="391"/>
              </w:tabs>
              <w:spacing w:after="0" w:line="240" w:lineRule="auto"/>
              <w:jc w:val="center"/>
              <w:rPr>
                <w:rFonts w:eastAsia="Times New Roman"/>
                <w:color w:val="000000"/>
                <w:sz w:val="22"/>
                <w:szCs w:val="22"/>
              </w:rPr>
            </w:pPr>
            <w:r w:rsidRPr="003E55F4">
              <w:rPr>
                <w:rFonts w:eastAsia="Times New Roman"/>
                <w:color w:val="000000"/>
                <w:sz w:val="22"/>
                <w:szCs w:val="22"/>
              </w:rPr>
              <w:t>732</w:t>
            </w:r>
          </w:p>
        </w:tc>
        <w:tc>
          <w:tcPr>
            <w:tcW w:w="1530" w:type="dxa"/>
            <w:tcBorders>
              <w:top w:val="nil"/>
              <w:left w:val="single" w:sz="6" w:space="0" w:color="auto"/>
              <w:bottom w:val="nil"/>
              <w:right w:val="single" w:sz="12" w:space="0" w:color="auto"/>
            </w:tcBorders>
            <w:shd w:val="clear" w:color="000000" w:fill="FFFFFF"/>
            <w:vAlign w:val="center"/>
          </w:tcPr>
          <w:p w14:paraId="17FC3283" w14:textId="77777777" w:rsidR="00A442FE" w:rsidRPr="003E55F4" w:rsidRDefault="00A442FE" w:rsidP="00E56366">
            <w:pPr>
              <w:tabs>
                <w:tab w:val="decimal" w:pos="211"/>
              </w:tabs>
              <w:spacing w:after="0" w:line="240" w:lineRule="auto"/>
              <w:jc w:val="center"/>
              <w:rPr>
                <w:rFonts w:eastAsia="Times New Roman"/>
                <w:color w:val="000000"/>
                <w:sz w:val="22"/>
                <w:szCs w:val="22"/>
              </w:rPr>
            </w:pPr>
            <w:r w:rsidRPr="003E55F4">
              <w:rPr>
                <w:rFonts w:eastAsia="Times New Roman"/>
                <w:color w:val="000000"/>
                <w:sz w:val="22"/>
                <w:szCs w:val="22"/>
              </w:rPr>
              <w:t>28.7</w:t>
            </w:r>
          </w:p>
        </w:tc>
      </w:tr>
      <w:tr w:rsidR="00A442FE" w:rsidRPr="003E55F4" w14:paraId="4FFFF6CB" w14:textId="77777777" w:rsidTr="003E55F4">
        <w:trPr>
          <w:trHeight w:val="288"/>
          <w:jc w:val="center"/>
        </w:trPr>
        <w:tc>
          <w:tcPr>
            <w:tcW w:w="5925" w:type="dxa"/>
            <w:tcBorders>
              <w:top w:val="nil"/>
              <w:left w:val="single" w:sz="12" w:space="0" w:color="auto"/>
              <w:bottom w:val="nil"/>
              <w:right w:val="single" w:sz="6" w:space="0" w:color="auto"/>
            </w:tcBorders>
            <w:shd w:val="clear" w:color="000000" w:fill="FFFFFF"/>
            <w:noWrap/>
            <w:vAlign w:val="center"/>
            <w:hideMark/>
          </w:tcPr>
          <w:p w14:paraId="15BE47D6" w14:textId="77777777" w:rsidR="00A442FE" w:rsidRPr="003E55F4" w:rsidRDefault="00A442FE" w:rsidP="00E56366">
            <w:pPr>
              <w:spacing w:after="0" w:line="240" w:lineRule="auto"/>
              <w:rPr>
                <w:sz w:val="22"/>
                <w:szCs w:val="22"/>
              </w:rPr>
            </w:pPr>
            <w:r w:rsidRPr="003E55F4">
              <w:rPr>
                <w:sz w:val="22"/>
                <w:szCs w:val="22"/>
              </w:rPr>
              <w:t>Did not have time to travel</w:t>
            </w:r>
          </w:p>
          <w:p w14:paraId="3FD68820" w14:textId="77777777" w:rsidR="00A442FE" w:rsidRPr="003E55F4" w:rsidRDefault="00A442FE" w:rsidP="00E56366">
            <w:pPr>
              <w:spacing w:after="0" w:line="240" w:lineRule="auto"/>
              <w:ind w:firstLineChars="100" w:firstLine="220"/>
              <w:rPr>
                <w:rFonts w:eastAsia="Times New Roman"/>
                <w:color w:val="000000"/>
                <w:sz w:val="22"/>
                <w:szCs w:val="22"/>
              </w:rPr>
            </w:pPr>
          </w:p>
        </w:tc>
        <w:tc>
          <w:tcPr>
            <w:tcW w:w="1800" w:type="dxa"/>
            <w:tcBorders>
              <w:top w:val="nil"/>
              <w:left w:val="single" w:sz="6" w:space="0" w:color="auto"/>
              <w:bottom w:val="nil"/>
              <w:right w:val="single" w:sz="6" w:space="0" w:color="auto"/>
            </w:tcBorders>
            <w:shd w:val="clear" w:color="000000" w:fill="FFFFFF"/>
            <w:vAlign w:val="center"/>
            <w:hideMark/>
          </w:tcPr>
          <w:p w14:paraId="243113FC" w14:textId="77777777" w:rsidR="00A442FE" w:rsidRPr="003E55F4" w:rsidRDefault="00A442FE" w:rsidP="00E56366">
            <w:pPr>
              <w:tabs>
                <w:tab w:val="decimal" w:pos="391"/>
              </w:tabs>
              <w:spacing w:after="0" w:line="240" w:lineRule="auto"/>
              <w:jc w:val="center"/>
              <w:rPr>
                <w:rFonts w:eastAsia="Times New Roman"/>
                <w:color w:val="000000"/>
                <w:sz w:val="22"/>
                <w:szCs w:val="22"/>
              </w:rPr>
            </w:pPr>
            <w:r w:rsidRPr="003E55F4">
              <w:rPr>
                <w:rFonts w:eastAsia="Times New Roman"/>
                <w:color w:val="000000"/>
                <w:sz w:val="22"/>
                <w:szCs w:val="22"/>
              </w:rPr>
              <w:t>643</w:t>
            </w:r>
          </w:p>
        </w:tc>
        <w:tc>
          <w:tcPr>
            <w:tcW w:w="1530" w:type="dxa"/>
            <w:tcBorders>
              <w:top w:val="nil"/>
              <w:left w:val="single" w:sz="6" w:space="0" w:color="auto"/>
              <w:bottom w:val="nil"/>
              <w:right w:val="single" w:sz="12" w:space="0" w:color="auto"/>
            </w:tcBorders>
            <w:shd w:val="clear" w:color="000000" w:fill="FFFFFF"/>
            <w:vAlign w:val="center"/>
          </w:tcPr>
          <w:p w14:paraId="09D874A8" w14:textId="77777777" w:rsidR="00A442FE" w:rsidRPr="003E55F4" w:rsidRDefault="00A442FE" w:rsidP="00E56366">
            <w:pPr>
              <w:tabs>
                <w:tab w:val="decimal" w:pos="211"/>
              </w:tabs>
              <w:spacing w:after="0" w:line="240" w:lineRule="auto"/>
              <w:jc w:val="center"/>
              <w:rPr>
                <w:rFonts w:eastAsia="Times New Roman"/>
                <w:color w:val="000000"/>
                <w:sz w:val="22"/>
                <w:szCs w:val="22"/>
              </w:rPr>
            </w:pPr>
            <w:r w:rsidRPr="003E55F4">
              <w:rPr>
                <w:rFonts w:eastAsia="Times New Roman"/>
                <w:color w:val="000000"/>
                <w:sz w:val="22"/>
                <w:szCs w:val="22"/>
              </w:rPr>
              <w:t>25.2</w:t>
            </w:r>
          </w:p>
        </w:tc>
      </w:tr>
      <w:tr w:rsidR="00A442FE" w:rsidRPr="003E55F4" w14:paraId="41F1C57A" w14:textId="77777777" w:rsidTr="003E55F4">
        <w:trPr>
          <w:trHeight w:val="288"/>
          <w:jc w:val="center"/>
        </w:trPr>
        <w:tc>
          <w:tcPr>
            <w:tcW w:w="5925" w:type="dxa"/>
            <w:tcBorders>
              <w:top w:val="nil"/>
              <w:left w:val="single" w:sz="12" w:space="0" w:color="auto"/>
              <w:bottom w:val="single" w:sz="12" w:space="0" w:color="auto"/>
              <w:right w:val="single" w:sz="6" w:space="0" w:color="auto"/>
            </w:tcBorders>
            <w:shd w:val="clear" w:color="000000" w:fill="FFFFFF"/>
            <w:noWrap/>
            <w:vAlign w:val="center"/>
            <w:hideMark/>
          </w:tcPr>
          <w:p w14:paraId="29ABB891" w14:textId="77777777" w:rsidR="00A442FE" w:rsidRPr="003E55F4" w:rsidRDefault="00A442FE" w:rsidP="00E56366">
            <w:pPr>
              <w:spacing w:after="0" w:line="240" w:lineRule="auto"/>
              <w:rPr>
                <w:sz w:val="22"/>
                <w:szCs w:val="22"/>
              </w:rPr>
            </w:pPr>
            <w:r w:rsidRPr="003E55F4">
              <w:rPr>
                <w:sz w:val="22"/>
                <w:szCs w:val="22"/>
              </w:rPr>
              <w:t>Concerns related to COVID-19</w:t>
            </w:r>
          </w:p>
          <w:p w14:paraId="3BD45EF4" w14:textId="77777777" w:rsidR="00A442FE" w:rsidRPr="003E55F4" w:rsidRDefault="00A442FE" w:rsidP="00E56366">
            <w:pPr>
              <w:spacing w:after="0" w:line="240" w:lineRule="auto"/>
              <w:ind w:firstLineChars="100" w:firstLine="220"/>
              <w:rPr>
                <w:rFonts w:eastAsia="Times New Roman"/>
                <w:color w:val="000000"/>
                <w:sz w:val="22"/>
                <w:szCs w:val="22"/>
              </w:rPr>
            </w:pPr>
          </w:p>
        </w:tc>
        <w:tc>
          <w:tcPr>
            <w:tcW w:w="1800" w:type="dxa"/>
            <w:tcBorders>
              <w:top w:val="nil"/>
              <w:left w:val="single" w:sz="6" w:space="0" w:color="auto"/>
              <w:bottom w:val="single" w:sz="12" w:space="0" w:color="auto"/>
              <w:right w:val="single" w:sz="6" w:space="0" w:color="auto"/>
            </w:tcBorders>
            <w:shd w:val="clear" w:color="000000" w:fill="FFFFFF"/>
            <w:vAlign w:val="center"/>
            <w:hideMark/>
          </w:tcPr>
          <w:p w14:paraId="5D4B8D08" w14:textId="77777777" w:rsidR="00A442FE" w:rsidRPr="003E55F4" w:rsidRDefault="00A442FE" w:rsidP="00E56366">
            <w:pPr>
              <w:tabs>
                <w:tab w:val="decimal" w:pos="391"/>
              </w:tabs>
              <w:spacing w:after="0" w:line="240" w:lineRule="auto"/>
              <w:jc w:val="center"/>
              <w:rPr>
                <w:rFonts w:eastAsia="Times New Roman"/>
                <w:color w:val="000000"/>
                <w:sz w:val="22"/>
                <w:szCs w:val="22"/>
              </w:rPr>
            </w:pPr>
            <w:r w:rsidRPr="003E55F4">
              <w:rPr>
                <w:rFonts w:eastAsia="Times New Roman"/>
                <w:color w:val="000000"/>
                <w:sz w:val="22"/>
                <w:szCs w:val="22"/>
              </w:rPr>
              <w:t>1028</w:t>
            </w:r>
          </w:p>
        </w:tc>
        <w:tc>
          <w:tcPr>
            <w:tcW w:w="1530" w:type="dxa"/>
            <w:tcBorders>
              <w:top w:val="nil"/>
              <w:left w:val="single" w:sz="6" w:space="0" w:color="auto"/>
              <w:bottom w:val="single" w:sz="12" w:space="0" w:color="auto"/>
              <w:right w:val="single" w:sz="12" w:space="0" w:color="auto"/>
            </w:tcBorders>
            <w:shd w:val="clear" w:color="000000" w:fill="FFFFFF"/>
            <w:vAlign w:val="center"/>
          </w:tcPr>
          <w:p w14:paraId="366E564E" w14:textId="77777777" w:rsidR="00A442FE" w:rsidRPr="003E55F4" w:rsidRDefault="00A442FE" w:rsidP="00E56366">
            <w:pPr>
              <w:tabs>
                <w:tab w:val="decimal" w:pos="211"/>
              </w:tabs>
              <w:spacing w:after="0" w:line="240" w:lineRule="auto"/>
              <w:jc w:val="center"/>
              <w:rPr>
                <w:rFonts w:eastAsia="Times New Roman"/>
                <w:color w:val="000000"/>
                <w:sz w:val="22"/>
                <w:szCs w:val="22"/>
              </w:rPr>
            </w:pPr>
            <w:r w:rsidRPr="003E55F4">
              <w:rPr>
                <w:rFonts w:eastAsia="Times New Roman"/>
                <w:color w:val="000000"/>
                <w:sz w:val="22"/>
                <w:szCs w:val="22"/>
              </w:rPr>
              <w:t>40.3</w:t>
            </w:r>
          </w:p>
        </w:tc>
      </w:tr>
      <w:tr w:rsidR="00A442FE" w:rsidRPr="003E55F4" w14:paraId="23C76D06" w14:textId="77777777" w:rsidTr="003E55F4">
        <w:trPr>
          <w:trHeight w:val="288"/>
          <w:jc w:val="center"/>
        </w:trPr>
        <w:tc>
          <w:tcPr>
            <w:tcW w:w="5925" w:type="dxa"/>
            <w:tcBorders>
              <w:top w:val="single" w:sz="12" w:space="0" w:color="auto"/>
              <w:left w:val="single" w:sz="12" w:space="0" w:color="auto"/>
              <w:bottom w:val="single" w:sz="6" w:space="0" w:color="auto"/>
              <w:right w:val="single" w:sz="6" w:space="0" w:color="auto"/>
            </w:tcBorders>
            <w:shd w:val="clear" w:color="000000" w:fill="FFFFFF"/>
            <w:noWrap/>
            <w:vAlign w:val="center"/>
          </w:tcPr>
          <w:p w14:paraId="7331BCAC" w14:textId="45BAAC03" w:rsidR="00A442FE" w:rsidRPr="003E55F4" w:rsidRDefault="00A442FE" w:rsidP="00E56366">
            <w:pPr>
              <w:spacing w:after="0" w:line="240" w:lineRule="auto"/>
              <w:jc w:val="center"/>
              <w:rPr>
                <w:rFonts w:eastAsia="Times New Roman"/>
                <w:b/>
                <w:bCs/>
                <w:color w:val="000000"/>
                <w:sz w:val="22"/>
                <w:szCs w:val="22"/>
              </w:rPr>
            </w:pPr>
            <w:r w:rsidRPr="003E55F4">
              <w:rPr>
                <w:rFonts w:eastAsia="Times New Roman"/>
                <w:b/>
                <w:bCs/>
                <w:color w:val="000000"/>
                <w:sz w:val="22"/>
                <w:szCs w:val="22"/>
              </w:rPr>
              <w:t xml:space="preserve">Virtual </w:t>
            </w:r>
            <w:r w:rsidR="00A65C6D" w:rsidRPr="003E55F4">
              <w:rPr>
                <w:rFonts w:eastAsia="Times New Roman"/>
                <w:b/>
                <w:bCs/>
                <w:color w:val="000000"/>
                <w:sz w:val="22"/>
                <w:szCs w:val="22"/>
              </w:rPr>
              <w:t xml:space="preserve">Participation </w:t>
            </w:r>
          </w:p>
        </w:tc>
        <w:tc>
          <w:tcPr>
            <w:tcW w:w="1800" w:type="dxa"/>
            <w:tcBorders>
              <w:top w:val="single" w:sz="12" w:space="0" w:color="auto"/>
              <w:left w:val="single" w:sz="6" w:space="0" w:color="auto"/>
              <w:bottom w:val="single" w:sz="6" w:space="0" w:color="auto"/>
              <w:right w:val="single" w:sz="6" w:space="0" w:color="auto"/>
            </w:tcBorders>
            <w:shd w:val="clear" w:color="000000" w:fill="FFFFFF"/>
            <w:noWrap/>
            <w:vAlign w:val="center"/>
          </w:tcPr>
          <w:p w14:paraId="56200D24" w14:textId="77777777" w:rsidR="00A442FE" w:rsidRPr="003E55F4" w:rsidRDefault="00A442FE" w:rsidP="00E56366">
            <w:pPr>
              <w:tabs>
                <w:tab w:val="decimal" w:pos="391"/>
              </w:tabs>
              <w:spacing w:after="0" w:line="240" w:lineRule="auto"/>
              <w:jc w:val="center"/>
              <w:rPr>
                <w:rFonts w:eastAsia="Times New Roman"/>
                <w:b/>
                <w:bCs/>
                <w:color w:val="000000"/>
                <w:sz w:val="22"/>
                <w:szCs w:val="22"/>
              </w:rPr>
            </w:pPr>
            <w:r w:rsidRPr="003E55F4">
              <w:rPr>
                <w:rFonts w:eastAsia="Times New Roman"/>
                <w:b/>
                <w:bCs/>
                <w:color w:val="000000"/>
                <w:sz w:val="22"/>
                <w:szCs w:val="22"/>
              </w:rPr>
              <w:t>Number</w:t>
            </w:r>
          </w:p>
        </w:tc>
        <w:tc>
          <w:tcPr>
            <w:tcW w:w="1530" w:type="dxa"/>
            <w:tcBorders>
              <w:top w:val="single" w:sz="12" w:space="0" w:color="auto"/>
              <w:left w:val="single" w:sz="6" w:space="0" w:color="auto"/>
              <w:bottom w:val="single" w:sz="6" w:space="0" w:color="auto"/>
              <w:right w:val="single" w:sz="12" w:space="0" w:color="auto"/>
            </w:tcBorders>
            <w:shd w:val="clear" w:color="000000" w:fill="FFFFFF"/>
            <w:noWrap/>
            <w:vAlign w:val="center"/>
          </w:tcPr>
          <w:p w14:paraId="26A50542" w14:textId="77777777" w:rsidR="00A442FE" w:rsidRPr="003E55F4" w:rsidRDefault="00A442FE" w:rsidP="00E56366">
            <w:pPr>
              <w:tabs>
                <w:tab w:val="decimal" w:pos="211"/>
              </w:tabs>
              <w:spacing w:after="0" w:line="240" w:lineRule="auto"/>
              <w:jc w:val="center"/>
              <w:rPr>
                <w:rFonts w:eastAsia="Times New Roman"/>
                <w:b/>
                <w:bCs/>
                <w:color w:val="000000"/>
                <w:sz w:val="22"/>
                <w:szCs w:val="22"/>
              </w:rPr>
            </w:pPr>
            <w:r w:rsidRPr="003E55F4">
              <w:rPr>
                <w:rFonts w:eastAsia="Times New Roman"/>
                <w:b/>
                <w:bCs/>
                <w:color w:val="000000"/>
                <w:sz w:val="22"/>
                <w:szCs w:val="22"/>
              </w:rPr>
              <w:t>Percent</w:t>
            </w:r>
          </w:p>
        </w:tc>
      </w:tr>
      <w:tr w:rsidR="00A442FE" w:rsidRPr="003E55F4" w14:paraId="4DFA92E9" w14:textId="77777777" w:rsidTr="003E55F4">
        <w:tblPrEx>
          <w:tblCellMar>
            <w:left w:w="43" w:type="dxa"/>
            <w:right w:w="43" w:type="dxa"/>
          </w:tblCellMar>
        </w:tblPrEx>
        <w:trPr>
          <w:trHeight w:val="288"/>
          <w:jc w:val="center"/>
        </w:trPr>
        <w:tc>
          <w:tcPr>
            <w:tcW w:w="5925" w:type="dxa"/>
            <w:tcBorders>
              <w:top w:val="single" w:sz="6" w:space="0" w:color="auto"/>
              <w:left w:val="single" w:sz="12" w:space="0" w:color="auto"/>
              <w:bottom w:val="nil"/>
              <w:right w:val="single" w:sz="6" w:space="0" w:color="auto"/>
            </w:tcBorders>
            <w:shd w:val="clear" w:color="000000" w:fill="FFFFFF"/>
            <w:noWrap/>
            <w:vAlign w:val="center"/>
          </w:tcPr>
          <w:p w14:paraId="34AE53ED" w14:textId="77777777" w:rsidR="00A442FE" w:rsidRPr="003E55F4" w:rsidRDefault="00A442FE" w:rsidP="00E56366">
            <w:pPr>
              <w:spacing w:after="0" w:line="240" w:lineRule="auto"/>
              <w:rPr>
                <w:rFonts w:eastAsia="Times New Roman"/>
                <w:b/>
                <w:bCs/>
                <w:color w:val="000000"/>
                <w:sz w:val="22"/>
                <w:szCs w:val="22"/>
              </w:rPr>
            </w:pPr>
            <w:r w:rsidRPr="003E55F4">
              <w:rPr>
                <w:rFonts w:eastAsia="Times New Roman"/>
                <w:b/>
                <w:bCs/>
                <w:color w:val="000000"/>
                <w:sz w:val="22"/>
                <w:szCs w:val="22"/>
              </w:rPr>
              <w:t>Work from home</w:t>
            </w:r>
          </w:p>
        </w:tc>
        <w:tc>
          <w:tcPr>
            <w:tcW w:w="1800" w:type="dxa"/>
            <w:tcBorders>
              <w:top w:val="single" w:sz="6" w:space="0" w:color="auto"/>
              <w:left w:val="single" w:sz="6" w:space="0" w:color="auto"/>
              <w:bottom w:val="nil"/>
              <w:right w:val="single" w:sz="6" w:space="0" w:color="auto"/>
            </w:tcBorders>
            <w:shd w:val="clear" w:color="000000" w:fill="FFFFFF"/>
            <w:noWrap/>
            <w:vAlign w:val="center"/>
          </w:tcPr>
          <w:p w14:paraId="1ED66F49" w14:textId="77777777" w:rsidR="00A442FE" w:rsidRPr="003E55F4" w:rsidRDefault="00A442FE" w:rsidP="00E56366">
            <w:pPr>
              <w:tabs>
                <w:tab w:val="decimal" w:pos="391"/>
              </w:tabs>
              <w:spacing w:after="0" w:line="240" w:lineRule="auto"/>
              <w:jc w:val="center"/>
              <w:rPr>
                <w:rFonts w:eastAsia="Times New Roman"/>
                <w:color w:val="000000"/>
                <w:sz w:val="22"/>
                <w:szCs w:val="22"/>
              </w:rPr>
            </w:pPr>
          </w:p>
        </w:tc>
        <w:tc>
          <w:tcPr>
            <w:tcW w:w="1530" w:type="dxa"/>
            <w:tcBorders>
              <w:top w:val="single" w:sz="6" w:space="0" w:color="auto"/>
              <w:left w:val="single" w:sz="6" w:space="0" w:color="auto"/>
              <w:bottom w:val="nil"/>
              <w:right w:val="single" w:sz="12" w:space="0" w:color="auto"/>
            </w:tcBorders>
            <w:shd w:val="clear" w:color="000000" w:fill="FFFFFF"/>
            <w:vAlign w:val="center"/>
          </w:tcPr>
          <w:p w14:paraId="2378023D" w14:textId="77777777" w:rsidR="00A442FE" w:rsidRPr="003E55F4" w:rsidRDefault="00A442FE" w:rsidP="00E56366">
            <w:pPr>
              <w:tabs>
                <w:tab w:val="decimal" w:pos="211"/>
              </w:tabs>
              <w:spacing w:after="0" w:line="240" w:lineRule="auto"/>
              <w:jc w:val="center"/>
              <w:rPr>
                <w:rFonts w:eastAsia="Times New Roman"/>
                <w:color w:val="000000"/>
                <w:sz w:val="22"/>
                <w:szCs w:val="22"/>
              </w:rPr>
            </w:pPr>
          </w:p>
        </w:tc>
      </w:tr>
      <w:tr w:rsidR="00A442FE" w:rsidRPr="003E55F4" w14:paraId="590C170B" w14:textId="77777777" w:rsidTr="003E55F4">
        <w:tblPrEx>
          <w:tblCellMar>
            <w:left w:w="43" w:type="dxa"/>
            <w:right w:w="43" w:type="dxa"/>
          </w:tblCellMar>
        </w:tblPrEx>
        <w:trPr>
          <w:trHeight w:val="288"/>
          <w:jc w:val="center"/>
        </w:trPr>
        <w:tc>
          <w:tcPr>
            <w:tcW w:w="5925" w:type="dxa"/>
            <w:tcBorders>
              <w:top w:val="nil"/>
              <w:left w:val="single" w:sz="12" w:space="0" w:color="auto"/>
              <w:bottom w:val="nil"/>
              <w:right w:val="single" w:sz="6" w:space="0" w:color="auto"/>
            </w:tcBorders>
            <w:shd w:val="clear" w:color="000000" w:fill="FFFFFF"/>
            <w:noWrap/>
            <w:vAlign w:val="center"/>
          </w:tcPr>
          <w:p w14:paraId="20E2C9B1" w14:textId="77777777" w:rsidR="00A442FE" w:rsidRPr="003E55F4" w:rsidRDefault="00A442FE" w:rsidP="00E56366">
            <w:pPr>
              <w:spacing w:after="0" w:line="240" w:lineRule="auto"/>
              <w:rPr>
                <w:rFonts w:eastAsia="Times New Roman"/>
                <w:color w:val="000000"/>
                <w:sz w:val="22"/>
                <w:szCs w:val="22"/>
              </w:rPr>
            </w:pPr>
            <w:r w:rsidRPr="003E55F4">
              <w:rPr>
                <w:rFonts w:eastAsia="Times New Roman"/>
                <w:b/>
                <w:bCs/>
                <w:color w:val="000000"/>
                <w:sz w:val="22"/>
                <w:szCs w:val="22"/>
              </w:rPr>
              <w:t xml:space="preserve">   </w:t>
            </w:r>
            <w:r w:rsidRPr="003E55F4">
              <w:rPr>
                <w:rFonts w:eastAsia="Times New Roman"/>
                <w:color w:val="000000"/>
                <w:sz w:val="22"/>
                <w:szCs w:val="22"/>
              </w:rPr>
              <w:t xml:space="preserve"> NA (Unemployed or Retired)</w:t>
            </w:r>
          </w:p>
        </w:tc>
        <w:tc>
          <w:tcPr>
            <w:tcW w:w="1800" w:type="dxa"/>
            <w:tcBorders>
              <w:top w:val="nil"/>
              <w:left w:val="single" w:sz="6" w:space="0" w:color="auto"/>
              <w:bottom w:val="nil"/>
              <w:right w:val="single" w:sz="6" w:space="0" w:color="auto"/>
            </w:tcBorders>
            <w:shd w:val="clear" w:color="000000" w:fill="FFFFFF"/>
            <w:noWrap/>
            <w:vAlign w:val="center"/>
          </w:tcPr>
          <w:p w14:paraId="376044FF" w14:textId="77777777" w:rsidR="00A442FE" w:rsidRPr="003E55F4" w:rsidRDefault="00A442FE" w:rsidP="00E56366">
            <w:pPr>
              <w:tabs>
                <w:tab w:val="decimal" w:pos="391"/>
              </w:tabs>
              <w:spacing w:after="0" w:line="240" w:lineRule="auto"/>
              <w:jc w:val="center"/>
              <w:rPr>
                <w:rFonts w:eastAsia="Times New Roman"/>
                <w:color w:val="000000"/>
                <w:sz w:val="22"/>
                <w:szCs w:val="22"/>
              </w:rPr>
            </w:pPr>
            <w:r w:rsidRPr="003E55F4">
              <w:rPr>
                <w:rFonts w:eastAsia="Times New Roman"/>
                <w:color w:val="000000"/>
                <w:sz w:val="22"/>
                <w:szCs w:val="22"/>
              </w:rPr>
              <w:t>5693</w:t>
            </w:r>
          </w:p>
        </w:tc>
        <w:tc>
          <w:tcPr>
            <w:tcW w:w="1530" w:type="dxa"/>
            <w:tcBorders>
              <w:top w:val="nil"/>
              <w:left w:val="single" w:sz="6" w:space="0" w:color="auto"/>
              <w:bottom w:val="nil"/>
              <w:right w:val="single" w:sz="12" w:space="0" w:color="auto"/>
            </w:tcBorders>
            <w:shd w:val="clear" w:color="000000" w:fill="FFFFFF"/>
            <w:vAlign w:val="center"/>
          </w:tcPr>
          <w:p w14:paraId="0343BF3C" w14:textId="77777777" w:rsidR="00A442FE" w:rsidRPr="003E55F4" w:rsidRDefault="00A442FE" w:rsidP="00E56366">
            <w:pPr>
              <w:tabs>
                <w:tab w:val="decimal" w:pos="211"/>
              </w:tabs>
              <w:spacing w:after="0" w:line="240" w:lineRule="auto"/>
              <w:jc w:val="center"/>
              <w:rPr>
                <w:rFonts w:eastAsia="Times New Roman"/>
                <w:color w:val="000000"/>
                <w:sz w:val="22"/>
                <w:szCs w:val="22"/>
              </w:rPr>
            </w:pPr>
            <w:r w:rsidRPr="003E55F4">
              <w:rPr>
                <w:rFonts w:eastAsia="Times New Roman"/>
                <w:color w:val="000000"/>
                <w:sz w:val="22"/>
                <w:szCs w:val="22"/>
              </w:rPr>
              <w:t>45.7</w:t>
            </w:r>
          </w:p>
        </w:tc>
      </w:tr>
      <w:tr w:rsidR="00A442FE" w:rsidRPr="003E55F4" w14:paraId="1EC922EF" w14:textId="77777777" w:rsidTr="003E55F4">
        <w:tblPrEx>
          <w:tblCellMar>
            <w:left w:w="43" w:type="dxa"/>
            <w:right w:w="43" w:type="dxa"/>
          </w:tblCellMar>
        </w:tblPrEx>
        <w:trPr>
          <w:trHeight w:val="288"/>
          <w:jc w:val="center"/>
        </w:trPr>
        <w:tc>
          <w:tcPr>
            <w:tcW w:w="5925" w:type="dxa"/>
            <w:tcBorders>
              <w:top w:val="nil"/>
              <w:left w:val="single" w:sz="12" w:space="0" w:color="auto"/>
              <w:bottom w:val="nil"/>
              <w:right w:val="single" w:sz="6" w:space="0" w:color="auto"/>
            </w:tcBorders>
            <w:shd w:val="clear" w:color="000000" w:fill="FFFFFF"/>
            <w:noWrap/>
            <w:vAlign w:val="center"/>
          </w:tcPr>
          <w:p w14:paraId="3FDCEE52" w14:textId="77777777" w:rsidR="00A442FE" w:rsidRPr="003E55F4" w:rsidRDefault="00A442FE" w:rsidP="00E56366">
            <w:pPr>
              <w:spacing w:after="0" w:line="240" w:lineRule="auto"/>
              <w:rPr>
                <w:rFonts w:eastAsia="Times New Roman"/>
                <w:b/>
                <w:bCs/>
                <w:color w:val="000000"/>
                <w:sz w:val="22"/>
                <w:szCs w:val="22"/>
              </w:rPr>
            </w:pPr>
            <w:r w:rsidRPr="003E55F4">
              <w:rPr>
                <w:rFonts w:eastAsia="Times New Roman"/>
                <w:color w:val="000000"/>
                <w:sz w:val="22"/>
                <w:szCs w:val="22"/>
              </w:rPr>
              <w:t xml:space="preserve">    0 days per week</w:t>
            </w:r>
          </w:p>
        </w:tc>
        <w:tc>
          <w:tcPr>
            <w:tcW w:w="1800" w:type="dxa"/>
            <w:tcBorders>
              <w:top w:val="nil"/>
              <w:left w:val="single" w:sz="6" w:space="0" w:color="auto"/>
              <w:bottom w:val="nil"/>
              <w:right w:val="single" w:sz="6" w:space="0" w:color="auto"/>
            </w:tcBorders>
            <w:shd w:val="clear" w:color="000000" w:fill="FFFFFF"/>
            <w:noWrap/>
            <w:vAlign w:val="center"/>
          </w:tcPr>
          <w:p w14:paraId="19AF8ACC" w14:textId="77777777" w:rsidR="00A442FE" w:rsidRPr="003E55F4" w:rsidRDefault="00A442FE" w:rsidP="00E56366">
            <w:pPr>
              <w:tabs>
                <w:tab w:val="decimal" w:pos="391"/>
              </w:tabs>
              <w:spacing w:after="0" w:line="240" w:lineRule="auto"/>
              <w:jc w:val="center"/>
              <w:rPr>
                <w:rFonts w:eastAsia="Times New Roman"/>
                <w:color w:val="000000"/>
                <w:sz w:val="22"/>
                <w:szCs w:val="22"/>
              </w:rPr>
            </w:pPr>
            <w:r w:rsidRPr="003E55F4">
              <w:rPr>
                <w:rFonts w:eastAsia="Times New Roman"/>
                <w:color w:val="000000"/>
                <w:sz w:val="22"/>
                <w:szCs w:val="22"/>
              </w:rPr>
              <w:t>3821</w:t>
            </w:r>
          </w:p>
        </w:tc>
        <w:tc>
          <w:tcPr>
            <w:tcW w:w="1530" w:type="dxa"/>
            <w:tcBorders>
              <w:top w:val="nil"/>
              <w:left w:val="single" w:sz="6" w:space="0" w:color="auto"/>
              <w:bottom w:val="nil"/>
              <w:right w:val="single" w:sz="12" w:space="0" w:color="auto"/>
            </w:tcBorders>
            <w:shd w:val="clear" w:color="000000" w:fill="FFFFFF"/>
            <w:vAlign w:val="center"/>
          </w:tcPr>
          <w:p w14:paraId="7E6C60C3" w14:textId="77777777" w:rsidR="00A442FE" w:rsidRPr="003E55F4" w:rsidRDefault="00A442FE" w:rsidP="00E56366">
            <w:pPr>
              <w:tabs>
                <w:tab w:val="decimal" w:pos="211"/>
              </w:tabs>
              <w:spacing w:after="0" w:line="240" w:lineRule="auto"/>
              <w:jc w:val="center"/>
              <w:rPr>
                <w:rFonts w:eastAsia="Times New Roman"/>
                <w:color w:val="000000"/>
                <w:sz w:val="22"/>
                <w:szCs w:val="22"/>
              </w:rPr>
            </w:pPr>
            <w:r w:rsidRPr="003E55F4">
              <w:rPr>
                <w:rFonts w:eastAsia="Times New Roman"/>
                <w:color w:val="000000"/>
                <w:sz w:val="22"/>
                <w:szCs w:val="22"/>
              </w:rPr>
              <w:t>30.6</w:t>
            </w:r>
          </w:p>
        </w:tc>
      </w:tr>
      <w:tr w:rsidR="00A442FE" w:rsidRPr="003E55F4" w14:paraId="48B08A97" w14:textId="77777777" w:rsidTr="003E55F4">
        <w:tblPrEx>
          <w:tblCellMar>
            <w:left w:w="43" w:type="dxa"/>
            <w:right w:w="43" w:type="dxa"/>
          </w:tblCellMar>
        </w:tblPrEx>
        <w:trPr>
          <w:trHeight w:val="288"/>
          <w:jc w:val="center"/>
        </w:trPr>
        <w:tc>
          <w:tcPr>
            <w:tcW w:w="5925" w:type="dxa"/>
            <w:tcBorders>
              <w:top w:val="nil"/>
              <w:left w:val="single" w:sz="12" w:space="0" w:color="auto"/>
              <w:bottom w:val="nil"/>
              <w:right w:val="single" w:sz="6" w:space="0" w:color="auto"/>
            </w:tcBorders>
            <w:shd w:val="clear" w:color="000000" w:fill="FFFFFF"/>
            <w:noWrap/>
            <w:vAlign w:val="center"/>
          </w:tcPr>
          <w:p w14:paraId="254DFBAC" w14:textId="77777777" w:rsidR="00A442FE" w:rsidRPr="003E55F4" w:rsidRDefault="00A442FE" w:rsidP="00E56366">
            <w:pPr>
              <w:spacing w:after="0" w:line="240" w:lineRule="auto"/>
              <w:rPr>
                <w:rFonts w:eastAsia="Times New Roman"/>
                <w:b/>
                <w:bCs/>
                <w:color w:val="000000"/>
                <w:sz w:val="22"/>
                <w:szCs w:val="22"/>
              </w:rPr>
            </w:pPr>
            <w:r w:rsidRPr="003E55F4">
              <w:rPr>
                <w:rFonts w:eastAsia="Times New Roman"/>
                <w:color w:val="000000"/>
                <w:sz w:val="22"/>
                <w:szCs w:val="22"/>
              </w:rPr>
              <w:t xml:space="preserve">    1 – 2 days per week</w:t>
            </w:r>
          </w:p>
        </w:tc>
        <w:tc>
          <w:tcPr>
            <w:tcW w:w="1800" w:type="dxa"/>
            <w:tcBorders>
              <w:top w:val="nil"/>
              <w:left w:val="single" w:sz="6" w:space="0" w:color="auto"/>
              <w:bottom w:val="nil"/>
              <w:right w:val="single" w:sz="6" w:space="0" w:color="auto"/>
            </w:tcBorders>
            <w:shd w:val="clear" w:color="000000" w:fill="FFFFFF"/>
            <w:noWrap/>
            <w:vAlign w:val="center"/>
          </w:tcPr>
          <w:p w14:paraId="3BBCCEF3" w14:textId="77777777" w:rsidR="00A442FE" w:rsidRPr="003E55F4" w:rsidRDefault="00A442FE" w:rsidP="00E56366">
            <w:pPr>
              <w:tabs>
                <w:tab w:val="decimal" w:pos="391"/>
              </w:tabs>
              <w:spacing w:after="0" w:line="240" w:lineRule="auto"/>
              <w:jc w:val="center"/>
              <w:rPr>
                <w:rFonts w:eastAsia="Times New Roman"/>
                <w:color w:val="000000"/>
                <w:sz w:val="22"/>
                <w:szCs w:val="22"/>
              </w:rPr>
            </w:pPr>
            <w:r w:rsidRPr="003E55F4">
              <w:rPr>
                <w:rFonts w:eastAsia="Times New Roman"/>
                <w:color w:val="000000"/>
                <w:sz w:val="22"/>
                <w:szCs w:val="22"/>
              </w:rPr>
              <w:t>961</w:t>
            </w:r>
          </w:p>
        </w:tc>
        <w:tc>
          <w:tcPr>
            <w:tcW w:w="1530" w:type="dxa"/>
            <w:tcBorders>
              <w:top w:val="nil"/>
              <w:left w:val="single" w:sz="6" w:space="0" w:color="auto"/>
              <w:bottom w:val="nil"/>
              <w:right w:val="single" w:sz="12" w:space="0" w:color="auto"/>
            </w:tcBorders>
            <w:shd w:val="clear" w:color="000000" w:fill="FFFFFF"/>
            <w:vAlign w:val="center"/>
          </w:tcPr>
          <w:p w14:paraId="555C1578" w14:textId="77777777" w:rsidR="00A442FE" w:rsidRPr="003E55F4" w:rsidRDefault="00A442FE" w:rsidP="00E56366">
            <w:pPr>
              <w:tabs>
                <w:tab w:val="decimal" w:pos="211"/>
              </w:tabs>
              <w:spacing w:after="0" w:line="240" w:lineRule="auto"/>
              <w:jc w:val="center"/>
              <w:rPr>
                <w:rFonts w:eastAsia="Times New Roman"/>
                <w:color w:val="000000"/>
                <w:sz w:val="22"/>
                <w:szCs w:val="22"/>
              </w:rPr>
            </w:pPr>
            <w:r w:rsidRPr="003E55F4">
              <w:rPr>
                <w:rFonts w:eastAsia="Times New Roman"/>
                <w:color w:val="000000"/>
                <w:sz w:val="22"/>
                <w:szCs w:val="22"/>
              </w:rPr>
              <w:t>7.7</w:t>
            </w:r>
          </w:p>
        </w:tc>
      </w:tr>
      <w:tr w:rsidR="00A442FE" w:rsidRPr="003E55F4" w14:paraId="5C6DF694" w14:textId="77777777" w:rsidTr="003E55F4">
        <w:tblPrEx>
          <w:tblCellMar>
            <w:left w:w="43" w:type="dxa"/>
            <w:right w:w="43" w:type="dxa"/>
          </w:tblCellMar>
        </w:tblPrEx>
        <w:trPr>
          <w:trHeight w:val="288"/>
          <w:jc w:val="center"/>
        </w:trPr>
        <w:tc>
          <w:tcPr>
            <w:tcW w:w="5925" w:type="dxa"/>
            <w:tcBorders>
              <w:top w:val="nil"/>
              <w:left w:val="single" w:sz="12" w:space="0" w:color="auto"/>
              <w:bottom w:val="nil"/>
              <w:right w:val="single" w:sz="6" w:space="0" w:color="auto"/>
            </w:tcBorders>
            <w:shd w:val="clear" w:color="000000" w:fill="FFFFFF"/>
            <w:noWrap/>
            <w:vAlign w:val="center"/>
          </w:tcPr>
          <w:p w14:paraId="37C18F35" w14:textId="77777777" w:rsidR="00A442FE" w:rsidRPr="003E55F4" w:rsidRDefault="00A442FE" w:rsidP="00E56366">
            <w:pPr>
              <w:spacing w:after="0" w:line="240" w:lineRule="auto"/>
              <w:rPr>
                <w:rFonts w:eastAsia="Times New Roman"/>
                <w:b/>
                <w:bCs/>
                <w:color w:val="000000"/>
                <w:sz w:val="22"/>
                <w:szCs w:val="22"/>
              </w:rPr>
            </w:pPr>
            <w:r w:rsidRPr="003E55F4">
              <w:rPr>
                <w:rFonts w:eastAsia="Times New Roman"/>
                <w:color w:val="000000"/>
                <w:sz w:val="22"/>
                <w:szCs w:val="22"/>
              </w:rPr>
              <w:t xml:space="preserve">    3 – 4 days per week</w:t>
            </w:r>
          </w:p>
        </w:tc>
        <w:tc>
          <w:tcPr>
            <w:tcW w:w="1800" w:type="dxa"/>
            <w:tcBorders>
              <w:top w:val="nil"/>
              <w:left w:val="single" w:sz="6" w:space="0" w:color="auto"/>
              <w:bottom w:val="nil"/>
              <w:right w:val="single" w:sz="6" w:space="0" w:color="auto"/>
            </w:tcBorders>
            <w:shd w:val="clear" w:color="000000" w:fill="FFFFFF"/>
            <w:noWrap/>
            <w:vAlign w:val="center"/>
          </w:tcPr>
          <w:p w14:paraId="179FC19E" w14:textId="77777777" w:rsidR="00A442FE" w:rsidRPr="003E55F4" w:rsidRDefault="00A442FE" w:rsidP="00E56366">
            <w:pPr>
              <w:tabs>
                <w:tab w:val="decimal" w:pos="391"/>
              </w:tabs>
              <w:spacing w:after="0" w:line="240" w:lineRule="auto"/>
              <w:jc w:val="center"/>
              <w:rPr>
                <w:rFonts w:eastAsia="Times New Roman"/>
                <w:color w:val="000000"/>
                <w:sz w:val="22"/>
                <w:szCs w:val="22"/>
              </w:rPr>
            </w:pPr>
            <w:r w:rsidRPr="003E55F4">
              <w:rPr>
                <w:rFonts w:eastAsia="Times New Roman"/>
                <w:color w:val="000000"/>
                <w:sz w:val="22"/>
                <w:szCs w:val="22"/>
              </w:rPr>
              <w:t>536</w:t>
            </w:r>
          </w:p>
        </w:tc>
        <w:tc>
          <w:tcPr>
            <w:tcW w:w="1530" w:type="dxa"/>
            <w:tcBorders>
              <w:top w:val="nil"/>
              <w:left w:val="single" w:sz="6" w:space="0" w:color="auto"/>
              <w:bottom w:val="nil"/>
              <w:right w:val="single" w:sz="12" w:space="0" w:color="auto"/>
            </w:tcBorders>
            <w:shd w:val="clear" w:color="000000" w:fill="FFFFFF"/>
            <w:vAlign w:val="center"/>
          </w:tcPr>
          <w:p w14:paraId="66D38A4F" w14:textId="77777777" w:rsidR="00A442FE" w:rsidRPr="003E55F4" w:rsidRDefault="00A442FE" w:rsidP="00E56366">
            <w:pPr>
              <w:tabs>
                <w:tab w:val="decimal" w:pos="211"/>
              </w:tabs>
              <w:spacing w:after="0" w:line="240" w:lineRule="auto"/>
              <w:jc w:val="center"/>
              <w:rPr>
                <w:rFonts w:eastAsia="Times New Roman"/>
                <w:color w:val="000000"/>
                <w:sz w:val="22"/>
                <w:szCs w:val="22"/>
              </w:rPr>
            </w:pPr>
            <w:r w:rsidRPr="003E55F4">
              <w:rPr>
                <w:rFonts w:eastAsia="Times New Roman"/>
                <w:color w:val="000000"/>
                <w:sz w:val="22"/>
                <w:szCs w:val="22"/>
              </w:rPr>
              <w:t>4.3</w:t>
            </w:r>
          </w:p>
        </w:tc>
      </w:tr>
      <w:tr w:rsidR="00A442FE" w:rsidRPr="003E55F4" w14:paraId="40276B77" w14:textId="77777777" w:rsidTr="003E55F4">
        <w:tblPrEx>
          <w:tblCellMar>
            <w:left w:w="43" w:type="dxa"/>
            <w:right w:w="43" w:type="dxa"/>
          </w:tblCellMar>
        </w:tblPrEx>
        <w:trPr>
          <w:trHeight w:val="288"/>
          <w:jc w:val="center"/>
        </w:trPr>
        <w:tc>
          <w:tcPr>
            <w:tcW w:w="5925" w:type="dxa"/>
            <w:tcBorders>
              <w:top w:val="nil"/>
              <w:left w:val="single" w:sz="12" w:space="0" w:color="auto"/>
              <w:bottom w:val="nil"/>
              <w:right w:val="single" w:sz="6" w:space="0" w:color="auto"/>
            </w:tcBorders>
            <w:shd w:val="clear" w:color="000000" w:fill="FFFFFF"/>
            <w:noWrap/>
            <w:vAlign w:val="center"/>
          </w:tcPr>
          <w:p w14:paraId="01996B9A" w14:textId="77777777" w:rsidR="00A442FE" w:rsidRPr="003E55F4" w:rsidRDefault="00A442FE" w:rsidP="00E56366">
            <w:pPr>
              <w:spacing w:after="0" w:line="240" w:lineRule="auto"/>
              <w:rPr>
                <w:rFonts w:eastAsia="Times New Roman"/>
                <w:b/>
                <w:bCs/>
                <w:color w:val="000000"/>
                <w:sz w:val="22"/>
                <w:szCs w:val="22"/>
              </w:rPr>
            </w:pPr>
            <w:r w:rsidRPr="003E55F4">
              <w:rPr>
                <w:rFonts w:eastAsia="Times New Roman"/>
                <w:color w:val="000000"/>
                <w:sz w:val="22"/>
                <w:szCs w:val="22"/>
              </w:rPr>
              <w:t xml:space="preserve">    5 or more days per week</w:t>
            </w:r>
          </w:p>
        </w:tc>
        <w:tc>
          <w:tcPr>
            <w:tcW w:w="1800" w:type="dxa"/>
            <w:tcBorders>
              <w:top w:val="nil"/>
              <w:left w:val="single" w:sz="6" w:space="0" w:color="auto"/>
              <w:bottom w:val="nil"/>
              <w:right w:val="single" w:sz="6" w:space="0" w:color="auto"/>
            </w:tcBorders>
            <w:shd w:val="clear" w:color="000000" w:fill="FFFFFF"/>
            <w:noWrap/>
            <w:vAlign w:val="center"/>
          </w:tcPr>
          <w:p w14:paraId="75C1B2A2" w14:textId="77777777" w:rsidR="00A442FE" w:rsidRPr="003E55F4" w:rsidRDefault="00A442FE" w:rsidP="00E56366">
            <w:pPr>
              <w:tabs>
                <w:tab w:val="decimal" w:pos="391"/>
              </w:tabs>
              <w:spacing w:after="0" w:line="240" w:lineRule="auto"/>
              <w:jc w:val="center"/>
              <w:rPr>
                <w:rFonts w:eastAsia="Times New Roman"/>
                <w:color w:val="000000"/>
                <w:sz w:val="22"/>
                <w:szCs w:val="22"/>
              </w:rPr>
            </w:pPr>
            <w:r w:rsidRPr="003E55F4">
              <w:rPr>
                <w:rFonts w:eastAsia="Times New Roman"/>
                <w:color w:val="000000"/>
                <w:sz w:val="22"/>
                <w:szCs w:val="22"/>
              </w:rPr>
              <w:t>1458</w:t>
            </w:r>
          </w:p>
        </w:tc>
        <w:tc>
          <w:tcPr>
            <w:tcW w:w="1530" w:type="dxa"/>
            <w:tcBorders>
              <w:top w:val="nil"/>
              <w:left w:val="single" w:sz="6" w:space="0" w:color="auto"/>
              <w:bottom w:val="nil"/>
              <w:right w:val="single" w:sz="12" w:space="0" w:color="auto"/>
            </w:tcBorders>
            <w:shd w:val="clear" w:color="000000" w:fill="FFFFFF"/>
            <w:vAlign w:val="center"/>
          </w:tcPr>
          <w:p w14:paraId="22EED9D4" w14:textId="77777777" w:rsidR="00A442FE" w:rsidRPr="003E55F4" w:rsidRDefault="00A442FE" w:rsidP="00E56366">
            <w:pPr>
              <w:tabs>
                <w:tab w:val="decimal" w:pos="211"/>
              </w:tabs>
              <w:spacing w:after="0" w:line="240" w:lineRule="auto"/>
              <w:jc w:val="center"/>
              <w:rPr>
                <w:rFonts w:eastAsia="Times New Roman"/>
                <w:color w:val="000000"/>
                <w:sz w:val="22"/>
                <w:szCs w:val="22"/>
              </w:rPr>
            </w:pPr>
            <w:r w:rsidRPr="003E55F4">
              <w:rPr>
                <w:rFonts w:eastAsia="Times New Roman"/>
                <w:color w:val="000000"/>
                <w:sz w:val="22"/>
                <w:szCs w:val="22"/>
              </w:rPr>
              <w:t>11.7</w:t>
            </w:r>
          </w:p>
        </w:tc>
      </w:tr>
      <w:tr w:rsidR="00A442FE" w:rsidRPr="003E55F4" w14:paraId="6AA8C829" w14:textId="77777777" w:rsidTr="003E55F4">
        <w:tblPrEx>
          <w:tblCellMar>
            <w:left w:w="43" w:type="dxa"/>
            <w:right w:w="43" w:type="dxa"/>
          </w:tblCellMar>
        </w:tblPrEx>
        <w:trPr>
          <w:trHeight w:val="288"/>
          <w:jc w:val="center"/>
        </w:trPr>
        <w:tc>
          <w:tcPr>
            <w:tcW w:w="5925" w:type="dxa"/>
            <w:tcBorders>
              <w:top w:val="nil"/>
              <w:left w:val="single" w:sz="12" w:space="0" w:color="auto"/>
              <w:bottom w:val="nil"/>
              <w:right w:val="single" w:sz="6" w:space="0" w:color="auto"/>
            </w:tcBorders>
            <w:shd w:val="clear" w:color="000000" w:fill="FFFFFF"/>
            <w:noWrap/>
            <w:vAlign w:val="center"/>
            <w:hideMark/>
          </w:tcPr>
          <w:p w14:paraId="435278B7" w14:textId="77777777" w:rsidR="00A442FE" w:rsidRPr="003E55F4" w:rsidRDefault="00A442FE" w:rsidP="00E56366">
            <w:pPr>
              <w:spacing w:after="0" w:line="240" w:lineRule="auto"/>
              <w:rPr>
                <w:rFonts w:eastAsia="Times New Roman"/>
                <w:b/>
                <w:bCs/>
                <w:color w:val="000000"/>
                <w:sz w:val="22"/>
                <w:szCs w:val="22"/>
              </w:rPr>
            </w:pPr>
            <w:r w:rsidRPr="003E55F4">
              <w:rPr>
                <w:rFonts w:eastAsia="Times New Roman"/>
                <w:b/>
                <w:bCs/>
                <w:color w:val="000000"/>
                <w:sz w:val="22"/>
                <w:szCs w:val="22"/>
              </w:rPr>
              <w:t>Number of deliveries in the last 30 days</w:t>
            </w:r>
          </w:p>
        </w:tc>
        <w:tc>
          <w:tcPr>
            <w:tcW w:w="1800" w:type="dxa"/>
            <w:tcBorders>
              <w:top w:val="nil"/>
              <w:left w:val="single" w:sz="6" w:space="0" w:color="auto"/>
              <w:bottom w:val="nil"/>
              <w:right w:val="single" w:sz="6" w:space="0" w:color="auto"/>
            </w:tcBorders>
            <w:shd w:val="clear" w:color="000000" w:fill="FFFFFF"/>
            <w:noWrap/>
            <w:vAlign w:val="center"/>
            <w:hideMark/>
          </w:tcPr>
          <w:p w14:paraId="4DEDDF11" w14:textId="77777777" w:rsidR="00A442FE" w:rsidRPr="003E55F4" w:rsidRDefault="00A442FE" w:rsidP="00E56366">
            <w:pPr>
              <w:tabs>
                <w:tab w:val="decimal" w:pos="391"/>
              </w:tabs>
              <w:spacing w:after="0" w:line="240" w:lineRule="auto"/>
              <w:jc w:val="center"/>
              <w:rPr>
                <w:rFonts w:eastAsia="Times New Roman"/>
                <w:color w:val="000000"/>
                <w:sz w:val="22"/>
                <w:szCs w:val="22"/>
              </w:rPr>
            </w:pPr>
          </w:p>
        </w:tc>
        <w:tc>
          <w:tcPr>
            <w:tcW w:w="1530" w:type="dxa"/>
            <w:tcBorders>
              <w:top w:val="nil"/>
              <w:left w:val="single" w:sz="6" w:space="0" w:color="auto"/>
              <w:bottom w:val="nil"/>
              <w:right w:val="single" w:sz="12" w:space="0" w:color="auto"/>
            </w:tcBorders>
            <w:shd w:val="clear" w:color="000000" w:fill="FFFFFF"/>
            <w:vAlign w:val="center"/>
          </w:tcPr>
          <w:p w14:paraId="3993802B" w14:textId="77777777" w:rsidR="00A442FE" w:rsidRPr="003E55F4" w:rsidRDefault="00A442FE" w:rsidP="00E56366">
            <w:pPr>
              <w:tabs>
                <w:tab w:val="decimal" w:pos="211"/>
              </w:tabs>
              <w:spacing w:after="0" w:line="240" w:lineRule="auto"/>
              <w:jc w:val="center"/>
              <w:rPr>
                <w:rFonts w:eastAsia="Times New Roman"/>
                <w:color w:val="000000"/>
                <w:sz w:val="22"/>
                <w:szCs w:val="22"/>
              </w:rPr>
            </w:pPr>
          </w:p>
        </w:tc>
      </w:tr>
      <w:tr w:rsidR="00A442FE" w:rsidRPr="003E55F4" w14:paraId="3419DFCD" w14:textId="77777777" w:rsidTr="003E55F4">
        <w:tblPrEx>
          <w:tblCellMar>
            <w:left w:w="43" w:type="dxa"/>
            <w:right w:w="43" w:type="dxa"/>
          </w:tblCellMar>
        </w:tblPrEx>
        <w:trPr>
          <w:trHeight w:val="288"/>
          <w:jc w:val="center"/>
        </w:trPr>
        <w:tc>
          <w:tcPr>
            <w:tcW w:w="5925" w:type="dxa"/>
            <w:tcBorders>
              <w:top w:val="nil"/>
              <w:left w:val="single" w:sz="12" w:space="0" w:color="auto"/>
              <w:bottom w:val="nil"/>
              <w:right w:val="single" w:sz="6" w:space="0" w:color="auto"/>
            </w:tcBorders>
            <w:shd w:val="clear" w:color="000000" w:fill="FFFFFF"/>
            <w:noWrap/>
            <w:vAlign w:val="center"/>
            <w:hideMark/>
          </w:tcPr>
          <w:p w14:paraId="6813C53A" w14:textId="77777777" w:rsidR="00A442FE" w:rsidRPr="003E55F4" w:rsidRDefault="00A442FE" w:rsidP="00E56366">
            <w:pPr>
              <w:spacing w:after="0" w:line="240" w:lineRule="auto"/>
              <w:ind w:firstLineChars="100" w:firstLine="220"/>
              <w:rPr>
                <w:rFonts w:eastAsia="Times New Roman"/>
                <w:color w:val="000000"/>
                <w:sz w:val="22"/>
                <w:szCs w:val="22"/>
              </w:rPr>
            </w:pPr>
            <w:r w:rsidRPr="003E55F4">
              <w:rPr>
                <w:rFonts w:eastAsia="Times New Roman"/>
                <w:color w:val="000000"/>
                <w:sz w:val="22"/>
                <w:szCs w:val="22"/>
              </w:rPr>
              <w:t>0</w:t>
            </w:r>
          </w:p>
        </w:tc>
        <w:tc>
          <w:tcPr>
            <w:tcW w:w="1800" w:type="dxa"/>
            <w:tcBorders>
              <w:top w:val="nil"/>
              <w:left w:val="single" w:sz="6" w:space="0" w:color="auto"/>
              <w:bottom w:val="nil"/>
              <w:right w:val="single" w:sz="6" w:space="0" w:color="auto"/>
            </w:tcBorders>
            <w:shd w:val="clear" w:color="000000" w:fill="FFFFFF"/>
            <w:noWrap/>
            <w:vAlign w:val="center"/>
          </w:tcPr>
          <w:p w14:paraId="59823755" w14:textId="77777777" w:rsidR="00A442FE" w:rsidRPr="003E55F4" w:rsidRDefault="00A442FE" w:rsidP="00E56366">
            <w:pPr>
              <w:tabs>
                <w:tab w:val="decimal" w:pos="391"/>
              </w:tabs>
              <w:spacing w:after="0" w:line="240" w:lineRule="auto"/>
              <w:jc w:val="center"/>
              <w:rPr>
                <w:rFonts w:eastAsia="Times New Roman"/>
                <w:color w:val="000000"/>
                <w:sz w:val="22"/>
                <w:szCs w:val="22"/>
              </w:rPr>
            </w:pPr>
            <w:r w:rsidRPr="003E55F4">
              <w:rPr>
                <w:rFonts w:eastAsia="Times New Roman"/>
                <w:color w:val="000000"/>
                <w:sz w:val="22"/>
                <w:szCs w:val="22"/>
              </w:rPr>
              <w:t>3125</w:t>
            </w:r>
          </w:p>
        </w:tc>
        <w:tc>
          <w:tcPr>
            <w:tcW w:w="1530" w:type="dxa"/>
            <w:tcBorders>
              <w:top w:val="nil"/>
              <w:left w:val="single" w:sz="6" w:space="0" w:color="auto"/>
              <w:bottom w:val="nil"/>
              <w:right w:val="single" w:sz="12" w:space="0" w:color="auto"/>
            </w:tcBorders>
            <w:shd w:val="clear" w:color="000000" w:fill="FFFFFF"/>
            <w:vAlign w:val="center"/>
          </w:tcPr>
          <w:p w14:paraId="73919BFB" w14:textId="77777777" w:rsidR="00A442FE" w:rsidRPr="003E55F4" w:rsidRDefault="00A442FE" w:rsidP="00E56366">
            <w:pPr>
              <w:tabs>
                <w:tab w:val="decimal" w:pos="211"/>
              </w:tabs>
              <w:spacing w:after="0" w:line="240" w:lineRule="auto"/>
              <w:jc w:val="center"/>
              <w:rPr>
                <w:rFonts w:eastAsia="Times New Roman"/>
                <w:color w:val="000000"/>
                <w:sz w:val="22"/>
                <w:szCs w:val="22"/>
              </w:rPr>
            </w:pPr>
            <w:r w:rsidRPr="003E55F4">
              <w:rPr>
                <w:rFonts w:eastAsia="Times New Roman"/>
                <w:color w:val="000000"/>
                <w:sz w:val="22"/>
                <w:szCs w:val="22"/>
              </w:rPr>
              <w:t>25.1</w:t>
            </w:r>
          </w:p>
        </w:tc>
      </w:tr>
      <w:tr w:rsidR="00A442FE" w:rsidRPr="003E55F4" w14:paraId="47391ABC" w14:textId="77777777" w:rsidTr="003E55F4">
        <w:tblPrEx>
          <w:tblCellMar>
            <w:left w:w="43" w:type="dxa"/>
            <w:right w:w="43" w:type="dxa"/>
          </w:tblCellMar>
        </w:tblPrEx>
        <w:trPr>
          <w:trHeight w:val="288"/>
          <w:jc w:val="center"/>
        </w:trPr>
        <w:tc>
          <w:tcPr>
            <w:tcW w:w="5925" w:type="dxa"/>
            <w:tcBorders>
              <w:top w:val="nil"/>
              <w:left w:val="single" w:sz="12" w:space="0" w:color="auto"/>
              <w:bottom w:val="nil"/>
              <w:right w:val="single" w:sz="6" w:space="0" w:color="auto"/>
            </w:tcBorders>
            <w:shd w:val="clear" w:color="000000" w:fill="FFFFFF"/>
            <w:noWrap/>
            <w:vAlign w:val="center"/>
            <w:hideMark/>
          </w:tcPr>
          <w:p w14:paraId="5FAB7970" w14:textId="77777777" w:rsidR="00A442FE" w:rsidRPr="003E55F4" w:rsidRDefault="00A442FE" w:rsidP="00E56366">
            <w:pPr>
              <w:spacing w:after="0" w:line="240" w:lineRule="auto"/>
              <w:ind w:firstLineChars="100" w:firstLine="220"/>
              <w:rPr>
                <w:rFonts w:eastAsia="Times New Roman"/>
                <w:color w:val="000000"/>
                <w:sz w:val="22"/>
                <w:szCs w:val="22"/>
              </w:rPr>
            </w:pPr>
            <w:r w:rsidRPr="003E55F4">
              <w:rPr>
                <w:rFonts w:eastAsia="Times New Roman"/>
                <w:color w:val="000000"/>
                <w:sz w:val="22"/>
                <w:szCs w:val="22"/>
              </w:rPr>
              <w:t>1 – 5</w:t>
            </w:r>
          </w:p>
        </w:tc>
        <w:tc>
          <w:tcPr>
            <w:tcW w:w="1800" w:type="dxa"/>
            <w:tcBorders>
              <w:top w:val="nil"/>
              <w:left w:val="single" w:sz="6" w:space="0" w:color="auto"/>
              <w:bottom w:val="nil"/>
              <w:right w:val="single" w:sz="6" w:space="0" w:color="auto"/>
            </w:tcBorders>
            <w:shd w:val="clear" w:color="000000" w:fill="FFFFFF"/>
            <w:noWrap/>
            <w:vAlign w:val="center"/>
          </w:tcPr>
          <w:p w14:paraId="505E9FD8" w14:textId="77777777" w:rsidR="00A442FE" w:rsidRPr="003E55F4" w:rsidRDefault="00A442FE" w:rsidP="00E56366">
            <w:pPr>
              <w:tabs>
                <w:tab w:val="decimal" w:pos="391"/>
              </w:tabs>
              <w:spacing w:after="0" w:line="240" w:lineRule="auto"/>
              <w:jc w:val="center"/>
              <w:rPr>
                <w:rFonts w:eastAsia="Times New Roman"/>
                <w:color w:val="000000"/>
                <w:sz w:val="22"/>
                <w:szCs w:val="22"/>
              </w:rPr>
            </w:pPr>
            <w:r w:rsidRPr="003E55F4">
              <w:rPr>
                <w:rFonts w:eastAsia="Times New Roman"/>
                <w:color w:val="000000"/>
                <w:sz w:val="22"/>
                <w:szCs w:val="22"/>
              </w:rPr>
              <w:t>5245</w:t>
            </w:r>
          </w:p>
        </w:tc>
        <w:tc>
          <w:tcPr>
            <w:tcW w:w="1530" w:type="dxa"/>
            <w:tcBorders>
              <w:top w:val="nil"/>
              <w:left w:val="single" w:sz="6" w:space="0" w:color="auto"/>
              <w:bottom w:val="nil"/>
              <w:right w:val="single" w:sz="12" w:space="0" w:color="auto"/>
            </w:tcBorders>
            <w:shd w:val="clear" w:color="000000" w:fill="FFFFFF"/>
            <w:vAlign w:val="center"/>
          </w:tcPr>
          <w:p w14:paraId="5926F95C" w14:textId="77777777" w:rsidR="00A442FE" w:rsidRPr="003E55F4" w:rsidRDefault="00A442FE" w:rsidP="00E56366">
            <w:pPr>
              <w:tabs>
                <w:tab w:val="decimal" w:pos="211"/>
              </w:tabs>
              <w:spacing w:after="0" w:line="240" w:lineRule="auto"/>
              <w:jc w:val="center"/>
              <w:rPr>
                <w:rFonts w:eastAsia="Times New Roman"/>
                <w:color w:val="000000"/>
                <w:sz w:val="22"/>
                <w:szCs w:val="22"/>
              </w:rPr>
            </w:pPr>
            <w:r w:rsidRPr="003E55F4">
              <w:rPr>
                <w:rFonts w:eastAsia="Times New Roman"/>
                <w:color w:val="000000"/>
                <w:sz w:val="22"/>
                <w:szCs w:val="22"/>
              </w:rPr>
              <w:t>42.1</w:t>
            </w:r>
          </w:p>
        </w:tc>
      </w:tr>
      <w:tr w:rsidR="00A442FE" w:rsidRPr="003E55F4" w14:paraId="0B559552" w14:textId="77777777" w:rsidTr="003E55F4">
        <w:tblPrEx>
          <w:tblCellMar>
            <w:left w:w="43" w:type="dxa"/>
            <w:right w:w="43" w:type="dxa"/>
          </w:tblCellMar>
        </w:tblPrEx>
        <w:trPr>
          <w:trHeight w:val="288"/>
          <w:jc w:val="center"/>
        </w:trPr>
        <w:tc>
          <w:tcPr>
            <w:tcW w:w="5925" w:type="dxa"/>
            <w:tcBorders>
              <w:top w:val="nil"/>
              <w:left w:val="single" w:sz="12" w:space="0" w:color="auto"/>
              <w:bottom w:val="nil"/>
              <w:right w:val="single" w:sz="6" w:space="0" w:color="auto"/>
            </w:tcBorders>
            <w:shd w:val="clear" w:color="000000" w:fill="FFFFFF"/>
            <w:noWrap/>
            <w:vAlign w:val="center"/>
            <w:hideMark/>
          </w:tcPr>
          <w:p w14:paraId="74C36FBE" w14:textId="77777777" w:rsidR="00A442FE" w:rsidRPr="003E55F4" w:rsidRDefault="00A442FE" w:rsidP="00E56366">
            <w:pPr>
              <w:spacing w:after="0" w:line="240" w:lineRule="auto"/>
              <w:ind w:firstLineChars="100" w:firstLine="220"/>
              <w:rPr>
                <w:rFonts w:eastAsia="Times New Roman"/>
                <w:color w:val="000000"/>
                <w:sz w:val="22"/>
                <w:szCs w:val="22"/>
              </w:rPr>
            </w:pPr>
            <w:r w:rsidRPr="003E55F4">
              <w:rPr>
                <w:rFonts w:eastAsia="Times New Roman"/>
                <w:color w:val="000000"/>
                <w:sz w:val="22"/>
                <w:szCs w:val="22"/>
              </w:rPr>
              <w:t>6 – 10</w:t>
            </w:r>
          </w:p>
        </w:tc>
        <w:tc>
          <w:tcPr>
            <w:tcW w:w="1800" w:type="dxa"/>
            <w:tcBorders>
              <w:top w:val="nil"/>
              <w:left w:val="single" w:sz="6" w:space="0" w:color="auto"/>
              <w:bottom w:val="nil"/>
              <w:right w:val="single" w:sz="6" w:space="0" w:color="auto"/>
            </w:tcBorders>
            <w:shd w:val="clear" w:color="000000" w:fill="FFFFFF"/>
            <w:noWrap/>
            <w:vAlign w:val="center"/>
          </w:tcPr>
          <w:p w14:paraId="08A2B6E0" w14:textId="77777777" w:rsidR="00A442FE" w:rsidRPr="003E55F4" w:rsidRDefault="00A442FE" w:rsidP="00E56366">
            <w:pPr>
              <w:tabs>
                <w:tab w:val="decimal" w:pos="391"/>
              </w:tabs>
              <w:spacing w:after="0" w:line="240" w:lineRule="auto"/>
              <w:jc w:val="center"/>
              <w:rPr>
                <w:rFonts w:eastAsia="Times New Roman"/>
                <w:color w:val="000000"/>
                <w:sz w:val="22"/>
                <w:szCs w:val="22"/>
              </w:rPr>
            </w:pPr>
            <w:r w:rsidRPr="003E55F4">
              <w:rPr>
                <w:rFonts w:eastAsia="Times New Roman"/>
                <w:color w:val="000000"/>
                <w:sz w:val="22"/>
                <w:szCs w:val="22"/>
              </w:rPr>
              <w:t>2323</w:t>
            </w:r>
          </w:p>
        </w:tc>
        <w:tc>
          <w:tcPr>
            <w:tcW w:w="1530" w:type="dxa"/>
            <w:tcBorders>
              <w:top w:val="nil"/>
              <w:left w:val="single" w:sz="6" w:space="0" w:color="auto"/>
              <w:bottom w:val="nil"/>
              <w:right w:val="single" w:sz="12" w:space="0" w:color="auto"/>
            </w:tcBorders>
            <w:shd w:val="clear" w:color="000000" w:fill="FFFFFF"/>
            <w:vAlign w:val="center"/>
          </w:tcPr>
          <w:p w14:paraId="654E63BF" w14:textId="77777777" w:rsidR="00A442FE" w:rsidRPr="003E55F4" w:rsidRDefault="00A442FE" w:rsidP="00E56366">
            <w:pPr>
              <w:tabs>
                <w:tab w:val="decimal" w:pos="211"/>
              </w:tabs>
              <w:spacing w:after="0" w:line="240" w:lineRule="auto"/>
              <w:jc w:val="center"/>
              <w:rPr>
                <w:rFonts w:eastAsia="Times New Roman"/>
                <w:color w:val="000000"/>
                <w:sz w:val="22"/>
                <w:szCs w:val="22"/>
              </w:rPr>
            </w:pPr>
            <w:r w:rsidRPr="003E55F4">
              <w:rPr>
                <w:rFonts w:eastAsia="Times New Roman"/>
                <w:color w:val="000000"/>
                <w:sz w:val="22"/>
                <w:szCs w:val="22"/>
              </w:rPr>
              <w:t>18.6</w:t>
            </w:r>
          </w:p>
        </w:tc>
      </w:tr>
      <w:tr w:rsidR="00A442FE" w:rsidRPr="003E55F4" w14:paraId="267CB3B4" w14:textId="77777777" w:rsidTr="003E55F4">
        <w:tblPrEx>
          <w:tblCellMar>
            <w:left w:w="43" w:type="dxa"/>
            <w:right w:w="43" w:type="dxa"/>
          </w:tblCellMar>
        </w:tblPrEx>
        <w:trPr>
          <w:trHeight w:val="288"/>
          <w:jc w:val="center"/>
        </w:trPr>
        <w:tc>
          <w:tcPr>
            <w:tcW w:w="5925" w:type="dxa"/>
            <w:tcBorders>
              <w:top w:val="nil"/>
              <w:left w:val="single" w:sz="12" w:space="0" w:color="auto"/>
              <w:bottom w:val="single" w:sz="12" w:space="0" w:color="auto"/>
              <w:right w:val="single" w:sz="6" w:space="0" w:color="auto"/>
            </w:tcBorders>
            <w:shd w:val="clear" w:color="000000" w:fill="FFFFFF"/>
            <w:noWrap/>
            <w:vAlign w:val="center"/>
            <w:hideMark/>
          </w:tcPr>
          <w:p w14:paraId="6D4E12B9" w14:textId="77777777" w:rsidR="00A442FE" w:rsidRPr="003E55F4" w:rsidRDefault="00A442FE" w:rsidP="00E56366">
            <w:pPr>
              <w:spacing w:after="0" w:line="240" w:lineRule="auto"/>
              <w:ind w:firstLineChars="100" w:firstLine="220"/>
              <w:rPr>
                <w:rFonts w:eastAsia="Times New Roman"/>
                <w:color w:val="000000"/>
                <w:sz w:val="22"/>
                <w:szCs w:val="22"/>
              </w:rPr>
            </w:pPr>
            <w:r w:rsidRPr="003E55F4">
              <w:rPr>
                <w:rFonts w:eastAsia="Times New Roman"/>
                <w:color w:val="000000"/>
                <w:sz w:val="22"/>
                <w:szCs w:val="22"/>
              </w:rPr>
              <w:t>More than 10</w:t>
            </w:r>
          </w:p>
        </w:tc>
        <w:tc>
          <w:tcPr>
            <w:tcW w:w="1800" w:type="dxa"/>
            <w:tcBorders>
              <w:top w:val="nil"/>
              <w:left w:val="single" w:sz="6" w:space="0" w:color="auto"/>
              <w:bottom w:val="single" w:sz="12" w:space="0" w:color="auto"/>
              <w:right w:val="single" w:sz="6" w:space="0" w:color="auto"/>
            </w:tcBorders>
            <w:shd w:val="clear" w:color="000000" w:fill="FFFFFF"/>
            <w:noWrap/>
            <w:vAlign w:val="center"/>
          </w:tcPr>
          <w:p w14:paraId="67313C4A" w14:textId="77777777" w:rsidR="00A442FE" w:rsidRPr="003E55F4" w:rsidRDefault="00A442FE" w:rsidP="00E56366">
            <w:pPr>
              <w:tabs>
                <w:tab w:val="decimal" w:pos="391"/>
              </w:tabs>
              <w:spacing w:after="0" w:line="240" w:lineRule="auto"/>
              <w:jc w:val="center"/>
              <w:rPr>
                <w:rFonts w:eastAsia="Times New Roman"/>
                <w:color w:val="000000"/>
                <w:sz w:val="22"/>
                <w:szCs w:val="22"/>
              </w:rPr>
            </w:pPr>
            <w:r w:rsidRPr="003E55F4">
              <w:rPr>
                <w:rFonts w:eastAsia="Times New Roman"/>
                <w:color w:val="000000"/>
                <w:sz w:val="22"/>
                <w:szCs w:val="22"/>
              </w:rPr>
              <w:t>1776</w:t>
            </w:r>
          </w:p>
        </w:tc>
        <w:tc>
          <w:tcPr>
            <w:tcW w:w="1530" w:type="dxa"/>
            <w:tcBorders>
              <w:top w:val="nil"/>
              <w:left w:val="single" w:sz="6" w:space="0" w:color="auto"/>
              <w:bottom w:val="single" w:sz="12" w:space="0" w:color="auto"/>
              <w:right w:val="single" w:sz="12" w:space="0" w:color="auto"/>
            </w:tcBorders>
            <w:shd w:val="clear" w:color="000000" w:fill="FFFFFF"/>
            <w:vAlign w:val="center"/>
          </w:tcPr>
          <w:p w14:paraId="66E2D11A" w14:textId="77777777" w:rsidR="00A442FE" w:rsidRPr="003E55F4" w:rsidRDefault="00A442FE" w:rsidP="00E56366">
            <w:pPr>
              <w:tabs>
                <w:tab w:val="decimal" w:pos="211"/>
              </w:tabs>
              <w:spacing w:after="0" w:line="240" w:lineRule="auto"/>
              <w:jc w:val="center"/>
              <w:rPr>
                <w:rFonts w:eastAsia="Times New Roman"/>
                <w:color w:val="000000"/>
                <w:sz w:val="22"/>
                <w:szCs w:val="22"/>
              </w:rPr>
            </w:pPr>
            <w:r w:rsidRPr="003E55F4">
              <w:rPr>
                <w:rFonts w:eastAsia="Times New Roman"/>
                <w:color w:val="000000"/>
                <w:sz w:val="22"/>
                <w:szCs w:val="22"/>
              </w:rPr>
              <w:t>14.2</w:t>
            </w:r>
          </w:p>
        </w:tc>
      </w:tr>
    </w:tbl>
    <w:p w14:paraId="0FD2D09C" w14:textId="77777777" w:rsidR="00B81205" w:rsidRDefault="00B81205" w:rsidP="00DE4E50">
      <w:pPr>
        <w:spacing w:after="0" w:line="240" w:lineRule="auto"/>
        <w:jc w:val="both"/>
      </w:pPr>
    </w:p>
    <w:p w14:paraId="4CF0638C" w14:textId="77777777" w:rsidR="00703AA2" w:rsidRDefault="00703AA2" w:rsidP="00DE4E50">
      <w:pPr>
        <w:spacing w:after="0" w:line="240" w:lineRule="auto"/>
        <w:jc w:val="both"/>
      </w:pPr>
    </w:p>
    <w:p w14:paraId="3917D6B6" w14:textId="6294D57D" w:rsidR="00703AA2" w:rsidRDefault="00703AA2">
      <w:r>
        <w:br w:type="page"/>
      </w:r>
    </w:p>
    <w:p w14:paraId="02CF004B" w14:textId="1FAF340A" w:rsidR="00703AA2" w:rsidRDefault="00832DE9" w:rsidP="00DE4E50">
      <w:pPr>
        <w:spacing w:after="0" w:line="240" w:lineRule="auto"/>
        <w:jc w:val="both"/>
        <w:rPr>
          <w:b/>
          <w:bCs/>
        </w:rPr>
      </w:pPr>
      <w:r>
        <w:rPr>
          <w:b/>
          <w:bCs/>
        </w:rPr>
        <w:lastRenderedPageBreak/>
        <w:t xml:space="preserve">Table </w:t>
      </w:r>
      <w:r w:rsidR="00BE1F79">
        <w:rPr>
          <w:b/>
          <w:bCs/>
        </w:rPr>
        <w:t>2</w:t>
      </w:r>
      <w:r>
        <w:rPr>
          <w:b/>
          <w:bCs/>
        </w:rPr>
        <w:t xml:space="preserve"> Descriptive Statistics of </w:t>
      </w:r>
      <w:r w:rsidR="00BE1F79">
        <w:rPr>
          <w:b/>
          <w:bCs/>
        </w:rPr>
        <w:t>Exogenous Variables</w:t>
      </w:r>
    </w:p>
    <w:p w14:paraId="1EE95B17" w14:textId="77777777" w:rsidR="00BE1F79" w:rsidRDefault="00BE1F79" w:rsidP="00DE4E50">
      <w:pPr>
        <w:spacing w:after="0" w:line="240" w:lineRule="auto"/>
        <w:jc w:val="both"/>
        <w:rPr>
          <w:b/>
          <w:bCs/>
        </w:rPr>
      </w:pPr>
    </w:p>
    <w:tbl>
      <w:tblPr>
        <w:tblW w:w="9546" w:type="dxa"/>
        <w:jc w:val="center"/>
        <w:tblCellMar>
          <w:left w:w="43" w:type="dxa"/>
          <w:right w:w="43" w:type="dxa"/>
        </w:tblCellMar>
        <w:tblLook w:val="04A0" w:firstRow="1" w:lastRow="0" w:firstColumn="1" w:lastColumn="0" w:noHBand="0" w:noVBand="1"/>
      </w:tblPr>
      <w:tblGrid>
        <w:gridCol w:w="3410"/>
        <w:gridCol w:w="867"/>
        <w:gridCol w:w="786"/>
        <w:gridCol w:w="2899"/>
        <w:gridCol w:w="798"/>
        <w:gridCol w:w="786"/>
      </w:tblGrid>
      <w:tr w:rsidR="00A51394" w:rsidRPr="003E55F4" w14:paraId="3EC12505" w14:textId="77777777" w:rsidTr="00687312">
        <w:trPr>
          <w:trHeight w:val="259"/>
          <w:jc w:val="center"/>
        </w:trPr>
        <w:tc>
          <w:tcPr>
            <w:tcW w:w="3410" w:type="dxa"/>
            <w:tcBorders>
              <w:top w:val="single" w:sz="12" w:space="0" w:color="auto"/>
              <w:left w:val="single" w:sz="12" w:space="0" w:color="auto"/>
              <w:bottom w:val="single" w:sz="12" w:space="0" w:color="auto"/>
              <w:right w:val="nil"/>
            </w:tcBorders>
            <w:shd w:val="clear" w:color="000000" w:fill="FFFFFF"/>
            <w:vAlign w:val="center"/>
            <w:hideMark/>
          </w:tcPr>
          <w:p w14:paraId="1BE719F3" w14:textId="77777777" w:rsidR="00A51394" w:rsidRPr="003E55F4" w:rsidRDefault="00A51394" w:rsidP="00440B8E">
            <w:pPr>
              <w:spacing w:after="0" w:line="240" w:lineRule="auto"/>
              <w:rPr>
                <w:rFonts w:eastAsia="Times New Roman"/>
                <w:b/>
                <w:bCs/>
                <w:color w:val="000000"/>
                <w:sz w:val="20"/>
                <w:szCs w:val="20"/>
              </w:rPr>
            </w:pPr>
            <w:bookmarkStart w:id="2" w:name="_Hlk163134384"/>
            <w:r w:rsidRPr="003E55F4">
              <w:rPr>
                <w:rFonts w:eastAsia="Times New Roman"/>
                <w:b/>
                <w:bCs/>
                <w:color w:val="000000"/>
                <w:sz w:val="20"/>
                <w:szCs w:val="20"/>
              </w:rPr>
              <w:t>Variable</w:t>
            </w:r>
          </w:p>
        </w:tc>
        <w:tc>
          <w:tcPr>
            <w:tcW w:w="867" w:type="dxa"/>
            <w:tcBorders>
              <w:top w:val="single" w:sz="12" w:space="0" w:color="auto"/>
              <w:left w:val="nil"/>
              <w:bottom w:val="single" w:sz="12" w:space="0" w:color="auto"/>
              <w:right w:val="nil"/>
            </w:tcBorders>
            <w:shd w:val="clear" w:color="000000" w:fill="FFFFFF"/>
            <w:vAlign w:val="center"/>
            <w:hideMark/>
          </w:tcPr>
          <w:p w14:paraId="0BDB30E2" w14:textId="459F5A1E" w:rsidR="00A51394" w:rsidRPr="003E55F4" w:rsidRDefault="00A51394" w:rsidP="00440B8E">
            <w:pPr>
              <w:spacing w:after="0" w:line="240" w:lineRule="auto"/>
              <w:jc w:val="center"/>
              <w:rPr>
                <w:rFonts w:eastAsia="Times New Roman"/>
                <w:b/>
                <w:bCs/>
                <w:color w:val="000000"/>
                <w:sz w:val="20"/>
                <w:szCs w:val="20"/>
              </w:rPr>
            </w:pPr>
            <w:r w:rsidRPr="003E55F4">
              <w:rPr>
                <w:rFonts w:eastAsia="Times New Roman"/>
                <w:b/>
                <w:bCs/>
                <w:color w:val="000000"/>
                <w:sz w:val="20"/>
                <w:szCs w:val="20"/>
              </w:rPr>
              <w:t>% in Sample</w:t>
            </w:r>
          </w:p>
        </w:tc>
        <w:tc>
          <w:tcPr>
            <w:tcW w:w="786" w:type="dxa"/>
            <w:tcBorders>
              <w:top w:val="single" w:sz="12" w:space="0" w:color="auto"/>
              <w:left w:val="nil"/>
              <w:bottom w:val="single" w:sz="12" w:space="0" w:color="auto"/>
              <w:right w:val="single" w:sz="12" w:space="0" w:color="auto"/>
            </w:tcBorders>
            <w:shd w:val="clear" w:color="000000" w:fill="FFFFFF"/>
            <w:vAlign w:val="center"/>
            <w:hideMark/>
          </w:tcPr>
          <w:p w14:paraId="72EF0B04" w14:textId="51393FAB" w:rsidR="00A51394" w:rsidRPr="003E55F4" w:rsidRDefault="00A51394" w:rsidP="00440B8E">
            <w:pPr>
              <w:spacing w:after="0" w:line="240" w:lineRule="auto"/>
              <w:jc w:val="center"/>
              <w:rPr>
                <w:rFonts w:eastAsia="Times New Roman"/>
                <w:b/>
                <w:bCs/>
                <w:color w:val="000000"/>
                <w:sz w:val="20"/>
                <w:szCs w:val="20"/>
              </w:rPr>
            </w:pPr>
            <w:r w:rsidRPr="003E55F4">
              <w:rPr>
                <w:rFonts w:eastAsia="Times New Roman"/>
                <w:b/>
                <w:bCs/>
                <w:color w:val="000000"/>
                <w:sz w:val="20"/>
                <w:szCs w:val="20"/>
              </w:rPr>
              <w:t>% in Census</w:t>
            </w:r>
          </w:p>
        </w:tc>
        <w:tc>
          <w:tcPr>
            <w:tcW w:w="2899" w:type="dxa"/>
            <w:tcBorders>
              <w:top w:val="single" w:sz="12" w:space="0" w:color="auto"/>
              <w:left w:val="single" w:sz="12" w:space="0" w:color="auto"/>
              <w:bottom w:val="single" w:sz="12" w:space="0" w:color="auto"/>
              <w:right w:val="nil"/>
            </w:tcBorders>
            <w:shd w:val="clear" w:color="000000" w:fill="FFFFFF"/>
            <w:vAlign w:val="center"/>
            <w:hideMark/>
          </w:tcPr>
          <w:p w14:paraId="57868C24" w14:textId="77777777" w:rsidR="00A51394" w:rsidRPr="003E55F4" w:rsidRDefault="00A51394" w:rsidP="00440B8E">
            <w:pPr>
              <w:spacing w:after="0" w:line="240" w:lineRule="auto"/>
              <w:rPr>
                <w:rFonts w:eastAsia="Times New Roman"/>
                <w:b/>
                <w:bCs/>
                <w:color w:val="000000"/>
                <w:sz w:val="20"/>
                <w:szCs w:val="20"/>
              </w:rPr>
            </w:pPr>
            <w:r w:rsidRPr="003E55F4">
              <w:rPr>
                <w:rFonts w:eastAsia="Times New Roman"/>
                <w:b/>
                <w:bCs/>
                <w:color w:val="000000"/>
                <w:sz w:val="20"/>
                <w:szCs w:val="20"/>
              </w:rPr>
              <w:t>Variable</w:t>
            </w:r>
          </w:p>
        </w:tc>
        <w:tc>
          <w:tcPr>
            <w:tcW w:w="798" w:type="dxa"/>
            <w:tcBorders>
              <w:top w:val="single" w:sz="12" w:space="0" w:color="auto"/>
              <w:left w:val="nil"/>
              <w:bottom w:val="single" w:sz="12" w:space="0" w:color="auto"/>
              <w:right w:val="nil"/>
            </w:tcBorders>
            <w:shd w:val="clear" w:color="000000" w:fill="FFFFFF"/>
            <w:vAlign w:val="center"/>
            <w:hideMark/>
          </w:tcPr>
          <w:p w14:paraId="5FBB2C4D" w14:textId="3B3D1F03" w:rsidR="00A51394" w:rsidRPr="003E55F4" w:rsidRDefault="00A51394" w:rsidP="00440B8E">
            <w:pPr>
              <w:spacing w:after="0" w:line="240" w:lineRule="auto"/>
              <w:jc w:val="center"/>
              <w:rPr>
                <w:rFonts w:eastAsia="Times New Roman"/>
                <w:b/>
                <w:bCs/>
                <w:color w:val="000000"/>
                <w:sz w:val="20"/>
                <w:szCs w:val="20"/>
              </w:rPr>
            </w:pPr>
            <w:r w:rsidRPr="003E55F4">
              <w:rPr>
                <w:rFonts w:eastAsia="Times New Roman"/>
                <w:b/>
                <w:bCs/>
                <w:color w:val="000000"/>
                <w:sz w:val="20"/>
                <w:szCs w:val="20"/>
              </w:rPr>
              <w:t>% in Sample</w:t>
            </w:r>
          </w:p>
        </w:tc>
        <w:tc>
          <w:tcPr>
            <w:tcW w:w="786" w:type="dxa"/>
            <w:tcBorders>
              <w:top w:val="single" w:sz="12" w:space="0" w:color="auto"/>
              <w:left w:val="nil"/>
              <w:bottom w:val="single" w:sz="12" w:space="0" w:color="auto"/>
              <w:right w:val="single" w:sz="12" w:space="0" w:color="auto"/>
            </w:tcBorders>
            <w:shd w:val="clear" w:color="000000" w:fill="FFFFFF"/>
            <w:vAlign w:val="center"/>
            <w:hideMark/>
          </w:tcPr>
          <w:p w14:paraId="2A9F5D0A" w14:textId="2B0DFC11" w:rsidR="00A51394" w:rsidRPr="003E55F4" w:rsidRDefault="00A51394" w:rsidP="00440B8E">
            <w:pPr>
              <w:spacing w:after="0" w:line="240" w:lineRule="auto"/>
              <w:jc w:val="center"/>
              <w:rPr>
                <w:rFonts w:eastAsia="Times New Roman"/>
                <w:b/>
                <w:bCs/>
                <w:color w:val="000000"/>
                <w:sz w:val="20"/>
                <w:szCs w:val="20"/>
              </w:rPr>
            </w:pPr>
            <w:r w:rsidRPr="003E55F4">
              <w:rPr>
                <w:rFonts w:eastAsia="Times New Roman"/>
                <w:b/>
                <w:bCs/>
                <w:color w:val="000000"/>
                <w:sz w:val="20"/>
                <w:szCs w:val="20"/>
              </w:rPr>
              <w:t>% in Census</w:t>
            </w:r>
          </w:p>
        </w:tc>
      </w:tr>
      <w:tr w:rsidR="001E7206" w:rsidRPr="003E55F4" w14:paraId="324F2F43" w14:textId="77777777" w:rsidTr="00687312">
        <w:trPr>
          <w:trHeight w:val="259"/>
          <w:jc w:val="center"/>
        </w:trPr>
        <w:tc>
          <w:tcPr>
            <w:tcW w:w="9546" w:type="dxa"/>
            <w:gridSpan w:val="6"/>
            <w:tcBorders>
              <w:top w:val="single" w:sz="12" w:space="0" w:color="auto"/>
              <w:left w:val="single" w:sz="12" w:space="0" w:color="auto"/>
              <w:bottom w:val="single" w:sz="12" w:space="0" w:color="auto"/>
              <w:right w:val="single" w:sz="12" w:space="0" w:color="auto"/>
            </w:tcBorders>
            <w:shd w:val="clear" w:color="000000" w:fill="FFFFFF"/>
            <w:vAlign w:val="center"/>
          </w:tcPr>
          <w:p w14:paraId="3BFB49E8" w14:textId="5D829B51" w:rsidR="001E7206" w:rsidRPr="003E55F4" w:rsidRDefault="001E7206" w:rsidP="00440B8E">
            <w:pPr>
              <w:spacing w:after="0" w:line="240" w:lineRule="auto"/>
              <w:jc w:val="center"/>
              <w:rPr>
                <w:rFonts w:eastAsia="Times New Roman"/>
                <w:i/>
                <w:iCs/>
                <w:color w:val="000000"/>
                <w:sz w:val="20"/>
                <w:szCs w:val="20"/>
              </w:rPr>
            </w:pPr>
            <w:r w:rsidRPr="003E55F4">
              <w:rPr>
                <w:rFonts w:eastAsia="Times New Roman"/>
                <w:i/>
                <w:iCs/>
                <w:color w:val="000000"/>
                <w:sz w:val="20"/>
                <w:szCs w:val="20"/>
              </w:rPr>
              <w:t>Census Division of Household Residence</w:t>
            </w:r>
          </w:p>
        </w:tc>
      </w:tr>
      <w:tr w:rsidR="001E7206" w:rsidRPr="003E55F4" w14:paraId="18109DAD" w14:textId="77777777" w:rsidTr="00687312">
        <w:trPr>
          <w:trHeight w:val="259"/>
          <w:jc w:val="center"/>
        </w:trPr>
        <w:tc>
          <w:tcPr>
            <w:tcW w:w="3410" w:type="dxa"/>
            <w:tcBorders>
              <w:top w:val="single" w:sz="12" w:space="0" w:color="auto"/>
              <w:left w:val="single" w:sz="12" w:space="0" w:color="auto"/>
              <w:right w:val="nil"/>
            </w:tcBorders>
            <w:shd w:val="clear" w:color="000000" w:fill="FFFFFF"/>
            <w:vAlign w:val="bottom"/>
          </w:tcPr>
          <w:p w14:paraId="4AEA4952" w14:textId="1A6E7281" w:rsidR="001E7206" w:rsidRPr="003E55F4" w:rsidRDefault="001E7206" w:rsidP="001E7206">
            <w:pPr>
              <w:spacing w:after="0" w:line="240" w:lineRule="auto"/>
              <w:rPr>
                <w:rFonts w:eastAsia="Times New Roman"/>
                <w:b/>
                <w:bCs/>
                <w:color w:val="000000"/>
                <w:sz w:val="20"/>
                <w:szCs w:val="20"/>
              </w:rPr>
            </w:pPr>
            <w:r w:rsidRPr="003E55F4">
              <w:rPr>
                <w:rFonts w:eastAsia="Times New Roman"/>
                <w:color w:val="000000"/>
                <w:sz w:val="20"/>
                <w:szCs w:val="20"/>
              </w:rPr>
              <w:t xml:space="preserve">    New England</w:t>
            </w:r>
          </w:p>
        </w:tc>
        <w:tc>
          <w:tcPr>
            <w:tcW w:w="867" w:type="dxa"/>
            <w:tcBorders>
              <w:top w:val="single" w:sz="12" w:space="0" w:color="auto"/>
              <w:left w:val="nil"/>
              <w:right w:val="nil"/>
            </w:tcBorders>
            <w:shd w:val="clear" w:color="000000" w:fill="FFFFFF"/>
            <w:vAlign w:val="center"/>
          </w:tcPr>
          <w:p w14:paraId="190BB84B" w14:textId="544E8D3B" w:rsidR="001E7206" w:rsidRPr="003E55F4" w:rsidRDefault="001E7206" w:rsidP="005C7F75">
            <w:pPr>
              <w:tabs>
                <w:tab w:val="decimal" w:pos="225"/>
              </w:tabs>
              <w:spacing w:after="0" w:line="240" w:lineRule="auto"/>
              <w:jc w:val="center"/>
              <w:rPr>
                <w:rFonts w:eastAsia="Times New Roman"/>
                <w:b/>
                <w:bCs/>
                <w:color w:val="000000"/>
                <w:sz w:val="20"/>
                <w:szCs w:val="20"/>
              </w:rPr>
            </w:pPr>
            <w:r w:rsidRPr="003E55F4">
              <w:rPr>
                <w:rFonts w:eastAsia="Times New Roman"/>
                <w:color w:val="000000"/>
                <w:sz w:val="20"/>
                <w:szCs w:val="20"/>
              </w:rPr>
              <w:t>5.9</w:t>
            </w:r>
          </w:p>
        </w:tc>
        <w:tc>
          <w:tcPr>
            <w:tcW w:w="786" w:type="dxa"/>
            <w:tcBorders>
              <w:top w:val="single" w:sz="12" w:space="0" w:color="auto"/>
              <w:left w:val="nil"/>
              <w:right w:val="single" w:sz="12" w:space="0" w:color="auto"/>
            </w:tcBorders>
            <w:shd w:val="clear" w:color="000000" w:fill="FFFFFF"/>
            <w:vAlign w:val="center"/>
          </w:tcPr>
          <w:p w14:paraId="71A9D622" w14:textId="648CF164" w:rsidR="001E7206" w:rsidRPr="003E55F4" w:rsidRDefault="001E7206" w:rsidP="005C7F75">
            <w:pPr>
              <w:tabs>
                <w:tab w:val="decimal" w:pos="255"/>
              </w:tabs>
              <w:spacing w:after="0" w:line="240" w:lineRule="auto"/>
              <w:jc w:val="center"/>
              <w:rPr>
                <w:rFonts w:eastAsia="Times New Roman"/>
                <w:b/>
                <w:bCs/>
                <w:color w:val="000000"/>
                <w:sz w:val="20"/>
                <w:szCs w:val="20"/>
              </w:rPr>
            </w:pPr>
            <w:r w:rsidRPr="003E55F4">
              <w:rPr>
                <w:rFonts w:eastAsia="Times New Roman"/>
                <w:color w:val="000000"/>
                <w:sz w:val="20"/>
                <w:szCs w:val="20"/>
              </w:rPr>
              <w:t>4.6</w:t>
            </w:r>
          </w:p>
        </w:tc>
        <w:tc>
          <w:tcPr>
            <w:tcW w:w="2899" w:type="dxa"/>
            <w:tcBorders>
              <w:top w:val="single" w:sz="12" w:space="0" w:color="auto"/>
              <w:left w:val="single" w:sz="12" w:space="0" w:color="auto"/>
              <w:right w:val="nil"/>
            </w:tcBorders>
            <w:shd w:val="clear" w:color="000000" w:fill="FFFFFF"/>
            <w:vAlign w:val="bottom"/>
          </w:tcPr>
          <w:p w14:paraId="1B88BBBB" w14:textId="5F4E94A0" w:rsidR="001E7206" w:rsidRPr="003E55F4" w:rsidRDefault="001E7206" w:rsidP="001E7206">
            <w:pPr>
              <w:spacing w:after="0" w:line="240" w:lineRule="auto"/>
              <w:rPr>
                <w:rFonts w:eastAsia="Times New Roman"/>
                <w:b/>
                <w:bCs/>
                <w:color w:val="000000"/>
                <w:sz w:val="20"/>
                <w:szCs w:val="20"/>
              </w:rPr>
            </w:pPr>
            <w:r w:rsidRPr="003E55F4">
              <w:rPr>
                <w:rFonts w:eastAsia="Times New Roman"/>
                <w:color w:val="000000"/>
                <w:sz w:val="20"/>
                <w:szCs w:val="20"/>
              </w:rPr>
              <w:t xml:space="preserve">    East South Central</w:t>
            </w:r>
          </w:p>
        </w:tc>
        <w:tc>
          <w:tcPr>
            <w:tcW w:w="798" w:type="dxa"/>
            <w:tcBorders>
              <w:top w:val="single" w:sz="12" w:space="0" w:color="auto"/>
              <w:left w:val="nil"/>
              <w:right w:val="nil"/>
            </w:tcBorders>
            <w:shd w:val="clear" w:color="000000" w:fill="FFFFFF"/>
            <w:vAlign w:val="center"/>
          </w:tcPr>
          <w:p w14:paraId="6796C5A1" w14:textId="3DFEDCFA" w:rsidR="001E7206" w:rsidRPr="003E55F4" w:rsidRDefault="001E7206" w:rsidP="005C7F75">
            <w:pPr>
              <w:tabs>
                <w:tab w:val="decimal" w:pos="165"/>
              </w:tabs>
              <w:spacing w:after="0" w:line="240" w:lineRule="auto"/>
              <w:jc w:val="center"/>
              <w:rPr>
                <w:rFonts w:eastAsia="Times New Roman"/>
                <w:b/>
                <w:bCs/>
                <w:color w:val="000000"/>
                <w:sz w:val="20"/>
                <w:szCs w:val="20"/>
              </w:rPr>
            </w:pPr>
            <w:r w:rsidRPr="003E55F4">
              <w:rPr>
                <w:rFonts w:eastAsia="Times New Roman"/>
                <w:color w:val="000000"/>
                <w:sz w:val="20"/>
                <w:szCs w:val="20"/>
              </w:rPr>
              <w:t>5.6</w:t>
            </w:r>
          </w:p>
        </w:tc>
        <w:tc>
          <w:tcPr>
            <w:tcW w:w="786" w:type="dxa"/>
            <w:tcBorders>
              <w:top w:val="single" w:sz="12" w:space="0" w:color="auto"/>
              <w:left w:val="nil"/>
              <w:right w:val="single" w:sz="12" w:space="0" w:color="auto"/>
            </w:tcBorders>
            <w:shd w:val="clear" w:color="000000" w:fill="FFFFFF"/>
            <w:vAlign w:val="center"/>
          </w:tcPr>
          <w:p w14:paraId="1E28A362" w14:textId="75702A60" w:rsidR="001E7206" w:rsidRPr="003E55F4" w:rsidRDefault="001E7206" w:rsidP="005C7F75">
            <w:pPr>
              <w:tabs>
                <w:tab w:val="decimal" w:pos="180"/>
              </w:tabs>
              <w:spacing w:after="0" w:line="240" w:lineRule="auto"/>
              <w:jc w:val="center"/>
              <w:rPr>
                <w:rFonts w:eastAsia="Times New Roman"/>
                <w:b/>
                <w:bCs/>
                <w:color w:val="000000"/>
                <w:sz w:val="20"/>
                <w:szCs w:val="20"/>
              </w:rPr>
            </w:pPr>
            <w:r w:rsidRPr="003E55F4">
              <w:rPr>
                <w:rFonts w:eastAsia="Times New Roman"/>
                <w:color w:val="000000"/>
                <w:sz w:val="20"/>
                <w:szCs w:val="20"/>
              </w:rPr>
              <w:t>5.9</w:t>
            </w:r>
          </w:p>
        </w:tc>
      </w:tr>
      <w:tr w:rsidR="001E7206" w:rsidRPr="003E55F4" w14:paraId="4A396BEC" w14:textId="77777777" w:rsidTr="00687312">
        <w:trPr>
          <w:trHeight w:val="259"/>
          <w:jc w:val="center"/>
        </w:trPr>
        <w:tc>
          <w:tcPr>
            <w:tcW w:w="3410" w:type="dxa"/>
            <w:tcBorders>
              <w:left w:val="single" w:sz="12" w:space="0" w:color="auto"/>
              <w:right w:val="nil"/>
            </w:tcBorders>
            <w:shd w:val="clear" w:color="000000" w:fill="FFFFFF"/>
            <w:vAlign w:val="bottom"/>
          </w:tcPr>
          <w:p w14:paraId="2C53A5E7" w14:textId="37C8B241" w:rsidR="001E7206" w:rsidRPr="003E55F4" w:rsidRDefault="001E7206" w:rsidP="001E7206">
            <w:pPr>
              <w:spacing w:after="0" w:line="240" w:lineRule="auto"/>
              <w:rPr>
                <w:rFonts w:eastAsia="Times New Roman"/>
                <w:b/>
                <w:bCs/>
                <w:color w:val="000000"/>
                <w:sz w:val="20"/>
                <w:szCs w:val="20"/>
              </w:rPr>
            </w:pPr>
            <w:r w:rsidRPr="003E55F4">
              <w:rPr>
                <w:rFonts w:eastAsia="Times New Roman"/>
                <w:color w:val="000000"/>
                <w:sz w:val="20"/>
                <w:szCs w:val="20"/>
              </w:rPr>
              <w:t xml:space="preserve">    Middle Atlantic</w:t>
            </w:r>
          </w:p>
        </w:tc>
        <w:tc>
          <w:tcPr>
            <w:tcW w:w="867" w:type="dxa"/>
            <w:tcBorders>
              <w:left w:val="nil"/>
              <w:right w:val="nil"/>
            </w:tcBorders>
            <w:shd w:val="clear" w:color="000000" w:fill="FFFFFF"/>
            <w:vAlign w:val="center"/>
          </w:tcPr>
          <w:p w14:paraId="20105D4C" w14:textId="65C97772" w:rsidR="001E7206" w:rsidRPr="003E55F4" w:rsidRDefault="001E7206" w:rsidP="005C7F75">
            <w:pPr>
              <w:tabs>
                <w:tab w:val="decimal" w:pos="225"/>
              </w:tabs>
              <w:spacing w:after="0" w:line="240" w:lineRule="auto"/>
              <w:jc w:val="center"/>
              <w:rPr>
                <w:rFonts w:eastAsia="Times New Roman"/>
                <w:b/>
                <w:bCs/>
                <w:color w:val="000000"/>
                <w:sz w:val="20"/>
                <w:szCs w:val="20"/>
              </w:rPr>
            </w:pPr>
            <w:r w:rsidRPr="003E55F4">
              <w:rPr>
                <w:rFonts w:eastAsia="Times New Roman"/>
                <w:color w:val="000000"/>
                <w:sz w:val="20"/>
                <w:szCs w:val="20"/>
              </w:rPr>
              <w:t>11.8</w:t>
            </w:r>
          </w:p>
        </w:tc>
        <w:tc>
          <w:tcPr>
            <w:tcW w:w="786" w:type="dxa"/>
            <w:tcBorders>
              <w:left w:val="nil"/>
              <w:right w:val="single" w:sz="12" w:space="0" w:color="auto"/>
            </w:tcBorders>
            <w:shd w:val="clear" w:color="000000" w:fill="FFFFFF"/>
            <w:vAlign w:val="center"/>
          </w:tcPr>
          <w:p w14:paraId="2ED7DFF0" w14:textId="7CF8423A" w:rsidR="001E7206" w:rsidRPr="003E55F4" w:rsidRDefault="001E7206" w:rsidP="005C7F75">
            <w:pPr>
              <w:tabs>
                <w:tab w:val="decimal" w:pos="255"/>
              </w:tabs>
              <w:spacing w:after="0" w:line="240" w:lineRule="auto"/>
              <w:jc w:val="center"/>
              <w:rPr>
                <w:rFonts w:eastAsia="Times New Roman"/>
                <w:b/>
                <w:bCs/>
                <w:color w:val="000000"/>
                <w:sz w:val="20"/>
                <w:szCs w:val="20"/>
              </w:rPr>
            </w:pPr>
            <w:r w:rsidRPr="003E55F4">
              <w:rPr>
                <w:rFonts w:eastAsia="Times New Roman"/>
                <w:color w:val="000000"/>
                <w:sz w:val="20"/>
                <w:szCs w:val="20"/>
              </w:rPr>
              <w:t>12.8</w:t>
            </w:r>
          </w:p>
        </w:tc>
        <w:tc>
          <w:tcPr>
            <w:tcW w:w="2899" w:type="dxa"/>
            <w:tcBorders>
              <w:left w:val="single" w:sz="12" w:space="0" w:color="auto"/>
              <w:right w:val="nil"/>
            </w:tcBorders>
            <w:shd w:val="clear" w:color="000000" w:fill="FFFFFF"/>
            <w:vAlign w:val="bottom"/>
          </w:tcPr>
          <w:p w14:paraId="2AB6BDED" w14:textId="74E6ECED" w:rsidR="001E7206" w:rsidRPr="003E55F4" w:rsidRDefault="001E7206" w:rsidP="001E7206">
            <w:pPr>
              <w:spacing w:after="0" w:line="240" w:lineRule="auto"/>
              <w:rPr>
                <w:rFonts w:eastAsia="Times New Roman"/>
                <w:b/>
                <w:bCs/>
                <w:color w:val="000000"/>
                <w:sz w:val="20"/>
                <w:szCs w:val="20"/>
              </w:rPr>
            </w:pPr>
            <w:r w:rsidRPr="003E55F4">
              <w:rPr>
                <w:rFonts w:eastAsia="Times New Roman"/>
                <w:color w:val="000000"/>
                <w:sz w:val="20"/>
                <w:szCs w:val="20"/>
              </w:rPr>
              <w:t xml:space="preserve">    West South Central</w:t>
            </w:r>
          </w:p>
        </w:tc>
        <w:tc>
          <w:tcPr>
            <w:tcW w:w="798" w:type="dxa"/>
            <w:tcBorders>
              <w:left w:val="nil"/>
              <w:right w:val="nil"/>
            </w:tcBorders>
            <w:shd w:val="clear" w:color="000000" w:fill="FFFFFF"/>
            <w:vAlign w:val="center"/>
          </w:tcPr>
          <w:p w14:paraId="3FA0E85E" w14:textId="5BB70564" w:rsidR="001E7206" w:rsidRPr="003E55F4" w:rsidRDefault="001E7206" w:rsidP="005C7F75">
            <w:pPr>
              <w:tabs>
                <w:tab w:val="decimal" w:pos="165"/>
              </w:tabs>
              <w:spacing w:after="0" w:line="240" w:lineRule="auto"/>
              <w:jc w:val="center"/>
              <w:rPr>
                <w:rFonts w:eastAsia="Times New Roman"/>
                <w:b/>
                <w:bCs/>
                <w:color w:val="000000"/>
                <w:sz w:val="20"/>
                <w:szCs w:val="20"/>
              </w:rPr>
            </w:pPr>
            <w:r w:rsidRPr="003E55F4">
              <w:rPr>
                <w:rFonts w:eastAsia="Times New Roman"/>
                <w:color w:val="000000"/>
                <w:sz w:val="20"/>
                <w:szCs w:val="20"/>
              </w:rPr>
              <w:t>11.1</w:t>
            </w:r>
          </w:p>
        </w:tc>
        <w:tc>
          <w:tcPr>
            <w:tcW w:w="786" w:type="dxa"/>
            <w:tcBorders>
              <w:left w:val="nil"/>
              <w:right w:val="single" w:sz="12" w:space="0" w:color="auto"/>
            </w:tcBorders>
            <w:shd w:val="clear" w:color="000000" w:fill="FFFFFF"/>
            <w:vAlign w:val="center"/>
          </w:tcPr>
          <w:p w14:paraId="1AFF2BA0" w14:textId="1756C13F" w:rsidR="001E7206" w:rsidRPr="003E55F4" w:rsidRDefault="001E7206" w:rsidP="005C7F75">
            <w:pPr>
              <w:tabs>
                <w:tab w:val="decimal" w:pos="180"/>
              </w:tabs>
              <w:spacing w:after="0" w:line="240" w:lineRule="auto"/>
              <w:jc w:val="center"/>
              <w:rPr>
                <w:rFonts w:eastAsia="Times New Roman"/>
                <w:b/>
                <w:bCs/>
                <w:color w:val="000000"/>
                <w:sz w:val="20"/>
                <w:szCs w:val="20"/>
              </w:rPr>
            </w:pPr>
            <w:r w:rsidRPr="003E55F4">
              <w:rPr>
                <w:rFonts w:eastAsia="Times New Roman"/>
                <w:color w:val="000000"/>
                <w:sz w:val="20"/>
                <w:szCs w:val="20"/>
              </w:rPr>
              <w:t>12.3</w:t>
            </w:r>
          </w:p>
        </w:tc>
      </w:tr>
      <w:tr w:rsidR="001E7206" w:rsidRPr="003E55F4" w14:paraId="2A3F3A33" w14:textId="77777777" w:rsidTr="00687312">
        <w:trPr>
          <w:trHeight w:val="259"/>
          <w:jc w:val="center"/>
        </w:trPr>
        <w:tc>
          <w:tcPr>
            <w:tcW w:w="3410" w:type="dxa"/>
            <w:tcBorders>
              <w:left w:val="single" w:sz="12" w:space="0" w:color="auto"/>
              <w:right w:val="nil"/>
            </w:tcBorders>
            <w:shd w:val="clear" w:color="000000" w:fill="FFFFFF"/>
            <w:vAlign w:val="bottom"/>
          </w:tcPr>
          <w:p w14:paraId="6320D3AD" w14:textId="5B11A7E6" w:rsidR="001E7206" w:rsidRPr="003E55F4" w:rsidRDefault="001E7206" w:rsidP="001E7206">
            <w:pPr>
              <w:spacing w:after="0" w:line="240" w:lineRule="auto"/>
              <w:rPr>
                <w:rFonts w:eastAsia="Times New Roman"/>
                <w:b/>
                <w:bCs/>
                <w:color w:val="000000"/>
                <w:sz w:val="20"/>
                <w:szCs w:val="20"/>
              </w:rPr>
            </w:pPr>
            <w:r w:rsidRPr="003E55F4">
              <w:rPr>
                <w:rFonts w:eastAsia="Times New Roman"/>
                <w:color w:val="000000"/>
                <w:sz w:val="20"/>
                <w:szCs w:val="20"/>
              </w:rPr>
              <w:t xml:space="preserve">    East North Central</w:t>
            </w:r>
          </w:p>
        </w:tc>
        <w:tc>
          <w:tcPr>
            <w:tcW w:w="867" w:type="dxa"/>
            <w:tcBorders>
              <w:left w:val="nil"/>
              <w:right w:val="nil"/>
            </w:tcBorders>
            <w:shd w:val="clear" w:color="000000" w:fill="FFFFFF"/>
            <w:vAlign w:val="center"/>
          </w:tcPr>
          <w:p w14:paraId="7D6587E8" w14:textId="4F631412" w:rsidR="001E7206" w:rsidRPr="003E55F4" w:rsidRDefault="001E7206" w:rsidP="005C7F75">
            <w:pPr>
              <w:tabs>
                <w:tab w:val="decimal" w:pos="225"/>
              </w:tabs>
              <w:spacing w:after="0" w:line="240" w:lineRule="auto"/>
              <w:jc w:val="center"/>
              <w:rPr>
                <w:rFonts w:eastAsia="Times New Roman"/>
                <w:b/>
                <w:bCs/>
                <w:color w:val="000000"/>
                <w:sz w:val="20"/>
                <w:szCs w:val="20"/>
              </w:rPr>
            </w:pPr>
            <w:r w:rsidRPr="003E55F4">
              <w:rPr>
                <w:rFonts w:eastAsia="Times New Roman"/>
                <w:color w:val="000000"/>
                <w:sz w:val="20"/>
                <w:szCs w:val="20"/>
              </w:rPr>
              <w:t>16.0</w:t>
            </w:r>
          </w:p>
        </w:tc>
        <w:tc>
          <w:tcPr>
            <w:tcW w:w="786" w:type="dxa"/>
            <w:tcBorders>
              <w:left w:val="nil"/>
              <w:right w:val="single" w:sz="12" w:space="0" w:color="auto"/>
            </w:tcBorders>
            <w:shd w:val="clear" w:color="000000" w:fill="FFFFFF"/>
            <w:vAlign w:val="center"/>
          </w:tcPr>
          <w:p w14:paraId="3B1BDD59" w14:textId="7BF7EBAC" w:rsidR="001E7206" w:rsidRPr="003E55F4" w:rsidRDefault="001E7206" w:rsidP="005C7F75">
            <w:pPr>
              <w:tabs>
                <w:tab w:val="decimal" w:pos="255"/>
              </w:tabs>
              <w:spacing w:after="0" w:line="240" w:lineRule="auto"/>
              <w:jc w:val="center"/>
              <w:rPr>
                <w:rFonts w:eastAsia="Times New Roman"/>
                <w:b/>
                <w:bCs/>
                <w:color w:val="000000"/>
                <w:sz w:val="20"/>
                <w:szCs w:val="20"/>
              </w:rPr>
            </w:pPr>
            <w:r w:rsidRPr="003E55F4">
              <w:rPr>
                <w:rFonts w:eastAsia="Times New Roman"/>
                <w:color w:val="000000"/>
                <w:sz w:val="20"/>
                <w:szCs w:val="20"/>
              </w:rPr>
              <w:t xml:space="preserve">14.3 </w:t>
            </w:r>
          </w:p>
        </w:tc>
        <w:tc>
          <w:tcPr>
            <w:tcW w:w="2899" w:type="dxa"/>
            <w:tcBorders>
              <w:left w:val="single" w:sz="12" w:space="0" w:color="auto"/>
              <w:right w:val="nil"/>
            </w:tcBorders>
            <w:shd w:val="clear" w:color="000000" w:fill="FFFFFF"/>
            <w:vAlign w:val="bottom"/>
          </w:tcPr>
          <w:p w14:paraId="370761CB" w14:textId="1B030F60" w:rsidR="001E7206" w:rsidRPr="003E55F4" w:rsidRDefault="001E7206" w:rsidP="001E7206">
            <w:pPr>
              <w:spacing w:after="0" w:line="240" w:lineRule="auto"/>
              <w:rPr>
                <w:rFonts w:eastAsia="Times New Roman"/>
                <w:b/>
                <w:bCs/>
                <w:color w:val="000000"/>
                <w:sz w:val="20"/>
                <w:szCs w:val="20"/>
              </w:rPr>
            </w:pPr>
            <w:r w:rsidRPr="003E55F4">
              <w:rPr>
                <w:rFonts w:eastAsia="Times New Roman"/>
                <w:color w:val="000000"/>
                <w:sz w:val="20"/>
                <w:szCs w:val="20"/>
              </w:rPr>
              <w:t xml:space="preserve">    Mountain</w:t>
            </w:r>
          </w:p>
        </w:tc>
        <w:tc>
          <w:tcPr>
            <w:tcW w:w="798" w:type="dxa"/>
            <w:tcBorders>
              <w:left w:val="nil"/>
              <w:right w:val="nil"/>
            </w:tcBorders>
            <w:shd w:val="clear" w:color="000000" w:fill="FFFFFF"/>
            <w:vAlign w:val="center"/>
          </w:tcPr>
          <w:p w14:paraId="313F8702" w14:textId="1A157E97" w:rsidR="001E7206" w:rsidRPr="003E55F4" w:rsidRDefault="001E7206" w:rsidP="005C7F75">
            <w:pPr>
              <w:tabs>
                <w:tab w:val="decimal" w:pos="165"/>
              </w:tabs>
              <w:spacing w:after="0" w:line="240" w:lineRule="auto"/>
              <w:jc w:val="center"/>
              <w:rPr>
                <w:rFonts w:eastAsia="Times New Roman"/>
                <w:b/>
                <w:bCs/>
                <w:color w:val="000000"/>
                <w:sz w:val="20"/>
                <w:szCs w:val="20"/>
              </w:rPr>
            </w:pPr>
            <w:r w:rsidRPr="003E55F4">
              <w:rPr>
                <w:rFonts w:eastAsia="Times New Roman"/>
                <w:color w:val="000000"/>
                <w:sz w:val="20"/>
                <w:szCs w:val="20"/>
              </w:rPr>
              <w:t>7.8</w:t>
            </w:r>
          </w:p>
        </w:tc>
        <w:tc>
          <w:tcPr>
            <w:tcW w:w="786" w:type="dxa"/>
            <w:tcBorders>
              <w:left w:val="nil"/>
              <w:right w:val="single" w:sz="12" w:space="0" w:color="auto"/>
            </w:tcBorders>
            <w:shd w:val="clear" w:color="000000" w:fill="FFFFFF"/>
            <w:vAlign w:val="center"/>
          </w:tcPr>
          <w:p w14:paraId="6D2B1E88" w14:textId="45A61E14" w:rsidR="001E7206" w:rsidRPr="003E55F4" w:rsidRDefault="001E7206" w:rsidP="005C7F75">
            <w:pPr>
              <w:tabs>
                <w:tab w:val="decimal" w:pos="180"/>
              </w:tabs>
              <w:spacing w:after="0" w:line="240" w:lineRule="auto"/>
              <w:jc w:val="center"/>
              <w:rPr>
                <w:rFonts w:eastAsia="Times New Roman"/>
                <w:b/>
                <w:bCs/>
                <w:color w:val="000000"/>
                <w:sz w:val="20"/>
                <w:szCs w:val="20"/>
              </w:rPr>
            </w:pPr>
            <w:r w:rsidRPr="003E55F4">
              <w:rPr>
                <w:rFonts w:eastAsia="Times New Roman"/>
                <w:color w:val="000000"/>
                <w:sz w:val="20"/>
                <w:szCs w:val="20"/>
              </w:rPr>
              <w:t>7.5</w:t>
            </w:r>
          </w:p>
        </w:tc>
      </w:tr>
      <w:tr w:rsidR="001E7206" w:rsidRPr="003E55F4" w14:paraId="2F715742" w14:textId="77777777" w:rsidTr="00687312">
        <w:trPr>
          <w:trHeight w:val="259"/>
          <w:jc w:val="center"/>
        </w:trPr>
        <w:tc>
          <w:tcPr>
            <w:tcW w:w="3410" w:type="dxa"/>
            <w:tcBorders>
              <w:left w:val="single" w:sz="12" w:space="0" w:color="auto"/>
              <w:right w:val="nil"/>
            </w:tcBorders>
            <w:shd w:val="clear" w:color="000000" w:fill="FFFFFF"/>
            <w:vAlign w:val="bottom"/>
          </w:tcPr>
          <w:p w14:paraId="59FD2D68" w14:textId="70D36684" w:rsidR="001E7206" w:rsidRPr="003E55F4" w:rsidRDefault="001E7206" w:rsidP="001E7206">
            <w:pPr>
              <w:spacing w:after="0" w:line="240" w:lineRule="auto"/>
              <w:rPr>
                <w:rFonts w:eastAsia="Times New Roman"/>
                <w:b/>
                <w:bCs/>
                <w:color w:val="000000"/>
                <w:sz w:val="20"/>
                <w:szCs w:val="20"/>
              </w:rPr>
            </w:pPr>
            <w:r w:rsidRPr="003E55F4">
              <w:rPr>
                <w:rFonts w:eastAsia="Times New Roman"/>
                <w:color w:val="000000"/>
                <w:sz w:val="20"/>
                <w:szCs w:val="20"/>
              </w:rPr>
              <w:t xml:space="preserve">    West North Central</w:t>
            </w:r>
          </w:p>
        </w:tc>
        <w:tc>
          <w:tcPr>
            <w:tcW w:w="867" w:type="dxa"/>
            <w:tcBorders>
              <w:left w:val="nil"/>
              <w:right w:val="nil"/>
            </w:tcBorders>
            <w:shd w:val="clear" w:color="000000" w:fill="FFFFFF"/>
            <w:vAlign w:val="center"/>
          </w:tcPr>
          <w:p w14:paraId="60C3C493" w14:textId="0DBD11A6" w:rsidR="001E7206" w:rsidRPr="003E55F4" w:rsidRDefault="001E7206" w:rsidP="005C7F75">
            <w:pPr>
              <w:tabs>
                <w:tab w:val="decimal" w:pos="225"/>
              </w:tabs>
              <w:spacing w:after="0" w:line="240" w:lineRule="auto"/>
              <w:jc w:val="center"/>
              <w:rPr>
                <w:rFonts w:eastAsia="Times New Roman"/>
                <w:b/>
                <w:bCs/>
                <w:color w:val="000000"/>
                <w:sz w:val="20"/>
                <w:szCs w:val="20"/>
              </w:rPr>
            </w:pPr>
            <w:r w:rsidRPr="003E55F4">
              <w:rPr>
                <w:rFonts w:eastAsia="Times New Roman"/>
                <w:color w:val="000000"/>
                <w:sz w:val="20"/>
                <w:szCs w:val="20"/>
              </w:rPr>
              <w:t>7.2</w:t>
            </w:r>
          </w:p>
        </w:tc>
        <w:tc>
          <w:tcPr>
            <w:tcW w:w="786" w:type="dxa"/>
            <w:tcBorders>
              <w:left w:val="nil"/>
              <w:right w:val="single" w:sz="12" w:space="0" w:color="auto"/>
            </w:tcBorders>
            <w:shd w:val="clear" w:color="000000" w:fill="FFFFFF"/>
            <w:vAlign w:val="center"/>
          </w:tcPr>
          <w:p w14:paraId="5159146B" w14:textId="295AD8C2" w:rsidR="001E7206" w:rsidRPr="003E55F4" w:rsidRDefault="001E7206" w:rsidP="005C7F75">
            <w:pPr>
              <w:tabs>
                <w:tab w:val="decimal" w:pos="255"/>
              </w:tabs>
              <w:spacing w:after="0" w:line="240" w:lineRule="auto"/>
              <w:jc w:val="center"/>
              <w:rPr>
                <w:rFonts w:eastAsia="Times New Roman"/>
                <w:b/>
                <w:bCs/>
                <w:color w:val="000000"/>
                <w:sz w:val="20"/>
                <w:szCs w:val="20"/>
              </w:rPr>
            </w:pPr>
            <w:r w:rsidRPr="003E55F4">
              <w:rPr>
                <w:rFonts w:eastAsia="Times New Roman"/>
                <w:color w:val="000000"/>
                <w:sz w:val="20"/>
                <w:szCs w:val="20"/>
              </w:rPr>
              <w:t>6.5</w:t>
            </w:r>
          </w:p>
        </w:tc>
        <w:tc>
          <w:tcPr>
            <w:tcW w:w="2899" w:type="dxa"/>
            <w:tcBorders>
              <w:left w:val="single" w:sz="12" w:space="0" w:color="auto"/>
              <w:right w:val="nil"/>
            </w:tcBorders>
            <w:shd w:val="clear" w:color="000000" w:fill="FFFFFF"/>
            <w:vAlign w:val="bottom"/>
          </w:tcPr>
          <w:p w14:paraId="61711E9E" w14:textId="6DB9CE76" w:rsidR="001E7206" w:rsidRPr="003E55F4" w:rsidRDefault="001E7206" w:rsidP="001E7206">
            <w:pPr>
              <w:spacing w:after="0" w:line="240" w:lineRule="auto"/>
              <w:rPr>
                <w:rFonts w:eastAsia="Times New Roman"/>
                <w:b/>
                <w:bCs/>
                <w:color w:val="000000"/>
                <w:sz w:val="20"/>
                <w:szCs w:val="20"/>
              </w:rPr>
            </w:pPr>
            <w:r w:rsidRPr="003E55F4">
              <w:rPr>
                <w:rFonts w:eastAsia="Times New Roman"/>
                <w:color w:val="000000"/>
                <w:sz w:val="20"/>
                <w:szCs w:val="20"/>
              </w:rPr>
              <w:t xml:space="preserve">    Pacific</w:t>
            </w:r>
          </w:p>
        </w:tc>
        <w:tc>
          <w:tcPr>
            <w:tcW w:w="798" w:type="dxa"/>
            <w:tcBorders>
              <w:left w:val="nil"/>
              <w:right w:val="nil"/>
            </w:tcBorders>
            <w:shd w:val="clear" w:color="000000" w:fill="FFFFFF"/>
            <w:vAlign w:val="center"/>
          </w:tcPr>
          <w:p w14:paraId="4BB073C1" w14:textId="7EDBA924" w:rsidR="001E7206" w:rsidRPr="003E55F4" w:rsidRDefault="001E7206" w:rsidP="005C7F75">
            <w:pPr>
              <w:tabs>
                <w:tab w:val="decimal" w:pos="165"/>
              </w:tabs>
              <w:spacing w:after="0" w:line="240" w:lineRule="auto"/>
              <w:jc w:val="center"/>
              <w:rPr>
                <w:rFonts w:eastAsia="Times New Roman"/>
                <w:b/>
                <w:bCs/>
                <w:color w:val="000000"/>
                <w:sz w:val="20"/>
                <w:szCs w:val="20"/>
              </w:rPr>
            </w:pPr>
            <w:r w:rsidRPr="003E55F4">
              <w:rPr>
                <w:rFonts w:eastAsia="Times New Roman"/>
                <w:color w:val="000000"/>
                <w:sz w:val="20"/>
                <w:szCs w:val="20"/>
              </w:rPr>
              <w:t>14.7</w:t>
            </w:r>
          </w:p>
        </w:tc>
        <w:tc>
          <w:tcPr>
            <w:tcW w:w="786" w:type="dxa"/>
            <w:tcBorders>
              <w:left w:val="nil"/>
              <w:right w:val="single" w:sz="12" w:space="0" w:color="auto"/>
            </w:tcBorders>
            <w:shd w:val="clear" w:color="000000" w:fill="FFFFFF"/>
            <w:vAlign w:val="center"/>
          </w:tcPr>
          <w:p w14:paraId="4B55A395" w14:textId="4BF4D166" w:rsidR="001E7206" w:rsidRPr="003E55F4" w:rsidRDefault="001E7206" w:rsidP="005C7F75">
            <w:pPr>
              <w:tabs>
                <w:tab w:val="decimal" w:pos="180"/>
              </w:tabs>
              <w:spacing w:after="0" w:line="240" w:lineRule="auto"/>
              <w:jc w:val="center"/>
              <w:rPr>
                <w:rFonts w:eastAsia="Times New Roman"/>
                <w:b/>
                <w:bCs/>
                <w:color w:val="000000"/>
                <w:sz w:val="20"/>
                <w:szCs w:val="20"/>
              </w:rPr>
            </w:pPr>
            <w:r w:rsidRPr="003E55F4">
              <w:rPr>
                <w:rFonts w:eastAsia="Times New Roman"/>
                <w:color w:val="000000"/>
                <w:sz w:val="20"/>
                <w:szCs w:val="20"/>
              </w:rPr>
              <w:t>16.2</w:t>
            </w:r>
          </w:p>
        </w:tc>
      </w:tr>
      <w:tr w:rsidR="001E7206" w:rsidRPr="003E55F4" w14:paraId="1832CBCA" w14:textId="77777777" w:rsidTr="00687312">
        <w:trPr>
          <w:trHeight w:val="259"/>
          <w:jc w:val="center"/>
        </w:trPr>
        <w:tc>
          <w:tcPr>
            <w:tcW w:w="3410" w:type="dxa"/>
            <w:tcBorders>
              <w:left w:val="single" w:sz="12" w:space="0" w:color="auto"/>
              <w:bottom w:val="single" w:sz="12" w:space="0" w:color="auto"/>
              <w:right w:val="nil"/>
            </w:tcBorders>
            <w:shd w:val="clear" w:color="000000" w:fill="FFFFFF"/>
            <w:vAlign w:val="bottom"/>
          </w:tcPr>
          <w:p w14:paraId="21439C68" w14:textId="168FE751" w:rsidR="001E7206" w:rsidRPr="003E55F4" w:rsidRDefault="001E7206" w:rsidP="001E7206">
            <w:pPr>
              <w:spacing w:after="0" w:line="240" w:lineRule="auto"/>
              <w:rPr>
                <w:rFonts w:eastAsia="Times New Roman"/>
                <w:b/>
                <w:bCs/>
                <w:color w:val="000000"/>
                <w:sz w:val="20"/>
                <w:szCs w:val="20"/>
              </w:rPr>
            </w:pPr>
            <w:r w:rsidRPr="003E55F4">
              <w:rPr>
                <w:rFonts w:eastAsia="Times New Roman"/>
                <w:color w:val="000000"/>
                <w:sz w:val="20"/>
                <w:szCs w:val="20"/>
              </w:rPr>
              <w:t xml:space="preserve">    South Atlantic</w:t>
            </w:r>
          </w:p>
        </w:tc>
        <w:tc>
          <w:tcPr>
            <w:tcW w:w="867" w:type="dxa"/>
            <w:tcBorders>
              <w:left w:val="nil"/>
              <w:bottom w:val="single" w:sz="12" w:space="0" w:color="auto"/>
              <w:right w:val="nil"/>
            </w:tcBorders>
            <w:shd w:val="clear" w:color="000000" w:fill="FFFFFF"/>
            <w:vAlign w:val="center"/>
          </w:tcPr>
          <w:p w14:paraId="39D40B23" w14:textId="63A5EEEA" w:rsidR="001E7206" w:rsidRPr="003E55F4" w:rsidRDefault="001E7206" w:rsidP="005C7F75">
            <w:pPr>
              <w:tabs>
                <w:tab w:val="decimal" w:pos="225"/>
              </w:tabs>
              <w:spacing w:after="0" w:line="240" w:lineRule="auto"/>
              <w:jc w:val="center"/>
              <w:rPr>
                <w:rFonts w:eastAsia="Times New Roman"/>
                <w:b/>
                <w:bCs/>
                <w:color w:val="000000"/>
                <w:sz w:val="20"/>
                <w:szCs w:val="20"/>
              </w:rPr>
            </w:pPr>
            <w:r w:rsidRPr="003E55F4">
              <w:rPr>
                <w:rFonts w:eastAsia="Times New Roman"/>
                <w:color w:val="000000"/>
                <w:sz w:val="20"/>
                <w:szCs w:val="20"/>
              </w:rPr>
              <w:t>19.9</w:t>
            </w:r>
          </w:p>
        </w:tc>
        <w:tc>
          <w:tcPr>
            <w:tcW w:w="786" w:type="dxa"/>
            <w:tcBorders>
              <w:left w:val="nil"/>
              <w:bottom w:val="single" w:sz="12" w:space="0" w:color="auto"/>
              <w:right w:val="single" w:sz="12" w:space="0" w:color="auto"/>
            </w:tcBorders>
            <w:shd w:val="clear" w:color="000000" w:fill="FFFFFF"/>
            <w:vAlign w:val="center"/>
          </w:tcPr>
          <w:p w14:paraId="16BC10E3" w14:textId="6FCB8064" w:rsidR="001E7206" w:rsidRPr="003E55F4" w:rsidRDefault="001E7206" w:rsidP="005C7F75">
            <w:pPr>
              <w:tabs>
                <w:tab w:val="decimal" w:pos="255"/>
              </w:tabs>
              <w:spacing w:after="0" w:line="240" w:lineRule="auto"/>
              <w:jc w:val="center"/>
              <w:rPr>
                <w:rFonts w:eastAsia="Times New Roman"/>
                <w:b/>
                <w:bCs/>
                <w:color w:val="000000"/>
                <w:sz w:val="20"/>
                <w:szCs w:val="20"/>
              </w:rPr>
            </w:pPr>
            <w:r w:rsidRPr="003E55F4">
              <w:rPr>
                <w:rFonts w:eastAsia="Times New Roman"/>
                <w:color w:val="000000"/>
                <w:sz w:val="20"/>
                <w:szCs w:val="20"/>
              </w:rPr>
              <w:t>19.9</w:t>
            </w:r>
          </w:p>
        </w:tc>
        <w:tc>
          <w:tcPr>
            <w:tcW w:w="2899" w:type="dxa"/>
            <w:tcBorders>
              <w:left w:val="single" w:sz="12" w:space="0" w:color="auto"/>
              <w:bottom w:val="single" w:sz="12" w:space="0" w:color="auto"/>
              <w:right w:val="nil"/>
            </w:tcBorders>
            <w:shd w:val="clear" w:color="000000" w:fill="FFFFFF"/>
            <w:vAlign w:val="center"/>
          </w:tcPr>
          <w:p w14:paraId="47E09FC5" w14:textId="77777777" w:rsidR="001E7206" w:rsidRPr="003E55F4" w:rsidRDefault="001E7206" w:rsidP="001E7206">
            <w:pPr>
              <w:spacing w:after="0" w:line="240" w:lineRule="auto"/>
              <w:rPr>
                <w:rFonts w:eastAsia="Times New Roman"/>
                <w:b/>
                <w:bCs/>
                <w:color w:val="000000"/>
                <w:sz w:val="20"/>
                <w:szCs w:val="20"/>
              </w:rPr>
            </w:pPr>
          </w:p>
        </w:tc>
        <w:tc>
          <w:tcPr>
            <w:tcW w:w="798" w:type="dxa"/>
            <w:tcBorders>
              <w:left w:val="nil"/>
              <w:bottom w:val="single" w:sz="12" w:space="0" w:color="auto"/>
              <w:right w:val="nil"/>
            </w:tcBorders>
            <w:shd w:val="clear" w:color="000000" w:fill="FFFFFF"/>
            <w:vAlign w:val="center"/>
          </w:tcPr>
          <w:p w14:paraId="0F5E111A" w14:textId="77777777" w:rsidR="001E7206" w:rsidRPr="003E55F4" w:rsidRDefault="001E7206" w:rsidP="005C7F75">
            <w:pPr>
              <w:tabs>
                <w:tab w:val="decimal" w:pos="165"/>
              </w:tabs>
              <w:spacing w:after="0" w:line="240" w:lineRule="auto"/>
              <w:jc w:val="center"/>
              <w:rPr>
                <w:rFonts w:eastAsia="Times New Roman"/>
                <w:b/>
                <w:bCs/>
                <w:color w:val="000000"/>
                <w:sz w:val="20"/>
                <w:szCs w:val="20"/>
              </w:rPr>
            </w:pPr>
          </w:p>
        </w:tc>
        <w:tc>
          <w:tcPr>
            <w:tcW w:w="786" w:type="dxa"/>
            <w:tcBorders>
              <w:left w:val="nil"/>
              <w:bottom w:val="single" w:sz="12" w:space="0" w:color="auto"/>
              <w:right w:val="single" w:sz="12" w:space="0" w:color="auto"/>
            </w:tcBorders>
            <w:shd w:val="clear" w:color="000000" w:fill="FFFFFF"/>
            <w:vAlign w:val="center"/>
          </w:tcPr>
          <w:p w14:paraId="26C2BF54" w14:textId="77777777" w:rsidR="001E7206" w:rsidRPr="003E55F4" w:rsidRDefault="001E7206" w:rsidP="005C7F75">
            <w:pPr>
              <w:tabs>
                <w:tab w:val="decimal" w:pos="180"/>
              </w:tabs>
              <w:spacing w:after="0" w:line="240" w:lineRule="auto"/>
              <w:jc w:val="center"/>
              <w:rPr>
                <w:rFonts w:eastAsia="Times New Roman"/>
                <w:b/>
                <w:bCs/>
                <w:color w:val="000000"/>
                <w:sz w:val="20"/>
                <w:szCs w:val="20"/>
              </w:rPr>
            </w:pPr>
          </w:p>
        </w:tc>
      </w:tr>
      <w:tr w:rsidR="001E7206" w:rsidRPr="003E55F4" w14:paraId="6C8D0328" w14:textId="77777777" w:rsidTr="00687312">
        <w:trPr>
          <w:trHeight w:val="259"/>
          <w:jc w:val="center"/>
        </w:trPr>
        <w:tc>
          <w:tcPr>
            <w:tcW w:w="9546" w:type="dxa"/>
            <w:gridSpan w:val="6"/>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14:paraId="12B6093C" w14:textId="77777777" w:rsidR="001E7206" w:rsidRPr="003E55F4" w:rsidRDefault="001E7206" w:rsidP="001E7206">
            <w:pPr>
              <w:spacing w:after="0" w:line="240" w:lineRule="auto"/>
              <w:jc w:val="center"/>
              <w:rPr>
                <w:rFonts w:eastAsia="Times New Roman"/>
                <w:i/>
                <w:iCs/>
                <w:color w:val="000000"/>
                <w:sz w:val="20"/>
                <w:szCs w:val="20"/>
              </w:rPr>
            </w:pPr>
            <w:r w:rsidRPr="003E55F4">
              <w:rPr>
                <w:rFonts w:eastAsia="Times New Roman"/>
                <w:i/>
                <w:iCs/>
                <w:color w:val="000000"/>
                <w:sz w:val="20"/>
                <w:szCs w:val="20"/>
              </w:rPr>
              <w:t>Household Demographics</w:t>
            </w:r>
          </w:p>
        </w:tc>
      </w:tr>
      <w:tr w:rsidR="001E7206" w:rsidRPr="003E55F4" w14:paraId="2075871B" w14:textId="77777777" w:rsidTr="00687312">
        <w:trPr>
          <w:trHeight w:val="259"/>
          <w:jc w:val="center"/>
        </w:trPr>
        <w:tc>
          <w:tcPr>
            <w:tcW w:w="3410" w:type="dxa"/>
            <w:tcBorders>
              <w:top w:val="single" w:sz="12" w:space="0" w:color="auto"/>
              <w:left w:val="single" w:sz="12" w:space="0" w:color="auto"/>
              <w:bottom w:val="nil"/>
              <w:right w:val="nil"/>
            </w:tcBorders>
            <w:shd w:val="clear" w:color="000000" w:fill="FFFFFF"/>
            <w:noWrap/>
            <w:vAlign w:val="center"/>
            <w:hideMark/>
          </w:tcPr>
          <w:p w14:paraId="78BF16DB" w14:textId="77777777" w:rsidR="001E7206" w:rsidRPr="003E55F4" w:rsidRDefault="001E7206" w:rsidP="001E7206">
            <w:pPr>
              <w:spacing w:after="0" w:line="240" w:lineRule="auto"/>
              <w:rPr>
                <w:rFonts w:eastAsia="Times New Roman"/>
                <w:b/>
                <w:bCs/>
                <w:color w:val="000000"/>
                <w:sz w:val="20"/>
                <w:szCs w:val="20"/>
              </w:rPr>
            </w:pPr>
            <w:r w:rsidRPr="003E55F4">
              <w:rPr>
                <w:rFonts w:eastAsia="Times New Roman"/>
                <w:b/>
                <w:bCs/>
                <w:color w:val="000000"/>
                <w:sz w:val="20"/>
                <w:szCs w:val="20"/>
              </w:rPr>
              <w:t xml:space="preserve">Household composition </w:t>
            </w:r>
          </w:p>
        </w:tc>
        <w:tc>
          <w:tcPr>
            <w:tcW w:w="867" w:type="dxa"/>
            <w:tcBorders>
              <w:top w:val="single" w:sz="12" w:space="0" w:color="auto"/>
              <w:left w:val="nil"/>
              <w:bottom w:val="nil"/>
              <w:right w:val="nil"/>
            </w:tcBorders>
            <w:shd w:val="clear" w:color="000000" w:fill="FFFFFF"/>
            <w:noWrap/>
            <w:vAlign w:val="center"/>
            <w:hideMark/>
          </w:tcPr>
          <w:p w14:paraId="55DCBD2D" w14:textId="1964EFC1" w:rsidR="001E7206" w:rsidRPr="003E55F4" w:rsidRDefault="001E7206" w:rsidP="001E7206">
            <w:pPr>
              <w:spacing w:after="0" w:line="240" w:lineRule="auto"/>
              <w:jc w:val="center"/>
              <w:rPr>
                <w:rFonts w:eastAsia="Times New Roman"/>
                <w:color w:val="000000"/>
                <w:sz w:val="20"/>
                <w:szCs w:val="20"/>
              </w:rPr>
            </w:pPr>
          </w:p>
        </w:tc>
        <w:tc>
          <w:tcPr>
            <w:tcW w:w="786" w:type="dxa"/>
            <w:tcBorders>
              <w:top w:val="single" w:sz="12" w:space="0" w:color="auto"/>
              <w:left w:val="nil"/>
              <w:bottom w:val="nil"/>
              <w:right w:val="single" w:sz="12" w:space="0" w:color="auto"/>
            </w:tcBorders>
            <w:shd w:val="clear" w:color="000000" w:fill="FFFFFF"/>
            <w:noWrap/>
            <w:vAlign w:val="center"/>
            <w:hideMark/>
          </w:tcPr>
          <w:p w14:paraId="10525DAA" w14:textId="504E7D4E" w:rsidR="001E7206" w:rsidRPr="003E55F4" w:rsidRDefault="001E7206" w:rsidP="001E7206">
            <w:pPr>
              <w:spacing w:after="0" w:line="240" w:lineRule="auto"/>
              <w:jc w:val="center"/>
              <w:rPr>
                <w:rFonts w:eastAsia="Times New Roman"/>
                <w:color w:val="000000"/>
                <w:sz w:val="20"/>
                <w:szCs w:val="20"/>
              </w:rPr>
            </w:pPr>
          </w:p>
        </w:tc>
        <w:tc>
          <w:tcPr>
            <w:tcW w:w="2899" w:type="dxa"/>
            <w:tcBorders>
              <w:top w:val="single" w:sz="12" w:space="0" w:color="auto"/>
              <w:left w:val="single" w:sz="12" w:space="0" w:color="auto"/>
              <w:bottom w:val="nil"/>
              <w:right w:val="nil"/>
            </w:tcBorders>
            <w:shd w:val="clear" w:color="000000" w:fill="FFFFFF"/>
            <w:noWrap/>
            <w:vAlign w:val="center"/>
            <w:hideMark/>
          </w:tcPr>
          <w:p w14:paraId="42DFEEF7" w14:textId="64F9EBA8" w:rsidR="001E7206" w:rsidRPr="003E55F4" w:rsidRDefault="001E7206" w:rsidP="001E7206">
            <w:pPr>
              <w:spacing w:after="0" w:line="240" w:lineRule="auto"/>
              <w:rPr>
                <w:rFonts w:eastAsia="Times New Roman"/>
                <w:b/>
                <w:bCs/>
                <w:color w:val="000000"/>
                <w:sz w:val="20"/>
                <w:szCs w:val="20"/>
              </w:rPr>
            </w:pPr>
            <w:r w:rsidRPr="003E55F4">
              <w:rPr>
                <w:rFonts w:eastAsia="Times New Roman"/>
                <w:b/>
                <w:bCs/>
                <w:color w:val="000000"/>
                <w:sz w:val="20"/>
                <w:szCs w:val="20"/>
              </w:rPr>
              <w:t>Household income</w:t>
            </w:r>
          </w:p>
        </w:tc>
        <w:tc>
          <w:tcPr>
            <w:tcW w:w="798" w:type="dxa"/>
            <w:tcBorders>
              <w:top w:val="single" w:sz="12" w:space="0" w:color="auto"/>
              <w:left w:val="nil"/>
              <w:bottom w:val="nil"/>
              <w:right w:val="nil"/>
            </w:tcBorders>
            <w:shd w:val="clear" w:color="000000" w:fill="FFFFFF"/>
            <w:noWrap/>
            <w:vAlign w:val="center"/>
            <w:hideMark/>
          </w:tcPr>
          <w:p w14:paraId="23DF5A04" w14:textId="02588DF8" w:rsidR="001E7206" w:rsidRPr="003E55F4" w:rsidRDefault="001E7206" w:rsidP="001E7206">
            <w:pPr>
              <w:spacing w:after="0" w:line="240" w:lineRule="auto"/>
              <w:jc w:val="center"/>
              <w:rPr>
                <w:rFonts w:eastAsia="Times New Roman"/>
                <w:color w:val="000000"/>
                <w:sz w:val="20"/>
                <w:szCs w:val="20"/>
              </w:rPr>
            </w:pPr>
          </w:p>
        </w:tc>
        <w:tc>
          <w:tcPr>
            <w:tcW w:w="786" w:type="dxa"/>
            <w:tcBorders>
              <w:top w:val="single" w:sz="12" w:space="0" w:color="auto"/>
              <w:left w:val="nil"/>
              <w:bottom w:val="nil"/>
              <w:right w:val="single" w:sz="12" w:space="0" w:color="auto"/>
            </w:tcBorders>
            <w:shd w:val="clear" w:color="000000" w:fill="FFFFFF"/>
            <w:noWrap/>
            <w:vAlign w:val="center"/>
            <w:hideMark/>
          </w:tcPr>
          <w:p w14:paraId="4A8D0E97" w14:textId="1A4B062A" w:rsidR="001E7206" w:rsidRPr="003E55F4" w:rsidRDefault="001E7206" w:rsidP="001E7206">
            <w:pPr>
              <w:spacing w:after="0" w:line="240" w:lineRule="auto"/>
              <w:jc w:val="center"/>
              <w:rPr>
                <w:rFonts w:eastAsia="Times New Roman"/>
                <w:color w:val="000000"/>
                <w:sz w:val="20"/>
                <w:szCs w:val="20"/>
              </w:rPr>
            </w:pPr>
          </w:p>
        </w:tc>
      </w:tr>
      <w:tr w:rsidR="001E7206" w:rsidRPr="003E55F4" w14:paraId="1E6583DA" w14:textId="77777777" w:rsidTr="00687312">
        <w:trPr>
          <w:trHeight w:val="259"/>
          <w:jc w:val="center"/>
        </w:trPr>
        <w:tc>
          <w:tcPr>
            <w:tcW w:w="3410" w:type="dxa"/>
            <w:tcBorders>
              <w:top w:val="nil"/>
              <w:left w:val="single" w:sz="12" w:space="0" w:color="auto"/>
              <w:bottom w:val="nil"/>
              <w:right w:val="nil"/>
            </w:tcBorders>
            <w:shd w:val="clear" w:color="000000" w:fill="FFFFFF"/>
            <w:noWrap/>
            <w:vAlign w:val="center"/>
            <w:hideMark/>
          </w:tcPr>
          <w:p w14:paraId="57CCDEE3" w14:textId="77777777" w:rsidR="001E7206" w:rsidRPr="003E55F4" w:rsidRDefault="001E7206" w:rsidP="001E7206">
            <w:pPr>
              <w:spacing w:after="0" w:line="240" w:lineRule="auto"/>
              <w:ind w:firstLineChars="100" w:firstLine="200"/>
              <w:rPr>
                <w:rFonts w:eastAsia="Times New Roman"/>
                <w:color w:val="000000"/>
                <w:sz w:val="20"/>
                <w:szCs w:val="20"/>
              </w:rPr>
            </w:pPr>
            <w:r w:rsidRPr="003E55F4">
              <w:rPr>
                <w:rFonts w:eastAsia="Times New Roman"/>
                <w:color w:val="000000"/>
                <w:sz w:val="20"/>
                <w:szCs w:val="20"/>
              </w:rPr>
              <w:t>One adult, no children</w:t>
            </w:r>
          </w:p>
        </w:tc>
        <w:tc>
          <w:tcPr>
            <w:tcW w:w="867" w:type="dxa"/>
            <w:tcBorders>
              <w:top w:val="nil"/>
              <w:left w:val="nil"/>
              <w:bottom w:val="nil"/>
              <w:right w:val="nil"/>
            </w:tcBorders>
            <w:shd w:val="clear" w:color="000000" w:fill="FFFFFF"/>
            <w:noWrap/>
            <w:vAlign w:val="center"/>
            <w:hideMark/>
          </w:tcPr>
          <w:p w14:paraId="698FA0A0" w14:textId="04F872D5" w:rsidR="001E7206" w:rsidRPr="003E55F4" w:rsidRDefault="001E7206" w:rsidP="005C7F75">
            <w:pPr>
              <w:tabs>
                <w:tab w:val="decimal" w:pos="225"/>
              </w:tabs>
              <w:spacing w:after="0" w:line="240" w:lineRule="auto"/>
              <w:jc w:val="center"/>
              <w:rPr>
                <w:rFonts w:eastAsia="Times New Roman"/>
                <w:sz w:val="20"/>
                <w:szCs w:val="20"/>
              </w:rPr>
            </w:pPr>
            <w:r w:rsidRPr="003E55F4">
              <w:rPr>
                <w:rFonts w:eastAsia="Times New Roman"/>
                <w:color w:val="000000"/>
                <w:sz w:val="20"/>
                <w:szCs w:val="20"/>
              </w:rPr>
              <w:t>14.7</w:t>
            </w:r>
          </w:p>
        </w:tc>
        <w:tc>
          <w:tcPr>
            <w:tcW w:w="786" w:type="dxa"/>
            <w:tcBorders>
              <w:top w:val="nil"/>
              <w:left w:val="nil"/>
              <w:bottom w:val="nil"/>
              <w:right w:val="single" w:sz="12" w:space="0" w:color="auto"/>
            </w:tcBorders>
            <w:shd w:val="clear" w:color="000000" w:fill="FFFFFF"/>
            <w:noWrap/>
            <w:vAlign w:val="center"/>
            <w:hideMark/>
          </w:tcPr>
          <w:p w14:paraId="4612051F" w14:textId="6DE6CE67" w:rsidR="001E7206" w:rsidRPr="003E55F4" w:rsidRDefault="001E7206" w:rsidP="005C7F75">
            <w:pPr>
              <w:tabs>
                <w:tab w:val="decimal" w:pos="255"/>
              </w:tabs>
              <w:spacing w:after="0" w:line="240" w:lineRule="auto"/>
              <w:jc w:val="center"/>
              <w:rPr>
                <w:rFonts w:eastAsia="Times New Roman"/>
                <w:color w:val="000000"/>
                <w:sz w:val="20"/>
                <w:szCs w:val="20"/>
              </w:rPr>
            </w:pPr>
            <w:r w:rsidRPr="003E55F4">
              <w:rPr>
                <w:rFonts w:eastAsia="Times New Roman"/>
                <w:color w:val="000000"/>
                <w:sz w:val="20"/>
                <w:szCs w:val="20"/>
              </w:rPr>
              <w:t>27.6</w:t>
            </w:r>
          </w:p>
        </w:tc>
        <w:tc>
          <w:tcPr>
            <w:tcW w:w="2899" w:type="dxa"/>
            <w:tcBorders>
              <w:top w:val="nil"/>
              <w:left w:val="single" w:sz="12" w:space="0" w:color="auto"/>
              <w:bottom w:val="nil"/>
              <w:right w:val="nil"/>
            </w:tcBorders>
            <w:shd w:val="clear" w:color="000000" w:fill="FFFFFF"/>
            <w:noWrap/>
            <w:vAlign w:val="center"/>
            <w:hideMark/>
          </w:tcPr>
          <w:p w14:paraId="3C5B5ECA" w14:textId="20DD540B" w:rsidR="001E7206" w:rsidRPr="003E55F4" w:rsidRDefault="001E7206" w:rsidP="001E7206">
            <w:pPr>
              <w:spacing w:after="0" w:line="240" w:lineRule="auto"/>
              <w:ind w:firstLineChars="100" w:firstLine="200"/>
              <w:rPr>
                <w:rFonts w:eastAsia="Times New Roman"/>
                <w:color w:val="000000"/>
                <w:sz w:val="20"/>
                <w:szCs w:val="20"/>
              </w:rPr>
            </w:pPr>
            <w:r w:rsidRPr="003E55F4">
              <w:rPr>
                <w:rFonts w:eastAsia="Times New Roman"/>
                <w:color w:val="000000"/>
                <w:sz w:val="20"/>
                <w:szCs w:val="20"/>
              </w:rPr>
              <w:t>Less than $5</w:t>
            </w:r>
            <w:r w:rsidR="00497FDB" w:rsidRPr="003E55F4">
              <w:rPr>
                <w:rFonts w:eastAsia="Times New Roman"/>
                <w:color w:val="000000"/>
                <w:sz w:val="20"/>
                <w:szCs w:val="20"/>
              </w:rPr>
              <w:t>0</w:t>
            </w:r>
            <w:r w:rsidRPr="003E55F4">
              <w:rPr>
                <w:rFonts w:eastAsia="Times New Roman"/>
                <w:color w:val="000000"/>
                <w:sz w:val="20"/>
                <w:szCs w:val="20"/>
              </w:rPr>
              <w:t>,000</w:t>
            </w:r>
          </w:p>
        </w:tc>
        <w:tc>
          <w:tcPr>
            <w:tcW w:w="798" w:type="dxa"/>
            <w:tcBorders>
              <w:top w:val="nil"/>
              <w:left w:val="nil"/>
              <w:bottom w:val="nil"/>
              <w:right w:val="nil"/>
            </w:tcBorders>
            <w:shd w:val="clear" w:color="000000" w:fill="FFFFFF"/>
            <w:noWrap/>
            <w:vAlign w:val="center"/>
            <w:hideMark/>
          </w:tcPr>
          <w:p w14:paraId="18502DC6" w14:textId="7B81E42E" w:rsidR="001E7206" w:rsidRPr="003E55F4" w:rsidRDefault="00497FDB" w:rsidP="005C7F75">
            <w:pPr>
              <w:tabs>
                <w:tab w:val="decimal" w:pos="165"/>
              </w:tabs>
              <w:spacing w:after="0" w:line="240" w:lineRule="auto"/>
              <w:jc w:val="center"/>
              <w:rPr>
                <w:rFonts w:eastAsia="Times New Roman"/>
                <w:color w:val="000000"/>
                <w:sz w:val="20"/>
                <w:szCs w:val="20"/>
              </w:rPr>
            </w:pPr>
            <w:r w:rsidRPr="003E55F4">
              <w:rPr>
                <w:rFonts w:eastAsia="Times New Roman"/>
                <w:color w:val="000000"/>
                <w:sz w:val="20"/>
                <w:szCs w:val="20"/>
              </w:rPr>
              <w:t>24.4</w:t>
            </w:r>
          </w:p>
        </w:tc>
        <w:tc>
          <w:tcPr>
            <w:tcW w:w="786" w:type="dxa"/>
            <w:tcBorders>
              <w:top w:val="nil"/>
              <w:left w:val="nil"/>
              <w:bottom w:val="nil"/>
              <w:right w:val="single" w:sz="12" w:space="0" w:color="auto"/>
            </w:tcBorders>
            <w:shd w:val="clear" w:color="000000" w:fill="FFFFFF"/>
            <w:noWrap/>
            <w:vAlign w:val="center"/>
            <w:hideMark/>
          </w:tcPr>
          <w:p w14:paraId="56F8B5DB" w14:textId="2D4712A3" w:rsidR="001E7206" w:rsidRPr="003E55F4" w:rsidRDefault="00497FDB" w:rsidP="005C7F75">
            <w:pPr>
              <w:tabs>
                <w:tab w:val="decimal" w:pos="180"/>
              </w:tabs>
              <w:spacing w:after="0" w:line="240" w:lineRule="auto"/>
              <w:jc w:val="center"/>
              <w:rPr>
                <w:rFonts w:eastAsia="Times New Roman"/>
                <w:color w:val="000000"/>
                <w:sz w:val="20"/>
                <w:szCs w:val="20"/>
              </w:rPr>
            </w:pPr>
            <w:r w:rsidRPr="003E55F4">
              <w:rPr>
                <w:rFonts w:eastAsia="Times New Roman"/>
                <w:color w:val="000000"/>
                <w:sz w:val="20"/>
                <w:szCs w:val="20"/>
              </w:rPr>
              <w:t>33.8</w:t>
            </w:r>
          </w:p>
        </w:tc>
      </w:tr>
      <w:tr w:rsidR="001E7206" w:rsidRPr="003E55F4" w14:paraId="73DFF8B4" w14:textId="77777777" w:rsidTr="00687312">
        <w:trPr>
          <w:trHeight w:val="259"/>
          <w:jc w:val="center"/>
        </w:trPr>
        <w:tc>
          <w:tcPr>
            <w:tcW w:w="3410" w:type="dxa"/>
            <w:tcBorders>
              <w:top w:val="nil"/>
              <w:left w:val="single" w:sz="12" w:space="0" w:color="auto"/>
              <w:bottom w:val="nil"/>
              <w:right w:val="nil"/>
            </w:tcBorders>
            <w:shd w:val="clear" w:color="000000" w:fill="FFFFFF"/>
            <w:noWrap/>
            <w:vAlign w:val="center"/>
            <w:hideMark/>
          </w:tcPr>
          <w:p w14:paraId="37800E40" w14:textId="083049D7" w:rsidR="001E7206" w:rsidRPr="003E55F4" w:rsidRDefault="001E7206" w:rsidP="001E7206">
            <w:pPr>
              <w:spacing w:after="0" w:line="240" w:lineRule="auto"/>
              <w:ind w:firstLineChars="100" w:firstLine="200"/>
              <w:rPr>
                <w:rFonts w:eastAsia="Times New Roman"/>
                <w:color w:val="000000"/>
                <w:sz w:val="20"/>
                <w:szCs w:val="20"/>
              </w:rPr>
            </w:pPr>
            <w:r w:rsidRPr="003E55F4">
              <w:rPr>
                <w:rFonts w:eastAsia="Times New Roman"/>
                <w:color w:val="000000"/>
                <w:sz w:val="20"/>
                <w:szCs w:val="20"/>
              </w:rPr>
              <w:t>Two or more adults, no children</w:t>
            </w:r>
          </w:p>
        </w:tc>
        <w:tc>
          <w:tcPr>
            <w:tcW w:w="867" w:type="dxa"/>
            <w:tcBorders>
              <w:top w:val="nil"/>
              <w:left w:val="nil"/>
              <w:bottom w:val="nil"/>
              <w:right w:val="nil"/>
            </w:tcBorders>
            <w:shd w:val="clear" w:color="000000" w:fill="FFFFFF"/>
            <w:noWrap/>
            <w:vAlign w:val="center"/>
            <w:hideMark/>
          </w:tcPr>
          <w:p w14:paraId="46AF6EBD" w14:textId="6D68913C" w:rsidR="001E7206" w:rsidRPr="003E55F4" w:rsidRDefault="001E7206" w:rsidP="005C7F75">
            <w:pPr>
              <w:tabs>
                <w:tab w:val="decimal" w:pos="225"/>
              </w:tabs>
              <w:spacing w:after="0" w:line="240" w:lineRule="auto"/>
              <w:jc w:val="center"/>
              <w:rPr>
                <w:rFonts w:eastAsia="Times New Roman"/>
                <w:sz w:val="20"/>
                <w:szCs w:val="20"/>
              </w:rPr>
            </w:pPr>
            <w:r w:rsidRPr="003E55F4">
              <w:rPr>
                <w:rFonts w:eastAsia="Times New Roman"/>
                <w:color w:val="000000"/>
                <w:sz w:val="20"/>
                <w:szCs w:val="20"/>
              </w:rPr>
              <w:t>52.9</w:t>
            </w:r>
          </w:p>
        </w:tc>
        <w:tc>
          <w:tcPr>
            <w:tcW w:w="786" w:type="dxa"/>
            <w:tcBorders>
              <w:top w:val="nil"/>
              <w:left w:val="nil"/>
              <w:bottom w:val="nil"/>
              <w:right w:val="single" w:sz="12" w:space="0" w:color="auto"/>
            </w:tcBorders>
            <w:shd w:val="clear" w:color="000000" w:fill="FFFFFF"/>
            <w:noWrap/>
            <w:vAlign w:val="center"/>
            <w:hideMark/>
          </w:tcPr>
          <w:p w14:paraId="5338190F" w14:textId="5F9894AB" w:rsidR="001E7206" w:rsidRPr="003E55F4" w:rsidRDefault="001E7206" w:rsidP="005C7F75">
            <w:pPr>
              <w:tabs>
                <w:tab w:val="decimal" w:pos="255"/>
              </w:tabs>
              <w:spacing w:after="0" w:line="240" w:lineRule="auto"/>
              <w:jc w:val="center"/>
              <w:rPr>
                <w:rFonts w:eastAsia="Times New Roman"/>
                <w:color w:val="000000"/>
                <w:sz w:val="20"/>
                <w:szCs w:val="20"/>
              </w:rPr>
            </w:pPr>
            <w:r w:rsidRPr="003E55F4">
              <w:rPr>
                <w:rFonts w:eastAsia="Times New Roman"/>
                <w:color w:val="000000"/>
                <w:sz w:val="20"/>
                <w:szCs w:val="20"/>
              </w:rPr>
              <w:t>42.0</w:t>
            </w:r>
          </w:p>
        </w:tc>
        <w:tc>
          <w:tcPr>
            <w:tcW w:w="2899" w:type="dxa"/>
            <w:tcBorders>
              <w:top w:val="nil"/>
              <w:left w:val="single" w:sz="12" w:space="0" w:color="auto"/>
              <w:bottom w:val="nil"/>
              <w:right w:val="nil"/>
            </w:tcBorders>
            <w:shd w:val="clear" w:color="000000" w:fill="FFFFFF"/>
            <w:noWrap/>
            <w:vAlign w:val="center"/>
            <w:hideMark/>
          </w:tcPr>
          <w:p w14:paraId="2A262A78" w14:textId="3982F8F2" w:rsidR="001E7206" w:rsidRPr="003E55F4" w:rsidRDefault="001E7206" w:rsidP="001E7206">
            <w:pPr>
              <w:spacing w:after="0" w:line="240" w:lineRule="auto"/>
              <w:ind w:firstLineChars="100" w:firstLine="200"/>
              <w:rPr>
                <w:rFonts w:eastAsia="Times New Roman"/>
                <w:color w:val="000000"/>
                <w:sz w:val="20"/>
                <w:szCs w:val="20"/>
              </w:rPr>
            </w:pPr>
            <w:r w:rsidRPr="003E55F4">
              <w:rPr>
                <w:rFonts w:eastAsia="Times New Roman"/>
                <w:color w:val="000000"/>
                <w:sz w:val="20"/>
                <w:szCs w:val="20"/>
              </w:rPr>
              <w:t>$</w:t>
            </w:r>
            <w:r w:rsidR="00497FDB" w:rsidRPr="003E55F4">
              <w:rPr>
                <w:rFonts w:eastAsia="Times New Roman"/>
                <w:color w:val="000000"/>
                <w:sz w:val="20"/>
                <w:szCs w:val="20"/>
              </w:rPr>
              <w:t>50</w:t>
            </w:r>
            <w:r w:rsidRPr="003E55F4">
              <w:rPr>
                <w:rFonts w:eastAsia="Times New Roman"/>
                <w:color w:val="000000"/>
                <w:sz w:val="20"/>
                <w:szCs w:val="20"/>
              </w:rPr>
              <w:t>,000 – $</w:t>
            </w:r>
            <w:r w:rsidR="00497FDB" w:rsidRPr="003E55F4">
              <w:rPr>
                <w:rFonts w:eastAsia="Times New Roman"/>
                <w:color w:val="000000"/>
                <w:sz w:val="20"/>
                <w:szCs w:val="20"/>
              </w:rPr>
              <w:t>9</w:t>
            </w:r>
            <w:r w:rsidRPr="003E55F4">
              <w:rPr>
                <w:rFonts w:eastAsia="Times New Roman"/>
                <w:color w:val="000000"/>
                <w:sz w:val="20"/>
                <w:szCs w:val="20"/>
              </w:rPr>
              <w:t>9,999</w:t>
            </w:r>
          </w:p>
        </w:tc>
        <w:tc>
          <w:tcPr>
            <w:tcW w:w="798" w:type="dxa"/>
            <w:tcBorders>
              <w:top w:val="nil"/>
              <w:left w:val="nil"/>
              <w:bottom w:val="nil"/>
              <w:right w:val="nil"/>
            </w:tcBorders>
            <w:shd w:val="clear" w:color="000000" w:fill="FFFFFF"/>
            <w:noWrap/>
            <w:vAlign w:val="center"/>
            <w:hideMark/>
          </w:tcPr>
          <w:p w14:paraId="15380527" w14:textId="403BB231" w:rsidR="001E7206" w:rsidRPr="003E55F4" w:rsidRDefault="00497FDB" w:rsidP="005C7F75">
            <w:pPr>
              <w:tabs>
                <w:tab w:val="decimal" w:pos="165"/>
              </w:tabs>
              <w:spacing w:after="0" w:line="240" w:lineRule="auto"/>
              <w:jc w:val="center"/>
              <w:rPr>
                <w:rFonts w:eastAsia="Times New Roman"/>
                <w:color w:val="000000"/>
                <w:sz w:val="20"/>
                <w:szCs w:val="20"/>
              </w:rPr>
            </w:pPr>
            <w:r w:rsidRPr="003E55F4">
              <w:rPr>
                <w:rFonts w:eastAsia="Times New Roman"/>
                <w:color w:val="000000"/>
                <w:sz w:val="20"/>
                <w:szCs w:val="20"/>
              </w:rPr>
              <w:t>31.6</w:t>
            </w:r>
          </w:p>
        </w:tc>
        <w:tc>
          <w:tcPr>
            <w:tcW w:w="786" w:type="dxa"/>
            <w:tcBorders>
              <w:top w:val="nil"/>
              <w:left w:val="nil"/>
              <w:bottom w:val="nil"/>
              <w:right w:val="single" w:sz="12" w:space="0" w:color="auto"/>
            </w:tcBorders>
            <w:shd w:val="clear" w:color="000000" w:fill="FFFFFF"/>
            <w:noWrap/>
            <w:vAlign w:val="center"/>
            <w:hideMark/>
          </w:tcPr>
          <w:p w14:paraId="212A6E8E" w14:textId="4D2FE215" w:rsidR="001E7206" w:rsidRPr="003E55F4" w:rsidRDefault="00497FDB" w:rsidP="005C7F75">
            <w:pPr>
              <w:tabs>
                <w:tab w:val="decimal" w:pos="180"/>
              </w:tabs>
              <w:spacing w:after="0" w:line="240" w:lineRule="auto"/>
              <w:jc w:val="center"/>
              <w:rPr>
                <w:rFonts w:eastAsia="Times New Roman"/>
                <w:color w:val="000000"/>
                <w:sz w:val="20"/>
                <w:szCs w:val="20"/>
              </w:rPr>
            </w:pPr>
            <w:r w:rsidRPr="003E55F4">
              <w:rPr>
                <w:rFonts w:eastAsia="Times New Roman"/>
                <w:color w:val="000000"/>
                <w:sz w:val="20"/>
                <w:szCs w:val="20"/>
              </w:rPr>
              <w:t>28.9</w:t>
            </w:r>
          </w:p>
        </w:tc>
      </w:tr>
      <w:tr w:rsidR="00497FDB" w:rsidRPr="003E55F4" w14:paraId="7D92A13E" w14:textId="77777777" w:rsidTr="00687312">
        <w:trPr>
          <w:trHeight w:val="259"/>
          <w:jc w:val="center"/>
        </w:trPr>
        <w:tc>
          <w:tcPr>
            <w:tcW w:w="3410" w:type="dxa"/>
            <w:tcBorders>
              <w:top w:val="nil"/>
              <w:left w:val="single" w:sz="12" w:space="0" w:color="auto"/>
              <w:bottom w:val="nil"/>
              <w:right w:val="nil"/>
            </w:tcBorders>
            <w:shd w:val="clear" w:color="000000" w:fill="FFFFFF"/>
            <w:noWrap/>
            <w:vAlign w:val="center"/>
            <w:hideMark/>
          </w:tcPr>
          <w:p w14:paraId="7254F74A" w14:textId="77777777" w:rsidR="00497FDB" w:rsidRPr="003E55F4" w:rsidRDefault="00497FDB" w:rsidP="00497FDB">
            <w:pPr>
              <w:spacing w:after="0" w:line="240" w:lineRule="auto"/>
              <w:ind w:firstLineChars="100" w:firstLine="200"/>
              <w:rPr>
                <w:rFonts w:eastAsia="Times New Roman"/>
                <w:color w:val="000000"/>
                <w:sz w:val="20"/>
                <w:szCs w:val="20"/>
              </w:rPr>
            </w:pPr>
            <w:r w:rsidRPr="003E55F4">
              <w:rPr>
                <w:rFonts w:eastAsia="Times New Roman"/>
                <w:color w:val="000000"/>
                <w:sz w:val="20"/>
                <w:szCs w:val="20"/>
              </w:rPr>
              <w:t>single parent</w:t>
            </w:r>
          </w:p>
        </w:tc>
        <w:tc>
          <w:tcPr>
            <w:tcW w:w="867" w:type="dxa"/>
            <w:tcBorders>
              <w:top w:val="nil"/>
              <w:left w:val="nil"/>
              <w:bottom w:val="nil"/>
              <w:right w:val="nil"/>
            </w:tcBorders>
            <w:shd w:val="clear" w:color="000000" w:fill="FFFFFF"/>
            <w:noWrap/>
            <w:vAlign w:val="center"/>
            <w:hideMark/>
          </w:tcPr>
          <w:p w14:paraId="409FD349" w14:textId="44D685F1" w:rsidR="00497FDB" w:rsidRPr="003E55F4" w:rsidRDefault="00497FDB" w:rsidP="00497FDB">
            <w:pPr>
              <w:tabs>
                <w:tab w:val="decimal" w:pos="225"/>
              </w:tabs>
              <w:spacing w:after="0" w:line="240" w:lineRule="auto"/>
              <w:jc w:val="center"/>
              <w:rPr>
                <w:rFonts w:eastAsia="Times New Roman"/>
                <w:sz w:val="20"/>
                <w:szCs w:val="20"/>
              </w:rPr>
            </w:pPr>
            <w:r w:rsidRPr="003E55F4">
              <w:rPr>
                <w:rFonts w:eastAsia="Times New Roman"/>
                <w:color w:val="000000"/>
                <w:sz w:val="20"/>
                <w:szCs w:val="20"/>
              </w:rPr>
              <w:t>3.2</w:t>
            </w:r>
          </w:p>
        </w:tc>
        <w:tc>
          <w:tcPr>
            <w:tcW w:w="786" w:type="dxa"/>
            <w:tcBorders>
              <w:top w:val="nil"/>
              <w:left w:val="nil"/>
              <w:bottom w:val="nil"/>
              <w:right w:val="single" w:sz="12" w:space="0" w:color="auto"/>
            </w:tcBorders>
            <w:shd w:val="clear" w:color="000000" w:fill="FFFFFF"/>
            <w:noWrap/>
            <w:vAlign w:val="center"/>
            <w:hideMark/>
          </w:tcPr>
          <w:p w14:paraId="4E7965AB" w14:textId="74DD3941" w:rsidR="00497FDB" w:rsidRPr="003E55F4" w:rsidRDefault="00497FDB" w:rsidP="00497FDB">
            <w:pPr>
              <w:tabs>
                <w:tab w:val="decimal" w:pos="255"/>
              </w:tabs>
              <w:spacing w:after="0" w:line="240" w:lineRule="auto"/>
              <w:jc w:val="center"/>
              <w:rPr>
                <w:rFonts w:eastAsia="Times New Roman"/>
                <w:color w:val="000000"/>
                <w:sz w:val="20"/>
                <w:szCs w:val="20"/>
              </w:rPr>
            </w:pPr>
            <w:r w:rsidRPr="003E55F4">
              <w:rPr>
                <w:rFonts w:eastAsia="Times New Roman"/>
                <w:color w:val="000000"/>
                <w:sz w:val="20"/>
                <w:szCs w:val="20"/>
              </w:rPr>
              <w:t>6.8</w:t>
            </w:r>
          </w:p>
        </w:tc>
        <w:tc>
          <w:tcPr>
            <w:tcW w:w="2899" w:type="dxa"/>
            <w:tcBorders>
              <w:top w:val="nil"/>
              <w:left w:val="single" w:sz="12" w:space="0" w:color="auto"/>
              <w:bottom w:val="nil"/>
              <w:right w:val="nil"/>
            </w:tcBorders>
            <w:shd w:val="clear" w:color="000000" w:fill="FFFFFF"/>
            <w:noWrap/>
            <w:vAlign w:val="center"/>
          </w:tcPr>
          <w:p w14:paraId="223E3C45" w14:textId="7F851F07" w:rsidR="00497FDB" w:rsidRPr="003E55F4" w:rsidRDefault="00497FDB" w:rsidP="00497FDB">
            <w:pPr>
              <w:spacing w:after="0" w:line="240" w:lineRule="auto"/>
              <w:ind w:firstLineChars="100" w:firstLine="200"/>
              <w:rPr>
                <w:rFonts w:eastAsia="Times New Roman"/>
                <w:color w:val="000000"/>
                <w:sz w:val="20"/>
                <w:szCs w:val="20"/>
              </w:rPr>
            </w:pPr>
            <w:r w:rsidRPr="003E55F4">
              <w:rPr>
                <w:rFonts w:eastAsia="Times New Roman"/>
                <w:color w:val="000000"/>
                <w:sz w:val="20"/>
                <w:szCs w:val="20"/>
              </w:rPr>
              <w:t>$100,000 – $149,999</w:t>
            </w:r>
          </w:p>
        </w:tc>
        <w:tc>
          <w:tcPr>
            <w:tcW w:w="798" w:type="dxa"/>
            <w:tcBorders>
              <w:top w:val="nil"/>
              <w:left w:val="nil"/>
              <w:bottom w:val="nil"/>
              <w:right w:val="nil"/>
            </w:tcBorders>
            <w:shd w:val="clear" w:color="000000" w:fill="FFFFFF"/>
            <w:noWrap/>
            <w:vAlign w:val="center"/>
          </w:tcPr>
          <w:p w14:paraId="489AF32A" w14:textId="3104591D" w:rsidR="00497FDB" w:rsidRPr="003E55F4" w:rsidRDefault="00497FDB" w:rsidP="00497FDB">
            <w:pPr>
              <w:tabs>
                <w:tab w:val="decimal" w:pos="165"/>
              </w:tabs>
              <w:spacing w:after="0" w:line="240" w:lineRule="auto"/>
              <w:jc w:val="center"/>
              <w:rPr>
                <w:rFonts w:eastAsia="Times New Roman"/>
                <w:color w:val="000000"/>
                <w:sz w:val="20"/>
                <w:szCs w:val="20"/>
              </w:rPr>
            </w:pPr>
            <w:r w:rsidRPr="003E55F4">
              <w:rPr>
                <w:rFonts w:eastAsia="Times New Roman"/>
                <w:color w:val="000000"/>
                <w:sz w:val="20"/>
                <w:szCs w:val="20"/>
              </w:rPr>
              <w:t>22.0</w:t>
            </w:r>
          </w:p>
        </w:tc>
        <w:tc>
          <w:tcPr>
            <w:tcW w:w="786" w:type="dxa"/>
            <w:tcBorders>
              <w:top w:val="nil"/>
              <w:left w:val="nil"/>
              <w:bottom w:val="nil"/>
              <w:right w:val="single" w:sz="12" w:space="0" w:color="auto"/>
            </w:tcBorders>
            <w:shd w:val="clear" w:color="000000" w:fill="FFFFFF"/>
            <w:noWrap/>
            <w:vAlign w:val="center"/>
          </w:tcPr>
          <w:p w14:paraId="7B6F72C3" w14:textId="0EDB73E5" w:rsidR="00497FDB" w:rsidRPr="003E55F4" w:rsidRDefault="00497FDB" w:rsidP="00497FDB">
            <w:pPr>
              <w:tabs>
                <w:tab w:val="decimal" w:pos="180"/>
              </w:tabs>
              <w:spacing w:after="0" w:line="240" w:lineRule="auto"/>
              <w:jc w:val="center"/>
              <w:rPr>
                <w:rFonts w:eastAsia="Times New Roman"/>
                <w:color w:val="000000"/>
                <w:sz w:val="20"/>
                <w:szCs w:val="20"/>
              </w:rPr>
            </w:pPr>
            <w:r w:rsidRPr="003E55F4">
              <w:rPr>
                <w:rFonts w:eastAsia="Times New Roman"/>
                <w:color w:val="000000"/>
                <w:sz w:val="20"/>
                <w:szCs w:val="20"/>
              </w:rPr>
              <w:t>17.1</w:t>
            </w:r>
          </w:p>
        </w:tc>
      </w:tr>
      <w:tr w:rsidR="00497FDB" w:rsidRPr="003E55F4" w14:paraId="706B9695" w14:textId="77777777" w:rsidTr="00687312">
        <w:trPr>
          <w:trHeight w:val="259"/>
          <w:jc w:val="center"/>
        </w:trPr>
        <w:tc>
          <w:tcPr>
            <w:tcW w:w="3410" w:type="dxa"/>
            <w:tcBorders>
              <w:top w:val="nil"/>
              <w:left w:val="single" w:sz="12" w:space="0" w:color="auto"/>
              <w:bottom w:val="nil"/>
              <w:right w:val="nil"/>
            </w:tcBorders>
            <w:shd w:val="clear" w:color="000000" w:fill="FFFFFF"/>
            <w:noWrap/>
            <w:vAlign w:val="center"/>
            <w:hideMark/>
          </w:tcPr>
          <w:p w14:paraId="7D40B1D8" w14:textId="32F4DB6A" w:rsidR="00497FDB" w:rsidRPr="003E55F4" w:rsidRDefault="00497FDB" w:rsidP="00497FDB">
            <w:pPr>
              <w:spacing w:after="0" w:line="240" w:lineRule="auto"/>
              <w:ind w:firstLineChars="100" w:firstLine="200"/>
              <w:rPr>
                <w:rFonts w:eastAsia="Times New Roman"/>
                <w:color w:val="000000"/>
                <w:sz w:val="20"/>
                <w:szCs w:val="20"/>
              </w:rPr>
            </w:pPr>
            <w:r w:rsidRPr="003E55F4">
              <w:rPr>
                <w:rFonts w:eastAsia="Times New Roman"/>
                <w:color w:val="000000"/>
                <w:sz w:val="20"/>
                <w:szCs w:val="20"/>
              </w:rPr>
              <w:t>Two or more adults with children</w:t>
            </w:r>
          </w:p>
        </w:tc>
        <w:tc>
          <w:tcPr>
            <w:tcW w:w="867" w:type="dxa"/>
            <w:tcBorders>
              <w:top w:val="nil"/>
              <w:left w:val="nil"/>
              <w:bottom w:val="nil"/>
              <w:right w:val="nil"/>
            </w:tcBorders>
            <w:shd w:val="clear" w:color="000000" w:fill="FFFFFF"/>
            <w:noWrap/>
            <w:vAlign w:val="center"/>
            <w:hideMark/>
          </w:tcPr>
          <w:p w14:paraId="35F3A215" w14:textId="7DB658E5" w:rsidR="00497FDB" w:rsidRPr="003E55F4" w:rsidRDefault="00497FDB" w:rsidP="00497FDB">
            <w:pPr>
              <w:tabs>
                <w:tab w:val="decimal" w:pos="225"/>
              </w:tabs>
              <w:spacing w:after="0" w:line="240" w:lineRule="auto"/>
              <w:jc w:val="center"/>
              <w:rPr>
                <w:rFonts w:eastAsia="Times New Roman"/>
                <w:color w:val="000000"/>
                <w:sz w:val="20"/>
                <w:szCs w:val="20"/>
              </w:rPr>
            </w:pPr>
            <w:r w:rsidRPr="003E55F4">
              <w:rPr>
                <w:rFonts w:eastAsia="Times New Roman"/>
                <w:color w:val="000000"/>
                <w:sz w:val="20"/>
                <w:szCs w:val="20"/>
              </w:rPr>
              <w:t>29.2</w:t>
            </w:r>
          </w:p>
        </w:tc>
        <w:tc>
          <w:tcPr>
            <w:tcW w:w="786" w:type="dxa"/>
            <w:tcBorders>
              <w:top w:val="nil"/>
              <w:left w:val="nil"/>
              <w:bottom w:val="nil"/>
              <w:right w:val="single" w:sz="12" w:space="0" w:color="auto"/>
            </w:tcBorders>
            <w:shd w:val="clear" w:color="000000" w:fill="FFFFFF"/>
            <w:noWrap/>
            <w:vAlign w:val="center"/>
            <w:hideMark/>
          </w:tcPr>
          <w:p w14:paraId="5E9DC7C9" w14:textId="2C91A5DC" w:rsidR="00497FDB" w:rsidRPr="003E55F4" w:rsidRDefault="00497FDB" w:rsidP="00497FDB">
            <w:pPr>
              <w:tabs>
                <w:tab w:val="decimal" w:pos="255"/>
              </w:tabs>
              <w:spacing w:after="0" w:line="240" w:lineRule="auto"/>
              <w:jc w:val="center"/>
              <w:rPr>
                <w:rFonts w:eastAsia="Times New Roman"/>
                <w:color w:val="000000"/>
                <w:sz w:val="20"/>
                <w:szCs w:val="20"/>
              </w:rPr>
            </w:pPr>
            <w:r w:rsidRPr="003E55F4">
              <w:rPr>
                <w:rFonts w:eastAsia="Times New Roman"/>
                <w:color w:val="000000"/>
                <w:sz w:val="20"/>
                <w:szCs w:val="20"/>
              </w:rPr>
              <w:t>23.6</w:t>
            </w:r>
          </w:p>
        </w:tc>
        <w:tc>
          <w:tcPr>
            <w:tcW w:w="2899" w:type="dxa"/>
            <w:tcBorders>
              <w:top w:val="nil"/>
              <w:left w:val="single" w:sz="12" w:space="0" w:color="auto"/>
              <w:bottom w:val="nil"/>
              <w:right w:val="nil"/>
            </w:tcBorders>
            <w:shd w:val="clear" w:color="000000" w:fill="FFFFFF"/>
            <w:noWrap/>
            <w:vAlign w:val="center"/>
          </w:tcPr>
          <w:p w14:paraId="660640C9" w14:textId="23CE6DB0" w:rsidR="00497FDB" w:rsidRPr="003E55F4" w:rsidRDefault="00497FDB" w:rsidP="00497FDB">
            <w:pPr>
              <w:spacing w:after="0" w:line="240" w:lineRule="auto"/>
              <w:ind w:firstLineChars="100" w:firstLine="200"/>
              <w:rPr>
                <w:rFonts w:eastAsia="Times New Roman"/>
                <w:color w:val="000000"/>
                <w:sz w:val="20"/>
                <w:szCs w:val="20"/>
              </w:rPr>
            </w:pPr>
            <w:r w:rsidRPr="003E55F4">
              <w:rPr>
                <w:rFonts w:eastAsia="Times New Roman"/>
                <w:color w:val="000000"/>
                <w:sz w:val="20"/>
                <w:szCs w:val="20"/>
              </w:rPr>
              <w:t>$150,000 – $199,999</w:t>
            </w:r>
          </w:p>
        </w:tc>
        <w:tc>
          <w:tcPr>
            <w:tcW w:w="798" w:type="dxa"/>
            <w:tcBorders>
              <w:top w:val="nil"/>
              <w:left w:val="nil"/>
              <w:bottom w:val="nil"/>
              <w:right w:val="nil"/>
            </w:tcBorders>
            <w:shd w:val="clear" w:color="000000" w:fill="FFFFFF"/>
            <w:noWrap/>
            <w:vAlign w:val="center"/>
          </w:tcPr>
          <w:p w14:paraId="18F045E6" w14:textId="4152C43E" w:rsidR="00497FDB" w:rsidRPr="003E55F4" w:rsidRDefault="00497FDB" w:rsidP="00497FDB">
            <w:pPr>
              <w:tabs>
                <w:tab w:val="decimal" w:pos="165"/>
              </w:tabs>
              <w:spacing w:after="0" w:line="240" w:lineRule="auto"/>
              <w:jc w:val="center"/>
              <w:rPr>
                <w:rFonts w:eastAsia="Times New Roman"/>
                <w:color w:val="000000"/>
                <w:sz w:val="20"/>
                <w:szCs w:val="20"/>
              </w:rPr>
            </w:pPr>
            <w:r w:rsidRPr="003E55F4">
              <w:rPr>
                <w:rFonts w:eastAsia="Times New Roman"/>
                <w:color w:val="000000"/>
                <w:sz w:val="20"/>
                <w:szCs w:val="20"/>
              </w:rPr>
              <w:t>9.2</w:t>
            </w:r>
          </w:p>
        </w:tc>
        <w:tc>
          <w:tcPr>
            <w:tcW w:w="786" w:type="dxa"/>
            <w:tcBorders>
              <w:top w:val="nil"/>
              <w:left w:val="nil"/>
              <w:bottom w:val="nil"/>
              <w:right w:val="single" w:sz="12" w:space="0" w:color="auto"/>
            </w:tcBorders>
            <w:shd w:val="clear" w:color="000000" w:fill="FFFFFF"/>
            <w:noWrap/>
            <w:vAlign w:val="center"/>
          </w:tcPr>
          <w:p w14:paraId="54B64B17" w14:textId="1F3F470E" w:rsidR="00497FDB" w:rsidRPr="003E55F4" w:rsidRDefault="00497FDB" w:rsidP="00497FDB">
            <w:pPr>
              <w:tabs>
                <w:tab w:val="decimal" w:pos="180"/>
              </w:tabs>
              <w:spacing w:after="0" w:line="240" w:lineRule="auto"/>
              <w:jc w:val="center"/>
              <w:rPr>
                <w:rFonts w:eastAsia="Times New Roman"/>
                <w:color w:val="000000"/>
                <w:sz w:val="20"/>
                <w:szCs w:val="20"/>
              </w:rPr>
            </w:pPr>
            <w:r w:rsidRPr="003E55F4">
              <w:rPr>
                <w:rFonts w:eastAsia="Times New Roman"/>
                <w:color w:val="000000"/>
                <w:sz w:val="20"/>
                <w:szCs w:val="20"/>
              </w:rPr>
              <w:t>8.8</w:t>
            </w:r>
          </w:p>
        </w:tc>
      </w:tr>
      <w:tr w:rsidR="00497FDB" w:rsidRPr="003E55F4" w14:paraId="7FD238A1" w14:textId="77777777" w:rsidTr="00687312">
        <w:trPr>
          <w:trHeight w:val="259"/>
          <w:jc w:val="center"/>
        </w:trPr>
        <w:tc>
          <w:tcPr>
            <w:tcW w:w="3410" w:type="dxa"/>
            <w:tcBorders>
              <w:top w:val="nil"/>
              <w:left w:val="single" w:sz="12" w:space="0" w:color="auto"/>
              <w:bottom w:val="nil"/>
              <w:right w:val="nil"/>
            </w:tcBorders>
            <w:shd w:val="clear" w:color="000000" w:fill="FFFFFF"/>
            <w:noWrap/>
            <w:vAlign w:val="center"/>
            <w:hideMark/>
          </w:tcPr>
          <w:p w14:paraId="6A7CBB2D" w14:textId="77777777" w:rsidR="00497FDB" w:rsidRPr="003E55F4" w:rsidRDefault="00497FDB" w:rsidP="00497FDB">
            <w:pPr>
              <w:spacing w:after="0" w:line="240" w:lineRule="auto"/>
              <w:rPr>
                <w:rFonts w:eastAsia="Times New Roman"/>
                <w:b/>
                <w:bCs/>
                <w:color w:val="000000"/>
                <w:sz w:val="20"/>
                <w:szCs w:val="20"/>
              </w:rPr>
            </w:pPr>
            <w:r w:rsidRPr="003E55F4">
              <w:rPr>
                <w:rFonts w:eastAsia="Times New Roman"/>
                <w:b/>
                <w:bCs/>
                <w:color w:val="000000"/>
                <w:sz w:val="20"/>
                <w:szCs w:val="20"/>
              </w:rPr>
              <w:t>Number of workers</w:t>
            </w:r>
          </w:p>
        </w:tc>
        <w:tc>
          <w:tcPr>
            <w:tcW w:w="867" w:type="dxa"/>
            <w:tcBorders>
              <w:top w:val="nil"/>
              <w:left w:val="nil"/>
              <w:bottom w:val="nil"/>
              <w:right w:val="nil"/>
            </w:tcBorders>
            <w:shd w:val="clear" w:color="000000" w:fill="FFFFFF"/>
            <w:noWrap/>
            <w:vAlign w:val="center"/>
            <w:hideMark/>
          </w:tcPr>
          <w:p w14:paraId="4E25A0A9" w14:textId="6E29EA08" w:rsidR="00497FDB" w:rsidRPr="003E55F4" w:rsidRDefault="00497FDB" w:rsidP="00497FDB">
            <w:pPr>
              <w:tabs>
                <w:tab w:val="decimal" w:pos="225"/>
              </w:tabs>
              <w:spacing w:after="0" w:line="240" w:lineRule="auto"/>
              <w:jc w:val="center"/>
              <w:rPr>
                <w:rFonts w:eastAsia="Times New Roman"/>
                <w:color w:val="000000"/>
                <w:sz w:val="20"/>
                <w:szCs w:val="20"/>
              </w:rPr>
            </w:pPr>
          </w:p>
        </w:tc>
        <w:tc>
          <w:tcPr>
            <w:tcW w:w="786" w:type="dxa"/>
            <w:tcBorders>
              <w:top w:val="nil"/>
              <w:left w:val="nil"/>
              <w:bottom w:val="nil"/>
              <w:right w:val="single" w:sz="12" w:space="0" w:color="auto"/>
            </w:tcBorders>
            <w:shd w:val="clear" w:color="000000" w:fill="FFFFFF"/>
            <w:noWrap/>
            <w:vAlign w:val="center"/>
            <w:hideMark/>
          </w:tcPr>
          <w:p w14:paraId="14916224" w14:textId="590426CC" w:rsidR="00497FDB" w:rsidRPr="003E55F4" w:rsidRDefault="00497FDB" w:rsidP="00497FDB">
            <w:pPr>
              <w:tabs>
                <w:tab w:val="decimal" w:pos="255"/>
              </w:tabs>
              <w:spacing w:after="0" w:line="240" w:lineRule="auto"/>
              <w:jc w:val="center"/>
              <w:rPr>
                <w:rFonts w:eastAsia="Times New Roman"/>
                <w:color w:val="000000"/>
                <w:sz w:val="20"/>
                <w:szCs w:val="20"/>
              </w:rPr>
            </w:pPr>
          </w:p>
        </w:tc>
        <w:tc>
          <w:tcPr>
            <w:tcW w:w="2899" w:type="dxa"/>
            <w:tcBorders>
              <w:top w:val="nil"/>
              <w:left w:val="single" w:sz="12" w:space="0" w:color="auto"/>
              <w:bottom w:val="nil"/>
              <w:right w:val="nil"/>
            </w:tcBorders>
            <w:shd w:val="clear" w:color="000000" w:fill="FFFFFF"/>
            <w:noWrap/>
            <w:vAlign w:val="center"/>
          </w:tcPr>
          <w:p w14:paraId="286EC463" w14:textId="7835238E" w:rsidR="00497FDB" w:rsidRPr="003E55F4" w:rsidRDefault="00497FDB" w:rsidP="00497FDB">
            <w:pPr>
              <w:spacing w:after="0" w:line="240" w:lineRule="auto"/>
              <w:ind w:firstLineChars="100" w:firstLine="200"/>
              <w:rPr>
                <w:rFonts w:eastAsia="Times New Roman"/>
                <w:color w:val="000000"/>
                <w:sz w:val="20"/>
                <w:szCs w:val="20"/>
              </w:rPr>
            </w:pPr>
            <w:r w:rsidRPr="003E55F4">
              <w:rPr>
                <w:rFonts w:eastAsia="Times New Roman"/>
                <w:color w:val="000000"/>
                <w:sz w:val="20"/>
                <w:szCs w:val="20"/>
              </w:rPr>
              <w:t>$200,000 or more</w:t>
            </w:r>
          </w:p>
        </w:tc>
        <w:tc>
          <w:tcPr>
            <w:tcW w:w="798" w:type="dxa"/>
            <w:tcBorders>
              <w:top w:val="nil"/>
              <w:left w:val="nil"/>
              <w:bottom w:val="nil"/>
              <w:right w:val="nil"/>
            </w:tcBorders>
            <w:shd w:val="clear" w:color="000000" w:fill="FFFFFF"/>
            <w:noWrap/>
            <w:vAlign w:val="center"/>
          </w:tcPr>
          <w:p w14:paraId="3C70E47B" w14:textId="7D0BFA34" w:rsidR="00497FDB" w:rsidRPr="003E55F4" w:rsidRDefault="00497FDB" w:rsidP="00497FDB">
            <w:pPr>
              <w:tabs>
                <w:tab w:val="decimal" w:pos="165"/>
              </w:tabs>
              <w:spacing w:after="0" w:line="240" w:lineRule="auto"/>
              <w:jc w:val="center"/>
              <w:rPr>
                <w:rFonts w:eastAsia="Times New Roman"/>
                <w:color w:val="000000"/>
                <w:sz w:val="20"/>
                <w:szCs w:val="20"/>
              </w:rPr>
            </w:pPr>
            <w:r w:rsidRPr="003E55F4">
              <w:rPr>
                <w:rFonts w:eastAsia="Times New Roman"/>
                <w:color w:val="000000"/>
                <w:sz w:val="20"/>
                <w:szCs w:val="20"/>
              </w:rPr>
              <w:t>12.8</w:t>
            </w:r>
          </w:p>
        </w:tc>
        <w:tc>
          <w:tcPr>
            <w:tcW w:w="786" w:type="dxa"/>
            <w:tcBorders>
              <w:top w:val="nil"/>
              <w:left w:val="nil"/>
              <w:bottom w:val="nil"/>
              <w:right w:val="single" w:sz="12" w:space="0" w:color="auto"/>
            </w:tcBorders>
            <w:shd w:val="clear" w:color="000000" w:fill="FFFFFF"/>
            <w:noWrap/>
            <w:vAlign w:val="center"/>
          </w:tcPr>
          <w:p w14:paraId="51FA0658" w14:textId="6A4373B7" w:rsidR="00497FDB" w:rsidRPr="003E55F4" w:rsidRDefault="00497FDB" w:rsidP="00497FDB">
            <w:pPr>
              <w:tabs>
                <w:tab w:val="decimal" w:pos="180"/>
              </w:tabs>
              <w:spacing w:after="0" w:line="240" w:lineRule="auto"/>
              <w:jc w:val="center"/>
              <w:rPr>
                <w:rFonts w:eastAsia="Times New Roman"/>
                <w:color w:val="000000"/>
                <w:sz w:val="20"/>
                <w:szCs w:val="20"/>
              </w:rPr>
            </w:pPr>
            <w:r w:rsidRPr="003E55F4">
              <w:rPr>
                <w:rFonts w:eastAsia="Times New Roman"/>
                <w:color w:val="000000"/>
                <w:sz w:val="20"/>
                <w:szCs w:val="20"/>
              </w:rPr>
              <w:t>11.4</w:t>
            </w:r>
          </w:p>
        </w:tc>
      </w:tr>
      <w:tr w:rsidR="00497FDB" w:rsidRPr="003E55F4" w14:paraId="45FA5372" w14:textId="77777777" w:rsidTr="00687312">
        <w:trPr>
          <w:trHeight w:val="259"/>
          <w:jc w:val="center"/>
        </w:trPr>
        <w:tc>
          <w:tcPr>
            <w:tcW w:w="3410" w:type="dxa"/>
            <w:tcBorders>
              <w:top w:val="nil"/>
              <w:left w:val="single" w:sz="12" w:space="0" w:color="auto"/>
              <w:bottom w:val="nil"/>
              <w:right w:val="nil"/>
            </w:tcBorders>
            <w:shd w:val="clear" w:color="000000" w:fill="FFFFFF"/>
            <w:noWrap/>
            <w:vAlign w:val="center"/>
            <w:hideMark/>
          </w:tcPr>
          <w:p w14:paraId="3ED37073" w14:textId="77777777" w:rsidR="00497FDB" w:rsidRPr="003E55F4" w:rsidRDefault="00497FDB" w:rsidP="00497FDB">
            <w:pPr>
              <w:spacing w:after="0" w:line="240" w:lineRule="auto"/>
              <w:ind w:firstLineChars="100" w:firstLine="200"/>
              <w:rPr>
                <w:rFonts w:eastAsia="Times New Roman"/>
                <w:color w:val="000000"/>
                <w:sz w:val="20"/>
                <w:szCs w:val="20"/>
              </w:rPr>
            </w:pPr>
            <w:r w:rsidRPr="003E55F4">
              <w:rPr>
                <w:rFonts w:eastAsia="Times New Roman"/>
                <w:color w:val="000000"/>
                <w:sz w:val="20"/>
                <w:szCs w:val="20"/>
              </w:rPr>
              <w:t>0</w:t>
            </w:r>
          </w:p>
        </w:tc>
        <w:tc>
          <w:tcPr>
            <w:tcW w:w="867" w:type="dxa"/>
            <w:tcBorders>
              <w:top w:val="nil"/>
              <w:left w:val="nil"/>
              <w:bottom w:val="nil"/>
              <w:right w:val="nil"/>
            </w:tcBorders>
            <w:shd w:val="clear" w:color="000000" w:fill="FFFFFF"/>
            <w:noWrap/>
            <w:vAlign w:val="center"/>
            <w:hideMark/>
          </w:tcPr>
          <w:p w14:paraId="508DBE46" w14:textId="01007563" w:rsidR="00497FDB" w:rsidRPr="003E55F4" w:rsidRDefault="00497FDB" w:rsidP="00497FDB">
            <w:pPr>
              <w:tabs>
                <w:tab w:val="decimal" w:pos="225"/>
              </w:tabs>
              <w:spacing w:after="0" w:line="240" w:lineRule="auto"/>
              <w:jc w:val="center"/>
              <w:rPr>
                <w:rFonts w:eastAsia="Times New Roman"/>
                <w:color w:val="000000"/>
                <w:sz w:val="20"/>
                <w:szCs w:val="20"/>
              </w:rPr>
            </w:pPr>
            <w:r w:rsidRPr="003E55F4">
              <w:rPr>
                <w:rFonts w:eastAsia="Times New Roman"/>
                <w:color w:val="000000"/>
                <w:sz w:val="20"/>
                <w:szCs w:val="20"/>
              </w:rPr>
              <w:t>28.8</w:t>
            </w:r>
          </w:p>
        </w:tc>
        <w:tc>
          <w:tcPr>
            <w:tcW w:w="786" w:type="dxa"/>
            <w:tcBorders>
              <w:top w:val="nil"/>
              <w:left w:val="nil"/>
              <w:bottom w:val="nil"/>
              <w:right w:val="single" w:sz="12" w:space="0" w:color="auto"/>
            </w:tcBorders>
            <w:shd w:val="clear" w:color="000000" w:fill="FFFFFF"/>
            <w:noWrap/>
            <w:vAlign w:val="center"/>
            <w:hideMark/>
          </w:tcPr>
          <w:p w14:paraId="68C95CBE" w14:textId="09A410F7" w:rsidR="00497FDB" w:rsidRPr="003E55F4" w:rsidRDefault="00497FDB" w:rsidP="00497FDB">
            <w:pPr>
              <w:tabs>
                <w:tab w:val="decimal" w:pos="255"/>
              </w:tabs>
              <w:spacing w:after="0" w:line="240" w:lineRule="auto"/>
              <w:jc w:val="center"/>
              <w:rPr>
                <w:rFonts w:eastAsia="Times New Roman"/>
                <w:color w:val="000000"/>
                <w:sz w:val="20"/>
                <w:szCs w:val="20"/>
              </w:rPr>
            </w:pPr>
            <w:r w:rsidRPr="003E55F4">
              <w:rPr>
                <w:rFonts w:eastAsia="Times New Roman"/>
                <w:color w:val="000000"/>
                <w:sz w:val="20"/>
                <w:szCs w:val="20"/>
              </w:rPr>
              <w:t>--</w:t>
            </w:r>
          </w:p>
        </w:tc>
        <w:tc>
          <w:tcPr>
            <w:tcW w:w="2899" w:type="dxa"/>
            <w:tcBorders>
              <w:top w:val="nil"/>
              <w:left w:val="single" w:sz="12" w:space="0" w:color="auto"/>
              <w:bottom w:val="nil"/>
              <w:right w:val="nil"/>
            </w:tcBorders>
            <w:shd w:val="clear" w:color="000000" w:fill="FFFFFF"/>
            <w:noWrap/>
            <w:vAlign w:val="center"/>
          </w:tcPr>
          <w:p w14:paraId="0FF7D2A6" w14:textId="608FF68D" w:rsidR="00497FDB" w:rsidRPr="003E55F4" w:rsidRDefault="00497FDB" w:rsidP="00497FDB">
            <w:pPr>
              <w:spacing w:after="0" w:line="240" w:lineRule="auto"/>
              <w:rPr>
                <w:rFonts w:eastAsia="Times New Roman"/>
                <w:color w:val="000000"/>
                <w:sz w:val="20"/>
                <w:szCs w:val="20"/>
                <w:highlight w:val="yellow"/>
              </w:rPr>
            </w:pPr>
            <w:r w:rsidRPr="003E55F4">
              <w:rPr>
                <w:rFonts w:eastAsia="Times New Roman"/>
                <w:b/>
                <w:bCs/>
                <w:color w:val="000000"/>
                <w:sz w:val="20"/>
                <w:szCs w:val="20"/>
              </w:rPr>
              <w:t>Household ownership</w:t>
            </w:r>
          </w:p>
        </w:tc>
        <w:tc>
          <w:tcPr>
            <w:tcW w:w="798" w:type="dxa"/>
            <w:tcBorders>
              <w:top w:val="nil"/>
              <w:left w:val="nil"/>
              <w:bottom w:val="nil"/>
              <w:right w:val="nil"/>
            </w:tcBorders>
            <w:shd w:val="clear" w:color="000000" w:fill="FFFFFF"/>
            <w:noWrap/>
            <w:vAlign w:val="center"/>
          </w:tcPr>
          <w:p w14:paraId="3158D3D1" w14:textId="2EEFA1C7" w:rsidR="00497FDB" w:rsidRPr="003E55F4" w:rsidRDefault="00497FDB" w:rsidP="00497FDB">
            <w:pPr>
              <w:tabs>
                <w:tab w:val="decimal" w:pos="165"/>
              </w:tabs>
              <w:spacing w:after="0" w:line="240" w:lineRule="auto"/>
              <w:jc w:val="center"/>
              <w:rPr>
                <w:rFonts w:eastAsia="Times New Roman"/>
                <w:color w:val="000000"/>
                <w:sz w:val="20"/>
                <w:szCs w:val="20"/>
                <w:highlight w:val="yellow"/>
              </w:rPr>
            </w:pPr>
          </w:p>
        </w:tc>
        <w:tc>
          <w:tcPr>
            <w:tcW w:w="786" w:type="dxa"/>
            <w:tcBorders>
              <w:top w:val="nil"/>
              <w:left w:val="nil"/>
              <w:bottom w:val="nil"/>
              <w:right w:val="single" w:sz="12" w:space="0" w:color="auto"/>
            </w:tcBorders>
            <w:shd w:val="clear" w:color="000000" w:fill="FFFFFF"/>
            <w:noWrap/>
            <w:vAlign w:val="center"/>
          </w:tcPr>
          <w:p w14:paraId="37C2C487" w14:textId="563F1F2E" w:rsidR="00497FDB" w:rsidRPr="003E55F4" w:rsidRDefault="00497FDB" w:rsidP="00497FDB">
            <w:pPr>
              <w:tabs>
                <w:tab w:val="decimal" w:pos="180"/>
              </w:tabs>
              <w:spacing w:after="0" w:line="240" w:lineRule="auto"/>
              <w:jc w:val="center"/>
              <w:rPr>
                <w:rFonts w:eastAsia="Times New Roman"/>
                <w:color w:val="000000"/>
                <w:sz w:val="20"/>
                <w:szCs w:val="20"/>
                <w:highlight w:val="yellow"/>
              </w:rPr>
            </w:pPr>
          </w:p>
        </w:tc>
      </w:tr>
      <w:tr w:rsidR="00497FDB" w:rsidRPr="003E55F4" w14:paraId="4E98241A" w14:textId="77777777" w:rsidTr="00687312">
        <w:trPr>
          <w:trHeight w:val="259"/>
          <w:jc w:val="center"/>
        </w:trPr>
        <w:tc>
          <w:tcPr>
            <w:tcW w:w="3410" w:type="dxa"/>
            <w:tcBorders>
              <w:top w:val="nil"/>
              <w:left w:val="single" w:sz="12" w:space="0" w:color="auto"/>
              <w:bottom w:val="nil"/>
              <w:right w:val="nil"/>
            </w:tcBorders>
            <w:shd w:val="clear" w:color="000000" w:fill="FFFFFF"/>
            <w:noWrap/>
            <w:vAlign w:val="center"/>
            <w:hideMark/>
          </w:tcPr>
          <w:p w14:paraId="2F60258A" w14:textId="77777777" w:rsidR="00497FDB" w:rsidRPr="003E55F4" w:rsidRDefault="00497FDB" w:rsidP="00497FDB">
            <w:pPr>
              <w:spacing w:after="0" w:line="240" w:lineRule="auto"/>
              <w:ind w:firstLineChars="100" w:firstLine="200"/>
              <w:rPr>
                <w:rFonts w:eastAsia="Times New Roman"/>
                <w:color w:val="000000"/>
                <w:sz w:val="20"/>
                <w:szCs w:val="20"/>
              </w:rPr>
            </w:pPr>
            <w:r w:rsidRPr="003E55F4">
              <w:rPr>
                <w:rFonts w:eastAsia="Times New Roman"/>
                <w:color w:val="000000"/>
                <w:sz w:val="20"/>
                <w:szCs w:val="20"/>
              </w:rPr>
              <w:t>1</w:t>
            </w:r>
          </w:p>
        </w:tc>
        <w:tc>
          <w:tcPr>
            <w:tcW w:w="867" w:type="dxa"/>
            <w:tcBorders>
              <w:top w:val="nil"/>
              <w:left w:val="nil"/>
              <w:bottom w:val="nil"/>
              <w:right w:val="nil"/>
            </w:tcBorders>
            <w:shd w:val="clear" w:color="000000" w:fill="FFFFFF"/>
            <w:noWrap/>
            <w:vAlign w:val="center"/>
            <w:hideMark/>
          </w:tcPr>
          <w:p w14:paraId="168CF2E8" w14:textId="7DF76B47" w:rsidR="00497FDB" w:rsidRPr="003E55F4" w:rsidRDefault="00497FDB" w:rsidP="00497FDB">
            <w:pPr>
              <w:tabs>
                <w:tab w:val="decimal" w:pos="225"/>
              </w:tabs>
              <w:spacing w:after="0" w:line="240" w:lineRule="auto"/>
              <w:jc w:val="center"/>
              <w:rPr>
                <w:rFonts w:eastAsia="Times New Roman"/>
                <w:color w:val="000000"/>
                <w:sz w:val="20"/>
                <w:szCs w:val="20"/>
              </w:rPr>
            </w:pPr>
            <w:r w:rsidRPr="003E55F4">
              <w:rPr>
                <w:rFonts w:eastAsia="Times New Roman"/>
                <w:color w:val="000000"/>
                <w:sz w:val="20"/>
                <w:szCs w:val="20"/>
              </w:rPr>
              <w:t>31.1</w:t>
            </w:r>
          </w:p>
        </w:tc>
        <w:tc>
          <w:tcPr>
            <w:tcW w:w="786" w:type="dxa"/>
            <w:tcBorders>
              <w:top w:val="nil"/>
              <w:left w:val="nil"/>
              <w:bottom w:val="nil"/>
              <w:right w:val="single" w:sz="12" w:space="0" w:color="auto"/>
            </w:tcBorders>
            <w:shd w:val="clear" w:color="000000" w:fill="FFFFFF"/>
            <w:noWrap/>
            <w:vAlign w:val="center"/>
            <w:hideMark/>
          </w:tcPr>
          <w:p w14:paraId="384F649B" w14:textId="17DB846C" w:rsidR="00497FDB" w:rsidRPr="003E55F4" w:rsidRDefault="00497FDB" w:rsidP="00497FDB">
            <w:pPr>
              <w:tabs>
                <w:tab w:val="decimal" w:pos="255"/>
              </w:tabs>
              <w:spacing w:after="0" w:line="240" w:lineRule="auto"/>
              <w:jc w:val="center"/>
              <w:rPr>
                <w:rFonts w:eastAsia="Times New Roman"/>
                <w:color w:val="000000"/>
                <w:sz w:val="20"/>
                <w:szCs w:val="20"/>
              </w:rPr>
            </w:pPr>
            <w:r w:rsidRPr="003E55F4">
              <w:rPr>
                <w:rFonts w:eastAsia="Times New Roman"/>
                <w:color w:val="000000"/>
                <w:sz w:val="20"/>
                <w:szCs w:val="20"/>
              </w:rPr>
              <w:t>--</w:t>
            </w:r>
          </w:p>
        </w:tc>
        <w:tc>
          <w:tcPr>
            <w:tcW w:w="2899" w:type="dxa"/>
            <w:tcBorders>
              <w:top w:val="nil"/>
              <w:left w:val="single" w:sz="12" w:space="0" w:color="auto"/>
              <w:bottom w:val="nil"/>
              <w:right w:val="nil"/>
            </w:tcBorders>
            <w:shd w:val="clear" w:color="000000" w:fill="FFFFFF"/>
            <w:noWrap/>
            <w:vAlign w:val="center"/>
          </w:tcPr>
          <w:p w14:paraId="58D35C3C" w14:textId="0DF266A1" w:rsidR="00497FDB" w:rsidRPr="003E55F4" w:rsidRDefault="00497FDB" w:rsidP="00497FDB">
            <w:pPr>
              <w:spacing w:after="0" w:line="240" w:lineRule="auto"/>
              <w:ind w:firstLineChars="100" w:firstLine="200"/>
              <w:rPr>
                <w:rFonts w:eastAsia="Times New Roman"/>
                <w:color w:val="000000"/>
                <w:sz w:val="20"/>
                <w:szCs w:val="20"/>
                <w:highlight w:val="yellow"/>
              </w:rPr>
            </w:pPr>
            <w:r w:rsidRPr="003E55F4">
              <w:rPr>
                <w:rFonts w:eastAsia="Times New Roman"/>
                <w:color w:val="000000"/>
                <w:sz w:val="20"/>
                <w:szCs w:val="20"/>
              </w:rPr>
              <w:t>Own</w:t>
            </w:r>
          </w:p>
        </w:tc>
        <w:tc>
          <w:tcPr>
            <w:tcW w:w="798" w:type="dxa"/>
            <w:tcBorders>
              <w:top w:val="nil"/>
              <w:left w:val="nil"/>
              <w:bottom w:val="nil"/>
              <w:right w:val="nil"/>
            </w:tcBorders>
            <w:shd w:val="clear" w:color="000000" w:fill="FFFFFF"/>
            <w:noWrap/>
            <w:vAlign w:val="center"/>
          </w:tcPr>
          <w:p w14:paraId="3F86400A" w14:textId="2757D514" w:rsidR="00497FDB" w:rsidRPr="003E55F4" w:rsidRDefault="00497FDB" w:rsidP="00497FDB">
            <w:pPr>
              <w:tabs>
                <w:tab w:val="decimal" w:pos="165"/>
              </w:tabs>
              <w:spacing w:after="0" w:line="240" w:lineRule="auto"/>
              <w:jc w:val="center"/>
              <w:rPr>
                <w:rFonts w:eastAsia="Times New Roman"/>
                <w:color w:val="000000"/>
                <w:sz w:val="20"/>
                <w:szCs w:val="20"/>
                <w:highlight w:val="yellow"/>
              </w:rPr>
            </w:pPr>
            <w:r w:rsidRPr="003E55F4">
              <w:rPr>
                <w:rFonts w:eastAsia="Times New Roman"/>
                <w:color w:val="000000"/>
                <w:sz w:val="20"/>
                <w:szCs w:val="20"/>
              </w:rPr>
              <w:t>78.4</w:t>
            </w:r>
          </w:p>
        </w:tc>
        <w:tc>
          <w:tcPr>
            <w:tcW w:w="786" w:type="dxa"/>
            <w:tcBorders>
              <w:top w:val="nil"/>
              <w:left w:val="nil"/>
              <w:bottom w:val="nil"/>
              <w:right w:val="single" w:sz="12" w:space="0" w:color="auto"/>
            </w:tcBorders>
            <w:shd w:val="clear" w:color="000000" w:fill="FFFFFF"/>
            <w:noWrap/>
            <w:vAlign w:val="center"/>
          </w:tcPr>
          <w:p w14:paraId="1C539C19" w14:textId="6F9628A5" w:rsidR="00497FDB" w:rsidRPr="003E55F4" w:rsidRDefault="00497FDB" w:rsidP="00497FDB">
            <w:pPr>
              <w:tabs>
                <w:tab w:val="decimal" w:pos="180"/>
              </w:tabs>
              <w:spacing w:after="0" w:line="240" w:lineRule="auto"/>
              <w:jc w:val="center"/>
              <w:rPr>
                <w:rFonts w:eastAsia="Times New Roman"/>
                <w:color w:val="000000"/>
                <w:sz w:val="20"/>
                <w:szCs w:val="20"/>
                <w:highlight w:val="yellow"/>
              </w:rPr>
            </w:pPr>
            <w:r w:rsidRPr="003E55F4">
              <w:rPr>
                <w:rFonts w:eastAsia="Times New Roman"/>
                <w:color w:val="000000"/>
                <w:sz w:val="20"/>
                <w:szCs w:val="20"/>
              </w:rPr>
              <w:t>63.1</w:t>
            </w:r>
          </w:p>
        </w:tc>
      </w:tr>
      <w:tr w:rsidR="00497FDB" w:rsidRPr="003E55F4" w14:paraId="1EE0CC73" w14:textId="77777777" w:rsidTr="00687312">
        <w:trPr>
          <w:trHeight w:val="259"/>
          <w:jc w:val="center"/>
        </w:trPr>
        <w:tc>
          <w:tcPr>
            <w:tcW w:w="3410" w:type="dxa"/>
            <w:tcBorders>
              <w:top w:val="nil"/>
              <w:left w:val="single" w:sz="12" w:space="0" w:color="auto"/>
              <w:bottom w:val="nil"/>
              <w:right w:val="nil"/>
            </w:tcBorders>
            <w:shd w:val="clear" w:color="000000" w:fill="FFFFFF"/>
            <w:noWrap/>
            <w:vAlign w:val="center"/>
            <w:hideMark/>
          </w:tcPr>
          <w:p w14:paraId="3DADDC0D" w14:textId="77777777" w:rsidR="00497FDB" w:rsidRPr="003E55F4" w:rsidRDefault="00497FDB" w:rsidP="00497FDB">
            <w:pPr>
              <w:spacing w:after="0" w:line="240" w:lineRule="auto"/>
              <w:ind w:firstLineChars="100" w:firstLine="200"/>
              <w:rPr>
                <w:rFonts w:eastAsia="Times New Roman"/>
                <w:color w:val="000000"/>
                <w:sz w:val="20"/>
                <w:szCs w:val="20"/>
              </w:rPr>
            </w:pPr>
            <w:r w:rsidRPr="003E55F4">
              <w:rPr>
                <w:rFonts w:eastAsia="Times New Roman"/>
                <w:color w:val="000000"/>
                <w:sz w:val="20"/>
                <w:szCs w:val="20"/>
              </w:rPr>
              <w:t>2</w:t>
            </w:r>
          </w:p>
        </w:tc>
        <w:tc>
          <w:tcPr>
            <w:tcW w:w="867" w:type="dxa"/>
            <w:tcBorders>
              <w:top w:val="nil"/>
              <w:left w:val="nil"/>
              <w:bottom w:val="nil"/>
              <w:right w:val="nil"/>
            </w:tcBorders>
            <w:shd w:val="clear" w:color="000000" w:fill="FFFFFF"/>
            <w:noWrap/>
            <w:vAlign w:val="center"/>
            <w:hideMark/>
          </w:tcPr>
          <w:p w14:paraId="51DFBA0F" w14:textId="3827764C" w:rsidR="00497FDB" w:rsidRPr="003E55F4" w:rsidRDefault="00497FDB" w:rsidP="00497FDB">
            <w:pPr>
              <w:tabs>
                <w:tab w:val="decimal" w:pos="225"/>
              </w:tabs>
              <w:spacing w:after="0" w:line="240" w:lineRule="auto"/>
              <w:jc w:val="center"/>
              <w:rPr>
                <w:rFonts w:eastAsia="Times New Roman"/>
                <w:color w:val="000000"/>
                <w:sz w:val="20"/>
                <w:szCs w:val="20"/>
              </w:rPr>
            </w:pPr>
            <w:r w:rsidRPr="003E55F4">
              <w:rPr>
                <w:rFonts w:eastAsia="Times New Roman"/>
                <w:color w:val="000000"/>
                <w:sz w:val="20"/>
                <w:szCs w:val="20"/>
              </w:rPr>
              <w:t>31.9</w:t>
            </w:r>
          </w:p>
        </w:tc>
        <w:tc>
          <w:tcPr>
            <w:tcW w:w="786" w:type="dxa"/>
            <w:tcBorders>
              <w:top w:val="nil"/>
              <w:left w:val="nil"/>
              <w:bottom w:val="nil"/>
              <w:right w:val="single" w:sz="12" w:space="0" w:color="auto"/>
            </w:tcBorders>
            <w:shd w:val="clear" w:color="000000" w:fill="FFFFFF"/>
            <w:noWrap/>
            <w:vAlign w:val="center"/>
            <w:hideMark/>
          </w:tcPr>
          <w:p w14:paraId="0EF1BB67" w14:textId="5CF2250A" w:rsidR="00497FDB" w:rsidRPr="003E55F4" w:rsidRDefault="00497FDB" w:rsidP="00497FDB">
            <w:pPr>
              <w:tabs>
                <w:tab w:val="decimal" w:pos="255"/>
              </w:tabs>
              <w:spacing w:after="0" w:line="240" w:lineRule="auto"/>
              <w:jc w:val="center"/>
              <w:rPr>
                <w:rFonts w:eastAsia="Times New Roman"/>
                <w:color w:val="000000"/>
                <w:sz w:val="20"/>
                <w:szCs w:val="20"/>
              </w:rPr>
            </w:pPr>
            <w:r w:rsidRPr="003E55F4">
              <w:rPr>
                <w:rFonts w:eastAsia="Times New Roman"/>
                <w:color w:val="000000"/>
                <w:sz w:val="20"/>
                <w:szCs w:val="20"/>
              </w:rPr>
              <w:t>--</w:t>
            </w:r>
          </w:p>
        </w:tc>
        <w:tc>
          <w:tcPr>
            <w:tcW w:w="2899" w:type="dxa"/>
            <w:tcBorders>
              <w:top w:val="nil"/>
              <w:left w:val="single" w:sz="12" w:space="0" w:color="auto"/>
              <w:bottom w:val="nil"/>
              <w:right w:val="nil"/>
            </w:tcBorders>
            <w:shd w:val="clear" w:color="000000" w:fill="FFFFFF"/>
            <w:noWrap/>
            <w:vAlign w:val="center"/>
          </w:tcPr>
          <w:p w14:paraId="6AAF0BBF" w14:textId="6EA22D9C" w:rsidR="00497FDB" w:rsidRPr="003E55F4" w:rsidRDefault="00497FDB" w:rsidP="00497FDB">
            <w:pPr>
              <w:spacing w:after="0" w:line="240" w:lineRule="auto"/>
              <w:ind w:firstLineChars="100" w:firstLine="200"/>
              <w:rPr>
                <w:rFonts w:eastAsia="Times New Roman"/>
                <w:color w:val="000000"/>
                <w:sz w:val="20"/>
                <w:szCs w:val="20"/>
                <w:highlight w:val="yellow"/>
              </w:rPr>
            </w:pPr>
            <w:r w:rsidRPr="003E55F4">
              <w:rPr>
                <w:rFonts w:eastAsia="Times New Roman"/>
                <w:color w:val="000000"/>
                <w:sz w:val="20"/>
                <w:szCs w:val="20"/>
              </w:rPr>
              <w:t>Rent</w:t>
            </w:r>
          </w:p>
        </w:tc>
        <w:tc>
          <w:tcPr>
            <w:tcW w:w="798" w:type="dxa"/>
            <w:tcBorders>
              <w:top w:val="nil"/>
              <w:left w:val="nil"/>
              <w:bottom w:val="nil"/>
              <w:right w:val="nil"/>
            </w:tcBorders>
            <w:shd w:val="clear" w:color="000000" w:fill="FFFFFF"/>
            <w:noWrap/>
            <w:vAlign w:val="center"/>
          </w:tcPr>
          <w:p w14:paraId="58629A78" w14:textId="5EBCBA9F" w:rsidR="00497FDB" w:rsidRPr="003E55F4" w:rsidRDefault="00497FDB" w:rsidP="00497FDB">
            <w:pPr>
              <w:tabs>
                <w:tab w:val="decimal" w:pos="165"/>
              </w:tabs>
              <w:spacing w:after="0" w:line="240" w:lineRule="auto"/>
              <w:jc w:val="center"/>
              <w:rPr>
                <w:rFonts w:eastAsia="Times New Roman"/>
                <w:color w:val="000000"/>
                <w:sz w:val="20"/>
                <w:szCs w:val="20"/>
                <w:highlight w:val="yellow"/>
              </w:rPr>
            </w:pPr>
            <w:r w:rsidRPr="003E55F4">
              <w:rPr>
                <w:rFonts w:eastAsia="Times New Roman"/>
                <w:color w:val="000000"/>
                <w:sz w:val="20"/>
                <w:szCs w:val="20"/>
              </w:rPr>
              <w:t>21.6</w:t>
            </w:r>
          </w:p>
        </w:tc>
        <w:tc>
          <w:tcPr>
            <w:tcW w:w="786" w:type="dxa"/>
            <w:tcBorders>
              <w:top w:val="nil"/>
              <w:left w:val="nil"/>
              <w:bottom w:val="nil"/>
              <w:right w:val="single" w:sz="12" w:space="0" w:color="auto"/>
            </w:tcBorders>
            <w:shd w:val="clear" w:color="000000" w:fill="FFFFFF"/>
            <w:noWrap/>
            <w:vAlign w:val="center"/>
          </w:tcPr>
          <w:p w14:paraId="59CCBFA4" w14:textId="095056D5" w:rsidR="00497FDB" w:rsidRPr="003E55F4" w:rsidRDefault="00497FDB" w:rsidP="00497FDB">
            <w:pPr>
              <w:tabs>
                <w:tab w:val="decimal" w:pos="180"/>
              </w:tabs>
              <w:spacing w:after="0" w:line="240" w:lineRule="auto"/>
              <w:jc w:val="center"/>
              <w:rPr>
                <w:rFonts w:eastAsia="Times New Roman"/>
                <w:color w:val="000000"/>
                <w:sz w:val="20"/>
                <w:szCs w:val="20"/>
                <w:highlight w:val="yellow"/>
              </w:rPr>
            </w:pPr>
            <w:r w:rsidRPr="003E55F4">
              <w:rPr>
                <w:rFonts w:eastAsia="Times New Roman"/>
                <w:color w:val="000000"/>
                <w:sz w:val="20"/>
                <w:szCs w:val="20"/>
              </w:rPr>
              <w:t>36.9</w:t>
            </w:r>
          </w:p>
        </w:tc>
      </w:tr>
      <w:tr w:rsidR="00497FDB" w:rsidRPr="003E55F4" w14:paraId="10F37E43" w14:textId="77777777" w:rsidTr="00687312">
        <w:trPr>
          <w:trHeight w:val="259"/>
          <w:jc w:val="center"/>
        </w:trPr>
        <w:tc>
          <w:tcPr>
            <w:tcW w:w="3410" w:type="dxa"/>
            <w:tcBorders>
              <w:top w:val="nil"/>
              <w:left w:val="single" w:sz="12" w:space="0" w:color="auto"/>
              <w:bottom w:val="nil"/>
              <w:right w:val="nil"/>
            </w:tcBorders>
            <w:shd w:val="clear" w:color="000000" w:fill="FFFFFF"/>
            <w:noWrap/>
            <w:vAlign w:val="center"/>
            <w:hideMark/>
          </w:tcPr>
          <w:p w14:paraId="31101166" w14:textId="2BA3AAB0" w:rsidR="00497FDB" w:rsidRPr="003E55F4" w:rsidRDefault="00497FDB" w:rsidP="00497FDB">
            <w:pPr>
              <w:spacing w:after="0" w:line="240" w:lineRule="auto"/>
              <w:ind w:firstLineChars="100" w:firstLine="200"/>
              <w:rPr>
                <w:rFonts w:eastAsia="Times New Roman"/>
                <w:color w:val="000000"/>
                <w:sz w:val="20"/>
                <w:szCs w:val="20"/>
              </w:rPr>
            </w:pPr>
            <w:r w:rsidRPr="003E55F4">
              <w:rPr>
                <w:rFonts w:eastAsia="Times New Roman"/>
                <w:color w:val="000000"/>
                <w:sz w:val="20"/>
                <w:szCs w:val="20"/>
              </w:rPr>
              <w:t>3 or more</w:t>
            </w:r>
          </w:p>
        </w:tc>
        <w:tc>
          <w:tcPr>
            <w:tcW w:w="867" w:type="dxa"/>
            <w:tcBorders>
              <w:top w:val="nil"/>
              <w:left w:val="nil"/>
              <w:bottom w:val="nil"/>
              <w:right w:val="nil"/>
            </w:tcBorders>
            <w:shd w:val="clear" w:color="000000" w:fill="FFFFFF"/>
            <w:noWrap/>
            <w:vAlign w:val="center"/>
            <w:hideMark/>
          </w:tcPr>
          <w:p w14:paraId="507843AE" w14:textId="764AB6CC" w:rsidR="00497FDB" w:rsidRPr="003E55F4" w:rsidRDefault="00497FDB" w:rsidP="00497FDB">
            <w:pPr>
              <w:tabs>
                <w:tab w:val="decimal" w:pos="225"/>
              </w:tabs>
              <w:spacing w:after="0" w:line="240" w:lineRule="auto"/>
              <w:jc w:val="center"/>
              <w:rPr>
                <w:rFonts w:eastAsia="Times New Roman"/>
                <w:color w:val="000000"/>
                <w:sz w:val="20"/>
                <w:szCs w:val="20"/>
              </w:rPr>
            </w:pPr>
            <w:r w:rsidRPr="003E55F4">
              <w:rPr>
                <w:rFonts w:eastAsia="Times New Roman"/>
                <w:color w:val="000000"/>
                <w:sz w:val="20"/>
                <w:szCs w:val="20"/>
              </w:rPr>
              <w:t>8.2</w:t>
            </w:r>
          </w:p>
        </w:tc>
        <w:tc>
          <w:tcPr>
            <w:tcW w:w="786" w:type="dxa"/>
            <w:tcBorders>
              <w:top w:val="nil"/>
              <w:left w:val="nil"/>
              <w:bottom w:val="nil"/>
              <w:right w:val="single" w:sz="12" w:space="0" w:color="auto"/>
            </w:tcBorders>
            <w:shd w:val="clear" w:color="000000" w:fill="FFFFFF"/>
            <w:noWrap/>
            <w:vAlign w:val="center"/>
            <w:hideMark/>
          </w:tcPr>
          <w:p w14:paraId="30C94AF2" w14:textId="2B53ABD1" w:rsidR="00497FDB" w:rsidRPr="003E55F4" w:rsidRDefault="00497FDB" w:rsidP="00497FDB">
            <w:pPr>
              <w:tabs>
                <w:tab w:val="decimal" w:pos="255"/>
              </w:tabs>
              <w:spacing w:after="0" w:line="240" w:lineRule="auto"/>
              <w:jc w:val="center"/>
              <w:rPr>
                <w:rFonts w:eastAsia="Times New Roman"/>
                <w:color w:val="000000"/>
                <w:sz w:val="20"/>
                <w:szCs w:val="20"/>
              </w:rPr>
            </w:pPr>
            <w:r w:rsidRPr="003E55F4">
              <w:rPr>
                <w:rFonts w:eastAsia="Times New Roman"/>
                <w:color w:val="000000"/>
                <w:sz w:val="20"/>
                <w:szCs w:val="20"/>
              </w:rPr>
              <w:t>--</w:t>
            </w:r>
          </w:p>
        </w:tc>
        <w:tc>
          <w:tcPr>
            <w:tcW w:w="2899" w:type="dxa"/>
            <w:tcBorders>
              <w:top w:val="nil"/>
              <w:left w:val="single" w:sz="12" w:space="0" w:color="auto"/>
              <w:bottom w:val="nil"/>
              <w:right w:val="nil"/>
            </w:tcBorders>
            <w:shd w:val="clear" w:color="000000" w:fill="FFFFFF"/>
            <w:noWrap/>
            <w:vAlign w:val="center"/>
          </w:tcPr>
          <w:p w14:paraId="354CEC7F" w14:textId="77600D6C" w:rsidR="00497FDB" w:rsidRPr="003E55F4" w:rsidRDefault="00497FDB" w:rsidP="00497FDB">
            <w:pPr>
              <w:spacing w:after="0" w:line="240" w:lineRule="auto"/>
              <w:rPr>
                <w:rFonts w:eastAsia="Times New Roman"/>
                <w:b/>
                <w:bCs/>
                <w:color w:val="000000"/>
                <w:sz w:val="20"/>
                <w:szCs w:val="20"/>
              </w:rPr>
            </w:pPr>
            <w:r w:rsidRPr="003E55F4">
              <w:rPr>
                <w:rFonts w:eastAsia="Times New Roman"/>
                <w:b/>
                <w:bCs/>
                <w:color w:val="000000"/>
                <w:sz w:val="20"/>
                <w:szCs w:val="20"/>
              </w:rPr>
              <w:t>Household location type</w:t>
            </w:r>
          </w:p>
        </w:tc>
        <w:tc>
          <w:tcPr>
            <w:tcW w:w="798" w:type="dxa"/>
            <w:tcBorders>
              <w:top w:val="nil"/>
              <w:left w:val="nil"/>
              <w:bottom w:val="nil"/>
              <w:right w:val="nil"/>
            </w:tcBorders>
            <w:shd w:val="clear" w:color="000000" w:fill="FFFFFF"/>
            <w:noWrap/>
            <w:vAlign w:val="center"/>
          </w:tcPr>
          <w:p w14:paraId="6319A205" w14:textId="4B382D09" w:rsidR="00497FDB" w:rsidRPr="003E55F4" w:rsidRDefault="00497FDB" w:rsidP="00497FDB">
            <w:pPr>
              <w:tabs>
                <w:tab w:val="decimal" w:pos="165"/>
              </w:tabs>
              <w:spacing w:after="0" w:line="240" w:lineRule="auto"/>
              <w:jc w:val="center"/>
              <w:rPr>
                <w:rFonts w:eastAsia="Times New Roman"/>
                <w:color w:val="000000"/>
                <w:sz w:val="20"/>
                <w:szCs w:val="20"/>
              </w:rPr>
            </w:pPr>
          </w:p>
        </w:tc>
        <w:tc>
          <w:tcPr>
            <w:tcW w:w="786" w:type="dxa"/>
            <w:tcBorders>
              <w:top w:val="nil"/>
              <w:left w:val="nil"/>
              <w:bottom w:val="nil"/>
              <w:right w:val="single" w:sz="12" w:space="0" w:color="auto"/>
            </w:tcBorders>
            <w:shd w:val="clear" w:color="000000" w:fill="FFFFFF"/>
            <w:noWrap/>
            <w:vAlign w:val="center"/>
          </w:tcPr>
          <w:p w14:paraId="69698A82" w14:textId="45249074" w:rsidR="00497FDB" w:rsidRPr="003E55F4" w:rsidRDefault="00497FDB" w:rsidP="00497FDB">
            <w:pPr>
              <w:tabs>
                <w:tab w:val="decimal" w:pos="180"/>
              </w:tabs>
              <w:spacing w:after="0" w:line="240" w:lineRule="auto"/>
              <w:jc w:val="center"/>
              <w:rPr>
                <w:rFonts w:eastAsia="Times New Roman"/>
                <w:color w:val="000000"/>
                <w:sz w:val="20"/>
                <w:szCs w:val="20"/>
              </w:rPr>
            </w:pPr>
          </w:p>
        </w:tc>
      </w:tr>
      <w:tr w:rsidR="00497FDB" w:rsidRPr="003E55F4" w14:paraId="470DC929" w14:textId="77777777" w:rsidTr="00687312">
        <w:trPr>
          <w:trHeight w:val="259"/>
          <w:jc w:val="center"/>
        </w:trPr>
        <w:tc>
          <w:tcPr>
            <w:tcW w:w="3410" w:type="dxa"/>
            <w:tcBorders>
              <w:top w:val="nil"/>
              <w:left w:val="single" w:sz="12" w:space="0" w:color="auto"/>
              <w:bottom w:val="nil"/>
              <w:right w:val="nil"/>
            </w:tcBorders>
            <w:shd w:val="clear" w:color="000000" w:fill="FFFFFF"/>
            <w:noWrap/>
            <w:vAlign w:val="center"/>
            <w:hideMark/>
          </w:tcPr>
          <w:p w14:paraId="683F8C6E" w14:textId="3D23766D" w:rsidR="00497FDB" w:rsidRPr="003E55F4" w:rsidRDefault="00497FDB" w:rsidP="00497FDB">
            <w:pPr>
              <w:spacing w:after="0" w:line="240" w:lineRule="auto"/>
              <w:rPr>
                <w:rFonts w:eastAsia="Times New Roman"/>
                <w:b/>
                <w:bCs/>
                <w:color w:val="000000"/>
                <w:sz w:val="20"/>
                <w:szCs w:val="20"/>
              </w:rPr>
            </w:pPr>
            <w:r w:rsidRPr="003E55F4">
              <w:rPr>
                <w:rFonts w:eastAsia="Times New Roman"/>
                <w:b/>
                <w:bCs/>
                <w:color w:val="000000"/>
                <w:sz w:val="20"/>
                <w:szCs w:val="20"/>
              </w:rPr>
              <w:t>Vehicles per driver</w:t>
            </w:r>
          </w:p>
        </w:tc>
        <w:tc>
          <w:tcPr>
            <w:tcW w:w="867" w:type="dxa"/>
            <w:tcBorders>
              <w:top w:val="nil"/>
              <w:left w:val="nil"/>
              <w:bottom w:val="nil"/>
              <w:right w:val="nil"/>
            </w:tcBorders>
            <w:shd w:val="clear" w:color="000000" w:fill="FFFFFF"/>
            <w:noWrap/>
            <w:vAlign w:val="center"/>
            <w:hideMark/>
          </w:tcPr>
          <w:p w14:paraId="68FB4BB9" w14:textId="0F513D8C" w:rsidR="00497FDB" w:rsidRPr="003E55F4" w:rsidRDefault="00497FDB" w:rsidP="00497FDB">
            <w:pPr>
              <w:tabs>
                <w:tab w:val="decimal" w:pos="225"/>
              </w:tabs>
              <w:spacing w:after="0" w:line="240" w:lineRule="auto"/>
              <w:jc w:val="center"/>
              <w:rPr>
                <w:rFonts w:eastAsia="Times New Roman"/>
                <w:color w:val="000000"/>
                <w:sz w:val="20"/>
                <w:szCs w:val="20"/>
              </w:rPr>
            </w:pPr>
          </w:p>
        </w:tc>
        <w:tc>
          <w:tcPr>
            <w:tcW w:w="786" w:type="dxa"/>
            <w:tcBorders>
              <w:top w:val="nil"/>
              <w:left w:val="nil"/>
              <w:bottom w:val="nil"/>
              <w:right w:val="single" w:sz="12" w:space="0" w:color="auto"/>
            </w:tcBorders>
            <w:shd w:val="clear" w:color="000000" w:fill="FFFFFF"/>
            <w:noWrap/>
            <w:vAlign w:val="center"/>
            <w:hideMark/>
          </w:tcPr>
          <w:p w14:paraId="0B94EA67" w14:textId="3AB2EABE" w:rsidR="00497FDB" w:rsidRPr="003E55F4" w:rsidRDefault="00497FDB" w:rsidP="00497FDB">
            <w:pPr>
              <w:tabs>
                <w:tab w:val="decimal" w:pos="255"/>
              </w:tabs>
              <w:spacing w:after="0" w:line="240" w:lineRule="auto"/>
              <w:jc w:val="center"/>
              <w:rPr>
                <w:rFonts w:eastAsia="Times New Roman"/>
                <w:color w:val="000000"/>
                <w:sz w:val="20"/>
                <w:szCs w:val="20"/>
              </w:rPr>
            </w:pPr>
          </w:p>
        </w:tc>
        <w:tc>
          <w:tcPr>
            <w:tcW w:w="2899" w:type="dxa"/>
            <w:tcBorders>
              <w:top w:val="nil"/>
              <w:left w:val="single" w:sz="12" w:space="0" w:color="auto"/>
              <w:bottom w:val="nil"/>
              <w:right w:val="nil"/>
            </w:tcBorders>
            <w:shd w:val="clear" w:color="000000" w:fill="FFFFFF"/>
            <w:noWrap/>
            <w:vAlign w:val="center"/>
          </w:tcPr>
          <w:p w14:paraId="6AF11DFF" w14:textId="3A17764A" w:rsidR="00497FDB" w:rsidRPr="003E55F4" w:rsidRDefault="00497FDB" w:rsidP="00497FDB">
            <w:pPr>
              <w:spacing w:after="0" w:line="240" w:lineRule="auto"/>
              <w:ind w:firstLineChars="100" w:firstLine="200"/>
              <w:rPr>
                <w:rFonts w:eastAsia="Times New Roman"/>
                <w:color w:val="000000"/>
                <w:sz w:val="20"/>
                <w:szCs w:val="20"/>
              </w:rPr>
            </w:pPr>
            <w:r w:rsidRPr="003E55F4">
              <w:rPr>
                <w:rFonts w:eastAsia="Times New Roman"/>
                <w:color w:val="000000"/>
                <w:sz w:val="20"/>
                <w:szCs w:val="20"/>
              </w:rPr>
              <w:t>Rural</w:t>
            </w:r>
          </w:p>
        </w:tc>
        <w:tc>
          <w:tcPr>
            <w:tcW w:w="798" w:type="dxa"/>
            <w:tcBorders>
              <w:top w:val="nil"/>
              <w:left w:val="nil"/>
              <w:bottom w:val="nil"/>
              <w:right w:val="nil"/>
            </w:tcBorders>
            <w:shd w:val="clear" w:color="000000" w:fill="FFFFFF"/>
            <w:noWrap/>
            <w:vAlign w:val="center"/>
          </w:tcPr>
          <w:p w14:paraId="3F18C2C3" w14:textId="2FAA94B9" w:rsidR="00497FDB" w:rsidRPr="003E55F4" w:rsidRDefault="00497FDB" w:rsidP="00497FDB">
            <w:pPr>
              <w:tabs>
                <w:tab w:val="decimal" w:pos="165"/>
              </w:tabs>
              <w:spacing w:after="0" w:line="240" w:lineRule="auto"/>
              <w:jc w:val="center"/>
              <w:rPr>
                <w:rFonts w:eastAsia="Times New Roman"/>
                <w:color w:val="000000"/>
                <w:sz w:val="20"/>
                <w:szCs w:val="20"/>
              </w:rPr>
            </w:pPr>
            <w:r w:rsidRPr="003E55F4">
              <w:rPr>
                <w:rFonts w:eastAsia="Times New Roman"/>
                <w:color w:val="000000"/>
                <w:sz w:val="20"/>
                <w:szCs w:val="20"/>
              </w:rPr>
              <w:t>28.5</w:t>
            </w:r>
          </w:p>
        </w:tc>
        <w:tc>
          <w:tcPr>
            <w:tcW w:w="786" w:type="dxa"/>
            <w:tcBorders>
              <w:top w:val="nil"/>
              <w:left w:val="nil"/>
              <w:bottom w:val="nil"/>
              <w:right w:val="single" w:sz="12" w:space="0" w:color="auto"/>
            </w:tcBorders>
            <w:shd w:val="clear" w:color="000000" w:fill="FFFFFF"/>
            <w:noWrap/>
            <w:vAlign w:val="center"/>
          </w:tcPr>
          <w:p w14:paraId="33F487E2" w14:textId="4E92AEC6" w:rsidR="00497FDB" w:rsidRPr="003E55F4" w:rsidRDefault="00497FDB" w:rsidP="00497FDB">
            <w:pPr>
              <w:tabs>
                <w:tab w:val="decimal" w:pos="180"/>
              </w:tabs>
              <w:spacing w:after="0" w:line="240" w:lineRule="auto"/>
              <w:jc w:val="center"/>
              <w:rPr>
                <w:rFonts w:eastAsia="Times New Roman"/>
                <w:color w:val="000000"/>
                <w:sz w:val="20"/>
                <w:szCs w:val="20"/>
              </w:rPr>
            </w:pPr>
            <w:r w:rsidRPr="003E55F4">
              <w:rPr>
                <w:rFonts w:eastAsia="Times New Roman"/>
                <w:color w:val="000000"/>
                <w:sz w:val="20"/>
                <w:szCs w:val="20"/>
              </w:rPr>
              <w:t>21.2</w:t>
            </w:r>
          </w:p>
        </w:tc>
      </w:tr>
      <w:tr w:rsidR="00497FDB" w:rsidRPr="003E55F4" w14:paraId="54CE9ACB" w14:textId="77777777" w:rsidTr="00687312">
        <w:trPr>
          <w:trHeight w:val="259"/>
          <w:jc w:val="center"/>
        </w:trPr>
        <w:tc>
          <w:tcPr>
            <w:tcW w:w="3410" w:type="dxa"/>
            <w:tcBorders>
              <w:top w:val="nil"/>
              <w:left w:val="single" w:sz="12" w:space="0" w:color="auto"/>
              <w:bottom w:val="nil"/>
              <w:right w:val="nil"/>
            </w:tcBorders>
            <w:shd w:val="clear" w:color="000000" w:fill="FFFFFF"/>
            <w:noWrap/>
            <w:vAlign w:val="center"/>
            <w:hideMark/>
          </w:tcPr>
          <w:p w14:paraId="76EAFE7C" w14:textId="77777777" w:rsidR="00497FDB" w:rsidRPr="003E55F4" w:rsidRDefault="00497FDB" w:rsidP="00497FDB">
            <w:pPr>
              <w:spacing w:after="0" w:line="240" w:lineRule="auto"/>
              <w:ind w:firstLineChars="100" w:firstLine="200"/>
              <w:rPr>
                <w:rFonts w:eastAsia="Times New Roman"/>
                <w:color w:val="000000"/>
                <w:sz w:val="20"/>
                <w:szCs w:val="20"/>
              </w:rPr>
            </w:pPr>
            <w:r w:rsidRPr="003E55F4">
              <w:rPr>
                <w:rFonts w:eastAsia="Times New Roman"/>
                <w:color w:val="000000"/>
                <w:sz w:val="20"/>
                <w:szCs w:val="20"/>
              </w:rPr>
              <w:t>More vehicles than drivers</w:t>
            </w:r>
          </w:p>
        </w:tc>
        <w:tc>
          <w:tcPr>
            <w:tcW w:w="867" w:type="dxa"/>
            <w:tcBorders>
              <w:top w:val="nil"/>
              <w:left w:val="nil"/>
              <w:bottom w:val="nil"/>
              <w:right w:val="nil"/>
            </w:tcBorders>
            <w:shd w:val="clear" w:color="000000" w:fill="FFFFFF"/>
            <w:noWrap/>
            <w:vAlign w:val="center"/>
            <w:hideMark/>
          </w:tcPr>
          <w:p w14:paraId="3031DE06" w14:textId="4AE1CAE3" w:rsidR="00497FDB" w:rsidRPr="003E55F4" w:rsidRDefault="00497FDB" w:rsidP="00497FDB">
            <w:pPr>
              <w:tabs>
                <w:tab w:val="decimal" w:pos="225"/>
              </w:tabs>
              <w:spacing w:after="0" w:line="240" w:lineRule="auto"/>
              <w:jc w:val="center"/>
              <w:rPr>
                <w:rFonts w:eastAsia="Times New Roman"/>
                <w:color w:val="000000"/>
                <w:sz w:val="20"/>
                <w:szCs w:val="20"/>
              </w:rPr>
            </w:pPr>
            <w:r w:rsidRPr="003E55F4">
              <w:rPr>
                <w:rFonts w:eastAsia="Times New Roman"/>
                <w:color w:val="000000"/>
                <w:sz w:val="20"/>
                <w:szCs w:val="20"/>
              </w:rPr>
              <w:t>15.6</w:t>
            </w:r>
          </w:p>
        </w:tc>
        <w:tc>
          <w:tcPr>
            <w:tcW w:w="786" w:type="dxa"/>
            <w:tcBorders>
              <w:top w:val="nil"/>
              <w:left w:val="nil"/>
              <w:bottom w:val="nil"/>
              <w:right w:val="single" w:sz="12" w:space="0" w:color="auto"/>
            </w:tcBorders>
            <w:shd w:val="clear" w:color="000000" w:fill="FFFFFF"/>
            <w:noWrap/>
            <w:vAlign w:val="center"/>
            <w:hideMark/>
          </w:tcPr>
          <w:p w14:paraId="041F5324" w14:textId="53314613" w:rsidR="00497FDB" w:rsidRPr="003E55F4" w:rsidRDefault="00497FDB" w:rsidP="00497FDB">
            <w:pPr>
              <w:tabs>
                <w:tab w:val="decimal" w:pos="255"/>
              </w:tabs>
              <w:spacing w:after="0" w:line="240" w:lineRule="auto"/>
              <w:jc w:val="center"/>
              <w:rPr>
                <w:rFonts w:eastAsia="Times New Roman"/>
                <w:color w:val="000000"/>
                <w:sz w:val="20"/>
                <w:szCs w:val="20"/>
              </w:rPr>
            </w:pPr>
            <w:r w:rsidRPr="003E55F4">
              <w:rPr>
                <w:rFonts w:eastAsia="Times New Roman"/>
                <w:color w:val="000000"/>
                <w:sz w:val="20"/>
                <w:szCs w:val="20"/>
              </w:rPr>
              <w:t>--</w:t>
            </w:r>
          </w:p>
        </w:tc>
        <w:tc>
          <w:tcPr>
            <w:tcW w:w="2899" w:type="dxa"/>
            <w:tcBorders>
              <w:top w:val="nil"/>
              <w:left w:val="single" w:sz="12" w:space="0" w:color="auto"/>
              <w:bottom w:val="nil"/>
              <w:right w:val="nil"/>
            </w:tcBorders>
            <w:shd w:val="clear" w:color="000000" w:fill="FFFFFF"/>
            <w:noWrap/>
            <w:vAlign w:val="center"/>
          </w:tcPr>
          <w:p w14:paraId="40C54014" w14:textId="61793E79" w:rsidR="00497FDB" w:rsidRPr="003E55F4" w:rsidRDefault="00497FDB" w:rsidP="00497FDB">
            <w:pPr>
              <w:spacing w:after="0" w:line="240" w:lineRule="auto"/>
              <w:ind w:firstLineChars="100" w:firstLine="200"/>
              <w:rPr>
                <w:rFonts w:eastAsia="Times New Roman"/>
                <w:color w:val="000000"/>
                <w:sz w:val="20"/>
                <w:szCs w:val="20"/>
              </w:rPr>
            </w:pPr>
            <w:r w:rsidRPr="003E55F4">
              <w:rPr>
                <w:rFonts w:eastAsia="Times New Roman"/>
                <w:color w:val="000000"/>
                <w:sz w:val="20"/>
                <w:szCs w:val="20"/>
              </w:rPr>
              <w:t>Urban</w:t>
            </w:r>
          </w:p>
        </w:tc>
        <w:tc>
          <w:tcPr>
            <w:tcW w:w="798" w:type="dxa"/>
            <w:tcBorders>
              <w:top w:val="nil"/>
              <w:left w:val="nil"/>
              <w:bottom w:val="nil"/>
              <w:right w:val="nil"/>
            </w:tcBorders>
            <w:shd w:val="clear" w:color="000000" w:fill="FFFFFF"/>
            <w:noWrap/>
            <w:vAlign w:val="center"/>
          </w:tcPr>
          <w:p w14:paraId="6A381B5A" w14:textId="680BD0D8" w:rsidR="00497FDB" w:rsidRPr="003E55F4" w:rsidRDefault="00497FDB" w:rsidP="00497FDB">
            <w:pPr>
              <w:tabs>
                <w:tab w:val="decimal" w:pos="165"/>
              </w:tabs>
              <w:spacing w:after="0" w:line="240" w:lineRule="auto"/>
              <w:jc w:val="center"/>
              <w:rPr>
                <w:rFonts w:eastAsia="Times New Roman"/>
                <w:color w:val="000000"/>
                <w:sz w:val="20"/>
                <w:szCs w:val="20"/>
              </w:rPr>
            </w:pPr>
            <w:r w:rsidRPr="003E55F4">
              <w:rPr>
                <w:rFonts w:eastAsia="Times New Roman"/>
                <w:color w:val="000000"/>
                <w:sz w:val="20"/>
                <w:szCs w:val="20"/>
              </w:rPr>
              <w:t>71.5</w:t>
            </w:r>
          </w:p>
        </w:tc>
        <w:tc>
          <w:tcPr>
            <w:tcW w:w="786" w:type="dxa"/>
            <w:tcBorders>
              <w:top w:val="nil"/>
              <w:left w:val="nil"/>
              <w:bottom w:val="nil"/>
              <w:right w:val="single" w:sz="12" w:space="0" w:color="auto"/>
            </w:tcBorders>
            <w:shd w:val="clear" w:color="000000" w:fill="FFFFFF"/>
            <w:noWrap/>
            <w:vAlign w:val="center"/>
          </w:tcPr>
          <w:p w14:paraId="057E2E9B" w14:textId="0F4C7CC4" w:rsidR="00497FDB" w:rsidRPr="003E55F4" w:rsidRDefault="00497FDB" w:rsidP="00497FDB">
            <w:pPr>
              <w:tabs>
                <w:tab w:val="decimal" w:pos="180"/>
              </w:tabs>
              <w:spacing w:after="0" w:line="240" w:lineRule="auto"/>
              <w:jc w:val="center"/>
              <w:rPr>
                <w:rFonts w:eastAsia="Times New Roman"/>
                <w:color w:val="000000"/>
                <w:sz w:val="20"/>
                <w:szCs w:val="20"/>
              </w:rPr>
            </w:pPr>
            <w:r w:rsidRPr="003E55F4">
              <w:rPr>
                <w:rFonts w:eastAsia="Times New Roman"/>
                <w:color w:val="000000"/>
                <w:sz w:val="20"/>
                <w:szCs w:val="20"/>
              </w:rPr>
              <w:t>78.8</w:t>
            </w:r>
          </w:p>
        </w:tc>
      </w:tr>
      <w:tr w:rsidR="00497FDB" w:rsidRPr="003E55F4" w14:paraId="7995951E" w14:textId="77777777" w:rsidTr="00687312">
        <w:trPr>
          <w:trHeight w:val="259"/>
          <w:jc w:val="center"/>
        </w:trPr>
        <w:tc>
          <w:tcPr>
            <w:tcW w:w="3410" w:type="dxa"/>
            <w:tcBorders>
              <w:top w:val="nil"/>
              <w:left w:val="single" w:sz="12" w:space="0" w:color="auto"/>
              <w:bottom w:val="nil"/>
              <w:right w:val="nil"/>
            </w:tcBorders>
            <w:shd w:val="clear" w:color="000000" w:fill="FFFFFF"/>
            <w:noWrap/>
            <w:vAlign w:val="center"/>
            <w:hideMark/>
          </w:tcPr>
          <w:p w14:paraId="15153737" w14:textId="77777777" w:rsidR="00497FDB" w:rsidRPr="003E55F4" w:rsidRDefault="00497FDB" w:rsidP="00497FDB">
            <w:pPr>
              <w:spacing w:after="0" w:line="240" w:lineRule="auto"/>
              <w:ind w:firstLineChars="100" w:firstLine="200"/>
              <w:rPr>
                <w:rFonts w:eastAsia="Times New Roman"/>
                <w:color w:val="000000"/>
                <w:sz w:val="20"/>
                <w:szCs w:val="20"/>
              </w:rPr>
            </w:pPr>
            <w:r w:rsidRPr="003E55F4">
              <w:rPr>
                <w:rFonts w:eastAsia="Times New Roman"/>
                <w:color w:val="000000"/>
                <w:sz w:val="20"/>
                <w:szCs w:val="20"/>
              </w:rPr>
              <w:t>Equal vehicles and drivers</w:t>
            </w:r>
          </w:p>
        </w:tc>
        <w:tc>
          <w:tcPr>
            <w:tcW w:w="867" w:type="dxa"/>
            <w:tcBorders>
              <w:top w:val="nil"/>
              <w:left w:val="nil"/>
              <w:bottom w:val="nil"/>
              <w:right w:val="nil"/>
            </w:tcBorders>
            <w:shd w:val="clear" w:color="000000" w:fill="FFFFFF"/>
            <w:noWrap/>
            <w:vAlign w:val="center"/>
            <w:hideMark/>
          </w:tcPr>
          <w:p w14:paraId="69F3E7CF" w14:textId="5B89F7CA" w:rsidR="00497FDB" w:rsidRPr="003E55F4" w:rsidRDefault="00497FDB" w:rsidP="00497FDB">
            <w:pPr>
              <w:tabs>
                <w:tab w:val="decimal" w:pos="225"/>
              </w:tabs>
              <w:spacing w:after="0" w:line="240" w:lineRule="auto"/>
              <w:jc w:val="center"/>
              <w:rPr>
                <w:rFonts w:eastAsia="Times New Roman"/>
                <w:color w:val="000000"/>
                <w:sz w:val="20"/>
                <w:szCs w:val="20"/>
              </w:rPr>
            </w:pPr>
            <w:r w:rsidRPr="003E55F4">
              <w:rPr>
                <w:rFonts w:eastAsia="Times New Roman"/>
                <w:color w:val="000000"/>
                <w:sz w:val="20"/>
                <w:szCs w:val="20"/>
              </w:rPr>
              <w:t>64.5</w:t>
            </w:r>
          </w:p>
        </w:tc>
        <w:tc>
          <w:tcPr>
            <w:tcW w:w="786" w:type="dxa"/>
            <w:tcBorders>
              <w:top w:val="nil"/>
              <w:left w:val="nil"/>
              <w:bottom w:val="nil"/>
              <w:right w:val="single" w:sz="12" w:space="0" w:color="auto"/>
            </w:tcBorders>
            <w:shd w:val="clear" w:color="000000" w:fill="FFFFFF"/>
            <w:noWrap/>
            <w:vAlign w:val="center"/>
            <w:hideMark/>
          </w:tcPr>
          <w:p w14:paraId="4D10DE32" w14:textId="56F3E503" w:rsidR="00497FDB" w:rsidRPr="003E55F4" w:rsidRDefault="00497FDB" w:rsidP="00497FDB">
            <w:pPr>
              <w:tabs>
                <w:tab w:val="decimal" w:pos="255"/>
              </w:tabs>
              <w:spacing w:after="0" w:line="240" w:lineRule="auto"/>
              <w:jc w:val="center"/>
              <w:rPr>
                <w:rFonts w:eastAsia="Times New Roman"/>
                <w:color w:val="000000"/>
                <w:sz w:val="20"/>
                <w:szCs w:val="20"/>
              </w:rPr>
            </w:pPr>
            <w:r w:rsidRPr="003E55F4">
              <w:rPr>
                <w:rFonts w:eastAsia="Times New Roman"/>
                <w:color w:val="000000"/>
                <w:sz w:val="20"/>
                <w:szCs w:val="20"/>
              </w:rPr>
              <w:t>--</w:t>
            </w:r>
          </w:p>
        </w:tc>
        <w:tc>
          <w:tcPr>
            <w:tcW w:w="2899" w:type="dxa"/>
            <w:tcBorders>
              <w:top w:val="nil"/>
              <w:left w:val="single" w:sz="12" w:space="0" w:color="auto"/>
              <w:bottom w:val="nil"/>
              <w:right w:val="nil"/>
            </w:tcBorders>
            <w:shd w:val="clear" w:color="000000" w:fill="FFFFFF"/>
            <w:noWrap/>
            <w:vAlign w:val="center"/>
          </w:tcPr>
          <w:p w14:paraId="1B28F085" w14:textId="47D44C1C" w:rsidR="00497FDB" w:rsidRPr="003E55F4" w:rsidRDefault="00497FDB" w:rsidP="00497FDB">
            <w:pPr>
              <w:spacing w:after="0" w:line="240" w:lineRule="auto"/>
              <w:rPr>
                <w:rFonts w:eastAsia="Times New Roman"/>
                <w:b/>
                <w:bCs/>
                <w:color w:val="000000"/>
                <w:sz w:val="20"/>
                <w:szCs w:val="20"/>
              </w:rPr>
            </w:pPr>
          </w:p>
        </w:tc>
        <w:tc>
          <w:tcPr>
            <w:tcW w:w="798" w:type="dxa"/>
            <w:tcBorders>
              <w:top w:val="nil"/>
              <w:left w:val="nil"/>
              <w:bottom w:val="nil"/>
              <w:right w:val="nil"/>
            </w:tcBorders>
            <w:shd w:val="clear" w:color="000000" w:fill="FFFFFF"/>
            <w:noWrap/>
            <w:vAlign w:val="center"/>
          </w:tcPr>
          <w:p w14:paraId="0C9FD551" w14:textId="26C69858" w:rsidR="00497FDB" w:rsidRPr="003E55F4" w:rsidRDefault="00497FDB" w:rsidP="00497FDB">
            <w:pPr>
              <w:tabs>
                <w:tab w:val="decimal" w:pos="165"/>
              </w:tabs>
              <w:spacing w:after="0" w:line="240" w:lineRule="auto"/>
              <w:jc w:val="center"/>
              <w:rPr>
                <w:rFonts w:eastAsia="Times New Roman"/>
                <w:color w:val="000000"/>
                <w:sz w:val="20"/>
                <w:szCs w:val="20"/>
              </w:rPr>
            </w:pPr>
          </w:p>
        </w:tc>
        <w:tc>
          <w:tcPr>
            <w:tcW w:w="786" w:type="dxa"/>
            <w:tcBorders>
              <w:top w:val="nil"/>
              <w:left w:val="nil"/>
              <w:bottom w:val="nil"/>
              <w:right w:val="single" w:sz="12" w:space="0" w:color="auto"/>
            </w:tcBorders>
            <w:shd w:val="clear" w:color="000000" w:fill="FFFFFF"/>
            <w:noWrap/>
            <w:vAlign w:val="center"/>
          </w:tcPr>
          <w:p w14:paraId="6AC74456" w14:textId="2BCF3885" w:rsidR="00497FDB" w:rsidRPr="003E55F4" w:rsidRDefault="00497FDB" w:rsidP="00497FDB">
            <w:pPr>
              <w:tabs>
                <w:tab w:val="decimal" w:pos="180"/>
              </w:tabs>
              <w:spacing w:after="0" w:line="240" w:lineRule="auto"/>
              <w:jc w:val="center"/>
              <w:rPr>
                <w:rFonts w:eastAsia="Times New Roman"/>
                <w:color w:val="000000"/>
                <w:sz w:val="20"/>
                <w:szCs w:val="20"/>
              </w:rPr>
            </w:pPr>
          </w:p>
        </w:tc>
      </w:tr>
      <w:tr w:rsidR="00497FDB" w:rsidRPr="003E55F4" w14:paraId="3012F16B" w14:textId="77777777" w:rsidTr="00687312">
        <w:trPr>
          <w:trHeight w:val="259"/>
          <w:jc w:val="center"/>
        </w:trPr>
        <w:tc>
          <w:tcPr>
            <w:tcW w:w="3410" w:type="dxa"/>
            <w:tcBorders>
              <w:top w:val="nil"/>
              <w:left w:val="single" w:sz="12" w:space="0" w:color="auto"/>
              <w:bottom w:val="nil"/>
              <w:right w:val="nil"/>
            </w:tcBorders>
            <w:shd w:val="clear" w:color="000000" w:fill="FFFFFF"/>
            <w:noWrap/>
            <w:vAlign w:val="center"/>
            <w:hideMark/>
          </w:tcPr>
          <w:p w14:paraId="7A86A617" w14:textId="77777777" w:rsidR="00497FDB" w:rsidRPr="003E55F4" w:rsidRDefault="00497FDB" w:rsidP="00497FDB">
            <w:pPr>
              <w:spacing w:after="0" w:line="240" w:lineRule="auto"/>
              <w:ind w:firstLineChars="100" w:firstLine="200"/>
              <w:rPr>
                <w:rFonts w:eastAsia="Times New Roman"/>
                <w:color w:val="000000"/>
                <w:sz w:val="20"/>
                <w:szCs w:val="20"/>
              </w:rPr>
            </w:pPr>
            <w:r w:rsidRPr="003E55F4">
              <w:rPr>
                <w:rFonts w:eastAsia="Times New Roman"/>
                <w:color w:val="000000"/>
                <w:sz w:val="20"/>
                <w:szCs w:val="20"/>
              </w:rPr>
              <w:t>Fewer vehicles than drivers</w:t>
            </w:r>
          </w:p>
        </w:tc>
        <w:tc>
          <w:tcPr>
            <w:tcW w:w="867" w:type="dxa"/>
            <w:tcBorders>
              <w:top w:val="nil"/>
              <w:left w:val="nil"/>
              <w:bottom w:val="nil"/>
              <w:right w:val="nil"/>
            </w:tcBorders>
            <w:shd w:val="clear" w:color="000000" w:fill="FFFFFF"/>
            <w:noWrap/>
            <w:vAlign w:val="center"/>
            <w:hideMark/>
          </w:tcPr>
          <w:p w14:paraId="1A9ECCD9" w14:textId="188988E3" w:rsidR="00497FDB" w:rsidRPr="003E55F4" w:rsidRDefault="00497FDB" w:rsidP="00497FDB">
            <w:pPr>
              <w:tabs>
                <w:tab w:val="decimal" w:pos="225"/>
              </w:tabs>
              <w:spacing w:after="0" w:line="240" w:lineRule="auto"/>
              <w:jc w:val="center"/>
              <w:rPr>
                <w:rFonts w:eastAsia="Times New Roman"/>
                <w:color w:val="000000"/>
                <w:sz w:val="20"/>
                <w:szCs w:val="20"/>
              </w:rPr>
            </w:pPr>
            <w:r w:rsidRPr="003E55F4">
              <w:rPr>
                <w:rFonts w:eastAsia="Times New Roman"/>
                <w:color w:val="000000"/>
                <w:sz w:val="20"/>
                <w:szCs w:val="20"/>
              </w:rPr>
              <w:t>19.9</w:t>
            </w:r>
          </w:p>
        </w:tc>
        <w:tc>
          <w:tcPr>
            <w:tcW w:w="786" w:type="dxa"/>
            <w:tcBorders>
              <w:top w:val="nil"/>
              <w:left w:val="nil"/>
              <w:bottom w:val="nil"/>
              <w:right w:val="single" w:sz="12" w:space="0" w:color="auto"/>
            </w:tcBorders>
            <w:shd w:val="clear" w:color="000000" w:fill="FFFFFF"/>
            <w:noWrap/>
            <w:vAlign w:val="center"/>
            <w:hideMark/>
          </w:tcPr>
          <w:p w14:paraId="59256A7C" w14:textId="6F5523E9" w:rsidR="00497FDB" w:rsidRPr="003E55F4" w:rsidRDefault="00497FDB" w:rsidP="00497FDB">
            <w:pPr>
              <w:tabs>
                <w:tab w:val="decimal" w:pos="255"/>
              </w:tabs>
              <w:spacing w:after="0" w:line="240" w:lineRule="auto"/>
              <w:jc w:val="center"/>
              <w:rPr>
                <w:rFonts w:eastAsia="Times New Roman"/>
                <w:color w:val="000000"/>
                <w:sz w:val="20"/>
                <w:szCs w:val="20"/>
              </w:rPr>
            </w:pPr>
            <w:r w:rsidRPr="003E55F4">
              <w:rPr>
                <w:rFonts w:eastAsia="Times New Roman"/>
                <w:color w:val="000000"/>
                <w:sz w:val="20"/>
                <w:szCs w:val="20"/>
              </w:rPr>
              <w:t>--</w:t>
            </w:r>
          </w:p>
        </w:tc>
        <w:tc>
          <w:tcPr>
            <w:tcW w:w="2899" w:type="dxa"/>
            <w:tcBorders>
              <w:top w:val="nil"/>
              <w:left w:val="single" w:sz="12" w:space="0" w:color="auto"/>
              <w:bottom w:val="nil"/>
              <w:right w:val="nil"/>
            </w:tcBorders>
            <w:shd w:val="clear" w:color="000000" w:fill="FFFFFF"/>
            <w:noWrap/>
            <w:vAlign w:val="center"/>
          </w:tcPr>
          <w:p w14:paraId="0B730618" w14:textId="5348EF25" w:rsidR="00497FDB" w:rsidRPr="003E55F4" w:rsidRDefault="00497FDB" w:rsidP="00497FDB">
            <w:pPr>
              <w:spacing w:after="0" w:line="240" w:lineRule="auto"/>
              <w:ind w:firstLineChars="100" w:firstLine="200"/>
              <w:rPr>
                <w:rFonts w:eastAsia="Times New Roman"/>
                <w:color w:val="000000"/>
                <w:sz w:val="20"/>
                <w:szCs w:val="20"/>
              </w:rPr>
            </w:pPr>
          </w:p>
        </w:tc>
        <w:tc>
          <w:tcPr>
            <w:tcW w:w="798" w:type="dxa"/>
            <w:tcBorders>
              <w:top w:val="nil"/>
              <w:left w:val="nil"/>
              <w:bottom w:val="nil"/>
              <w:right w:val="nil"/>
            </w:tcBorders>
            <w:shd w:val="clear" w:color="000000" w:fill="FFFFFF"/>
            <w:noWrap/>
            <w:vAlign w:val="center"/>
          </w:tcPr>
          <w:p w14:paraId="56BD8189" w14:textId="60F65063" w:rsidR="00497FDB" w:rsidRPr="003E55F4" w:rsidRDefault="00497FDB" w:rsidP="00497FDB">
            <w:pPr>
              <w:tabs>
                <w:tab w:val="decimal" w:pos="165"/>
              </w:tabs>
              <w:spacing w:after="0" w:line="240" w:lineRule="auto"/>
              <w:jc w:val="center"/>
              <w:rPr>
                <w:rFonts w:eastAsia="Times New Roman"/>
                <w:color w:val="000000"/>
                <w:sz w:val="20"/>
                <w:szCs w:val="20"/>
              </w:rPr>
            </w:pPr>
          </w:p>
        </w:tc>
        <w:tc>
          <w:tcPr>
            <w:tcW w:w="786" w:type="dxa"/>
            <w:tcBorders>
              <w:top w:val="nil"/>
              <w:left w:val="nil"/>
              <w:bottom w:val="nil"/>
              <w:right w:val="single" w:sz="12" w:space="0" w:color="auto"/>
            </w:tcBorders>
            <w:shd w:val="clear" w:color="000000" w:fill="FFFFFF"/>
            <w:noWrap/>
            <w:vAlign w:val="center"/>
          </w:tcPr>
          <w:p w14:paraId="3F1F552A" w14:textId="2A68965F" w:rsidR="00497FDB" w:rsidRPr="003E55F4" w:rsidRDefault="00497FDB" w:rsidP="00497FDB">
            <w:pPr>
              <w:tabs>
                <w:tab w:val="decimal" w:pos="180"/>
              </w:tabs>
              <w:spacing w:after="0" w:line="240" w:lineRule="auto"/>
              <w:jc w:val="center"/>
              <w:rPr>
                <w:rFonts w:eastAsia="Times New Roman"/>
                <w:color w:val="000000"/>
                <w:sz w:val="20"/>
                <w:szCs w:val="20"/>
              </w:rPr>
            </w:pPr>
          </w:p>
        </w:tc>
      </w:tr>
      <w:tr w:rsidR="00497FDB" w:rsidRPr="003E55F4" w14:paraId="30E1B3AC" w14:textId="77777777" w:rsidTr="00687312">
        <w:trPr>
          <w:trHeight w:val="259"/>
          <w:jc w:val="center"/>
        </w:trPr>
        <w:tc>
          <w:tcPr>
            <w:tcW w:w="9546" w:type="dxa"/>
            <w:gridSpan w:val="6"/>
            <w:tcBorders>
              <w:top w:val="single" w:sz="12" w:space="0" w:color="auto"/>
              <w:left w:val="single" w:sz="12" w:space="0" w:color="auto"/>
              <w:bottom w:val="single" w:sz="12" w:space="0" w:color="auto"/>
              <w:right w:val="single" w:sz="12" w:space="0" w:color="auto"/>
            </w:tcBorders>
            <w:shd w:val="clear" w:color="000000" w:fill="FFFFFF"/>
            <w:noWrap/>
            <w:vAlign w:val="bottom"/>
            <w:hideMark/>
          </w:tcPr>
          <w:p w14:paraId="18AFF1F3" w14:textId="0DFDC4CD" w:rsidR="00497FDB" w:rsidRPr="003E55F4" w:rsidRDefault="00497FDB" w:rsidP="00497FDB">
            <w:pPr>
              <w:spacing w:after="0" w:line="240" w:lineRule="auto"/>
              <w:jc w:val="center"/>
              <w:rPr>
                <w:rFonts w:eastAsia="Times New Roman"/>
                <w:i/>
                <w:iCs/>
                <w:color w:val="000000"/>
                <w:sz w:val="20"/>
                <w:szCs w:val="20"/>
              </w:rPr>
            </w:pPr>
            <w:r w:rsidRPr="003E55F4">
              <w:rPr>
                <w:rFonts w:eastAsia="Times New Roman"/>
                <w:i/>
                <w:iCs/>
                <w:color w:val="000000"/>
                <w:sz w:val="20"/>
                <w:szCs w:val="20"/>
              </w:rPr>
              <w:t>Individual Characteristics</w:t>
            </w:r>
          </w:p>
        </w:tc>
      </w:tr>
      <w:tr w:rsidR="00497FDB" w:rsidRPr="003E55F4" w14:paraId="2DEE2017" w14:textId="77777777" w:rsidTr="00687312">
        <w:trPr>
          <w:trHeight w:val="259"/>
          <w:jc w:val="center"/>
        </w:trPr>
        <w:tc>
          <w:tcPr>
            <w:tcW w:w="3410" w:type="dxa"/>
            <w:tcBorders>
              <w:top w:val="single" w:sz="12" w:space="0" w:color="auto"/>
              <w:left w:val="single" w:sz="12" w:space="0" w:color="auto"/>
              <w:bottom w:val="nil"/>
              <w:right w:val="nil"/>
            </w:tcBorders>
            <w:shd w:val="clear" w:color="000000" w:fill="FFFFFF"/>
            <w:noWrap/>
            <w:vAlign w:val="center"/>
            <w:hideMark/>
          </w:tcPr>
          <w:p w14:paraId="5DB69065" w14:textId="77777777" w:rsidR="00497FDB" w:rsidRPr="003E55F4" w:rsidRDefault="00497FDB" w:rsidP="00497FDB">
            <w:pPr>
              <w:spacing w:after="0" w:line="240" w:lineRule="auto"/>
              <w:rPr>
                <w:rFonts w:eastAsia="Times New Roman"/>
                <w:b/>
                <w:bCs/>
                <w:color w:val="000000"/>
                <w:sz w:val="20"/>
                <w:szCs w:val="20"/>
              </w:rPr>
            </w:pPr>
            <w:r w:rsidRPr="003E55F4">
              <w:rPr>
                <w:rFonts w:eastAsia="Times New Roman"/>
                <w:b/>
                <w:bCs/>
                <w:color w:val="000000"/>
                <w:sz w:val="20"/>
                <w:szCs w:val="20"/>
              </w:rPr>
              <w:t>Gender</w:t>
            </w:r>
          </w:p>
        </w:tc>
        <w:tc>
          <w:tcPr>
            <w:tcW w:w="867" w:type="dxa"/>
            <w:tcBorders>
              <w:top w:val="single" w:sz="12" w:space="0" w:color="auto"/>
              <w:left w:val="nil"/>
              <w:bottom w:val="nil"/>
              <w:right w:val="nil"/>
            </w:tcBorders>
            <w:shd w:val="clear" w:color="000000" w:fill="FFFFFF"/>
            <w:noWrap/>
            <w:vAlign w:val="center"/>
            <w:hideMark/>
          </w:tcPr>
          <w:p w14:paraId="3FCE5466" w14:textId="5B739A7A" w:rsidR="00497FDB" w:rsidRPr="003E55F4" w:rsidRDefault="00497FDB" w:rsidP="00497FDB">
            <w:pPr>
              <w:spacing w:after="0" w:line="240" w:lineRule="auto"/>
              <w:jc w:val="center"/>
              <w:rPr>
                <w:rFonts w:eastAsia="Times New Roman"/>
                <w:color w:val="000000"/>
                <w:sz w:val="20"/>
                <w:szCs w:val="20"/>
              </w:rPr>
            </w:pPr>
          </w:p>
        </w:tc>
        <w:tc>
          <w:tcPr>
            <w:tcW w:w="786" w:type="dxa"/>
            <w:tcBorders>
              <w:top w:val="single" w:sz="12" w:space="0" w:color="auto"/>
              <w:left w:val="nil"/>
              <w:bottom w:val="nil"/>
              <w:right w:val="single" w:sz="12" w:space="0" w:color="auto"/>
            </w:tcBorders>
            <w:shd w:val="clear" w:color="000000" w:fill="FFFFFF"/>
            <w:noWrap/>
            <w:vAlign w:val="center"/>
            <w:hideMark/>
          </w:tcPr>
          <w:p w14:paraId="6988A17F" w14:textId="7CFA2863" w:rsidR="00497FDB" w:rsidRPr="003E55F4" w:rsidRDefault="00497FDB" w:rsidP="00497FDB">
            <w:pPr>
              <w:spacing w:after="0" w:line="240" w:lineRule="auto"/>
              <w:jc w:val="center"/>
              <w:rPr>
                <w:rFonts w:eastAsia="Times New Roman"/>
                <w:color w:val="000000"/>
                <w:sz w:val="20"/>
                <w:szCs w:val="20"/>
              </w:rPr>
            </w:pPr>
          </w:p>
        </w:tc>
        <w:tc>
          <w:tcPr>
            <w:tcW w:w="2899" w:type="dxa"/>
            <w:tcBorders>
              <w:top w:val="single" w:sz="12" w:space="0" w:color="auto"/>
              <w:left w:val="single" w:sz="12" w:space="0" w:color="auto"/>
              <w:bottom w:val="nil"/>
              <w:right w:val="nil"/>
            </w:tcBorders>
            <w:shd w:val="clear" w:color="000000" w:fill="FFFFFF"/>
            <w:noWrap/>
            <w:vAlign w:val="center"/>
            <w:hideMark/>
          </w:tcPr>
          <w:p w14:paraId="39A87A2D" w14:textId="77777777" w:rsidR="00497FDB" w:rsidRPr="003E55F4" w:rsidRDefault="00497FDB" w:rsidP="00497FDB">
            <w:pPr>
              <w:spacing w:after="0" w:line="240" w:lineRule="auto"/>
              <w:rPr>
                <w:rFonts w:eastAsia="Times New Roman"/>
                <w:b/>
                <w:bCs/>
                <w:color w:val="000000"/>
                <w:sz w:val="20"/>
                <w:szCs w:val="20"/>
              </w:rPr>
            </w:pPr>
            <w:r w:rsidRPr="003E55F4">
              <w:rPr>
                <w:rFonts w:eastAsia="Times New Roman"/>
                <w:b/>
                <w:bCs/>
                <w:color w:val="000000"/>
                <w:sz w:val="20"/>
                <w:szCs w:val="20"/>
              </w:rPr>
              <w:t>Race</w:t>
            </w:r>
          </w:p>
        </w:tc>
        <w:tc>
          <w:tcPr>
            <w:tcW w:w="798" w:type="dxa"/>
            <w:tcBorders>
              <w:top w:val="single" w:sz="12" w:space="0" w:color="auto"/>
              <w:left w:val="nil"/>
              <w:bottom w:val="nil"/>
              <w:right w:val="nil"/>
            </w:tcBorders>
            <w:shd w:val="clear" w:color="000000" w:fill="FFFFFF"/>
            <w:noWrap/>
            <w:vAlign w:val="center"/>
          </w:tcPr>
          <w:p w14:paraId="0F63DF8D" w14:textId="47B803E8" w:rsidR="00497FDB" w:rsidRPr="003E55F4" w:rsidRDefault="00497FDB" w:rsidP="00497FDB">
            <w:pPr>
              <w:spacing w:after="0" w:line="240" w:lineRule="auto"/>
              <w:jc w:val="center"/>
              <w:rPr>
                <w:rFonts w:eastAsia="Times New Roman"/>
                <w:color w:val="000000"/>
                <w:sz w:val="20"/>
                <w:szCs w:val="20"/>
              </w:rPr>
            </w:pPr>
          </w:p>
        </w:tc>
        <w:tc>
          <w:tcPr>
            <w:tcW w:w="786" w:type="dxa"/>
            <w:tcBorders>
              <w:top w:val="single" w:sz="12" w:space="0" w:color="auto"/>
              <w:left w:val="nil"/>
              <w:bottom w:val="nil"/>
              <w:right w:val="single" w:sz="12" w:space="0" w:color="auto"/>
            </w:tcBorders>
            <w:shd w:val="clear" w:color="000000" w:fill="FFFFFF"/>
            <w:noWrap/>
            <w:vAlign w:val="center"/>
            <w:hideMark/>
          </w:tcPr>
          <w:p w14:paraId="0583D77A" w14:textId="797AC0F5" w:rsidR="00497FDB" w:rsidRPr="003E55F4" w:rsidRDefault="00497FDB" w:rsidP="00497FDB">
            <w:pPr>
              <w:spacing w:after="0" w:line="240" w:lineRule="auto"/>
              <w:jc w:val="center"/>
              <w:rPr>
                <w:rFonts w:eastAsia="Times New Roman"/>
                <w:color w:val="000000"/>
                <w:sz w:val="20"/>
                <w:szCs w:val="20"/>
              </w:rPr>
            </w:pPr>
          </w:p>
        </w:tc>
      </w:tr>
      <w:tr w:rsidR="00497FDB" w:rsidRPr="003E55F4" w14:paraId="0518D0FA" w14:textId="77777777" w:rsidTr="00687312">
        <w:trPr>
          <w:trHeight w:val="259"/>
          <w:jc w:val="center"/>
        </w:trPr>
        <w:tc>
          <w:tcPr>
            <w:tcW w:w="3410" w:type="dxa"/>
            <w:tcBorders>
              <w:top w:val="nil"/>
              <w:left w:val="single" w:sz="12" w:space="0" w:color="auto"/>
              <w:bottom w:val="nil"/>
              <w:right w:val="nil"/>
            </w:tcBorders>
            <w:shd w:val="clear" w:color="000000" w:fill="FFFFFF"/>
            <w:noWrap/>
            <w:vAlign w:val="center"/>
            <w:hideMark/>
          </w:tcPr>
          <w:p w14:paraId="2351D1BF" w14:textId="77777777" w:rsidR="00497FDB" w:rsidRPr="003E55F4" w:rsidRDefault="00497FDB" w:rsidP="00497FDB">
            <w:pPr>
              <w:spacing w:after="0" w:line="240" w:lineRule="auto"/>
              <w:ind w:firstLineChars="100" w:firstLine="200"/>
              <w:rPr>
                <w:rFonts w:eastAsia="Times New Roman"/>
                <w:color w:val="000000"/>
                <w:sz w:val="20"/>
                <w:szCs w:val="20"/>
              </w:rPr>
            </w:pPr>
            <w:r w:rsidRPr="003E55F4">
              <w:rPr>
                <w:rFonts w:eastAsia="Times New Roman"/>
                <w:color w:val="000000"/>
                <w:sz w:val="20"/>
                <w:szCs w:val="20"/>
              </w:rPr>
              <w:t>Male</w:t>
            </w:r>
          </w:p>
        </w:tc>
        <w:tc>
          <w:tcPr>
            <w:tcW w:w="867" w:type="dxa"/>
            <w:tcBorders>
              <w:top w:val="nil"/>
              <w:left w:val="nil"/>
              <w:bottom w:val="nil"/>
              <w:right w:val="nil"/>
            </w:tcBorders>
            <w:shd w:val="clear" w:color="000000" w:fill="FFFFFF"/>
            <w:noWrap/>
            <w:vAlign w:val="center"/>
            <w:hideMark/>
          </w:tcPr>
          <w:p w14:paraId="14E8597E" w14:textId="2B84DB6A" w:rsidR="00497FDB" w:rsidRPr="003E55F4" w:rsidRDefault="00497FDB" w:rsidP="00497FDB">
            <w:pPr>
              <w:tabs>
                <w:tab w:val="decimal" w:pos="225"/>
              </w:tabs>
              <w:spacing w:after="0" w:line="240" w:lineRule="auto"/>
              <w:jc w:val="center"/>
              <w:rPr>
                <w:rFonts w:eastAsia="Times New Roman"/>
                <w:color w:val="000000"/>
                <w:sz w:val="20"/>
                <w:szCs w:val="20"/>
              </w:rPr>
            </w:pPr>
            <w:r w:rsidRPr="003E55F4">
              <w:rPr>
                <w:rFonts w:eastAsia="Times New Roman"/>
                <w:color w:val="000000"/>
                <w:sz w:val="20"/>
                <w:szCs w:val="20"/>
              </w:rPr>
              <w:t>48.7</w:t>
            </w:r>
          </w:p>
        </w:tc>
        <w:tc>
          <w:tcPr>
            <w:tcW w:w="786" w:type="dxa"/>
            <w:tcBorders>
              <w:top w:val="nil"/>
              <w:left w:val="nil"/>
              <w:bottom w:val="nil"/>
              <w:right w:val="single" w:sz="12" w:space="0" w:color="auto"/>
            </w:tcBorders>
            <w:shd w:val="clear" w:color="000000" w:fill="FFFFFF"/>
            <w:noWrap/>
            <w:vAlign w:val="center"/>
            <w:hideMark/>
          </w:tcPr>
          <w:p w14:paraId="30BDE6BB" w14:textId="22E2352C" w:rsidR="00497FDB" w:rsidRPr="003E55F4" w:rsidRDefault="00497FDB" w:rsidP="00497FDB">
            <w:pPr>
              <w:tabs>
                <w:tab w:val="decimal" w:pos="255"/>
              </w:tabs>
              <w:spacing w:after="0" w:line="240" w:lineRule="auto"/>
              <w:jc w:val="center"/>
              <w:rPr>
                <w:rFonts w:eastAsia="Times New Roman"/>
                <w:color w:val="000000"/>
                <w:sz w:val="20"/>
                <w:szCs w:val="20"/>
              </w:rPr>
            </w:pPr>
            <w:r w:rsidRPr="003E55F4">
              <w:rPr>
                <w:rFonts w:eastAsia="Times New Roman"/>
                <w:color w:val="000000"/>
                <w:sz w:val="20"/>
                <w:szCs w:val="20"/>
              </w:rPr>
              <w:t>49.1</w:t>
            </w:r>
          </w:p>
        </w:tc>
        <w:tc>
          <w:tcPr>
            <w:tcW w:w="2899" w:type="dxa"/>
            <w:tcBorders>
              <w:top w:val="nil"/>
              <w:left w:val="single" w:sz="12" w:space="0" w:color="auto"/>
              <w:bottom w:val="nil"/>
              <w:right w:val="nil"/>
            </w:tcBorders>
            <w:shd w:val="clear" w:color="000000" w:fill="FFFFFF"/>
            <w:noWrap/>
            <w:vAlign w:val="center"/>
            <w:hideMark/>
          </w:tcPr>
          <w:p w14:paraId="00495101" w14:textId="77777777" w:rsidR="00497FDB" w:rsidRPr="003E55F4" w:rsidRDefault="00497FDB" w:rsidP="00497FDB">
            <w:pPr>
              <w:spacing w:after="0" w:line="240" w:lineRule="auto"/>
              <w:ind w:firstLineChars="100" w:firstLine="200"/>
              <w:rPr>
                <w:rFonts w:eastAsia="Times New Roman"/>
                <w:sz w:val="20"/>
                <w:szCs w:val="20"/>
              </w:rPr>
            </w:pPr>
            <w:r w:rsidRPr="003E55F4">
              <w:rPr>
                <w:rFonts w:eastAsia="Times New Roman"/>
                <w:sz w:val="20"/>
                <w:szCs w:val="20"/>
              </w:rPr>
              <w:t>White</w:t>
            </w:r>
          </w:p>
        </w:tc>
        <w:tc>
          <w:tcPr>
            <w:tcW w:w="798" w:type="dxa"/>
            <w:tcBorders>
              <w:top w:val="nil"/>
              <w:left w:val="nil"/>
              <w:bottom w:val="nil"/>
              <w:right w:val="nil"/>
            </w:tcBorders>
            <w:shd w:val="clear" w:color="000000" w:fill="FFFFFF"/>
            <w:noWrap/>
            <w:vAlign w:val="center"/>
            <w:hideMark/>
          </w:tcPr>
          <w:p w14:paraId="17B54844" w14:textId="5B1E8D48" w:rsidR="00497FDB" w:rsidRPr="003E55F4" w:rsidRDefault="00497FDB" w:rsidP="00497FDB">
            <w:pPr>
              <w:tabs>
                <w:tab w:val="decimal" w:pos="165"/>
              </w:tabs>
              <w:spacing w:after="0" w:line="240" w:lineRule="auto"/>
              <w:jc w:val="center"/>
              <w:rPr>
                <w:rFonts w:eastAsia="Times New Roman"/>
                <w:color w:val="000000"/>
                <w:sz w:val="20"/>
                <w:szCs w:val="20"/>
              </w:rPr>
            </w:pPr>
            <w:r w:rsidRPr="003E55F4">
              <w:rPr>
                <w:rFonts w:eastAsia="Times New Roman"/>
                <w:color w:val="000000"/>
                <w:sz w:val="20"/>
                <w:szCs w:val="20"/>
              </w:rPr>
              <w:t>83.5</w:t>
            </w:r>
          </w:p>
        </w:tc>
        <w:tc>
          <w:tcPr>
            <w:tcW w:w="786" w:type="dxa"/>
            <w:tcBorders>
              <w:top w:val="nil"/>
              <w:left w:val="nil"/>
              <w:bottom w:val="nil"/>
              <w:right w:val="single" w:sz="12" w:space="0" w:color="auto"/>
            </w:tcBorders>
            <w:shd w:val="clear" w:color="000000" w:fill="FFFFFF"/>
            <w:noWrap/>
            <w:vAlign w:val="center"/>
            <w:hideMark/>
          </w:tcPr>
          <w:p w14:paraId="20A21553" w14:textId="3E1EFB1E" w:rsidR="00497FDB" w:rsidRPr="003E55F4" w:rsidRDefault="00497FDB" w:rsidP="00497FDB">
            <w:pPr>
              <w:tabs>
                <w:tab w:val="decimal" w:pos="180"/>
              </w:tabs>
              <w:spacing w:after="0" w:line="240" w:lineRule="auto"/>
              <w:jc w:val="center"/>
              <w:rPr>
                <w:rFonts w:eastAsia="Times New Roman"/>
                <w:color w:val="000000"/>
                <w:sz w:val="20"/>
                <w:szCs w:val="20"/>
              </w:rPr>
            </w:pPr>
            <w:r w:rsidRPr="003E55F4">
              <w:rPr>
                <w:rFonts w:eastAsia="Times New Roman"/>
                <w:color w:val="000000"/>
                <w:sz w:val="20"/>
                <w:szCs w:val="20"/>
              </w:rPr>
              <w:t>61.6</w:t>
            </w:r>
          </w:p>
        </w:tc>
      </w:tr>
      <w:tr w:rsidR="00497FDB" w:rsidRPr="003E55F4" w14:paraId="1892235B" w14:textId="77777777" w:rsidTr="00687312">
        <w:trPr>
          <w:trHeight w:val="259"/>
          <w:jc w:val="center"/>
        </w:trPr>
        <w:tc>
          <w:tcPr>
            <w:tcW w:w="3410" w:type="dxa"/>
            <w:tcBorders>
              <w:top w:val="nil"/>
              <w:left w:val="single" w:sz="12" w:space="0" w:color="auto"/>
              <w:bottom w:val="nil"/>
              <w:right w:val="nil"/>
            </w:tcBorders>
            <w:shd w:val="clear" w:color="000000" w:fill="FFFFFF"/>
            <w:noWrap/>
            <w:vAlign w:val="center"/>
            <w:hideMark/>
          </w:tcPr>
          <w:p w14:paraId="2415B8E0" w14:textId="77777777" w:rsidR="00497FDB" w:rsidRPr="003E55F4" w:rsidRDefault="00497FDB" w:rsidP="00497FDB">
            <w:pPr>
              <w:spacing w:after="0" w:line="240" w:lineRule="auto"/>
              <w:ind w:firstLineChars="100" w:firstLine="200"/>
              <w:rPr>
                <w:rFonts w:eastAsia="Times New Roman"/>
                <w:color w:val="000000"/>
                <w:sz w:val="20"/>
                <w:szCs w:val="20"/>
              </w:rPr>
            </w:pPr>
            <w:r w:rsidRPr="003E55F4">
              <w:rPr>
                <w:rFonts w:eastAsia="Times New Roman"/>
                <w:color w:val="000000"/>
                <w:sz w:val="20"/>
                <w:szCs w:val="20"/>
              </w:rPr>
              <w:t>Female</w:t>
            </w:r>
          </w:p>
        </w:tc>
        <w:tc>
          <w:tcPr>
            <w:tcW w:w="867" w:type="dxa"/>
            <w:tcBorders>
              <w:top w:val="nil"/>
              <w:left w:val="nil"/>
              <w:bottom w:val="nil"/>
              <w:right w:val="nil"/>
            </w:tcBorders>
            <w:shd w:val="clear" w:color="000000" w:fill="FFFFFF"/>
            <w:noWrap/>
            <w:vAlign w:val="center"/>
            <w:hideMark/>
          </w:tcPr>
          <w:p w14:paraId="706229BC" w14:textId="45948052" w:rsidR="00497FDB" w:rsidRPr="003E55F4" w:rsidRDefault="00497FDB" w:rsidP="00497FDB">
            <w:pPr>
              <w:tabs>
                <w:tab w:val="decimal" w:pos="225"/>
              </w:tabs>
              <w:spacing w:after="0" w:line="240" w:lineRule="auto"/>
              <w:jc w:val="center"/>
              <w:rPr>
                <w:rFonts w:eastAsia="Times New Roman"/>
                <w:color w:val="000000"/>
                <w:sz w:val="20"/>
                <w:szCs w:val="20"/>
              </w:rPr>
            </w:pPr>
            <w:r w:rsidRPr="003E55F4">
              <w:rPr>
                <w:rFonts w:eastAsia="Times New Roman"/>
                <w:color w:val="000000"/>
                <w:sz w:val="20"/>
                <w:szCs w:val="20"/>
              </w:rPr>
              <w:t>51.3</w:t>
            </w:r>
          </w:p>
        </w:tc>
        <w:tc>
          <w:tcPr>
            <w:tcW w:w="786" w:type="dxa"/>
            <w:tcBorders>
              <w:top w:val="nil"/>
              <w:left w:val="nil"/>
              <w:bottom w:val="nil"/>
              <w:right w:val="single" w:sz="12" w:space="0" w:color="auto"/>
            </w:tcBorders>
            <w:shd w:val="clear" w:color="000000" w:fill="FFFFFF"/>
            <w:noWrap/>
            <w:vAlign w:val="center"/>
            <w:hideMark/>
          </w:tcPr>
          <w:p w14:paraId="00E812A1" w14:textId="6D0B9C22" w:rsidR="00497FDB" w:rsidRPr="003E55F4" w:rsidRDefault="00497FDB" w:rsidP="00497FDB">
            <w:pPr>
              <w:tabs>
                <w:tab w:val="decimal" w:pos="255"/>
              </w:tabs>
              <w:spacing w:after="0" w:line="240" w:lineRule="auto"/>
              <w:jc w:val="center"/>
              <w:rPr>
                <w:rFonts w:eastAsia="Times New Roman"/>
                <w:color w:val="000000"/>
                <w:sz w:val="20"/>
                <w:szCs w:val="20"/>
              </w:rPr>
            </w:pPr>
            <w:r w:rsidRPr="003E55F4">
              <w:rPr>
                <w:rFonts w:eastAsia="Times New Roman"/>
                <w:color w:val="000000"/>
                <w:sz w:val="20"/>
                <w:szCs w:val="20"/>
              </w:rPr>
              <w:t>50.9</w:t>
            </w:r>
          </w:p>
        </w:tc>
        <w:tc>
          <w:tcPr>
            <w:tcW w:w="2899" w:type="dxa"/>
            <w:tcBorders>
              <w:top w:val="nil"/>
              <w:left w:val="single" w:sz="12" w:space="0" w:color="auto"/>
              <w:bottom w:val="nil"/>
              <w:right w:val="nil"/>
            </w:tcBorders>
            <w:shd w:val="clear" w:color="000000" w:fill="FFFFFF"/>
            <w:noWrap/>
            <w:vAlign w:val="center"/>
            <w:hideMark/>
          </w:tcPr>
          <w:p w14:paraId="621F4B61" w14:textId="77777777" w:rsidR="00497FDB" w:rsidRPr="003E55F4" w:rsidRDefault="00497FDB" w:rsidP="00497FDB">
            <w:pPr>
              <w:spacing w:after="0" w:line="240" w:lineRule="auto"/>
              <w:ind w:firstLineChars="100" w:firstLine="200"/>
              <w:rPr>
                <w:rFonts w:eastAsia="Times New Roman"/>
                <w:sz w:val="20"/>
                <w:szCs w:val="20"/>
              </w:rPr>
            </w:pPr>
            <w:r w:rsidRPr="003E55F4">
              <w:rPr>
                <w:rFonts w:eastAsia="Times New Roman"/>
                <w:sz w:val="20"/>
                <w:szCs w:val="20"/>
              </w:rPr>
              <w:t>Black</w:t>
            </w:r>
          </w:p>
        </w:tc>
        <w:tc>
          <w:tcPr>
            <w:tcW w:w="798" w:type="dxa"/>
            <w:tcBorders>
              <w:top w:val="nil"/>
              <w:left w:val="nil"/>
              <w:bottom w:val="nil"/>
              <w:right w:val="nil"/>
            </w:tcBorders>
            <w:shd w:val="clear" w:color="000000" w:fill="FFFFFF"/>
            <w:noWrap/>
            <w:vAlign w:val="center"/>
            <w:hideMark/>
          </w:tcPr>
          <w:p w14:paraId="659BBE79" w14:textId="7171B617" w:rsidR="00497FDB" w:rsidRPr="003E55F4" w:rsidRDefault="00497FDB" w:rsidP="00497FDB">
            <w:pPr>
              <w:tabs>
                <w:tab w:val="decimal" w:pos="165"/>
              </w:tabs>
              <w:spacing w:after="0" w:line="240" w:lineRule="auto"/>
              <w:jc w:val="center"/>
              <w:rPr>
                <w:rFonts w:eastAsia="Times New Roman"/>
                <w:color w:val="000000"/>
                <w:sz w:val="20"/>
                <w:szCs w:val="20"/>
              </w:rPr>
            </w:pPr>
            <w:r w:rsidRPr="003E55F4">
              <w:rPr>
                <w:rFonts w:eastAsia="Times New Roman"/>
                <w:color w:val="000000"/>
                <w:sz w:val="20"/>
                <w:szCs w:val="20"/>
              </w:rPr>
              <w:t>6.9</w:t>
            </w:r>
          </w:p>
        </w:tc>
        <w:tc>
          <w:tcPr>
            <w:tcW w:w="786" w:type="dxa"/>
            <w:tcBorders>
              <w:top w:val="nil"/>
              <w:left w:val="nil"/>
              <w:bottom w:val="nil"/>
              <w:right w:val="single" w:sz="12" w:space="0" w:color="auto"/>
            </w:tcBorders>
            <w:shd w:val="clear" w:color="000000" w:fill="FFFFFF"/>
            <w:noWrap/>
            <w:vAlign w:val="center"/>
            <w:hideMark/>
          </w:tcPr>
          <w:p w14:paraId="22E72564" w14:textId="3263865E" w:rsidR="00497FDB" w:rsidRPr="003E55F4" w:rsidRDefault="00497FDB" w:rsidP="00497FDB">
            <w:pPr>
              <w:tabs>
                <w:tab w:val="decimal" w:pos="180"/>
              </w:tabs>
              <w:spacing w:after="0" w:line="240" w:lineRule="auto"/>
              <w:jc w:val="center"/>
              <w:rPr>
                <w:rFonts w:eastAsia="Times New Roman"/>
                <w:color w:val="000000"/>
                <w:sz w:val="20"/>
                <w:szCs w:val="20"/>
              </w:rPr>
            </w:pPr>
            <w:r w:rsidRPr="003E55F4">
              <w:rPr>
                <w:rFonts w:eastAsia="Times New Roman"/>
                <w:color w:val="000000"/>
                <w:sz w:val="20"/>
                <w:szCs w:val="20"/>
              </w:rPr>
              <w:t>12.4</w:t>
            </w:r>
          </w:p>
        </w:tc>
      </w:tr>
      <w:tr w:rsidR="00497FDB" w:rsidRPr="003E55F4" w14:paraId="532167B0" w14:textId="77777777" w:rsidTr="00687312">
        <w:trPr>
          <w:trHeight w:val="259"/>
          <w:jc w:val="center"/>
        </w:trPr>
        <w:tc>
          <w:tcPr>
            <w:tcW w:w="3410" w:type="dxa"/>
            <w:tcBorders>
              <w:top w:val="nil"/>
              <w:left w:val="single" w:sz="12" w:space="0" w:color="auto"/>
              <w:bottom w:val="nil"/>
              <w:right w:val="nil"/>
            </w:tcBorders>
            <w:shd w:val="clear" w:color="000000" w:fill="FFFFFF"/>
            <w:noWrap/>
            <w:vAlign w:val="center"/>
            <w:hideMark/>
          </w:tcPr>
          <w:p w14:paraId="39630C1D" w14:textId="77777777" w:rsidR="00497FDB" w:rsidRPr="003E55F4" w:rsidRDefault="00497FDB" w:rsidP="00497FDB">
            <w:pPr>
              <w:spacing w:after="0" w:line="240" w:lineRule="auto"/>
              <w:rPr>
                <w:rFonts w:eastAsia="Times New Roman"/>
                <w:b/>
                <w:bCs/>
                <w:color w:val="000000"/>
                <w:sz w:val="20"/>
                <w:szCs w:val="20"/>
              </w:rPr>
            </w:pPr>
            <w:r w:rsidRPr="003E55F4">
              <w:rPr>
                <w:rFonts w:eastAsia="Times New Roman"/>
                <w:b/>
                <w:bCs/>
                <w:color w:val="000000"/>
                <w:sz w:val="20"/>
                <w:szCs w:val="20"/>
              </w:rPr>
              <w:t>Age</w:t>
            </w:r>
          </w:p>
        </w:tc>
        <w:tc>
          <w:tcPr>
            <w:tcW w:w="867" w:type="dxa"/>
            <w:tcBorders>
              <w:top w:val="nil"/>
              <w:left w:val="nil"/>
              <w:bottom w:val="nil"/>
              <w:right w:val="nil"/>
            </w:tcBorders>
            <w:shd w:val="clear" w:color="000000" w:fill="FFFFFF"/>
            <w:noWrap/>
            <w:vAlign w:val="center"/>
            <w:hideMark/>
          </w:tcPr>
          <w:p w14:paraId="27D474E6" w14:textId="23EC57A7" w:rsidR="00497FDB" w:rsidRPr="003E55F4" w:rsidRDefault="00497FDB" w:rsidP="00497FDB">
            <w:pPr>
              <w:tabs>
                <w:tab w:val="decimal" w:pos="225"/>
              </w:tabs>
              <w:spacing w:after="0" w:line="240" w:lineRule="auto"/>
              <w:jc w:val="center"/>
              <w:rPr>
                <w:rFonts w:eastAsia="Times New Roman"/>
                <w:color w:val="000000"/>
                <w:sz w:val="20"/>
                <w:szCs w:val="20"/>
              </w:rPr>
            </w:pPr>
          </w:p>
        </w:tc>
        <w:tc>
          <w:tcPr>
            <w:tcW w:w="786" w:type="dxa"/>
            <w:tcBorders>
              <w:top w:val="nil"/>
              <w:left w:val="nil"/>
              <w:bottom w:val="nil"/>
              <w:right w:val="single" w:sz="12" w:space="0" w:color="auto"/>
            </w:tcBorders>
            <w:shd w:val="clear" w:color="000000" w:fill="FFFFFF"/>
            <w:noWrap/>
            <w:vAlign w:val="center"/>
            <w:hideMark/>
          </w:tcPr>
          <w:p w14:paraId="1C957685" w14:textId="3CEB548B" w:rsidR="00497FDB" w:rsidRPr="003E55F4" w:rsidRDefault="00497FDB" w:rsidP="00497FDB">
            <w:pPr>
              <w:tabs>
                <w:tab w:val="decimal" w:pos="255"/>
              </w:tabs>
              <w:spacing w:after="0" w:line="240" w:lineRule="auto"/>
              <w:jc w:val="center"/>
              <w:rPr>
                <w:rFonts w:eastAsia="Times New Roman"/>
                <w:color w:val="000000"/>
                <w:sz w:val="20"/>
                <w:szCs w:val="20"/>
              </w:rPr>
            </w:pPr>
          </w:p>
        </w:tc>
        <w:tc>
          <w:tcPr>
            <w:tcW w:w="2899" w:type="dxa"/>
            <w:tcBorders>
              <w:top w:val="nil"/>
              <w:left w:val="single" w:sz="12" w:space="0" w:color="auto"/>
              <w:bottom w:val="nil"/>
              <w:right w:val="nil"/>
            </w:tcBorders>
            <w:shd w:val="clear" w:color="000000" w:fill="FFFFFF"/>
            <w:noWrap/>
            <w:vAlign w:val="center"/>
            <w:hideMark/>
          </w:tcPr>
          <w:p w14:paraId="2CF0936D" w14:textId="77777777" w:rsidR="00497FDB" w:rsidRPr="003E55F4" w:rsidRDefault="00497FDB" w:rsidP="00497FDB">
            <w:pPr>
              <w:spacing w:after="0" w:line="240" w:lineRule="auto"/>
              <w:ind w:firstLineChars="100" w:firstLine="200"/>
              <w:rPr>
                <w:rFonts w:eastAsia="Times New Roman"/>
                <w:sz w:val="20"/>
                <w:szCs w:val="20"/>
              </w:rPr>
            </w:pPr>
            <w:r w:rsidRPr="003E55F4">
              <w:rPr>
                <w:rFonts w:eastAsia="Times New Roman"/>
                <w:sz w:val="20"/>
                <w:szCs w:val="20"/>
              </w:rPr>
              <w:t>Asian</w:t>
            </w:r>
          </w:p>
        </w:tc>
        <w:tc>
          <w:tcPr>
            <w:tcW w:w="798" w:type="dxa"/>
            <w:tcBorders>
              <w:top w:val="nil"/>
              <w:left w:val="nil"/>
              <w:bottom w:val="nil"/>
              <w:right w:val="nil"/>
            </w:tcBorders>
            <w:shd w:val="clear" w:color="000000" w:fill="FFFFFF"/>
            <w:noWrap/>
            <w:vAlign w:val="center"/>
            <w:hideMark/>
          </w:tcPr>
          <w:p w14:paraId="24547E89" w14:textId="2F26A149" w:rsidR="00497FDB" w:rsidRPr="003E55F4" w:rsidRDefault="00497FDB" w:rsidP="00497FDB">
            <w:pPr>
              <w:tabs>
                <w:tab w:val="decimal" w:pos="165"/>
              </w:tabs>
              <w:spacing w:after="0" w:line="240" w:lineRule="auto"/>
              <w:jc w:val="center"/>
              <w:rPr>
                <w:rFonts w:eastAsia="Times New Roman"/>
                <w:color w:val="000000"/>
                <w:sz w:val="20"/>
                <w:szCs w:val="20"/>
              </w:rPr>
            </w:pPr>
            <w:r w:rsidRPr="003E55F4">
              <w:rPr>
                <w:rFonts w:eastAsia="Times New Roman"/>
                <w:color w:val="000000"/>
                <w:sz w:val="20"/>
                <w:szCs w:val="20"/>
              </w:rPr>
              <w:t>5.8</w:t>
            </w:r>
          </w:p>
        </w:tc>
        <w:tc>
          <w:tcPr>
            <w:tcW w:w="786" w:type="dxa"/>
            <w:tcBorders>
              <w:top w:val="nil"/>
              <w:left w:val="nil"/>
              <w:bottom w:val="nil"/>
              <w:right w:val="single" w:sz="12" w:space="0" w:color="auto"/>
            </w:tcBorders>
            <w:shd w:val="clear" w:color="000000" w:fill="FFFFFF"/>
            <w:noWrap/>
            <w:vAlign w:val="center"/>
            <w:hideMark/>
          </w:tcPr>
          <w:p w14:paraId="5887219D" w14:textId="78063EE3" w:rsidR="00497FDB" w:rsidRPr="003E55F4" w:rsidRDefault="00497FDB" w:rsidP="00497FDB">
            <w:pPr>
              <w:tabs>
                <w:tab w:val="decimal" w:pos="180"/>
              </w:tabs>
              <w:spacing w:after="0" w:line="240" w:lineRule="auto"/>
              <w:jc w:val="center"/>
              <w:rPr>
                <w:rFonts w:eastAsia="Times New Roman"/>
                <w:color w:val="000000"/>
                <w:sz w:val="20"/>
                <w:szCs w:val="20"/>
              </w:rPr>
            </w:pPr>
            <w:r w:rsidRPr="003E55F4">
              <w:rPr>
                <w:rFonts w:eastAsia="Times New Roman"/>
                <w:color w:val="000000"/>
                <w:sz w:val="20"/>
                <w:szCs w:val="20"/>
              </w:rPr>
              <w:t>6.0</w:t>
            </w:r>
          </w:p>
        </w:tc>
      </w:tr>
      <w:tr w:rsidR="00497FDB" w:rsidRPr="003E55F4" w14:paraId="30AD5D94" w14:textId="77777777" w:rsidTr="00687312">
        <w:trPr>
          <w:trHeight w:val="259"/>
          <w:jc w:val="center"/>
        </w:trPr>
        <w:tc>
          <w:tcPr>
            <w:tcW w:w="3410" w:type="dxa"/>
            <w:tcBorders>
              <w:top w:val="nil"/>
              <w:left w:val="single" w:sz="12" w:space="0" w:color="auto"/>
              <w:bottom w:val="nil"/>
              <w:right w:val="nil"/>
            </w:tcBorders>
            <w:shd w:val="clear" w:color="000000" w:fill="FFFFFF"/>
            <w:noWrap/>
            <w:vAlign w:val="center"/>
            <w:hideMark/>
          </w:tcPr>
          <w:p w14:paraId="4393BB1B" w14:textId="175AC1BB" w:rsidR="00497FDB" w:rsidRPr="003E55F4" w:rsidRDefault="00497FDB" w:rsidP="00497FDB">
            <w:pPr>
              <w:spacing w:after="0" w:line="240" w:lineRule="auto"/>
              <w:ind w:firstLineChars="100" w:firstLine="200"/>
              <w:rPr>
                <w:rFonts w:eastAsia="Times New Roman"/>
                <w:color w:val="000000"/>
                <w:sz w:val="20"/>
                <w:szCs w:val="20"/>
              </w:rPr>
            </w:pPr>
            <w:r w:rsidRPr="003E55F4">
              <w:rPr>
                <w:rFonts w:eastAsia="Times New Roman"/>
                <w:color w:val="000000"/>
                <w:sz w:val="20"/>
                <w:szCs w:val="20"/>
              </w:rPr>
              <w:t>18 – 25</w:t>
            </w:r>
          </w:p>
        </w:tc>
        <w:tc>
          <w:tcPr>
            <w:tcW w:w="867" w:type="dxa"/>
            <w:tcBorders>
              <w:top w:val="nil"/>
              <w:left w:val="nil"/>
              <w:bottom w:val="nil"/>
              <w:right w:val="nil"/>
            </w:tcBorders>
            <w:shd w:val="clear" w:color="000000" w:fill="FFFFFF"/>
            <w:noWrap/>
            <w:vAlign w:val="center"/>
            <w:hideMark/>
          </w:tcPr>
          <w:p w14:paraId="157DD16E" w14:textId="1200C28B" w:rsidR="00497FDB" w:rsidRPr="003E55F4" w:rsidRDefault="00497FDB" w:rsidP="00497FDB">
            <w:pPr>
              <w:tabs>
                <w:tab w:val="decimal" w:pos="225"/>
              </w:tabs>
              <w:spacing w:after="0" w:line="240" w:lineRule="auto"/>
              <w:jc w:val="center"/>
              <w:rPr>
                <w:rFonts w:eastAsia="Times New Roman"/>
                <w:color w:val="000000"/>
                <w:sz w:val="20"/>
                <w:szCs w:val="20"/>
              </w:rPr>
            </w:pPr>
            <w:r w:rsidRPr="003E55F4">
              <w:rPr>
                <w:rFonts w:eastAsia="Times New Roman"/>
                <w:color w:val="000000"/>
                <w:sz w:val="20"/>
                <w:szCs w:val="20"/>
              </w:rPr>
              <w:t>9.9</w:t>
            </w:r>
          </w:p>
        </w:tc>
        <w:tc>
          <w:tcPr>
            <w:tcW w:w="786" w:type="dxa"/>
            <w:tcBorders>
              <w:top w:val="nil"/>
              <w:left w:val="nil"/>
              <w:bottom w:val="nil"/>
              <w:right w:val="single" w:sz="12" w:space="0" w:color="auto"/>
            </w:tcBorders>
            <w:shd w:val="clear" w:color="000000" w:fill="FFFFFF"/>
            <w:noWrap/>
            <w:vAlign w:val="center"/>
            <w:hideMark/>
          </w:tcPr>
          <w:p w14:paraId="16D81B8A" w14:textId="4233F95B" w:rsidR="00497FDB" w:rsidRPr="003E55F4" w:rsidRDefault="00497FDB" w:rsidP="00497FDB">
            <w:pPr>
              <w:tabs>
                <w:tab w:val="decimal" w:pos="255"/>
              </w:tabs>
              <w:spacing w:after="0" w:line="240" w:lineRule="auto"/>
              <w:jc w:val="center"/>
              <w:rPr>
                <w:rFonts w:eastAsia="Times New Roman"/>
                <w:color w:val="000000"/>
                <w:sz w:val="20"/>
                <w:szCs w:val="20"/>
              </w:rPr>
            </w:pPr>
            <w:r w:rsidRPr="003E55F4">
              <w:rPr>
                <w:rFonts w:eastAsia="Times New Roman"/>
                <w:color w:val="000000"/>
                <w:sz w:val="20"/>
                <w:szCs w:val="20"/>
              </w:rPr>
              <w:t>12.0</w:t>
            </w:r>
          </w:p>
        </w:tc>
        <w:tc>
          <w:tcPr>
            <w:tcW w:w="2899" w:type="dxa"/>
            <w:tcBorders>
              <w:top w:val="nil"/>
              <w:left w:val="single" w:sz="12" w:space="0" w:color="auto"/>
              <w:bottom w:val="nil"/>
              <w:right w:val="nil"/>
            </w:tcBorders>
            <w:shd w:val="clear" w:color="000000" w:fill="FFFFFF"/>
            <w:noWrap/>
            <w:vAlign w:val="center"/>
            <w:hideMark/>
          </w:tcPr>
          <w:p w14:paraId="7BA547E8" w14:textId="77777777" w:rsidR="00497FDB" w:rsidRPr="003E55F4" w:rsidRDefault="00497FDB" w:rsidP="00497FDB">
            <w:pPr>
              <w:spacing w:after="0" w:line="240" w:lineRule="auto"/>
              <w:ind w:firstLineChars="100" w:firstLine="200"/>
              <w:rPr>
                <w:rFonts w:eastAsia="Times New Roman"/>
                <w:sz w:val="20"/>
                <w:szCs w:val="20"/>
              </w:rPr>
            </w:pPr>
            <w:r w:rsidRPr="003E55F4">
              <w:rPr>
                <w:rFonts w:eastAsia="Times New Roman"/>
                <w:sz w:val="20"/>
                <w:szCs w:val="20"/>
              </w:rPr>
              <w:t>Other</w:t>
            </w:r>
          </w:p>
        </w:tc>
        <w:tc>
          <w:tcPr>
            <w:tcW w:w="798" w:type="dxa"/>
            <w:tcBorders>
              <w:top w:val="nil"/>
              <w:left w:val="nil"/>
              <w:bottom w:val="nil"/>
              <w:right w:val="nil"/>
            </w:tcBorders>
            <w:shd w:val="clear" w:color="000000" w:fill="FFFFFF"/>
            <w:noWrap/>
            <w:vAlign w:val="center"/>
            <w:hideMark/>
          </w:tcPr>
          <w:p w14:paraId="0EC49A20" w14:textId="02445CF5" w:rsidR="00497FDB" w:rsidRPr="003E55F4" w:rsidRDefault="00497FDB" w:rsidP="00497FDB">
            <w:pPr>
              <w:tabs>
                <w:tab w:val="decimal" w:pos="165"/>
              </w:tabs>
              <w:spacing w:after="0" w:line="240" w:lineRule="auto"/>
              <w:jc w:val="center"/>
              <w:rPr>
                <w:rFonts w:eastAsia="Times New Roman"/>
                <w:color w:val="000000"/>
                <w:sz w:val="20"/>
                <w:szCs w:val="20"/>
              </w:rPr>
            </w:pPr>
            <w:r w:rsidRPr="003E55F4">
              <w:rPr>
                <w:rFonts w:eastAsia="Times New Roman"/>
                <w:color w:val="000000"/>
                <w:sz w:val="20"/>
                <w:szCs w:val="20"/>
              </w:rPr>
              <w:t>3.8</w:t>
            </w:r>
          </w:p>
        </w:tc>
        <w:tc>
          <w:tcPr>
            <w:tcW w:w="786" w:type="dxa"/>
            <w:tcBorders>
              <w:top w:val="nil"/>
              <w:left w:val="nil"/>
              <w:bottom w:val="nil"/>
              <w:right w:val="single" w:sz="12" w:space="0" w:color="auto"/>
            </w:tcBorders>
            <w:shd w:val="clear" w:color="000000" w:fill="FFFFFF"/>
            <w:noWrap/>
            <w:vAlign w:val="center"/>
            <w:hideMark/>
          </w:tcPr>
          <w:p w14:paraId="2759876E" w14:textId="13AEC626" w:rsidR="00497FDB" w:rsidRPr="003E55F4" w:rsidRDefault="00497FDB" w:rsidP="00497FDB">
            <w:pPr>
              <w:tabs>
                <w:tab w:val="decimal" w:pos="180"/>
              </w:tabs>
              <w:spacing w:after="0" w:line="240" w:lineRule="auto"/>
              <w:jc w:val="center"/>
              <w:rPr>
                <w:rFonts w:eastAsia="Times New Roman"/>
                <w:color w:val="000000"/>
                <w:sz w:val="20"/>
                <w:szCs w:val="20"/>
              </w:rPr>
            </w:pPr>
            <w:r w:rsidRPr="003E55F4">
              <w:rPr>
                <w:rFonts w:eastAsia="Times New Roman"/>
                <w:color w:val="000000"/>
                <w:sz w:val="20"/>
                <w:szCs w:val="20"/>
              </w:rPr>
              <w:t>20.0</w:t>
            </w:r>
          </w:p>
        </w:tc>
      </w:tr>
      <w:tr w:rsidR="00497FDB" w:rsidRPr="003E55F4" w14:paraId="78E655AD" w14:textId="77777777" w:rsidTr="00687312">
        <w:trPr>
          <w:trHeight w:val="259"/>
          <w:jc w:val="center"/>
        </w:trPr>
        <w:tc>
          <w:tcPr>
            <w:tcW w:w="3410" w:type="dxa"/>
            <w:tcBorders>
              <w:top w:val="nil"/>
              <w:left w:val="single" w:sz="12" w:space="0" w:color="auto"/>
              <w:bottom w:val="nil"/>
              <w:right w:val="nil"/>
            </w:tcBorders>
            <w:shd w:val="clear" w:color="000000" w:fill="FFFFFF"/>
            <w:noWrap/>
            <w:vAlign w:val="center"/>
            <w:hideMark/>
          </w:tcPr>
          <w:p w14:paraId="05EBCFB6" w14:textId="68EA050D" w:rsidR="00497FDB" w:rsidRPr="003E55F4" w:rsidRDefault="00497FDB" w:rsidP="00497FDB">
            <w:pPr>
              <w:spacing w:after="0" w:line="240" w:lineRule="auto"/>
              <w:ind w:firstLineChars="100" w:firstLine="200"/>
              <w:rPr>
                <w:rFonts w:eastAsia="Times New Roman"/>
                <w:sz w:val="20"/>
                <w:szCs w:val="20"/>
              </w:rPr>
            </w:pPr>
            <w:r w:rsidRPr="003E55F4">
              <w:rPr>
                <w:rFonts w:eastAsia="Times New Roman"/>
                <w:sz w:val="20"/>
                <w:szCs w:val="20"/>
              </w:rPr>
              <w:t>25</w:t>
            </w:r>
            <w:r w:rsidRPr="003E55F4">
              <w:rPr>
                <w:rFonts w:eastAsia="Times New Roman"/>
                <w:color w:val="000000"/>
                <w:sz w:val="20"/>
                <w:szCs w:val="20"/>
              </w:rPr>
              <w:t xml:space="preserve"> – </w:t>
            </w:r>
            <w:r w:rsidRPr="003E55F4">
              <w:rPr>
                <w:rFonts w:eastAsia="Times New Roman"/>
                <w:sz w:val="20"/>
                <w:szCs w:val="20"/>
              </w:rPr>
              <w:t>34</w:t>
            </w:r>
          </w:p>
        </w:tc>
        <w:tc>
          <w:tcPr>
            <w:tcW w:w="867" w:type="dxa"/>
            <w:tcBorders>
              <w:top w:val="nil"/>
              <w:left w:val="nil"/>
              <w:bottom w:val="nil"/>
              <w:right w:val="nil"/>
            </w:tcBorders>
            <w:shd w:val="clear" w:color="000000" w:fill="FFFFFF"/>
            <w:noWrap/>
            <w:vAlign w:val="center"/>
            <w:hideMark/>
          </w:tcPr>
          <w:p w14:paraId="428C1D88" w14:textId="6342AD49" w:rsidR="00497FDB" w:rsidRPr="003E55F4" w:rsidRDefault="00497FDB" w:rsidP="00497FDB">
            <w:pPr>
              <w:tabs>
                <w:tab w:val="decimal" w:pos="225"/>
              </w:tabs>
              <w:spacing w:after="0" w:line="240" w:lineRule="auto"/>
              <w:jc w:val="center"/>
              <w:rPr>
                <w:rFonts w:eastAsia="Times New Roman"/>
                <w:color w:val="000000"/>
                <w:sz w:val="20"/>
                <w:szCs w:val="20"/>
              </w:rPr>
            </w:pPr>
            <w:r w:rsidRPr="003E55F4">
              <w:rPr>
                <w:rFonts w:eastAsia="Times New Roman"/>
                <w:color w:val="000000"/>
                <w:sz w:val="20"/>
                <w:szCs w:val="20"/>
              </w:rPr>
              <w:t>14.3</w:t>
            </w:r>
          </w:p>
        </w:tc>
        <w:tc>
          <w:tcPr>
            <w:tcW w:w="786" w:type="dxa"/>
            <w:tcBorders>
              <w:top w:val="nil"/>
              <w:left w:val="nil"/>
              <w:bottom w:val="nil"/>
              <w:right w:val="single" w:sz="12" w:space="0" w:color="auto"/>
            </w:tcBorders>
            <w:shd w:val="clear" w:color="000000" w:fill="FFFFFF"/>
            <w:noWrap/>
            <w:vAlign w:val="center"/>
            <w:hideMark/>
          </w:tcPr>
          <w:p w14:paraId="1455CEE3" w14:textId="0FFEB01A" w:rsidR="00497FDB" w:rsidRPr="003E55F4" w:rsidRDefault="00497FDB" w:rsidP="00497FDB">
            <w:pPr>
              <w:tabs>
                <w:tab w:val="decimal" w:pos="255"/>
              </w:tabs>
              <w:spacing w:after="0" w:line="240" w:lineRule="auto"/>
              <w:jc w:val="center"/>
              <w:rPr>
                <w:rFonts w:eastAsia="Times New Roman"/>
                <w:color w:val="000000"/>
                <w:sz w:val="20"/>
                <w:szCs w:val="20"/>
              </w:rPr>
            </w:pPr>
            <w:r w:rsidRPr="003E55F4">
              <w:rPr>
                <w:rFonts w:eastAsia="Times New Roman"/>
                <w:color w:val="000000"/>
                <w:sz w:val="20"/>
                <w:szCs w:val="20"/>
              </w:rPr>
              <w:t>17.4</w:t>
            </w:r>
          </w:p>
        </w:tc>
        <w:tc>
          <w:tcPr>
            <w:tcW w:w="2899" w:type="dxa"/>
            <w:tcBorders>
              <w:top w:val="nil"/>
              <w:left w:val="single" w:sz="12" w:space="0" w:color="auto"/>
              <w:bottom w:val="nil"/>
              <w:right w:val="nil"/>
            </w:tcBorders>
            <w:shd w:val="clear" w:color="000000" w:fill="FFFFFF"/>
            <w:noWrap/>
            <w:vAlign w:val="center"/>
            <w:hideMark/>
          </w:tcPr>
          <w:p w14:paraId="3AEEA432" w14:textId="77777777" w:rsidR="00497FDB" w:rsidRPr="003E55F4" w:rsidRDefault="00497FDB" w:rsidP="00497FDB">
            <w:pPr>
              <w:spacing w:after="0" w:line="240" w:lineRule="auto"/>
              <w:rPr>
                <w:rFonts w:eastAsia="Times New Roman"/>
                <w:b/>
                <w:bCs/>
                <w:color w:val="000000"/>
                <w:sz w:val="20"/>
                <w:szCs w:val="20"/>
              </w:rPr>
            </w:pPr>
            <w:r w:rsidRPr="003E55F4">
              <w:rPr>
                <w:rFonts w:eastAsia="Times New Roman"/>
                <w:b/>
                <w:bCs/>
                <w:color w:val="000000"/>
                <w:sz w:val="20"/>
                <w:szCs w:val="20"/>
              </w:rPr>
              <w:t>Ethnicity</w:t>
            </w:r>
          </w:p>
        </w:tc>
        <w:tc>
          <w:tcPr>
            <w:tcW w:w="798" w:type="dxa"/>
            <w:tcBorders>
              <w:top w:val="nil"/>
              <w:left w:val="nil"/>
              <w:bottom w:val="nil"/>
              <w:right w:val="nil"/>
            </w:tcBorders>
            <w:shd w:val="clear" w:color="000000" w:fill="FFFFFF"/>
            <w:noWrap/>
            <w:vAlign w:val="center"/>
            <w:hideMark/>
          </w:tcPr>
          <w:p w14:paraId="701DE1CF" w14:textId="7549637F" w:rsidR="00497FDB" w:rsidRPr="003E55F4" w:rsidRDefault="00497FDB" w:rsidP="00497FDB">
            <w:pPr>
              <w:tabs>
                <w:tab w:val="decimal" w:pos="165"/>
              </w:tabs>
              <w:spacing w:after="0" w:line="240" w:lineRule="auto"/>
              <w:jc w:val="center"/>
              <w:rPr>
                <w:rFonts w:eastAsia="Times New Roman"/>
                <w:color w:val="000000"/>
                <w:sz w:val="20"/>
                <w:szCs w:val="20"/>
              </w:rPr>
            </w:pPr>
          </w:p>
        </w:tc>
        <w:tc>
          <w:tcPr>
            <w:tcW w:w="786" w:type="dxa"/>
            <w:tcBorders>
              <w:top w:val="nil"/>
              <w:left w:val="nil"/>
              <w:bottom w:val="nil"/>
              <w:right w:val="single" w:sz="12" w:space="0" w:color="auto"/>
            </w:tcBorders>
            <w:shd w:val="clear" w:color="000000" w:fill="FFFFFF"/>
            <w:noWrap/>
            <w:vAlign w:val="center"/>
            <w:hideMark/>
          </w:tcPr>
          <w:p w14:paraId="456CC5A0" w14:textId="1B7AFFF1" w:rsidR="00497FDB" w:rsidRPr="003E55F4" w:rsidRDefault="00497FDB" w:rsidP="00497FDB">
            <w:pPr>
              <w:tabs>
                <w:tab w:val="decimal" w:pos="180"/>
              </w:tabs>
              <w:spacing w:after="0" w:line="240" w:lineRule="auto"/>
              <w:jc w:val="center"/>
              <w:rPr>
                <w:rFonts w:eastAsia="Times New Roman"/>
                <w:color w:val="000000"/>
                <w:sz w:val="20"/>
                <w:szCs w:val="20"/>
              </w:rPr>
            </w:pPr>
          </w:p>
        </w:tc>
      </w:tr>
      <w:tr w:rsidR="00497FDB" w:rsidRPr="003E55F4" w14:paraId="28CD682B" w14:textId="77777777" w:rsidTr="00687312">
        <w:trPr>
          <w:trHeight w:val="259"/>
          <w:jc w:val="center"/>
        </w:trPr>
        <w:tc>
          <w:tcPr>
            <w:tcW w:w="3410" w:type="dxa"/>
            <w:tcBorders>
              <w:top w:val="nil"/>
              <w:left w:val="single" w:sz="12" w:space="0" w:color="auto"/>
              <w:bottom w:val="nil"/>
              <w:right w:val="nil"/>
            </w:tcBorders>
            <w:shd w:val="clear" w:color="000000" w:fill="FFFFFF"/>
            <w:noWrap/>
            <w:vAlign w:val="center"/>
            <w:hideMark/>
          </w:tcPr>
          <w:p w14:paraId="3771C3C9" w14:textId="28D60B9D" w:rsidR="00497FDB" w:rsidRPr="003E55F4" w:rsidRDefault="00497FDB" w:rsidP="00497FDB">
            <w:pPr>
              <w:spacing w:after="0" w:line="240" w:lineRule="auto"/>
              <w:ind w:firstLineChars="100" w:firstLine="200"/>
              <w:rPr>
                <w:rFonts w:eastAsia="Times New Roman"/>
                <w:sz w:val="20"/>
                <w:szCs w:val="20"/>
              </w:rPr>
            </w:pPr>
            <w:r w:rsidRPr="003E55F4">
              <w:rPr>
                <w:rFonts w:eastAsia="Times New Roman"/>
                <w:sz w:val="20"/>
                <w:szCs w:val="20"/>
              </w:rPr>
              <w:t>35</w:t>
            </w:r>
            <w:r w:rsidRPr="003E55F4">
              <w:rPr>
                <w:rFonts w:eastAsia="Times New Roman"/>
                <w:color w:val="000000"/>
                <w:sz w:val="20"/>
                <w:szCs w:val="20"/>
              </w:rPr>
              <w:t xml:space="preserve"> – </w:t>
            </w:r>
            <w:r w:rsidRPr="003E55F4">
              <w:rPr>
                <w:rFonts w:eastAsia="Times New Roman"/>
                <w:sz w:val="20"/>
                <w:szCs w:val="20"/>
              </w:rPr>
              <w:t>44</w:t>
            </w:r>
          </w:p>
        </w:tc>
        <w:tc>
          <w:tcPr>
            <w:tcW w:w="867" w:type="dxa"/>
            <w:tcBorders>
              <w:top w:val="nil"/>
              <w:left w:val="nil"/>
              <w:bottom w:val="nil"/>
              <w:right w:val="nil"/>
            </w:tcBorders>
            <w:shd w:val="clear" w:color="000000" w:fill="FFFFFF"/>
            <w:noWrap/>
            <w:vAlign w:val="center"/>
            <w:hideMark/>
          </w:tcPr>
          <w:p w14:paraId="2270CC44" w14:textId="38B67C1C" w:rsidR="00497FDB" w:rsidRPr="003E55F4" w:rsidRDefault="00497FDB" w:rsidP="00497FDB">
            <w:pPr>
              <w:tabs>
                <w:tab w:val="decimal" w:pos="225"/>
              </w:tabs>
              <w:spacing w:after="0" w:line="240" w:lineRule="auto"/>
              <w:jc w:val="center"/>
              <w:rPr>
                <w:rFonts w:eastAsia="Times New Roman"/>
                <w:color w:val="000000"/>
                <w:sz w:val="20"/>
                <w:szCs w:val="20"/>
              </w:rPr>
            </w:pPr>
            <w:r w:rsidRPr="003E55F4">
              <w:rPr>
                <w:rFonts w:eastAsia="Times New Roman"/>
                <w:color w:val="000000"/>
                <w:sz w:val="20"/>
                <w:szCs w:val="20"/>
              </w:rPr>
              <w:t>14.8</w:t>
            </w:r>
          </w:p>
        </w:tc>
        <w:tc>
          <w:tcPr>
            <w:tcW w:w="786" w:type="dxa"/>
            <w:tcBorders>
              <w:top w:val="nil"/>
              <w:left w:val="nil"/>
              <w:bottom w:val="nil"/>
              <w:right w:val="single" w:sz="12" w:space="0" w:color="auto"/>
            </w:tcBorders>
            <w:shd w:val="clear" w:color="000000" w:fill="FFFFFF"/>
            <w:noWrap/>
            <w:vAlign w:val="center"/>
            <w:hideMark/>
          </w:tcPr>
          <w:p w14:paraId="5C5902CD" w14:textId="4BC40D85" w:rsidR="00497FDB" w:rsidRPr="003E55F4" w:rsidRDefault="00497FDB" w:rsidP="00497FDB">
            <w:pPr>
              <w:tabs>
                <w:tab w:val="decimal" w:pos="255"/>
              </w:tabs>
              <w:spacing w:after="0" w:line="240" w:lineRule="auto"/>
              <w:jc w:val="center"/>
              <w:rPr>
                <w:rFonts w:eastAsia="Times New Roman"/>
                <w:color w:val="000000"/>
                <w:sz w:val="20"/>
                <w:szCs w:val="20"/>
              </w:rPr>
            </w:pPr>
            <w:r w:rsidRPr="003E55F4">
              <w:rPr>
                <w:rFonts w:eastAsia="Times New Roman"/>
                <w:color w:val="000000"/>
                <w:sz w:val="20"/>
                <w:szCs w:val="20"/>
              </w:rPr>
              <w:t>16.4</w:t>
            </w:r>
          </w:p>
        </w:tc>
        <w:tc>
          <w:tcPr>
            <w:tcW w:w="2899" w:type="dxa"/>
            <w:tcBorders>
              <w:top w:val="nil"/>
              <w:left w:val="single" w:sz="12" w:space="0" w:color="auto"/>
              <w:bottom w:val="nil"/>
              <w:right w:val="nil"/>
            </w:tcBorders>
            <w:shd w:val="clear" w:color="000000" w:fill="FFFFFF"/>
            <w:noWrap/>
            <w:vAlign w:val="center"/>
            <w:hideMark/>
          </w:tcPr>
          <w:p w14:paraId="5DCD51DB" w14:textId="77777777" w:rsidR="00497FDB" w:rsidRPr="003E55F4" w:rsidRDefault="00497FDB" w:rsidP="00497FDB">
            <w:pPr>
              <w:spacing w:after="0" w:line="240" w:lineRule="auto"/>
              <w:ind w:firstLineChars="100" w:firstLine="200"/>
              <w:rPr>
                <w:rFonts w:eastAsia="Times New Roman"/>
                <w:color w:val="000000"/>
                <w:sz w:val="20"/>
                <w:szCs w:val="20"/>
              </w:rPr>
            </w:pPr>
            <w:r w:rsidRPr="003E55F4">
              <w:rPr>
                <w:rFonts w:eastAsia="Times New Roman"/>
                <w:color w:val="000000"/>
                <w:sz w:val="20"/>
                <w:szCs w:val="20"/>
              </w:rPr>
              <w:t>Not Hispanic</w:t>
            </w:r>
          </w:p>
        </w:tc>
        <w:tc>
          <w:tcPr>
            <w:tcW w:w="798" w:type="dxa"/>
            <w:tcBorders>
              <w:top w:val="nil"/>
              <w:left w:val="nil"/>
              <w:bottom w:val="nil"/>
              <w:right w:val="nil"/>
            </w:tcBorders>
            <w:shd w:val="clear" w:color="000000" w:fill="FFFFFF"/>
            <w:noWrap/>
            <w:vAlign w:val="center"/>
            <w:hideMark/>
          </w:tcPr>
          <w:p w14:paraId="28CA212A" w14:textId="4340B589" w:rsidR="00497FDB" w:rsidRPr="003E55F4" w:rsidRDefault="00497FDB" w:rsidP="00497FDB">
            <w:pPr>
              <w:tabs>
                <w:tab w:val="decimal" w:pos="165"/>
              </w:tabs>
              <w:spacing w:after="0" w:line="240" w:lineRule="auto"/>
              <w:jc w:val="center"/>
              <w:rPr>
                <w:rFonts w:eastAsia="Times New Roman"/>
                <w:color w:val="000000"/>
                <w:sz w:val="20"/>
                <w:szCs w:val="20"/>
              </w:rPr>
            </w:pPr>
            <w:r w:rsidRPr="003E55F4">
              <w:rPr>
                <w:rFonts w:eastAsia="Times New Roman"/>
                <w:color w:val="000000"/>
                <w:sz w:val="20"/>
                <w:szCs w:val="20"/>
              </w:rPr>
              <w:t>90.9</w:t>
            </w:r>
          </w:p>
        </w:tc>
        <w:tc>
          <w:tcPr>
            <w:tcW w:w="786" w:type="dxa"/>
            <w:tcBorders>
              <w:top w:val="nil"/>
              <w:left w:val="nil"/>
              <w:bottom w:val="nil"/>
              <w:right w:val="single" w:sz="12" w:space="0" w:color="auto"/>
            </w:tcBorders>
            <w:shd w:val="clear" w:color="000000" w:fill="FFFFFF"/>
            <w:noWrap/>
            <w:vAlign w:val="center"/>
            <w:hideMark/>
          </w:tcPr>
          <w:p w14:paraId="6D672398" w14:textId="0AFF567E" w:rsidR="00497FDB" w:rsidRPr="003E55F4" w:rsidRDefault="00497FDB" w:rsidP="00497FDB">
            <w:pPr>
              <w:tabs>
                <w:tab w:val="decimal" w:pos="180"/>
              </w:tabs>
              <w:spacing w:after="0" w:line="240" w:lineRule="auto"/>
              <w:jc w:val="center"/>
              <w:rPr>
                <w:rFonts w:eastAsia="Times New Roman"/>
                <w:color w:val="000000"/>
                <w:sz w:val="20"/>
                <w:szCs w:val="20"/>
              </w:rPr>
            </w:pPr>
            <w:r w:rsidRPr="003E55F4">
              <w:rPr>
                <w:rFonts w:eastAsia="Times New Roman"/>
                <w:color w:val="000000"/>
                <w:sz w:val="20"/>
                <w:szCs w:val="20"/>
              </w:rPr>
              <w:t>81.3</w:t>
            </w:r>
          </w:p>
        </w:tc>
      </w:tr>
      <w:tr w:rsidR="00497FDB" w:rsidRPr="003E55F4" w14:paraId="699744EE" w14:textId="77777777" w:rsidTr="00687312">
        <w:trPr>
          <w:trHeight w:val="259"/>
          <w:jc w:val="center"/>
        </w:trPr>
        <w:tc>
          <w:tcPr>
            <w:tcW w:w="3410" w:type="dxa"/>
            <w:tcBorders>
              <w:top w:val="nil"/>
              <w:left w:val="single" w:sz="12" w:space="0" w:color="auto"/>
              <w:bottom w:val="nil"/>
              <w:right w:val="nil"/>
            </w:tcBorders>
            <w:shd w:val="clear" w:color="000000" w:fill="FFFFFF"/>
            <w:noWrap/>
            <w:vAlign w:val="center"/>
            <w:hideMark/>
          </w:tcPr>
          <w:p w14:paraId="6B220D77" w14:textId="59A15BA3" w:rsidR="00497FDB" w:rsidRPr="003E55F4" w:rsidRDefault="00497FDB" w:rsidP="00497FDB">
            <w:pPr>
              <w:spacing w:after="0" w:line="240" w:lineRule="auto"/>
              <w:ind w:firstLineChars="100" w:firstLine="200"/>
              <w:rPr>
                <w:rFonts w:eastAsia="Times New Roman"/>
                <w:sz w:val="20"/>
                <w:szCs w:val="20"/>
              </w:rPr>
            </w:pPr>
            <w:r w:rsidRPr="003E55F4">
              <w:rPr>
                <w:rFonts w:eastAsia="Times New Roman"/>
                <w:sz w:val="20"/>
                <w:szCs w:val="20"/>
              </w:rPr>
              <w:t>45</w:t>
            </w:r>
            <w:r w:rsidRPr="003E55F4">
              <w:rPr>
                <w:rFonts w:eastAsia="Times New Roman"/>
                <w:color w:val="000000"/>
                <w:sz w:val="20"/>
                <w:szCs w:val="20"/>
              </w:rPr>
              <w:t xml:space="preserve"> – </w:t>
            </w:r>
            <w:r w:rsidRPr="003E55F4">
              <w:rPr>
                <w:rFonts w:eastAsia="Times New Roman"/>
                <w:sz w:val="20"/>
                <w:szCs w:val="20"/>
              </w:rPr>
              <w:t>54</w:t>
            </w:r>
          </w:p>
        </w:tc>
        <w:tc>
          <w:tcPr>
            <w:tcW w:w="867" w:type="dxa"/>
            <w:tcBorders>
              <w:top w:val="nil"/>
              <w:left w:val="nil"/>
              <w:bottom w:val="nil"/>
              <w:right w:val="nil"/>
            </w:tcBorders>
            <w:shd w:val="clear" w:color="000000" w:fill="FFFFFF"/>
            <w:noWrap/>
            <w:vAlign w:val="center"/>
            <w:hideMark/>
          </w:tcPr>
          <w:p w14:paraId="146B71E3" w14:textId="00A5CCE2" w:rsidR="00497FDB" w:rsidRPr="003E55F4" w:rsidRDefault="00497FDB" w:rsidP="00497FDB">
            <w:pPr>
              <w:tabs>
                <w:tab w:val="decimal" w:pos="225"/>
              </w:tabs>
              <w:spacing w:after="0" w:line="240" w:lineRule="auto"/>
              <w:jc w:val="center"/>
              <w:rPr>
                <w:rFonts w:eastAsia="Times New Roman"/>
                <w:color w:val="000000"/>
                <w:sz w:val="20"/>
                <w:szCs w:val="20"/>
              </w:rPr>
            </w:pPr>
            <w:r w:rsidRPr="003E55F4">
              <w:rPr>
                <w:rFonts w:eastAsia="Times New Roman"/>
                <w:color w:val="000000"/>
                <w:sz w:val="20"/>
                <w:szCs w:val="20"/>
              </w:rPr>
              <w:t>14.0</w:t>
            </w:r>
          </w:p>
        </w:tc>
        <w:tc>
          <w:tcPr>
            <w:tcW w:w="786" w:type="dxa"/>
            <w:tcBorders>
              <w:top w:val="nil"/>
              <w:left w:val="nil"/>
              <w:bottom w:val="nil"/>
              <w:right w:val="single" w:sz="12" w:space="0" w:color="auto"/>
            </w:tcBorders>
            <w:shd w:val="clear" w:color="000000" w:fill="FFFFFF"/>
            <w:noWrap/>
            <w:vAlign w:val="center"/>
            <w:hideMark/>
          </w:tcPr>
          <w:p w14:paraId="78FCDB6A" w14:textId="73B1BAE9" w:rsidR="00497FDB" w:rsidRPr="003E55F4" w:rsidRDefault="00497FDB" w:rsidP="00497FDB">
            <w:pPr>
              <w:tabs>
                <w:tab w:val="decimal" w:pos="255"/>
              </w:tabs>
              <w:spacing w:after="0" w:line="240" w:lineRule="auto"/>
              <w:jc w:val="center"/>
              <w:rPr>
                <w:rFonts w:eastAsia="Times New Roman"/>
                <w:color w:val="000000"/>
                <w:sz w:val="20"/>
                <w:szCs w:val="20"/>
              </w:rPr>
            </w:pPr>
            <w:r w:rsidRPr="003E55F4">
              <w:rPr>
                <w:rFonts w:eastAsia="Times New Roman"/>
                <w:color w:val="000000"/>
                <w:sz w:val="20"/>
                <w:szCs w:val="20"/>
              </w:rPr>
              <w:t>15.8</w:t>
            </w:r>
          </w:p>
        </w:tc>
        <w:tc>
          <w:tcPr>
            <w:tcW w:w="2899" w:type="dxa"/>
            <w:tcBorders>
              <w:top w:val="nil"/>
              <w:left w:val="single" w:sz="12" w:space="0" w:color="auto"/>
              <w:bottom w:val="nil"/>
              <w:right w:val="nil"/>
            </w:tcBorders>
            <w:shd w:val="clear" w:color="000000" w:fill="FFFFFF"/>
            <w:noWrap/>
            <w:vAlign w:val="center"/>
            <w:hideMark/>
          </w:tcPr>
          <w:p w14:paraId="177A7C6D" w14:textId="77777777" w:rsidR="00497FDB" w:rsidRPr="003E55F4" w:rsidRDefault="00497FDB" w:rsidP="00497FDB">
            <w:pPr>
              <w:spacing w:after="0" w:line="240" w:lineRule="auto"/>
              <w:ind w:firstLineChars="100" w:firstLine="200"/>
              <w:rPr>
                <w:rFonts w:eastAsia="Times New Roman"/>
                <w:color w:val="000000"/>
                <w:sz w:val="20"/>
                <w:szCs w:val="20"/>
              </w:rPr>
            </w:pPr>
            <w:r w:rsidRPr="003E55F4">
              <w:rPr>
                <w:rFonts w:eastAsia="Times New Roman"/>
                <w:color w:val="000000"/>
                <w:sz w:val="20"/>
                <w:szCs w:val="20"/>
              </w:rPr>
              <w:t>Hispanic</w:t>
            </w:r>
          </w:p>
        </w:tc>
        <w:tc>
          <w:tcPr>
            <w:tcW w:w="798" w:type="dxa"/>
            <w:tcBorders>
              <w:top w:val="nil"/>
              <w:left w:val="nil"/>
              <w:bottom w:val="nil"/>
              <w:right w:val="nil"/>
            </w:tcBorders>
            <w:shd w:val="clear" w:color="000000" w:fill="FFFFFF"/>
            <w:noWrap/>
            <w:vAlign w:val="center"/>
            <w:hideMark/>
          </w:tcPr>
          <w:p w14:paraId="51043272" w14:textId="045C816C" w:rsidR="00497FDB" w:rsidRPr="003E55F4" w:rsidRDefault="00497FDB" w:rsidP="00497FDB">
            <w:pPr>
              <w:tabs>
                <w:tab w:val="decimal" w:pos="165"/>
              </w:tabs>
              <w:spacing w:after="0" w:line="240" w:lineRule="auto"/>
              <w:jc w:val="center"/>
              <w:rPr>
                <w:rFonts w:eastAsia="Times New Roman"/>
                <w:color w:val="000000"/>
                <w:sz w:val="20"/>
                <w:szCs w:val="20"/>
              </w:rPr>
            </w:pPr>
            <w:r w:rsidRPr="003E55F4">
              <w:rPr>
                <w:rFonts w:eastAsia="Times New Roman"/>
                <w:color w:val="000000"/>
                <w:sz w:val="20"/>
                <w:szCs w:val="20"/>
              </w:rPr>
              <w:t>9.1</w:t>
            </w:r>
          </w:p>
        </w:tc>
        <w:tc>
          <w:tcPr>
            <w:tcW w:w="786" w:type="dxa"/>
            <w:tcBorders>
              <w:top w:val="nil"/>
              <w:left w:val="nil"/>
              <w:bottom w:val="nil"/>
              <w:right w:val="single" w:sz="12" w:space="0" w:color="auto"/>
            </w:tcBorders>
            <w:shd w:val="clear" w:color="000000" w:fill="FFFFFF"/>
            <w:noWrap/>
            <w:vAlign w:val="center"/>
            <w:hideMark/>
          </w:tcPr>
          <w:p w14:paraId="291018E1" w14:textId="6BDDC627" w:rsidR="00497FDB" w:rsidRPr="003E55F4" w:rsidRDefault="00497FDB" w:rsidP="00497FDB">
            <w:pPr>
              <w:tabs>
                <w:tab w:val="decimal" w:pos="180"/>
              </w:tabs>
              <w:spacing w:after="0" w:line="240" w:lineRule="auto"/>
              <w:jc w:val="center"/>
              <w:rPr>
                <w:rFonts w:eastAsia="Times New Roman"/>
                <w:color w:val="000000"/>
                <w:sz w:val="20"/>
                <w:szCs w:val="20"/>
              </w:rPr>
            </w:pPr>
            <w:r w:rsidRPr="003E55F4">
              <w:rPr>
                <w:rFonts w:eastAsia="Times New Roman"/>
                <w:color w:val="000000"/>
                <w:sz w:val="20"/>
                <w:szCs w:val="20"/>
              </w:rPr>
              <w:t>18.7</w:t>
            </w:r>
          </w:p>
        </w:tc>
      </w:tr>
      <w:tr w:rsidR="00497FDB" w:rsidRPr="003E55F4" w14:paraId="4853D51E" w14:textId="77777777" w:rsidTr="00687312">
        <w:trPr>
          <w:trHeight w:val="259"/>
          <w:jc w:val="center"/>
        </w:trPr>
        <w:tc>
          <w:tcPr>
            <w:tcW w:w="3410" w:type="dxa"/>
            <w:tcBorders>
              <w:top w:val="nil"/>
              <w:left w:val="single" w:sz="12" w:space="0" w:color="auto"/>
              <w:bottom w:val="nil"/>
              <w:right w:val="nil"/>
            </w:tcBorders>
            <w:shd w:val="clear" w:color="000000" w:fill="FFFFFF"/>
            <w:noWrap/>
            <w:vAlign w:val="center"/>
            <w:hideMark/>
          </w:tcPr>
          <w:p w14:paraId="6B3C4C74" w14:textId="4912388B" w:rsidR="00497FDB" w:rsidRPr="003E55F4" w:rsidRDefault="00497FDB" w:rsidP="00497FDB">
            <w:pPr>
              <w:spacing w:after="0" w:line="240" w:lineRule="auto"/>
              <w:ind w:firstLineChars="100" w:firstLine="200"/>
              <w:rPr>
                <w:rFonts w:eastAsia="Times New Roman"/>
                <w:sz w:val="20"/>
                <w:szCs w:val="20"/>
              </w:rPr>
            </w:pPr>
            <w:r w:rsidRPr="003E55F4">
              <w:rPr>
                <w:rFonts w:eastAsia="Times New Roman"/>
                <w:sz w:val="20"/>
                <w:szCs w:val="20"/>
              </w:rPr>
              <w:t>55</w:t>
            </w:r>
            <w:r w:rsidRPr="003E55F4">
              <w:rPr>
                <w:rFonts w:eastAsia="Times New Roman"/>
                <w:color w:val="000000"/>
                <w:sz w:val="20"/>
                <w:szCs w:val="20"/>
              </w:rPr>
              <w:t xml:space="preserve"> – </w:t>
            </w:r>
            <w:r w:rsidRPr="003E55F4">
              <w:rPr>
                <w:rFonts w:eastAsia="Times New Roman"/>
                <w:sz w:val="20"/>
                <w:szCs w:val="20"/>
              </w:rPr>
              <w:t>64</w:t>
            </w:r>
          </w:p>
        </w:tc>
        <w:tc>
          <w:tcPr>
            <w:tcW w:w="867" w:type="dxa"/>
            <w:tcBorders>
              <w:top w:val="nil"/>
              <w:left w:val="nil"/>
              <w:bottom w:val="nil"/>
              <w:right w:val="nil"/>
            </w:tcBorders>
            <w:shd w:val="clear" w:color="000000" w:fill="FFFFFF"/>
            <w:noWrap/>
            <w:vAlign w:val="center"/>
            <w:hideMark/>
          </w:tcPr>
          <w:p w14:paraId="034DF0DC" w14:textId="5FEB035E" w:rsidR="00497FDB" w:rsidRPr="003E55F4" w:rsidRDefault="00497FDB" w:rsidP="00497FDB">
            <w:pPr>
              <w:tabs>
                <w:tab w:val="decimal" w:pos="225"/>
              </w:tabs>
              <w:spacing w:after="0" w:line="240" w:lineRule="auto"/>
              <w:jc w:val="center"/>
              <w:rPr>
                <w:rFonts w:eastAsia="Times New Roman"/>
                <w:color w:val="000000"/>
                <w:sz w:val="20"/>
                <w:szCs w:val="20"/>
              </w:rPr>
            </w:pPr>
            <w:r w:rsidRPr="003E55F4">
              <w:rPr>
                <w:rFonts w:eastAsia="Times New Roman"/>
                <w:color w:val="000000"/>
                <w:sz w:val="20"/>
                <w:szCs w:val="20"/>
              </w:rPr>
              <w:t>18.0</w:t>
            </w:r>
          </w:p>
        </w:tc>
        <w:tc>
          <w:tcPr>
            <w:tcW w:w="786" w:type="dxa"/>
            <w:tcBorders>
              <w:top w:val="nil"/>
              <w:left w:val="nil"/>
              <w:bottom w:val="nil"/>
              <w:right w:val="single" w:sz="12" w:space="0" w:color="auto"/>
            </w:tcBorders>
            <w:shd w:val="clear" w:color="000000" w:fill="FFFFFF"/>
            <w:noWrap/>
            <w:vAlign w:val="center"/>
            <w:hideMark/>
          </w:tcPr>
          <w:p w14:paraId="601DDEFE" w14:textId="55ED1B97" w:rsidR="00497FDB" w:rsidRPr="003E55F4" w:rsidRDefault="00497FDB" w:rsidP="00497FDB">
            <w:pPr>
              <w:tabs>
                <w:tab w:val="decimal" w:pos="255"/>
              </w:tabs>
              <w:spacing w:after="0" w:line="240" w:lineRule="auto"/>
              <w:jc w:val="center"/>
              <w:rPr>
                <w:rFonts w:eastAsia="Times New Roman"/>
                <w:color w:val="000000"/>
                <w:sz w:val="20"/>
                <w:szCs w:val="20"/>
              </w:rPr>
            </w:pPr>
            <w:r w:rsidRPr="003E55F4">
              <w:rPr>
                <w:rFonts w:eastAsia="Times New Roman"/>
                <w:color w:val="000000"/>
                <w:sz w:val="20"/>
                <w:szCs w:val="20"/>
              </w:rPr>
              <w:t>16.8</w:t>
            </w:r>
          </w:p>
        </w:tc>
        <w:tc>
          <w:tcPr>
            <w:tcW w:w="2899" w:type="dxa"/>
            <w:tcBorders>
              <w:top w:val="nil"/>
              <w:left w:val="single" w:sz="12" w:space="0" w:color="auto"/>
              <w:bottom w:val="nil"/>
              <w:right w:val="nil"/>
            </w:tcBorders>
            <w:shd w:val="clear" w:color="000000" w:fill="FFFFFF"/>
            <w:noWrap/>
            <w:vAlign w:val="center"/>
            <w:hideMark/>
          </w:tcPr>
          <w:p w14:paraId="7500A385" w14:textId="77777777" w:rsidR="00497FDB" w:rsidRPr="003E55F4" w:rsidRDefault="00497FDB" w:rsidP="00497FDB">
            <w:pPr>
              <w:spacing w:after="0" w:line="240" w:lineRule="auto"/>
              <w:rPr>
                <w:rFonts w:eastAsia="Times New Roman"/>
                <w:b/>
                <w:bCs/>
                <w:color w:val="000000"/>
                <w:sz w:val="20"/>
                <w:szCs w:val="20"/>
              </w:rPr>
            </w:pPr>
            <w:r w:rsidRPr="003E55F4">
              <w:rPr>
                <w:rFonts w:eastAsia="Times New Roman"/>
                <w:b/>
                <w:bCs/>
                <w:color w:val="000000"/>
                <w:sz w:val="20"/>
                <w:szCs w:val="20"/>
              </w:rPr>
              <w:t>Education</w:t>
            </w:r>
          </w:p>
        </w:tc>
        <w:tc>
          <w:tcPr>
            <w:tcW w:w="798" w:type="dxa"/>
            <w:tcBorders>
              <w:top w:val="nil"/>
              <w:left w:val="nil"/>
              <w:bottom w:val="nil"/>
              <w:right w:val="nil"/>
            </w:tcBorders>
            <w:shd w:val="clear" w:color="000000" w:fill="FFFFFF"/>
            <w:noWrap/>
            <w:vAlign w:val="center"/>
            <w:hideMark/>
          </w:tcPr>
          <w:p w14:paraId="348E0FB7" w14:textId="58B97D51" w:rsidR="00497FDB" w:rsidRPr="003E55F4" w:rsidRDefault="00497FDB" w:rsidP="00497FDB">
            <w:pPr>
              <w:tabs>
                <w:tab w:val="decimal" w:pos="165"/>
              </w:tabs>
              <w:spacing w:after="0" w:line="240" w:lineRule="auto"/>
              <w:jc w:val="center"/>
              <w:rPr>
                <w:rFonts w:eastAsia="Times New Roman"/>
                <w:color w:val="000000"/>
                <w:sz w:val="20"/>
                <w:szCs w:val="20"/>
              </w:rPr>
            </w:pPr>
          </w:p>
        </w:tc>
        <w:tc>
          <w:tcPr>
            <w:tcW w:w="786" w:type="dxa"/>
            <w:tcBorders>
              <w:top w:val="nil"/>
              <w:left w:val="nil"/>
              <w:bottom w:val="nil"/>
              <w:right w:val="single" w:sz="12" w:space="0" w:color="auto"/>
            </w:tcBorders>
            <w:shd w:val="clear" w:color="000000" w:fill="FFFFFF"/>
            <w:noWrap/>
            <w:vAlign w:val="center"/>
            <w:hideMark/>
          </w:tcPr>
          <w:p w14:paraId="48FDB69F" w14:textId="5F09722D" w:rsidR="00497FDB" w:rsidRPr="003E55F4" w:rsidRDefault="00497FDB" w:rsidP="00497FDB">
            <w:pPr>
              <w:tabs>
                <w:tab w:val="decimal" w:pos="180"/>
              </w:tabs>
              <w:spacing w:after="0" w:line="240" w:lineRule="auto"/>
              <w:jc w:val="center"/>
              <w:rPr>
                <w:rFonts w:eastAsia="Times New Roman"/>
                <w:color w:val="000000"/>
                <w:sz w:val="20"/>
                <w:szCs w:val="20"/>
              </w:rPr>
            </w:pPr>
          </w:p>
        </w:tc>
      </w:tr>
      <w:tr w:rsidR="00497FDB" w:rsidRPr="003E55F4" w14:paraId="586B3046" w14:textId="77777777" w:rsidTr="00687312">
        <w:trPr>
          <w:trHeight w:val="259"/>
          <w:jc w:val="center"/>
        </w:trPr>
        <w:tc>
          <w:tcPr>
            <w:tcW w:w="3410" w:type="dxa"/>
            <w:tcBorders>
              <w:top w:val="nil"/>
              <w:left w:val="single" w:sz="12" w:space="0" w:color="auto"/>
              <w:bottom w:val="nil"/>
              <w:right w:val="nil"/>
            </w:tcBorders>
            <w:shd w:val="clear" w:color="000000" w:fill="FFFFFF"/>
            <w:noWrap/>
            <w:vAlign w:val="center"/>
            <w:hideMark/>
          </w:tcPr>
          <w:p w14:paraId="5323B431" w14:textId="4B75858E" w:rsidR="00497FDB" w:rsidRPr="003E55F4" w:rsidRDefault="00497FDB" w:rsidP="00497FDB">
            <w:pPr>
              <w:spacing w:after="0" w:line="240" w:lineRule="auto"/>
              <w:ind w:firstLineChars="100" w:firstLine="200"/>
              <w:rPr>
                <w:rFonts w:eastAsia="Times New Roman"/>
                <w:sz w:val="20"/>
                <w:szCs w:val="20"/>
              </w:rPr>
            </w:pPr>
            <w:r w:rsidRPr="003E55F4">
              <w:rPr>
                <w:rFonts w:eastAsia="Times New Roman"/>
                <w:sz w:val="20"/>
                <w:szCs w:val="20"/>
              </w:rPr>
              <w:t>65 or older</w:t>
            </w:r>
          </w:p>
        </w:tc>
        <w:tc>
          <w:tcPr>
            <w:tcW w:w="867" w:type="dxa"/>
            <w:tcBorders>
              <w:top w:val="nil"/>
              <w:left w:val="nil"/>
              <w:bottom w:val="nil"/>
              <w:right w:val="nil"/>
            </w:tcBorders>
            <w:shd w:val="clear" w:color="000000" w:fill="FFFFFF"/>
            <w:noWrap/>
            <w:vAlign w:val="center"/>
            <w:hideMark/>
          </w:tcPr>
          <w:p w14:paraId="1BC4A2E8" w14:textId="687E9273" w:rsidR="00497FDB" w:rsidRPr="003E55F4" w:rsidRDefault="00497FDB" w:rsidP="00497FDB">
            <w:pPr>
              <w:tabs>
                <w:tab w:val="decimal" w:pos="225"/>
              </w:tabs>
              <w:spacing w:after="0" w:line="240" w:lineRule="auto"/>
              <w:jc w:val="center"/>
              <w:rPr>
                <w:rFonts w:eastAsia="Times New Roman"/>
                <w:color w:val="000000"/>
                <w:sz w:val="20"/>
                <w:szCs w:val="20"/>
              </w:rPr>
            </w:pPr>
            <w:r w:rsidRPr="003E55F4">
              <w:rPr>
                <w:rFonts w:eastAsia="Times New Roman"/>
                <w:color w:val="000000"/>
                <w:sz w:val="20"/>
                <w:szCs w:val="20"/>
              </w:rPr>
              <w:t>29.0</w:t>
            </w:r>
          </w:p>
        </w:tc>
        <w:tc>
          <w:tcPr>
            <w:tcW w:w="786" w:type="dxa"/>
            <w:tcBorders>
              <w:top w:val="nil"/>
              <w:left w:val="nil"/>
              <w:bottom w:val="nil"/>
              <w:right w:val="single" w:sz="12" w:space="0" w:color="auto"/>
            </w:tcBorders>
            <w:shd w:val="clear" w:color="000000" w:fill="FFFFFF"/>
            <w:noWrap/>
            <w:vAlign w:val="center"/>
            <w:hideMark/>
          </w:tcPr>
          <w:p w14:paraId="61AA4F5C" w14:textId="5AC52E4D" w:rsidR="00497FDB" w:rsidRPr="003E55F4" w:rsidRDefault="00497FDB" w:rsidP="00497FDB">
            <w:pPr>
              <w:tabs>
                <w:tab w:val="decimal" w:pos="255"/>
              </w:tabs>
              <w:spacing w:after="0" w:line="240" w:lineRule="auto"/>
              <w:jc w:val="center"/>
              <w:rPr>
                <w:rFonts w:eastAsia="Times New Roman"/>
                <w:color w:val="000000"/>
                <w:sz w:val="20"/>
                <w:szCs w:val="20"/>
              </w:rPr>
            </w:pPr>
            <w:r w:rsidRPr="003E55F4">
              <w:rPr>
                <w:rFonts w:eastAsia="Times New Roman"/>
                <w:color w:val="000000"/>
                <w:sz w:val="20"/>
                <w:szCs w:val="20"/>
              </w:rPr>
              <w:t>21.6</w:t>
            </w:r>
          </w:p>
        </w:tc>
        <w:tc>
          <w:tcPr>
            <w:tcW w:w="2899" w:type="dxa"/>
            <w:tcBorders>
              <w:top w:val="nil"/>
              <w:left w:val="single" w:sz="12" w:space="0" w:color="auto"/>
              <w:bottom w:val="nil"/>
              <w:right w:val="nil"/>
            </w:tcBorders>
            <w:shd w:val="clear" w:color="000000" w:fill="FFFFFF"/>
            <w:noWrap/>
            <w:vAlign w:val="center"/>
            <w:hideMark/>
          </w:tcPr>
          <w:p w14:paraId="5DB35549" w14:textId="3CCB524B" w:rsidR="00497FDB" w:rsidRPr="003E55F4" w:rsidRDefault="00497FDB" w:rsidP="00497FDB">
            <w:pPr>
              <w:spacing w:after="0" w:line="240" w:lineRule="auto"/>
              <w:ind w:firstLineChars="100" w:firstLine="200"/>
              <w:rPr>
                <w:rFonts w:eastAsia="Times New Roman"/>
                <w:sz w:val="20"/>
                <w:szCs w:val="20"/>
              </w:rPr>
            </w:pPr>
            <w:r w:rsidRPr="003E55F4">
              <w:rPr>
                <w:rFonts w:eastAsia="Times New Roman"/>
                <w:sz w:val="20"/>
                <w:szCs w:val="20"/>
              </w:rPr>
              <w:t>Less than high school diploma</w:t>
            </w:r>
          </w:p>
        </w:tc>
        <w:tc>
          <w:tcPr>
            <w:tcW w:w="798" w:type="dxa"/>
            <w:tcBorders>
              <w:top w:val="nil"/>
              <w:left w:val="nil"/>
              <w:bottom w:val="nil"/>
              <w:right w:val="nil"/>
            </w:tcBorders>
            <w:shd w:val="clear" w:color="000000" w:fill="FFFFFF"/>
            <w:noWrap/>
            <w:vAlign w:val="center"/>
            <w:hideMark/>
          </w:tcPr>
          <w:p w14:paraId="43DBBBB1" w14:textId="3DBD1880" w:rsidR="00497FDB" w:rsidRPr="003E55F4" w:rsidRDefault="00497FDB" w:rsidP="00497FDB">
            <w:pPr>
              <w:tabs>
                <w:tab w:val="decimal" w:pos="165"/>
              </w:tabs>
              <w:spacing w:after="0" w:line="240" w:lineRule="auto"/>
              <w:jc w:val="center"/>
              <w:rPr>
                <w:rFonts w:eastAsia="Times New Roman"/>
                <w:color w:val="000000"/>
                <w:sz w:val="20"/>
                <w:szCs w:val="20"/>
              </w:rPr>
            </w:pPr>
            <w:r w:rsidRPr="003E55F4">
              <w:rPr>
                <w:rFonts w:eastAsia="Times New Roman"/>
                <w:color w:val="000000"/>
                <w:sz w:val="20"/>
                <w:szCs w:val="20"/>
              </w:rPr>
              <w:t>6.8</w:t>
            </w:r>
          </w:p>
        </w:tc>
        <w:tc>
          <w:tcPr>
            <w:tcW w:w="786" w:type="dxa"/>
            <w:tcBorders>
              <w:top w:val="nil"/>
              <w:left w:val="nil"/>
              <w:bottom w:val="nil"/>
              <w:right w:val="single" w:sz="12" w:space="0" w:color="auto"/>
            </w:tcBorders>
            <w:shd w:val="clear" w:color="000000" w:fill="FFFFFF"/>
            <w:noWrap/>
            <w:vAlign w:val="center"/>
            <w:hideMark/>
          </w:tcPr>
          <w:p w14:paraId="5FBC5DE6" w14:textId="1A61B16E" w:rsidR="00497FDB" w:rsidRPr="003E55F4" w:rsidRDefault="00497FDB" w:rsidP="00497FDB">
            <w:pPr>
              <w:tabs>
                <w:tab w:val="decimal" w:pos="180"/>
              </w:tabs>
              <w:spacing w:after="0" w:line="240" w:lineRule="auto"/>
              <w:jc w:val="center"/>
              <w:rPr>
                <w:rFonts w:eastAsia="Times New Roman"/>
                <w:color w:val="000000"/>
                <w:sz w:val="20"/>
                <w:szCs w:val="20"/>
              </w:rPr>
            </w:pPr>
            <w:r w:rsidRPr="003E55F4">
              <w:rPr>
                <w:rFonts w:eastAsia="Times New Roman"/>
                <w:color w:val="000000"/>
                <w:sz w:val="20"/>
                <w:szCs w:val="20"/>
              </w:rPr>
              <w:t>19.6</w:t>
            </w:r>
          </w:p>
        </w:tc>
      </w:tr>
      <w:tr w:rsidR="00497FDB" w:rsidRPr="003E55F4" w14:paraId="13890A00" w14:textId="77777777" w:rsidTr="00687312">
        <w:trPr>
          <w:trHeight w:val="259"/>
          <w:jc w:val="center"/>
        </w:trPr>
        <w:tc>
          <w:tcPr>
            <w:tcW w:w="3410" w:type="dxa"/>
            <w:tcBorders>
              <w:top w:val="nil"/>
              <w:left w:val="single" w:sz="12" w:space="0" w:color="auto"/>
              <w:bottom w:val="nil"/>
              <w:right w:val="nil"/>
            </w:tcBorders>
            <w:shd w:val="clear" w:color="000000" w:fill="FFFFFF"/>
            <w:noWrap/>
            <w:vAlign w:val="center"/>
          </w:tcPr>
          <w:p w14:paraId="2327C09A" w14:textId="6E592432" w:rsidR="00497FDB" w:rsidRPr="003E55F4" w:rsidRDefault="00497FDB" w:rsidP="00497FDB">
            <w:pPr>
              <w:spacing w:after="0" w:line="240" w:lineRule="auto"/>
              <w:rPr>
                <w:rFonts w:eastAsia="Times New Roman"/>
                <w:b/>
                <w:bCs/>
                <w:sz w:val="20"/>
                <w:szCs w:val="20"/>
              </w:rPr>
            </w:pPr>
            <w:r w:rsidRPr="003E55F4">
              <w:rPr>
                <w:rFonts w:eastAsia="Times New Roman"/>
                <w:b/>
                <w:bCs/>
                <w:color w:val="000000"/>
                <w:sz w:val="20"/>
                <w:szCs w:val="20"/>
              </w:rPr>
              <w:t>Employment</w:t>
            </w:r>
          </w:p>
        </w:tc>
        <w:tc>
          <w:tcPr>
            <w:tcW w:w="867" w:type="dxa"/>
            <w:tcBorders>
              <w:top w:val="nil"/>
              <w:left w:val="nil"/>
              <w:bottom w:val="nil"/>
              <w:right w:val="nil"/>
            </w:tcBorders>
            <w:shd w:val="clear" w:color="000000" w:fill="FFFFFF"/>
            <w:noWrap/>
            <w:vAlign w:val="center"/>
          </w:tcPr>
          <w:p w14:paraId="47149F40" w14:textId="2B173F26" w:rsidR="00497FDB" w:rsidRPr="003E55F4" w:rsidRDefault="00497FDB" w:rsidP="00497FDB">
            <w:pPr>
              <w:tabs>
                <w:tab w:val="decimal" w:pos="225"/>
              </w:tabs>
              <w:spacing w:after="0" w:line="240" w:lineRule="auto"/>
              <w:jc w:val="center"/>
              <w:rPr>
                <w:rFonts w:eastAsia="Times New Roman"/>
                <w:sz w:val="20"/>
                <w:szCs w:val="20"/>
              </w:rPr>
            </w:pPr>
          </w:p>
        </w:tc>
        <w:tc>
          <w:tcPr>
            <w:tcW w:w="786" w:type="dxa"/>
            <w:tcBorders>
              <w:top w:val="nil"/>
              <w:left w:val="nil"/>
              <w:bottom w:val="nil"/>
              <w:right w:val="single" w:sz="12" w:space="0" w:color="auto"/>
            </w:tcBorders>
            <w:shd w:val="clear" w:color="000000" w:fill="FFFFFF"/>
            <w:noWrap/>
            <w:vAlign w:val="center"/>
          </w:tcPr>
          <w:p w14:paraId="7D2E22C7" w14:textId="35DE68CD" w:rsidR="00497FDB" w:rsidRPr="003E55F4" w:rsidRDefault="00497FDB" w:rsidP="00497FDB">
            <w:pPr>
              <w:tabs>
                <w:tab w:val="decimal" w:pos="255"/>
              </w:tabs>
              <w:spacing w:after="0" w:line="240" w:lineRule="auto"/>
              <w:jc w:val="center"/>
              <w:rPr>
                <w:rFonts w:eastAsia="Times New Roman"/>
                <w:sz w:val="20"/>
                <w:szCs w:val="20"/>
              </w:rPr>
            </w:pPr>
          </w:p>
        </w:tc>
        <w:tc>
          <w:tcPr>
            <w:tcW w:w="2899" w:type="dxa"/>
            <w:tcBorders>
              <w:top w:val="nil"/>
              <w:left w:val="single" w:sz="12" w:space="0" w:color="auto"/>
              <w:bottom w:val="nil"/>
              <w:right w:val="nil"/>
            </w:tcBorders>
            <w:shd w:val="clear" w:color="000000" w:fill="FFFFFF"/>
            <w:noWrap/>
            <w:vAlign w:val="center"/>
            <w:hideMark/>
          </w:tcPr>
          <w:p w14:paraId="6DF925E6" w14:textId="77777777" w:rsidR="00497FDB" w:rsidRPr="003E55F4" w:rsidRDefault="00497FDB" w:rsidP="00497FDB">
            <w:pPr>
              <w:spacing w:after="0" w:line="240" w:lineRule="auto"/>
              <w:ind w:firstLineChars="100" w:firstLine="200"/>
              <w:rPr>
                <w:rFonts w:eastAsia="Times New Roman"/>
                <w:color w:val="000000"/>
                <w:sz w:val="20"/>
                <w:szCs w:val="20"/>
              </w:rPr>
            </w:pPr>
            <w:r w:rsidRPr="003E55F4">
              <w:rPr>
                <w:rFonts w:eastAsia="Times New Roman"/>
                <w:color w:val="000000"/>
                <w:sz w:val="20"/>
                <w:szCs w:val="20"/>
              </w:rPr>
              <w:t>High school diploma</w:t>
            </w:r>
          </w:p>
        </w:tc>
        <w:tc>
          <w:tcPr>
            <w:tcW w:w="798" w:type="dxa"/>
            <w:tcBorders>
              <w:top w:val="nil"/>
              <w:left w:val="nil"/>
              <w:bottom w:val="nil"/>
              <w:right w:val="nil"/>
            </w:tcBorders>
            <w:shd w:val="clear" w:color="000000" w:fill="FFFFFF"/>
            <w:noWrap/>
            <w:vAlign w:val="center"/>
            <w:hideMark/>
          </w:tcPr>
          <w:p w14:paraId="0A2FE145" w14:textId="30E09504" w:rsidR="00497FDB" w:rsidRPr="003E55F4" w:rsidRDefault="00497FDB" w:rsidP="00497FDB">
            <w:pPr>
              <w:tabs>
                <w:tab w:val="decimal" w:pos="165"/>
              </w:tabs>
              <w:spacing w:after="0" w:line="240" w:lineRule="auto"/>
              <w:jc w:val="center"/>
              <w:rPr>
                <w:rFonts w:eastAsia="Times New Roman"/>
                <w:color w:val="000000"/>
                <w:sz w:val="20"/>
                <w:szCs w:val="20"/>
              </w:rPr>
            </w:pPr>
            <w:r w:rsidRPr="003E55F4">
              <w:rPr>
                <w:rFonts w:eastAsia="Times New Roman"/>
                <w:color w:val="000000"/>
                <w:sz w:val="20"/>
                <w:szCs w:val="20"/>
              </w:rPr>
              <w:t>15.4</w:t>
            </w:r>
          </w:p>
        </w:tc>
        <w:tc>
          <w:tcPr>
            <w:tcW w:w="786" w:type="dxa"/>
            <w:tcBorders>
              <w:top w:val="nil"/>
              <w:left w:val="nil"/>
              <w:bottom w:val="nil"/>
              <w:right w:val="single" w:sz="12" w:space="0" w:color="auto"/>
            </w:tcBorders>
            <w:shd w:val="clear" w:color="000000" w:fill="FFFFFF"/>
            <w:noWrap/>
            <w:vAlign w:val="center"/>
            <w:hideMark/>
          </w:tcPr>
          <w:p w14:paraId="69E1B927" w14:textId="32C17BF1" w:rsidR="00497FDB" w:rsidRPr="003E55F4" w:rsidRDefault="00497FDB" w:rsidP="00497FDB">
            <w:pPr>
              <w:tabs>
                <w:tab w:val="decimal" w:pos="180"/>
              </w:tabs>
              <w:spacing w:after="0" w:line="240" w:lineRule="auto"/>
              <w:jc w:val="center"/>
              <w:rPr>
                <w:rFonts w:eastAsia="Times New Roman"/>
                <w:color w:val="000000"/>
                <w:sz w:val="20"/>
                <w:szCs w:val="20"/>
              </w:rPr>
            </w:pPr>
            <w:r w:rsidRPr="003E55F4">
              <w:rPr>
                <w:rFonts w:eastAsia="Times New Roman"/>
                <w:color w:val="000000"/>
                <w:sz w:val="20"/>
                <w:szCs w:val="20"/>
              </w:rPr>
              <w:t>28.6</w:t>
            </w:r>
          </w:p>
        </w:tc>
      </w:tr>
      <w:tr w:rsidR="00497FDB" w:rsidRPr="003E55F4" w14:paraId="740D31A8" w14:textId="77777777" w:rsidTr="00687312">
        <w:trPr>
          <w:trHeight w:val="259"/>
          <w:jc w:val="center"/>
        </w:trPr>
        <w:tc>
          <w:tcPr>
            <w:tcW w:w="3410" w:type="dxa"/>
            <w:tcBorders>
              <w:top w:val="nil"/>
              <w:left w:val="single" w:sz="12" w:space="0" w:color="auto"/>
              <w:bottom w:val="nil"/>
              <w:right w:val="nil"/>
            </w:tcBorders>
            <w:shd w:val="clear" w:color="000000" w:fill="FFFFFF"/>
            <w:noWrap/>
            <w:vAlign w:val="center"/>
          </w:tcPr>
          <w:p w14:paraId="0B516D02" w14:textId="6CCE90A4" w:rsidR="00497FDB" w:rsidRPr="003E55F4" w:rsidRDefault="00497FDB" w:rsidP="00497FDB">
            <w:pPr>
              <w:spacing w:after="0" w:line="240" w:lineRule="auto"/>
              <w:ind w:firstLineChars="100" w:firstLine="200"/>
              <w:rPr>
                <w:rFonts w:eastAsia="Times New Roman"/>
                <w:sz w:val="20"/>
                <w:szCs w:val="20"/>
              </w:rPr>
            </w:pPr>
            <w:r w:rsidRPr="003E55F4">
              <w:rPr>
                <w:rFonts w:eastAsia="Times New Roman"/>
                <w:color w:val="000000"/>
                <w:sz w:val="20"/>
                <w:szCs w:val="20"/>
              </w:rPr>
              <w:t>Unemployed (and not retired)</w:t>
            </w:r>
          </w:p>
        </w:tc>
        <w:tc>
          <w:tcPr>
            <w:tcW w:w="867" w:type="dxa"/>
            <w:tcBorders>
              <w:top w:val="nil"/>
              <w:left w:val="nil"/>
              <w:bottom w:val="nil"/>
              <w:right w:val="nil"/>
            </w:tcBorders>
            <w:shd w:val="clear" w:color="000000" w:fill="FFFFFF"/>
            <w:noWrap/>
            <w:vAlign w:val="center"/>
          </w:tcPr>
          <w:p w14:paraId="4DCF9262" w14:textId="35DDEC4C" w:rsidR="00497FDB" w:rsidRPr="003E55F4" w:rsidRDefault="00497FDB" w:rsidP="00497FDB">
            <w:pPr>
              <w:tabs>
                <w:tab w:val="decimal" w:pos="225"/>
              </w:tabs>
              <w:spacing w:after="0" w:line="240" w:lineRule="auto"/>
              <w:jc w:val="center"/>
              <w:rPr>
                <w:rFonts w:eastAsia="Times New Roman"/>
                <w:sz w:val="20"/>
                <w:szCs w:val="20"/>
              </w:rPr>
            </w:pPr>
            <w:r w:rsidRPr="003E55F4">
              <w:rPr>
                <w:rFonts w:eastAsia="Times New Roman"/>
                <w:color w:val="000000"/>
                <w:sz w:val="20"/>
                <w:szCs w:val="20"/>
              </w:rPr>
              <w:t>19.0</w:t>
            </w:r>
          </w:p>
        </w:tc>
        <w:tc>
          <w:tcPr>
            <w:tcW w:w="786" w:type="dxa"/>
            <w:tcBorders>
              <w:top w:val="nil"/>
              <w:left w:val="nil"/>
              <w:bottom w:val="nil"/>
              <w:right w:val="single" w:sz="12" w:space="0" w:color="auto"/>
            </w:tcBorders>
            <w:shd w:val="clear" w:color="000000" w:fill="FFFFFF"/>
            <w:noWrap/>
            <w:vAlign w:val="center"/>
          </w:tcPr>
          <w:p w14:paraId="2F2F9D55" w14:textId="3FB72201" w:rsidR="00497FDB" w:rsidRPr="003E55F4" w:rsidRDefault="00497FDB" w:rsidP="00497FDB">
            <w:pPr>
              <w:tabs>
                <w:tab w:val="decimal" w:pos="255"/>
              </w:tabs>
              <w:spacing w:after="0" w:line="240" w:lineRule="auto"/>
              <w:jc w:val="center"/>
              <w:rPr>
                <w:rFonts w:eastAsia="Times New Roman"/>
                <w:sz w:val="20"/>
                <w:szCs w:val="20"/>
              </w:rPr>
            </w:pPr>
            <w:r w:rsidRPr="003E55F4">
              <w:rPr>
                <w:rFonts w:eastAsia="Times New Roman"/>
                <w:color w:val="000000"/>
                <w:sz w:val="20"/>
                <w:szCs w:val="20"/>
              </w:rPr>
              <w:t>21.9</w:t>
            </w:r>
          </w:p>
        </w:tc>
        <w:tc>
          <w:tcPr>
            <w:tcW w:w="2899" w:type="dxa"/>
            <w:tcBorders>
              <w:top w:val="nil"/>
              <w:left w:val="single" w:sz="12" w:space="0" w:color="auto"/>
              <w:bottom w:val="nil"/>
              <w:right w:val="nil"/>
            </w:tcBorders>
            <w:shd w:val="clear" w:color="000000" w:fill="FFFFFF"/>
            <w:noWrap/>
            <w:vAlign w:val="center"/>
            <w:hideMark/>
          </w:tcPr>
          <w:p w14:paraId="50B396A7" w14:textId="0845DEC0" w:rsidR="00497FDB" w:rsidRPr="003E55F4" w:rsidRDefault="00497FDB" w:rsidP="00497FDB">
            <w:pPr>
              <w:spacing w:after="0" w:line="240" w:lineRule="auto"/>
              <w:ind w:firstLineChars="100" w:firstLine="200"/>
              <w:rPr>
                <w:rFonts w:eastAsia="Times New Roman"/>
                <w:color w:val="000000"/>
                <w:sz w:val="20"/>
                <w:szCs w:val="20"/>
              </w:rPr>
            </w:pPr>
            <w:r w:rsidRPr="003E55F4">
              <w:rPr>
                <w:rFonts w:eastAsia="Times New Roman"/>
                <w:color w:val="000000"/>
                <w:sz w:val="20"/>
                <w:szCs w:val="20"/>
              </w:rPr>
              <w:t>Some college</w:t>
            </w:r>
          </w:p>
        </w:tc>
        <w:tc>
          <w:tcPr>
            <w:tcW w:w="798" w:type="dxa"/>
            <w:tcBorders>
              <w:top w:val="nil"/>
              <w:left w:val="nil"/>
              <w:bottom w:val="nil"/>
              <w:right w:val="nil"/>
            </w:tcBorders>
            <w:shd w:val="clear" w:color="000000" w:fill="FFFFFF"/>
            <w:noWrap/>
            <w:vAlign w:val="center"/>
            <w:hideMark/>
          </w:tcPr>
          <w:p w14:paraId="14A7572B" w14:textId="6FA061D8" w:rsidR="00497FDB" w:rsidRPr="003E55F4" w:rsidRDefault="00497FDB" w:rsidP="00497FDB">
            <w:pPr>
              <w:tabs>
                <w:tab w:val="decimal" w:pos="165"/>
              </w:tabs>
              <w:spacing w:after="0" w:line="240" w:lineRule="auto"/>
              <w:jc w:val="center"/>
              <w:rPr>
                <w:rFonts w:eastAsia="Times New Roman"/>
                <w:color w:val="000000"/>
                <w:sz w:val="20"/>
                <w:szCs w:val="20"/>
              </w:rPr>
            </w:pPr>
            <w:r w:rsidRPr="003E55F4">
              <w:rPr>
                <w:rFonts w:eastAsia="Times New Roman"/>
                <w:color w:val="000000"/>
                <w:sz w:val="20"/>
                <w:szCs w:val="20"/>
              </w:rPr>
              <w:t>28.8</w:t>
            </w:r>
          </w:p>
        </w:tc>
        <w:tc>
          <w:tcPr>
            <w:tcW w:w="786" w:type="dxa"/>
            <w:tcBorders>
              <w:top w:val="nil"/>
              <w:left w:val="nil"/>
              <w:bottom w:val="nil"/>
              <w:right w:val="single" w:sz="12" w:space="0" w:color="auto"/>
            </w:tcBorders>
            <w:shd w:val="clear" w:color="000000" w:fill="FFFFFF"/>
            <w:noWrap/>
            <w:vAlign w:val="center"/>
            <w:hideMark/>
          </w:tcPr>
          <w:p w14:paraId="72C7BF92" w14:textId="1E2DF48D" w:rsidR="00497FDB" w:rsidRPr="003E55F4" w:rsidRDefault="00497FDB" w:rsidP="00497FDB">
            <w:pPr>
              <w:tabs>
                <w:tab w:val="decimal" w:pos="180"/>
              </w:tabs>
              <w:spacing w:after="0" w:line="240" w:lineRule="auto"/>
              <w:jc w:val="center"/>
              <w:rPr>
                <w:rFonts w:eastAsia="Times New Roman"/>
                <w:color w:val="000000"/>
                <w:sz w:val="20"/>
                <w:szCs w:val="20"/>
              </w:rPr>
            </w:pPr>
            <w:r w:rsidRPr="003E55F4">
              <w:rPr>
                <w:rFonts w:eastAsia="Times New Roman"/>
                <w:color w:val="000000"/>
                <w:sz w:val="20"/>
                <w:szCs w:val="20"/>
              </w:rPr>
              <w:t>27.4</w:t>
            </w:r>
          </w:p>
        </w:tc>
      </w:tr>
      <w:tr w:rsidR="00497FDB" w:rsidRPr="003E55F4" w14:paraId="106166A0" w14:textId="77777777" w:rsidTr="00687312">
        <w:trPr>
          <w:trHeight w:val="259"/>
          <w:jc w:val="center"/>
        </w:trPr>
        <w:tc>
          <w:tcPr>
            <w:tcW w:w="3410" w:type="dxa"/>
            <w:tcBorders>
              <w:top w:val="nil"/>
              <w:left w:val="single" w:sz="12" w:space="0" w:color="auto"/>
              <w:bottom w:val="nil"/>
              <w:right w:val="nil"/>
            </w:tcBorders>
            <w:shd w:val="clear" w:color="000000" w:fill="FFFFFF"/>
            <w:noWrap/>
            <w:vAlign w:val="center"/>
          </w:tcPr>
          <w:p w14:paraId="3936F058" w14:textId="183132A5" w:rsidR="00497FDB" w:rsidRPr="003E55F4" w:rsidRDefault="00497FDB" w:rsidP="00497FDB">
            <w:pPr>
              <w:spacing w:after="0" w:line="240" w:lineRule="auto"/>
              <w:ind w:firstLineChars="100" w:firstLine="200"/>
              <w:rPr>
                <w:rFonts w:eastAsia="Times New Roman"/>
                <w:sz w:val="20"/>
                <w:szCs w:val="20"/>
              </w:rPr>
            </w:pPr>
            <w:r w:rsidRPr="003E55F4">
              <w:rPr>
                <w:rFonts w:eastAsia="Times New Roman"/>
                <w:color w:val="000000"/>
                <w:sz w:val="20"/>
                <w:szCs w:val="20"/>
              </w:rPr>
              <w:t>Retired</w:t>
            </w:r>
          </w:p>
        </w:tc>
        <w:tc>
          <w:tcPr>
            <w:tcW w:w="867" w:type="dxa"/>
            <w:tcBorders>
              <w:top w:val="nil"/>
              <w:left w:val="nil"/>
              <w:right w:val="nil"/>
            </w:tcBorders>
            <w:shd w:val="clear" w:color="000000" w:fill="FFFFFF"/>
            <w:noWrap/>
            <w:vAlign w:val="center"/>
          </w:tcPr>
          <w:p w14:paraId="0BAF329E" w14:textId="640B935F" w:rsidR="00497FDB" w:rsidRPr="003E55F4" w:rsidRDefault="00497FDB" w:rsidP="00497FDB">
            <w:pPr>
              <w:tabs>
                <w:tab w:val="decimal" w:pos="225"/>
              </w:tabs>
              <w:spacing w:after="0" w:line="240" w:lineRule="auto"/>
              <w:jc w:val="center"/>
              <w:rPr>
                <w:rFonts w:eastAsia="Times New Roman"/>
                <w:sz w:val="20"/>
                <w:szCs w:val="20"/>
              </w:rPr>
            </w:pPr>
            <w:r w:rsidRPr="003E55F4">
              <w:rPr>
                <w:rFonts w:eastAsia="Times New Roman"/>
                <w:color w:val="000000"/>
                <w:sz w:val="20"/>
                <w:szCs w:val="20"/>
              </w:rPr>
              <w:t>26.7</w:t>
            </w:r>
          </w:p>
        </w:tc>
        <w:tc>
          <w:tcPr>
            <w:tcW w:w="786" w:type="dxa"/>
            <w:tcBorders>
              <w:top w:val="nil"/>
              <w:left w:val="nil"/>
              <w:bottom w:val="nil"/>
              <w:right w:val="single" w:sz="12" w:space="0" w:color="auto"/>
            </w:tcBorders>
            <w:shd w:val="clear" w:color="000000" w:fill="FFFFFF"/>
            <w:noWrap/>
            <w:vAlign w:val="center"/>
          </w:tcPr>
          <w:p w14:paraId="5B359849" w14:textId="2B218EA9" w:rsidR="00497FDB" w:rsidRPr="003E55F4" w:rsidRDefault="00497FDB" w:rsidP="00497FDB">
            <w:pPr>
              <w:tabs>
                <w:tab w:val="decimal" w:pos="255"/>
              </w:tabs>
              <w:spacing w:after="0" w:line="240" w:lineRule="auto"/>
              <w:jc w:val="center"/>
              <w:rPr>
                <w:rFonts w:eastAsia="Times New Roman"/>
                <w:sz w:val="20"/>
                <w:szCs w:val="20"/>
              </w:rPr>
            </w:pPr>
            <w:r w:rsidRPr="003E55F4">
              <w:rPr>
                <w:rFonts w:eastAsia="Times New Roman"/>
                <w:color w:val="000000"/>
                <w:sz w:val="20"/>
                <w:szCs w:val="20"/>
              </w:rPr>
              <w:t>18.4</w:t>
            </w:r>
          </w:p>
        </w:tc>
        <w:tc>
          <w:tcPr>
            <w:tcW w:w="2899" w:type="dxa"/>
            <w:tcBorders>
              <w:top w:val="nil"/>
              <w:left w:val="single" w:sz="12" w:space="0" w:color="auto"/>
              <w:bottom w:val="nil"/>
              <w:right w:val="nil"/>
            </w:tcBorders>
            <w:shd w:val="clear" w:color="000000" w:fill="FFFFFF"/>
            <w:noWrap/>
            <w:vAlign w:val="center"/>
            <w:hideMark/>
          </w:tcPr>
          <w:p w14:paraId="32200DE6" w14:textId="5A347B33" w:rsidR="00497FDB" w:rsidRPr="003E55F4" w:rsidRDefault="00497FDB" w:rsidP="00497FDB">
            <w:pPr>
              <w:spacing w:after="0" w:line="240" w:lineRule="auto"/>
              <w:ind w:firstLineChars="100" w:firstLine="200"/>
              <w:rPr>
                <w:rFonts w:eastAsia="Times New Roman"/>
                <w:color w:val="000000"/>
                <w:sz w:val="20"/>
                <w:szCs w:val="20"/>
              </w:rPr>
            </w:pPr>
            <w:r w:rsidRPr="003E55F4">
              <w:rPr>
                <w:rFonts w:eastAsia="Times New Roman"/>
                <w:color w:val="000000"/>
                <w:sz w:val="20"/>
                <w:szCs w:val="20"/>
              </w:rPr>
              <w:t>Bachelor</w:t>
            </w:r>
            <w:r w:rsidR="00687312">
              <w:rPr>
                <w:rFonts w:eastAsia="Times New Roman"/>
                <w:color w:val="000000"/>
                <w:sz w:val="20"/>
                <w:szCs w:val="20"/>
              </w:rPr>
              <w:t>’</w:t>
            </w:r>
            <w:r w:rsidRPr="003E55F4">
              <w:rPr>
                <w:rFonts w:eastAsia="Times New Roman"/>
                <w:color w:val="000000"/>
                <w:sz w:val="20"/>
                <w:szCs w:val="20"/>
              </w:rPr>
              <w:t>s degree</w:t>
            </w:r>
          </w:p>
        </w:tc>
        <w:tc>
          <w:tcPr>
            <w:tcW w:w="798" w:type="dxa"/>
            <w:tcBorders>
              <w:top w:val="nil"/>
              <w:left w:val="nil"/>
              <w:bottom w:val="nil"/>
              <w:right w:val="nil"/>
            </w:tcBorders>
            <w:shd w:val="clear" w:color="000000" w:fill="FFFFFF"/>
            <w:noWrap/>
            <w:vAlign w:val="center"/>
            <w:hideMark/>
          </w:tcPr>
          <w:p w14:paraId="12C2012E" w14:textId="365AF748" w:rsidR="00497FDB" w:rsidRPr="003E55F4" w:rsidRDefault="00497FDB" w:rsidP="00497FDB">
            <w:pPr>
              <w:tabs>
                <w:tab w:val="decimal" w:pos="165"/>
              </w:tabs>
              <w:spacing w:after="0" w:line="240" w:lineRule="auto"/>
              <w:jc w:val="center"/>
              <w:rPr>
                <w:rFonts w:eastAsia="Times New Roman"/>
                <w:color w:val="000000"/>
                <w:sz w:val="20"/>
                <w:szCs w:val="20"/>
              </w:rPr>
            </w:pPr>
            <w:r w:rsidRPr="003E55F4">
              <w:rPr>
                <w:rFonts w:eastAsia="Times New Roman"/>
                <w:color w:val="000000"/>
                <w:sz w:val="20"/>
                <w:szCs w:val="20"/>
              </w:rPr>
              <w:t>27.9</w:t>
            </w:r>
          </w:p>
        </w:tc>
        <w:tc>
          <w:tcPr>
            <w:tcW w:w="786" w:type="dxa"/>
            <w:tcBorders>
              <w:top w:val="nil"/>
              <w:left w:val="nil"/>
              <w:bottom w:val="nil"/>
              <w:right w:val="single" w:sz="12" w:space="0" w:color="auto"/>
            </w:tcBorders>
            <w:shd w:val="clear" w:color="000000" w:fill="FFFFFF"/>
            <w:noWrap/>
            <w:vAlign w:val="center"/>
            <w:hideMark/>
          </w:tcPr>
          <w:p w14:paraId="37B40645" w14:textId="5ACD5D32" w:rsidR="00497FDB" w:rsidRPr="003E55F4" w:rsidRDefault="00497FDB" w:rsidP="00497FDB">
            <w:pPr>
              <w:tabs>
                <w:tab w:val="decimal" w:pos="180"/>
              </w:tabs>
              <w:spacing w:after="0" w:line="240" w:lineRule="auto"/>
              <w:jc w:val="center"/>
              <w:rPr>
                <w:rFonts w:eastAsia="Times New Roman"/>
                <w:color w:val="000000"/>
                <w:sz w:val="20"/>
                <w:szCs w:val="20"/>
              </w:rPr>
            </w:pPr>
            <w:r w:rsidRPr="003E55F4">
              <w:rPr>
                <w:rFonts w:eastAsia="Times New Roman"/>
                <w:color w:val="000000"/>
                <w:sz w:val="20"/>
                <w:szCs w:val="20"/>
              </w:rPr>
              <w:t>15.5</w:t>
            </w:r>
          </w:p>
        </w:tc>
      </w:tr>
      <w:tr w:rsidR="00497FDB" w:rsidRPr="003E55F4" w14:paraId="0D852185" w14:textId="77777777" w:rsidTr="00687312">
        <w:trPr>
          <w:trHeight w:val="259"/>
          <w:jc w:val="center"/>
        </w:trPr>
        <w:tc>
          <w:tcPr>
            <w:tcW w:w="3410" w:type="dxa"/>
            <w:tcBorders>
              <w:top w:val="nil"/>
              <w:left w:val="single" w:sz="12" w:space="0" w:color="auto"/>
              <w:bottom w:val="nil"/>
            </w:tcBorders>
            <w:shd w:val="clear" w:color="000000" w:fill="FFFFFF"/>
            <w:noWrap/>
            <w:vAlign w:val="center"/>
          </w:tcPr>
          <w:p w14:paraId="379D37C9" w14:textId="77777777" w:rsidR="00497FDB" w:rsidRPr="003E55F4" w:rsidRDefault="00497FDB" w:rsidP="00497FDB">
            <w:pPr>
              <w:spacing w:after="0" w:line="240" w:lineRule="auto"/>
              <w:rPr>
                <w:rFonts w:eastAsia="Times New Roman"/>
                <w:b/>
                <w:bCs/>
                <w:color w:val="000000"/>
                <w:sz w:val="20"/>
                <w:szCs w:val="20"/>
              </w:rPr>
            </w:pPr>
            <w:r w:rsidRPr="003E55F4">
              <w:rPr>
                <w:rFonts w:eastAsia="Times New Roman"/>
                <w:color w:val="000000"/>
                <w:sz w:val="20"/>
                <w:szCs w:val="20"/>
              </w:rPr>
              <w:t xml:space="preserve">    Employed</w:t>
            </w:r>
          </w:p>
        </w:tc>
        <w:tc>
          <w:tcPr>
            <w:tcW w:w="867" w:type="dxa"/>
            <w:tcBorders>
              <w:top w:val="nil"/>
              <w:bottom w:val="nil"/>
            </w:tcBorders>
            <w:shd w:val="clear" w:color="000000" w:fill="FFFFFF"/>
            <w:vAlign w:val="center"/>
          </w:tcPr>
          <w:p w14:paraId="2571F090" w14:textId="137D316A" w:rsidR="00497FDB" w:rsidRPr="003E55F4" w:rsidRDefault="00497FDB" w:rsidP="00497FDB">
            <w:pPr>
              <w:tabs>
                <w:tab w:val="decimal" w:pos="225"/>
              </w:tabs>
              <w:spacing w:after="0" w:line="240" w:lineRule="auto"/>
              <w:jc w:val="center"/>
              <w:rPr>
                <w:rFonts w:eastAsia="Times New Roman"/>
                <w:b/>
                <w:bCs/>
                <w:color w:val="000000"/>
                <w:sz w:val="20"/>
                <w:szCs w:val="20"/>
              </w:rPr>
            </w:pPr>
            <w:r w:rsidRPr="003E55F4">
              <w:rPr>
                <w:rFonts w:eastAsia="Times New Roman"/>
                <w:color w:val="000000"/>
                <w:sz w:val="20"/>
                <w:szCs w:val="20"/>
              </w:rPr>
              <w:t>54.3</w:t>
            </w:r>
          </w:p>
        </w:tc>
        <w:tc>
          <w:tcPr>
            <w:tcW w:w="786" w:type="dxa"/>
            <w:tcBorders>
              <w:top w:val="nil"/>
              <w:left w:val="nil"/>
              <w:bottom w:val="nil"/>
              <w:right w:val="single" w:sz="12" w:space="0" w:color="auto"/>
            </w:tcBorders>
            <w:shd w:val="clear" w:color="000000" w:fill="FFFFFF"/>
            <w:vAlign w:val="center"/>
          </w:tcPr>
          <w:p w14:paraId="27259B05" w14:textId="44DD78B6" w:rsidR="00497FDB" w:rsidRPr="003E55F4" w:rsidRDefault="00497FDB" w:rsidP="00497FDB">
            <w:pPr>
              <w:tabs>
                <w:tab w:val="decimal" w:pos="255"/>
              </w:tabs>
              <w:spacing w:after="0" w:line="240" w:lineRule="auto"/>
              <w:jc w:val="center"/>
              <w:rPr>
                <w:rFonts w:eastAsia="Times New Roman"/>
                <w:b/>
                <w:bCs/>
                <w:color w:val="000000"/>
                <w:sz w:val="20"/>
                <w:szCs w:val="20"/>
              </w:rPr>
            </w:pPr>
            <w:r w:rsidRPr="003E55F4">
              <w:rPr>
                <w:rFonts w:eastAsia="Times New Roman"/>
                <w:color w:val="000000"/>
                <w:sz w:val="20"/>
                <w:szCs w:val="20"/>
              </w:rPr>
              <w:t>59.7</w:t>
            </w:r>
          </w:p>
        </w:tc>
        <w:tc>
          <w:tcPr>
            <w:tcW w:w="2899" w:type="dxa"/>
            <w:tcBorders>
              <w:top w:val="nil"/>
              <w:left w:val="single" w:sz="12" w:space="0" w:color="auto"/>
              <w:bottom w:val="nil"/>
              <w:right w:val="nil"/>
            </w:tcBorders>
            <w:shd w:val="clear" w:color="000000" w:fill="FFFFFF"/>
            <w:noWrap/>
            <w:vAlign w:val="center"/>
          </w:tcPr>
          <w:p w14:paraId="68B8C91C" w14:textId="514902F9" w:rsidR="00497FDB" w:rsidRPr="003E55F4" w:rsidRDefault="00497FDB" w:rsidP="00497FDB">
            <w:pPr>
              <w:spacing w:after="0" w:line="240" w:lineRule="auto"/>
              <w:ind w:firstLineChars="100" w:firstLine="200"/>
              <w:rPr>
                <w:rFonts w:eastAsia="Times New Roman"/>
                <w:color w:val="000000"/>
                <w:sz w:val="20"/>
                <w:szCs w:val="20"/>
              </w:rPr>
            </w:pPr>
            <w:r w:rsidRPr="003E55F4">
              <w:rPr>
                <w:rFonts w:eastAsia="Times New Roman"/>
                <w:color w:val="000000"/>
                <w:sz w:val="20"/>
                <w:szCs w:val="20"/>
              </w:rPr>
              <w:t>Graduate degree</w:t>
            </w:r>
          </w:p>
        </w:tc>
        <w:tc>
          <w:tcPr>
            <w:tcW w:w="798" w:type="dxa"/>
            <w:tcBorders>
              <w:top w:val="nil"/>
              <w:left w:val="nil"/>
              <w:bottom w:val="nil"/>
              <w:right w:val="nil"/>
            </w:tcBorders>
            <w:shd w:val="clear" w:color="000000" w:fill="FFFFFF"/>
            <w:noWrap/>
            <w:vAlign w:val="center"/>
          </w:tcPr>
          <w:p w14:paraId="14081D27" w14:textId="7F6CC9B6" w:rsidR="00497FDB" w:rsidRPr="003E55F4" w:rsidRDefault="00497FDB" w:rsidP="00497FDB">
            <w:pPr>
              <w:tabs>
                <w:tab w:val="decimal" w:pos="165"/>
              </w:tabs>
              <w:spacing w:after="0" w:line="240" w:lineRule="auto"/>
              <w:jc w:val="center"/>
              <w:rPr>
                <w:rFonts w:eastAsia="Times New Roman"/>
                <w:color w:val="000000"/>
                <w:sz w:val="20"/>
                <w:szCs w:val="20"/>
              </w:rPr>
            </w:pPr>
            <w:r w:rsidRPr="003E55F4">
              <w:rPr>
                <w:rFonts w:eastAsia="Times New Roman"/>
                <w:color w:val="000000"/>
                <w:sz w:val="20"/>
                <w:szCs w:val="20"/>
              </w:rPr>
              <w:t>21.1</w:t>
            </w:r>
          </w:p>
        </w:tc>
        <w:tc>
          <w:tcPr>
            <w:tcW w:w="786" w:type="dxa"/>
            <w:tcBorders>
              <w:top w:val="nil"/>
              <w:left w:val="nil"/>
              <w:bottom w:val="nil"/>
              <w:right w:val="single" w:sz="12" w:space="0" w:color="auto"/>
            </w:tcBorders>
            <w:shd w:val="clear" w:color="000000" w:fill="FFFFFF"/>
            <w:noWrap/>
            <w:vAlign w:val="center"/>
            <w:hideMark/>
          </w:tcPr>
          <w:p w14:paraId="16531CD0" w14:textId="0B834507" w:rsidR="00497FDB" w:rsidRPr="003E55F4" w:rsidRDefault="00497FDB" w:rsidP="00497FDB">
            <w:pPr>
              <w:tabs>
                <w:tab w:val="decimal" w:pos="180"/>
              </w:tabs>
              <w:spacing w:after="0" w:line="240" w:lineRule="auto"/>
              <w:jc w:val="center"/>
              <w:rPr>
                <w:rFonts w:eastAsia="Times New Roman"/>
                <w:color w:val="000000"/>
                <w:sz w:val="20"/>
                <w:szCs w:val="20"/>
              </w:rPr>
            </w:pPr>
            <w:r w:rsidRPr="003E55F4">
              <w:rPr>
                <w:rFonts w:eastAsia="Times New Roman"/>
                <w:color w:val="000000"/>
                <w:sz w:val="20"/>
                <w:szCs w:val="20"/>
              </w:rPr>
              <w:t>8.9</w:t>
            </w:r>
          </w:p>
        </w:tc>
      </w:tr>
      <w:tr w:rsidR="00497FDB" w:rsidRPr="003E55F4" w14:paraId="07E73A34" w14:textId="44522382" w:rsidTr="00687312">
        <w:trPr>
          <w:trHeight w:val="259"/>
          <w:jc w:val="center"/>
        </w:trPr>
        <w:tc>
          <w:tcPr>
            <w:tcW w:w="4277" w:type="dxa"/>
            <w:gridSpan w:val="2"/>
            <w:tcBorders>
              <w:top w:val="nil"/>
              <w:left w:val="single" w:sz="12" w:space="0" w:color="auto"/>
              <w:bottom w:val="nil"/>
              <w:right w:val="nil"/>
            </w:tcBorders>
            <w:shd w:val="clear" w:color="000000" w:fill="FFFFFF"/>
            <w:noWrap/>
            <w:vAlign w:val="center"/>
          </w:tcPr>
          <w:p w14:paraId="556AB0EC" w14:textId="3C18FA7B" w:rsidR="00497FDB" w:rsidRPr="003E55F4" w:rsidRDefault="00497FDB" w:rsidP="00497FDB">
            <w:pPr>
              <w:spacing w:after="0" w:line="240" w:lineRule="auto"/>
              <w:rPr>
                <w:rFonts w:eastAsia="Times New Roman"/>
                <w:color w:val="000000"/>
                <w:sz w:val="20"/>
                <w:szCs w:val="20"/>
              </w:rPr>
            </w:pPr>
            <w:r w:rsidRPr="003E55F4">
              <w:rPr>
                <w:rFonts w:eastAsia="Times New Roman"/>
                <w:b/>
                <w:bCs/>
                <w:color w:val="000000"/>
                <w:sz w:val="20"/>
                <w:szCs w:val="20"/>
              </w:rPr>
              <w:t>Medical condition that makes travel difficult</w:t>
            </w:r>
          </w:p>
        </w:tc>
        <w:tc>
          <w:tcPr>
            <w:tcW w:w="786" w:type="dxa"/>
            <w:tcBorders>
              <w:top w:val="nil"/>
              <w:left w:val="nil"/>
              <w:bottom w:val="nil"/>
              <w:right w:val="single" w:sz="12" w:space="0" w:color="auto"/>
            </w:tcBorders>
            <w:shd w:val="clear" w:color="000000" w:fill="FFFFFF"/>
            <w:noWrap/>
            <w:vAlign w:val="center"/>
          </w:tcPr>
          <w:p w14:paraId="79123F9F" w14:textId="4A448FFD" w:rsidR="00497FDB" w:rsidRPr="003E55F4" w:rsidRDefault="00497FDB" w:rsidP="00497FDB">
            <w:pPr>
              <w:tabs>
                <w:tab w:val="decimal" w:pos="255"/>
              </w:tabs>
              <w:spacing w:after="0" w:line="240" w:lineRule="auto"/>
              <w:jc w:val="center"/>
              <w:rPr>
                <w:rFonts w:eastAsia="Times New Roman"/>
                <w:color w:val="000000"/>
                <w:sz w:val="20"/>
                <w:szCs w:val="20"/>
              </w:rPr>
            </w:pPr>
          </w:p>
        </w:tc>
        <w:tc>
          <w:tcPr>
            <w:tcW w:w="3697" w:type="dxa"/>
            <w:gridSpan w:val="2"/>
            <w:tcBorders>
              <w:top w:val="nil"/>
              <w:left w:val="single" w:sz="12" w:space="0" w:color="auto"/>
              <w:bottom w:val="nil"/>
              <w:right w:val="nil"/>
            </w:tcBorders>
            <w:shd w:val="clear" w:color="000000" w:fill="FFFFFF"/>
            <w:noWrap/>
            <w:vAlign w:val="center"/>
          </w:tcPr>
          <w:p w14:paraId="7844ED44" w14:textId="29DD2189" w:rsidR="00497FDB" w:rsidRPr="003E55F4" w:rsidRDefault="00497FDB" w:rsidP="00497FDB">
            <w:pPr>
              <w:spacing w:after="0" w:line="240" w:lineRule="auto"/>
              <w:rPr>
                <w:rFonts w:eastAsia="Times New Roman"/>
                <w:b/>
                <w:bCs/>
                <w:color w:val="000000"/>
                <w:sz w:val="20"/>
                <w:szCs w:val="20"/>
              </w:rPr>
            </w:pPr>
            <w:r w:rsidRPr="003E55F4">
              <w:rPr>
                <w:rFonts w:eastAsia="Times New Roman"/>
                <w:b/>
                <w:bCs/>
                <w:sz w:val="20"/>
                <w:szCs w:val="20"/>
              </w:rPr>
              <w:t>Driver status</w:t>
            </w:r>
          </w:p>
        </w:tc>
        <w:tc>
          <w:tcPr>
            <w:tcW w:w="786" w:type="dxa"/>
            <w:tcBorders>
              <w:top w:val="nil"/>
              <w:left w:val="nil"/>
              <w:bottom w:val="nil"/>
              <w:right w:val="single" w:sz="12" w:space="0" w:color="auto"/>
            </w:tcBorders>
            <w:shd w:val="clear" w:color="000000" w:fill="FFFFFF"/>
            <w:noWrap/>
            <w:vAlign w:val="center"/>
          </w:tcPr>
          <w:p w14:paraId="074F4A6F" w14:textId="086E1BD1" w:rsidR="00497FDB" w:rsidRPr="003E55F4" w:rsidRDefault="00497FDB" w:rsidP="00497FDB">
            <w:pPr>
              <w:tabs>
                <w:tab w:val="decimal" w:pos="180"/>
              </w:tabs>
              <w:spacing w:after="0" w:line="240" w:lineRule="auto"/>
              <w:jc w:val="center"/>
              <w:rPr>
                <w:rFonts w:eastAsia="Times New Roman"/>
                <w:color w:val="000000"/>
                <w:sz w:val="20"/>
                <w:szCs w:val="20"/>
              </w:rPr>
            </w:pPr>
          </w:p>
        </w:tc>
      </w:tr>
      <w:tr w:rsidR="00497FDB" w:rsidRPr="003E55F4" w14:paraId="7795A1C3" w14:textId="77777777" w:rsidTr="00687312">
        <w:trPr>
          <w:trHeight w:val="259"/>
          <w:jc w:val="center"/>
        </w:trPr>
        <w:tc>
          <w:tcPr>
            <w:tcW w:w="3410" w:type="dxa"/>
            <w:tcBorders>
              <w:top w:val="nil"/>
              <w:left w:val="single" w:sz="12" w:space="0" w:color="auto"/>
              <w:bottom w:val="nil"/>
              <w:right w:val="nil"/>
            </w:tcBorders>
            <w:shd w:val="clear" w:color="000000" w:fill="FFFFFF"/>
            <w:noWrap/>
            <w:vAlign w:val="center"/>
          </w:tcPr>
          <w:p w14:paraId="4CB08101" w14:textId="12219DA7" w:rsidR="00497FDB" w:rsidRPr="003E55F4" w:rsidRDefault="00497FDB" w:rsidP="00497FDB">
            <w:pPr>
              <w:spacing w:after="0" w:line="240" w:lineRule="auto"/>
              <w:ind w:firstLineChars="100" w:firstLine="200"/>
              <w:rPr>
                <w:rFonts w:eastAsia="Times New Roman"/>
                <w:color w:val="000000"/>
                <w:sz w:val="20"/>
                <w:szCs w:val="20"/>
              </w:rPr>
            </w:pPr>
            <w:r w:rsidRPr="003E55F4">
              <w:rPr>
                <w:rFonts w:eastAsia="Times New Roman"/>
                <w:color w:val="000000"/>
                <w:sz w:val="20"/>
                <w:szCs w:val="20"/>
              </w:rPr>
              <w:t>Yes</w:t>
            </w:r>
          </w:p>
        </w:tc>
        <w:tc>
          <w:tcPr>
            <w:tcW w:w="867" w:type="dxa"/>
            <w:tcBorders>
              <w:top w:val="nil"/>
              <w:left w:val="nil"/>
              <w:bottom w:val="nil"/>
              <w:right w:val="nil"/>
            </w:tcBorders>
            <w:shd w:val="clear" w:color="000000" w:fill="FFFFFF"/>
            <w:noWrap/>
            <w:vAlign w:val="center"/>
          </w:tcPr>
          <w:p w14:paraId="2A51F255" w14:textId="6B9C5B4F" w:rsidR="00497FDB" w:rsidRPr="003E55F4" w:rsidRDefault="00497FDB" w:rsidP="00497FDB">
            <w:pPr>
              <w:tabs>
                <w:tab w:val="decimal" w:pos="225"/>
              </w:tabs>
              <w:spacing w:after="0" w:line="240" w:lineRule="auto"/>
              <w:jc w:val="center"/>
              <w:rPr>
                <w:rFonts w:eastAsia="Times New Roman"/>
                <w:color w:val="000000"/>
                <w:sz w:val="20"/>
                <w:szCs w:val="20"/>
              </w:rPr>
            </w:pPr>
            <w:r w:rsidRPr="003E55F4">
              <w:rPr>
                <w:rFonts w:eastAsia="Times New Roman"/>
                <w:color w:val="000000"/>
                <w:sz w:val="20"/>
                <w:szCs w:val="20"/>
              </w:rPr>
              <w:t>8.5</w:t>
            </w:r>
          </w:p>
        </w:tc>
        <w:tc>
          <w:tcPr>
            <w:tcW w:w="786" w:type="dxa"/>
            <w:tcBorders>
              <w:top w:val="nil"/>
              <w:left w:val="nil"/>
              <w:bottom w:val="nil"/>
              <w:right w:val="single" w:sz="12" w:space="0" w:color="auto"/>
            </w:tcBorders>
            <w:shd w:val="clear" w:color="000000" w:fill="FFFFFF"/>
            <w:noWrap/>
            <w:vAlign w:val="center"/>
          </w:tcPr>
          <w:p w14:paraId="24CA8118" w14:textId="6867DD0F" w:rsidR="00497FDB" w:rsidRPr="003E55F4" w:rsidRDefault="00497FDB" w:rsidP="00497FDB">
            <w:pPr>
              <w:tabs>
                <w:tab w:val="decimal" w:pos="255"/>
              </w:tabs>
              <w:spacing w:after="0" w:line="240" w:lineRule="auto"/>
              <w:jc w:val="center"/>
              <w:rPr>
                <w:rFonts w:eastAsia="Times New Roman"/>
                <w:color w:val="000000"/>
                <w:sz w:val="20"/>
                <w:szCs w:val="20"/>
              </w:rPr>
            </w:pPr>
            <w:r w:rsidRPr="003E55F4">
              <w:rPr>
                <w:rFonts w:eastAsia="Times New Roman"/>
                <w:color w:val="000000"/>
                <w:sz w:val="20"/>
                <w:szCs w:val="20"/>
              </w:rPr>
              <w:t>--</w:t>
            </w:r>
          </w:p>
        </w:tc>
        <w:tc>
          <w:tcPr>
            <w:tcW w:w="2899" w:type="dxa"/>
            <w:tcBorders>
              <w:top w:val="nil"/>
              <w:left w:val="single" w:sz="12" w:space="0" w:color="auto"/>
              <w:bottom w:val="nil"/>
              <w:right w:val="nil"/>
            </w:tcBorders>
            <w:shd w:val="clear" w:color="000000" w:fill="FFFFFF"/>
            <w:noWrap/>
            <w:vAlign w:val="center"/>
          </w:tcPr>
          <w:p w14:paraId="07C743DF" w14:textId="235C56AB" w:rsidR="00497FDB" w:rsidRPr="003E55F4" w:rsidRDefault="00497FDB" w:rsidP="00497FDB">
            <w:pPr>
              <w:spacing w:after="0" w:line="240" w:lineRule="auto"/>
              <w:ind w:firstLineChars="100" w:firstLine="200"/>
              <w:rPr>
                <w:rFonts w:eastAsia="Times New Roman"/>
                <w:color w:val="000000"/>
                <w:sz w:val="20"/>
                <w:szCs w:val="20"/>
              </w:rPr>
            </w:pPr>
            <w:r w:rsidRPr="003E55F4">
              <w:rPr>
                <w:rFonts w:eastAsia="Times New Roman"/>
                <w:sz w:val="20"/>
                <w:szCs w:val="20"/>
              </w:rPr>
              <w:t>Driver</w:t>
            </w:r>
          </w:p>
        </w:tc>
        <w:tc>
          <w:tcPr>
            <w:tcW w:w="798" w:type="dxa"/>
            <w:tcBorders>
              <w:top w:val="nil"/>
              <w:left w:val="nil"/>
              <w:bottom w:val="nil"/>
              <w:right w:val="nil"/>
            </w:tcBorders>
            <w:shd w:val="clear" w:color="000000" w:fill="FFFFFF"/>
            <w:noWrap/>
            <w:vAlign w:val="center"/>
          </w:tcPr>
          <w:p w14:paraId="028386CD" w14:textId="3A0AAB05" w:rsidR="00497FDB" w:rsidRPr="003E55F4" w:rsidRDefault="00497FDB" w:rsidP="00497FDB">
            <w:pPr>
              <w:tabs>
                <w:tab w:val="decimal" w:pos="165"/>
              </w:tabs>
              <w:spacing w:after="0" w:line="240" w:lineRule="auto"/>
              <w:jc w:val="center"/>
              <w:rPr>
                <w:rFonts w:eastAsia="Times New Roman"/>
                <w:color w:val="000000"/>
                <w:sz w:val="20"/>
                <w:szCs w:val="20"/>
              </w:rPr>
            </w:pPr>
            <w:r w:rsidRPr="003E55F4">
              <w:rPr>
                <w:rFonts w:eastAsia="Times New Roman"/>
                <w:sz w:val="20"/>
                <w:szCs w:val="20"/>
              </w:rPr>
              <w:t>90.7</w:t>
            </w:r>
          </w:p>
        </w:tc>
        <w:tc>
          <w:tcPr>
            <w:tcW w:w="786" w:type="dxa"/>
            <w:tcBorders>
              <w:top w:val="nil"/>
              <w:left w:val="nil"/>
              <w:bottom w:val="nil"/>
              <w:right w:val="single" w:sz="12" w:space="0" w:color="auto"/>
            </w:tcBorders>
            <w:shd w:val="clear" w:color="000000" w:fill="FFFFFF"/>
            <w:noWrap/>
            <w:vAlign w:val="center"/>
          </w:tcPr>
          <w:p w14:paraId="0AD71036" w14:textId="464FA313" w:rsidR="00497FDB" w:rsidRPr="003E55F4" w:rsidRDefault="00497FDB" w:rsidP="00497FDB">
            <w:pPr>
              <w:tabs>
                <w:tab w:val="decimal" w:pos="180"/>
              </w:tabs>
              <w:spacing w:after="0" w:line="240" w:lineRule="auto"/>
              <w:jc w:val="center"/>
              <w:rPr>
                <w:rFonts w:eastAsia="Times New Roman"/>
                <w:color w:val="000000"/>
                <w:sz w:val="20"/>
                <w:szCs w:val="20"/>
              </w:rPr>
            </w:pPr>
            <w:r w:rsidRPr="003E55F4">
              <w:rPr>
                <w:rFonts w:eastAsia="Times New Roman"/>
                <w:sz w:val="20"/>
                <w:szCs w:val="20"/>
              </w:rPr>
              <w:t>--</w:t>
            </w:r>
          </w:p>
        </w:tc>
      </w:tr>
      <w:tr w:rsidR="00497FDB" w:rsidRPr="003E55F4" w14:paraId="30AB70A7" w14:textId="77777777" w:rsidTr="00687312">
        <w:trPr>
          <w:trHeight w:val="259"/>
          <w:jc w:val="center"/>
        </w:trPr>
        <w:tc>
          <w:tcPr>
            <w:tcW w:w="3410" w:type="dxa"/>
            <w:tcBorders>
              <w:top w:val="nil"/>
              <w:left w:val="single" w:sz="12" w:space="0" w:color="auto"/>
              <w:bottom w:val="single" w:sz="12" w:space="0" w:color="auto"/>
              <w:right w:val="nil"/>
            </w:tcBorders>
            <w:shd w:val="clear" w:color="000000" w:fill="FFFFFF"/>
            <w:noWrap/>
            <w:vAlign w:val="center"/>
          </w:tcPr>
          <w:p w14:paraId="426BA4E0" w14:textId="5E88A5AF" w:rsidR="00497FDB" w:rsidRPr="003E55F4" w:rsidRDefault="00497FDB" w:rsidP="00497FDB">
            <w:pPr>
              <w:spacing w:after="0" w:line="240" w:lineRule="auto"/>
              <w:rPr>
                <w:rFonts w:eastAsia="Times New Roman"/>
                <w:b/>
                <w:bCs/>
                <w:color w:val="000000"/>
                <w:sz w:val="20"/>
                <w:szCs w:val="20"/>
              </w:rPr>
            </w:pPr>
            <w:r w:rsidRPr="003E55F4">
              <w:rPr>
                <w:rFonts w:eastAsia="Times New Roman"/>
                <w:color w:val="000000"/>
                <w:sz w:val="20"/>
                <w:szCs w:val="20"/>
              </w:rPr>
              <w:t xml:space="preserve">    No</w:t>
            </w:r>
          </w:p>
        </w:tc>
        <w:tc>
          <w:tcPr>
            <w:tcW w:w="867" w:type="dxa"/>
            <w:tcBorders>
              <w:top w:val="nil"/>
              <w:left w:val="nil"/>
              <w:bottom w:val="single" w:sz="12" w:space="0" w:color="auto"/>
              <w:right w:val="nil"/>
            </w:tcBorders>
            <w:shd w:val="clear" w:color="000000" w:fill="FFFFFF"/>
            <w:noWrap/>
            <w:vAlign w:val="center"/>
          </w:tcPr>
          <w:p w14:paraId="36A0F76C" w14:textId="2917BF5C" w:rsidR="00497FDB" w:rsidRPr="003E55F4" w:rsidRDefault="00497FDB" w:rsidP="00497FDB">
            <w:pPr>
              <w:tabs>
                <w:tab w:val="decimal" w:pos="225"/>
              </w:tabs>
              <w:spacing w:after="0" w:line="240" w:lineRule="auto"/>
              <w:jc w:val="center"/>
              <w:rPr>
                <w:rFonts w:eastAsia="Times New Roman"/>
                <w:color w:val="000000"/>
                <w:sz w:val="20"/>
                <w:szCs w:val="20"/>
              </w:rPr>
            </w:pPr>
            <w:r w:rsidRPr="003E55F4">
              <w:rPr>
                <w:rFonts w:eastAsia="Times New Roman"/>
                <w:color w:val="000000"/>
                <w:sz w:val="20"/>
                <w:szCs w:val="20"/>
              </w:rPr>
              <w:t>91.5</w:t>
            </w:r>
          </w:p>
        </w:tc>
        <w:tc>
          <w:tcPr>
            <w:tcW w:w="786" w:type="dxa"/>
            <w:tcBorders>
              <w:top w:val="nil"/>
              <w:left w:val="nil"/>
              <w:bottom w:val="single" w:sz="12" w:space="0" w:color="auto"/>
              <w:right w:val="single" w:sz="12" w:space="0" w:color="auto"/>
            </w:tcBorders>
            <w:shd w:val="clear" w:color="000000" w:fill="FFFFFF"/>
            <w:noWrap/>
            <w:vAlign w:val="center"/>
          </w:tcPr>
          <w:p w14:paraId="5840C01A" w14:textId="3C7130EA" w:rsidR="00497FDB" w:rsidRPr="003E55F4" w:rsidRDefault="00497FDB" w:rsidP="00497FDB">
            <w:pPr>
              <w:tabs>
                <w:tab w:val="decimal" w:pos="255"/>
              </w:tabs>
              <w:spacing w:after="0" w:line="240" w:lineRule="auto"/>
              <w:jc w:val="center"/>
              <w:rPr>
                <w:rFonts w:eastAsia="Times New Roman"/>
                <w:color w:val="000000"/>
                <w:sz w:val="20"/>
                <w:szCs w:val="20"/>
              </w:rPr>
            </w:pPr>
            <w:r w:rsidRPr="003E55F4">
              <w:rPr>
                <w:rFonts w:eastAsia="Times New Roman"/>
                <w:color w:val="000000"/>
                <w:sz w:val="20"/>
                <w:szCs w:val="20"/>
              </w:rPr>
              <w:t>--</w:t>
            </w:r>
          </w:p>
        </w:tc>
        <w:tc>
          <w:tcPr>
            <w:tcW w:w="2899" w:type="dxa"/>
            <w:tcBorders>
              <w:top w:val="nil"/>
              <w:left w:val="single" w:sz="12" w:space="0" w:color="auto"/>
              <w:bottom w:val="single" w:sz="12" w:space="0" w:color="auto"/>
              <w:right w:val="nil"/>
            </w:tcBorders>
            <w:shd w:val="clear" w:color="000000" w:fill="FFFFFF"/>
            <w:noWrap/>
            <w:vAlign w:val="center"/>
          </w:tcPr>
          <w:p w14:paraId="4716856E" w14:textId="1DDFBF28" w:rsidR="00497FDB" w:rsidRPr="003E55F4" w:rsidRDefault="00497FDB" w:rsidP="00497FDB">
            <w:pPr>
              <w:spacing w:after="0" w:line="240" w:lineRule="auto"/>
              <w:ind w:firstLineChars="100" w:firstLine="200"/>
              <w:rPr>
                <w:rFonts w:eastAsia="Times New Roman"/>
                <w:color w:val="000000"/>
                <w:sz w:val="20"/>
                <w:szCs w:val="20"/>
              </w:rPr>
            </w:pPr>
            <w:r w:rsidRPr="003E55F4">
              <w:rPr>
                <w:rFonts w:eastAsia="Times New Roman"/>
                <w:sz w:val="20"/>
                <w:szCs w:val="20"/>
              </w:rPr>
              <w:t>Non-driver</w:t>
            </w:r>
          </w:p>
        </w:tc>
        <w:tc>
          <w:tcPr>
            <w:tcW w:w="798" w:type="dxa"/>
            <w:tcBorders>
              <w:top w:val="nil"/>
              <w:left w:val="nil"/>
              <w:bottom w:val="single" w:sz="12" w:space="0" w:color="auto"/>
              <w:right w:val="nil"/>
            </w:tcBorders>
            <w:shd w:val="clear" w:color="000000" w:fill="FFFFFF"/>
            <w:noWrap/>
            <w:vAlign w:val="center"/>
          </w:tcPr>
          <w:p w14:paraId="46099A96" w14:textId="72DECA40" w:rsidR="00497FDB" w:rsidRPr="003E55F4" w:rsidRDefault="00497FDB" w:rsidP="00497FDB">
            <w:pPr>
              <w:tabs>
                <w:tab w:val="decimal" w:pos="165"/>
              </w:tabs>
              <w:spacing w:after="0" w:line="240" w:lineRule="auto"/>
              <w:jc w:val="center"/>
              <w:rPr>
                <w:rFonts w:eastAsia="Times New Roman"/>
                <w:color w:val="000000"/>
                <w:sz w:val="20"/>
                <w:szCs w:val="20"/>
              </w:rPr>
            </w:pPr>
            <w:r w:rsidRPr="003E55F4">
              <w:rPr>
                <w:rFonts w:eastAsia="Times New Roman"/>
                <w:color w:val="000000"/>
                <w:sz w:val="20"/>
                <w:szCs w:val="20"/>
              </w:rPr>
              <w:t>9.3</w:t>
            </w:r>
          </w:p>
        </w:tc>
        <w:tc>
          <w:tcPr>
            <w:tcW w:w="786" w:type="dxa"/>
            <w:tcBorders>
              <w:top w:val="nil"/>
              <w:left w:val="nil"/>
              <w:bottom w:val="single" w:sz="12" w:space="0" w:color="auto"/>
              <w:right w:val="single" w:sz="12" w:space="0" w:color="auto"/>
            </w:tcBorders>
            <w:shd w:val="clear" w:color="000000" w:fill="FFFFFF"/>
            <w:noWrap/>
            <w:vAlign w:val="center"/>
          </w:tcPr>
          <w:p w14:paraId="797C4D39" w14:textId="70613F56" w:rsidR="00497FDB" w:rsidRPr="003E55F4" w:rsidRDefault="00497FDB" w:rsidP="00497FDB">
            <w:pPr>
              <w:tabs>
                <w:tab w:val="decimal" w:pos="180"/>
              </w:tabs>
              <w:spacing w:after="0" w:line="240" w:lineRule="auto"/>
              <w:jc w:val="center"/>
              <w:rPr>
                <w:rFonts w:eastAsia="Times New Roman"/>
                <w:color w:val="000000"/>
                <w:sz w:val="20"/>
                <w:szCs w:val="20"/>
              </w:rPr>
            </w:pPr>
            <w:r w:rsidRPr="003E55F4">
              <w:rPr>
                <w:rFonts w:eastAsia="Times New Roman"/>
                <w:sz w:val="20"/>
                <w:szCs w:val="20"/>
              </w:rPr>
              <w:t>--</w:t>
            </w:r>
          </w:p>
        </w:tc>
      </w:tr>
      <w:bookmarkEnd w:id="2"/>
    </w:tbl>
    <w:p w14:paraId="47F560CB" w14:textId="77777777" w:rsidR="00BE1F79" w:rsidRDefault="00BE1F79" w:rsidP="00DE4E50">
      <w:pPr>
        <w:spacing w:after="0" w:line="240" w:lineRule="auto"/>
        <w:jc w:val="both"/>
        <w:rPr>
          <w:b/>
          <w:bCs/>
        </w:rPr>
      </w:pPr>
    </w:p>
    <w:p w14:paraId="1AFFA4EA" w14:textId="77777777" w:rsidR="001F65A6" w:rsidRDefault="001F65A6" w:rsidP="00DE4E50">
      <w:pPr>
        <w:spacing w:after="0" w:line="240" w:lineRule="auto"/>
        <w:jc w:val="both"/>
        <w:rPr>
          <w:b/>
          <w:bCs/>
        </w:rPr>
      </w:pPr>
    </w:p>
    <w:p w14:paraId="02655C91" w14:textId="77777777" w:rsidR="00296EA2" w:rsidRDefault="000E5FC4">
      <w:pPr>
        <w:sectPr w:rsidR="00296EA2" w:rsidSect="00651843">
          <w:footerReference w:type="default" r:id="rId98"/>
          <w:pgSz w:w="12240" w:h="15840"/>
          <w:pgMar w:top="1440" w:right="1440" w:bottom="1440" w:left="1440" w:header="720" w:footer="720" w:gutter="0"/>
          <w:pgNumType w:start="1"/>
          <w:cols w:space="720"/>
          <w:docGrid w:linePitch="360"/>
        </w:sectPr>
      </w:pPr>
      <w:r>
        <w:br w:type="page"/>
      </w:r>
    </w:p>
    <w:p w14:paraId="2A229711" w14:textId="1F6C38FA" w:rsidR="002961DC" w:rsidRDefault="002961DC" w:rsidP="002961DC">
      <w:pPr>
        <w:spacing w:after="0" w:line="240" w:lineRule="auto"/>
        <w:jc w:val="both"/>
        <w:rPr>
          <w:b/>
          <w:bCs/>
        </w:rPr>
      </w:pPr>
      <w:r w:rsidRPr="002F3E1C">
        <w:rPr>
          <w:b/>
          <w:bCs/>
        </w:rPr>
        <w:lastRenderedPageBreak/>
        <w:t>Table 3 Main Estimation Results</w:t>
      </w:r>
      <w:r>
        <w:rPr>
          <w:b/>
          <w:bCs/>
        </w:rPr>
        <w:t xml:space="preserve"> (1/3)</w:t>
      </w:r>
    </w:p>
    <w:p w14:paraId="0C0A333B" w14:textId="77777777" w:rsidR="002961DC" w:rsidRDefault="002961DC" w:rsidP="002961DC">
      <w:pPr>
        <w:spacing w:after="0" w:line="240" w:lineRule="auto"/>
        <w:jc w:val="both"/>
        <w:rPr>
          <w:b/>
          <w:bCs/>
        </w:rPr>
      </w:pPr>
    </w:p>
    <w:tbl>
      <w:tblPr>
        <w:tblW w:w="13947" w:type="dxa"/>
        <w:jc w:val="center"/>
        <w:tblLayout w:type="fixed"/>
        <w:tblCellMar>
          <w:left w:w="0" w:type="dxa"/>
          <w:right w:w="0" w:type="dxa"/>
        </w:tblCellMar>
        <w:tblLook w:val="04A0" w:firstRow="1" w:lastRow="0" w:firstColumn="1" w:lastColumn="0" w:noHBand="0" w:noVBand="1"/>
      </w:tblPr>
      <w:tblGrid>
        <w:gridCol w:w="2595"/>
        <w:gridCol w:w="537"/>
        <w:gridCol w:w="541"/>
        <w:gridCol w:w="539"/>
        <w:gridCol w:w="449"/>
        <w:gridCol w:w="540"/>
        <w:gridCol w:w="450"/>
        <w:gridCol w:w="540"/>
        <w:gridCol w:w="450"/>
        <w:gridCol w:w="544"/>
        <w:gridCol w:w="540"/>
        <w:gridCol w:w="540"/>
        <w:gridCol w:w="450"/>
        <w:gridCol w:w="540"/>
        <w:gridCol w:w="450"/>
        <w:gridCol w:w="540"/>
        <w:gridCol w:w="454"/>
        <w:gridCol w:w="540"/>
        <w:gridCol w:w="456"/>
        <w:gridCol w:w="540"/>
        <w:gridCol w:w="540"/>
        <w:gridCol w:w="630"/>
        <w:gridCol w:w="542"/>
      </w:tblGrid>
      <w:tr w:rsidR="002961DC" w:rsidRPr="00A95729" w14:paraId="241768D1" w14:textId="77777777" w:rsidTr="00E56366">
        <w:trPr>
          <w:trHeight w:val="20"/>
          <w:jc w:val="center"/>
        </w:trPr>
        <w:tc>
          <w:tcPr>
            <w:tcW w:w="2595" w:type="dxa"/>
            <w:vMerge w:val="restart"/>
            <w:tcBorders>
              <w:top w:val="single" w:sz="12" w:space="0" w:color="auto"/>
              <w:left w:val="single" w:sz="12" w:space="0" w:color="auto"/>
              <w:right w:val="single" w:sz="12" w:space="0" w:color="auto"/>
            </w:tcBorders>
            <w:shd w:val="clear" w:color="000000" w:fill="FFFFFF"/>
            <w:noWrap/>
            <w:vAlign w:val="center"/>
          </w:tcPr>
          <w:p w14:paraId="7E5C1FEB" w14:textId="77777777" w:rsidR="002961DC" w:rsidRPr="00A95729" w:rsidRDefault="002961DC" w:rsidP="00E56366">
            <w:pPr>
              <w:spacing w:after="0" w:line="240" w:lineRule="auto"/>
              <w:jc w:val="center"/>
              <w:rPr>
                <w:rFonts w:eastAsia="Times New Roman"/>
                <w:color w:val="000000"/>
                <w:sz w:val="18"/>
                <w:szCs w:val="18"/>
              </w:rPr>
            </w:pPr>
            <w:r>
              <w:rPr>
                <w:rFonts w:eastAsia="Times New Roman"/>
                <w:color w:val="000000"/>
                <w:sz w:val="18"/>
                <w:szCs w:val="18"/>
              </w:rPr>
              <w:t>Thresholds/</w:t>
            </w:r>
            <w:r w:rsidRPr="00A95729">
              <w:rPr>
                <w:rFonts w:eastAsia="Times New Roman"/>
                <w:color w:val="000000"/>
                <w:sz w:val="18"/>
                <w:szCs w:val="18"/>
              </w:rPr>
              <w:t>Variables (base)</w:t>
            </w:r>
          </w:p>
        </w:tc>
        <w:tc>
          <w:tcPr>
            <w:tcW w:w="1078" w:type="dxa"/>
            <w:gridSpan w:val="2"/>
            <w:vMerge w:val="restart"/>
            <w:tcBorders>
              <w:top w:val="single" w:sz="12" w:space="0" w:color="auto"/>
              <w:left w:val="single" w:sz="12" w:space="0" w:color="auto"/>
              <w:right w:val="single" w:sz="12" w:space="0" w:color="auto"/>
            </w:tcBorders>
            <w:shd w:val="clear" w:color="000000" w:fill="FFFFFF"/>
            <w:vAlign w:val="center"/>
          </w:tcPr>
          <w:p w14:paraId="2F417122" w14:textId="77777777" w:rsidR="002961DC" w:rsidRPr="00A95729" w:rsidRDefault="002961DC" w:rsidP="00E56366">
            <w:pPr>
              <w:spacing w:after="0" w:line="240" w:lineRule="auto"/>
              <w:jc w:val="center"/>
              <w:rPr>
                <w:rFonts w:eastAsia="Times New Roman"/>
                <w:b/>
                <w:bCs/>
                <w:color w:val="000000"/>
                <w:sz w:val="18"/>
                <w:szCs w:val="18"/>
              </w:rPr>
            </w:pPr>
            <w:r>
              <w:rPr>
                <w:rFonts w:eastAsia="Times New Roman"/>
                <w:b/>
                <w:bCs/>
                <w:color w:val="000000"/>
                <w:sz w:val="18"/>
                <w:szCs w:val="18"/>
              </w:rPr>
              <w:t>PPD</w:t>
            </w:r>
          </w:p>
        </w:tc>
        <w:tc>
          <w:tcPr>
            <w:tcW w:w="8022" w:type="dxa"/>
            <w:gridSpan w:val="16"/>
            <w:tcBorders>
              <w:top w:val="single" w:sz="12" w:space="0" w:color="auto"/>
              <w:left w:val="single" w:sz="12" w:space="0" w:color="auto"/>
              <w:bottom w:val="single" w:sz="12" w:space="0" w:color="auto"/>
              <w:right w:val="single" w:sz="12" w:space="0" w:color="auto"/>
            </w:tcBorders>
            <w:shd w:val="clear" w:color="000000" w:fill="FFFFFF"/>
            <w:noWrap/>
            <w:vAlign w:val="bottom"/>
          </w:tcPr>
          <w:p w14:paraId="7C9DFB71" w14:textId="77777777" w:rsidR="002961DC" w:rsidRPr="00A95729" w:rsidRDefault="002961DC" w:rsidP="00E56366">
            <w:pPr>
              <w:spacing w:after="0" w:line="240" w:lineRule="auto"/>
              <w:jc w:val="center"/>
              <w:rPr>
                <w:rFonts w:eastAsia="Times New Roman"/>
                <w:b/>
                <w:bCs/>
                <w:color w:val="000000"/>
                <w:sz w:val="18"/>
                <w:szCs w:val="18"/>
              </w:rPr>
            </w:pPr>
            <w:r>
              <w:rPr>
                <w:rFonts w:eastAsia="Times New Roman"/>
                <w:b/>
                <w:bCs/>
                <w:color w:val="000000"/>
                <w:sz w:val="18"/>
                <w:szCs w:val="18"/>
              </w:rPr>
              <w:t>PPD Reasons</w:t>
            </w:r>
          </w:p>
        </w:tc>
        <w:tc>
          <w:tcPr>
            <w:tcW w:w="2252" w:type="dxa"/>
            <w:gridSpan w:val="4"/>
            <w:tcBorders>
              <w:top w:val="single" w:sz="12" w:space="0" w:color="auto"/>
              <w:left w:val="single" w:sz="12" w:space="0" w:color="auto"/>
              <w:bottom w:val="single" w:sz="12" w:space="0" w:color="auto"/>
              <w:right w:val="single" w:sz="12" w:space="0" w:color="auto"/>
            </w:tcBorders>
            <w:shd w:val="clear" w:color="000000" w:fill="FFFFFF"/>
          </w:tcPr>
          <w:p w14:paraId="53C412F0" w14:textId="77777777" w:rsidR="002961DC" w:rsidRPr="00A95729" w:rsidRDefault="002961DC" w:rsidP="00E56366">
            <w:pPr>
              <w:spacing w:after="0" w:line="240" w:lineRule="auto"/>
              <w:jc w:val="center"/>
              <w:rPr>
                <w:rFonts w:eastAsia="Times New Roman"/>
                <w:b/>
                <w:bCs/>
                <w:color w:val="000000"/>
                <w:sz w:val="18"/>
                <w:szCs w:val="18"/>
              </w:rPr>
            </w:pPr>
            <w:r>
              <w:rPr>
                <w:rFonts w:eastAsia="Times New Roman"/>
                <w:b/>
                <w:bCs/>
                <w:color w:val="000000"/>
                <w:sz w:val="18"/>
                <w:szCs w:val="18"/>
              </w:rPr>
              <w:t xml:space="preserve">Virtual Participation </w:t>
            </w:r>
          </w:p>
        </w:tc>
      </w:tr>
      <w:tr w:rsidR="002961DC" w:rsidRPr="00A95729" w14:paraId="30D57004" w14:textId="77777777" w:rsidTr="00E56366">
        <w:trPr>
          <w:trHeight w:val="20"/>
          <w:jc w:val="center"/>
        </w:trPr>
        <w:tc>
          <w:tcPr>
            <w:tcW w:w="2595" w:type="dxa"/>
            <w:vMerge/>
            <w:tcBorders>
              <w:left w:val="single" w:sz="12" w:space="0" w:color="auto"/>
              <w:right w:val="single" w:sz="12" w:space="0" w:color="auto"/>
            </w:tcBorders>
            <w:shd w:val="clear" w:color="000000" w:fill="FFFFFF"/>
            <w:noWrap/>
            <w:vAlign w:val="center"/>
            <w:hideMark/>
          </w:tcPr>
          <w:p w14:paraId="311CD56C" w14:textId="77777777" w:rsidR="002961DC" w:rsidRPr="00A95729" w:rsidRDefault="002961DC" w:rsidP="00E56366">
            <w:pPr>
              <w:spacing w:after="0" w:line="240" w:lineRule="auto"/>
              <w:jc w:val="center"/>
              <w:rPr>
                <w:rFonts w:eastAsia="Times New Roman"/>
                <w:color w:val="000000"/>
                <w:sz w:val="18"/>
                <w:szCs w:val="18"/>
              </w:rPr>
            </w:pPr>
          </w:p>
        </w:tc>
        <w:tc>
          <w:tcPr>
            <w:tcW w:w="1078" w:type="dxa"/>
            <w:gridSpan w:val="2"/>
            <w:vMerge/>
            <w:tcBorders>
              <w:left w:val="single" w:sz="12" w:space="0" w:color="auto"/>
              <w:bottom w:val="single" w:sz="12" w:space="0" w:color="auto"/>
              <w:right w:val="single" w:sz="12" w:space="0" w:color="auto"/>
            </w:tcBorders>
            <w:shd w:val="clear" w:color="000000" w:fill="FFFFFF"/>
          </w:tcPr>
          <w:p w14:paraId="3A344C41" w14:textId="77777777" w:rsidR="002961DC" w:rsidRPr="00A95729" w:rsidRDefault="002961DC" w:rsidP="00E56366">
            <w:pPr>
              <w:spacing w:after="0" w:line="240" w:lineRule="auto"/>
              <w:jc w:val="center"/>
              <w:rPr>
                <w:rFonts w:eastAsia="Times New Roman"/>
                <w:color w:val="000000"/>
                <w:sz w:val="18"/>
                <w:szCs w:val="18"/>
              </w:rPr>
            </w:pPr>
          </w:p>
        </w:tc>
        <w:tc>
          <w:tcPr>
            <w:tcW w:w="988" w:type="dxa"/>
            <w:gridSpan w:val="2"/>
            <w:tcBorders>
              <w:top w:val="single" w:sz="12" w:space="0" w:color="auto"/>
              <w:left w:val="single" w:sz="12" w:space="0" w:color="auto"/>
              <w:bottom w:val="single" w:sz="12" w:space="0" w:color="auto"/>
              <w:right w:val="single" w:sz="4" w:space="0" w:color="000000"/>
            </w:tcBorders>
            <w:shd w:val="clear" w:color="000000" w:fill="FFFFFF"/>
            <w:noWrap/>
            <w:vAlign w:val="bottom"/>
            <w:hideMark/>
          </w:tcPr>
          <w:p w14:paraId="035E200D" w14:textId="77777777" w:rsidR="002961DC" w:rsidRPr="00A95729" w:rsidRDefault="002961DC" w:rsidP="00E56366">
            <w:pPr>
              <w:spacing w:after="0" w:line="240" w:lineRule="auto"/>
              <w:jc w:val="center"/>
              <w:rPr>
                <w:rFonts w:eastAsia="Times New Roman"/>
                <w:color w:val="000000"/>
                <w:sz w:val="18"/>
                <w:szCs w:val="18"/>
              </w:rPr>
            </w:pPr>
            <w:r>
              <w:rPr>
                <w:rFonts w:eastAsia="Times New Roman"/>
                <w:color w:val="000000"/>
                <w:sz w:val="18"/>
                <w:szCs w:val="18"/>
              </w:rPr>
              <w:t>Not Safe</w:t>
            </w:r>
          </w:p>
        </w:tc>
        <w:tc>
          <w:tcPr>
            <w:tcW w:w="990" w:type="dxa"/>
            <w:gridSpan w:val="2"/>
            <w:tcBorders>
              <w:top w:val="single" w:sz="12" w:space="0" w:color="auto"/>
              <w:left w:val="nil"/>
              <w:bottom w:val="single" w:sz="12" w:space="0" w:color="auto"/>
              <w:right w:val="single" w:sz="4" w:space="0" w:color="000000"/>
            </w:tcBorders>
            <w:shd w:val="clear" w:color="000000" w:fill="FFFFFF"/>
            <w:noWrap/>
            <w:vAlign w:val="bottom"/>
            <w:hideMark/>
          </w:tcPr>
          <w:p w14:paraId="4D003C4F" w14:textId="77777777" w:rsidR="002961DC" w:rsidRPr="00A95729" w:rsidRDefault="002961DC" w:rsidP="00E56366">
            <w:pPr>
              <w:spacing w:after="0" w:line="240" w:lineRule="auto"/>
              <w:jc w:val="center"/>
              <w:rPr>
                <w:rFonts w:eastAsia="Times New Roman"/>
                <w:color w:val="000000"/>
                <w:sz w:val="18"/>
                <w:szCs w:val="18"/>
              </w:rPr>
            </w:pPr>
            <w:r>
              <w:rPr>
                <w:rFonts w:eastAsia="Times New Roman"/>
                <w:color w:val="000000"/>
                <w:sz w:val="18"/>
                <w:szCs w:val="18"/>
              </w:rPr>
              <w:t>Not Clean</w:t>
            </w:r>
          </w:p>
        </w:tc>
        <w:tc>
          <w:tcPr>
            <w:tcW w:w="990" w:type="dxa"/>
            <w:gridSpan w:val="2"/>
            <w:tcBorders>
              <w:top w:val="single" w:sz="12" w:space="0" w:color="auto"/>
              <w:left w:val="nil"/>
              <w:bottom w:val="single" w:sz="12" w:space="0" w:color="auto"/>
              <w:right w:val="single" w:sz="4" w:space="0" w:color="000000"/>
            </w:tcBorders>
            <w:shd w:val="clear" w:color="000000" w:fill="FFFFFF"/>
            <w:noWrap/>
            <w:vAlign w:val="bottom"/>
            <w:hideMark/>
          </w:tcPr>
          <w:p w14:paraId="1D167546" w14:textId="77777777" w:rsidR="002961DC" w:rsidRPr="00A95729" w:rsidRDefault="002961DC" w:rsidP="00E56366">
            <w:pPr>
              <w:spacing w:after="0" w:line="240" w:lineRule="auto"/>
              <w:jc w:val="center"/>
              <w:rPr>
                <w:rFonts w:eastAsia="Times New Roman"/>
                <w:color w:val="000000"/>
                <w:sz w:val="18"/>
                <w:szCs w:val="18"/>
              </w:rPr>
            </w:pPr>
            <w:r>
              <w:rPr>
                <w:rFonts w:eastAsia="Times New Roman"/>
                <w:color w:val="000000"/>
                <w:sz w:val="18"/>
                <w:szCs w:val="18"/>
              </w:rPr>
              <w:t>Not Reliable</w:t>
            </w:r>
          </w:p>
        </w:tc>
        <w:tc>
          <w:tcPr>
            <w:tcW w:w="1084" w:type="dxa"/>
            <w:gridSpan w:val="2"/>
            <w:tcBorders>
              <w:top w:val="single" w:sz="12" w:space="0" w:color="auto"/>
              <w:left w:val="nil"/>
              <w:bottom w:val="single" w:sz="12" w:space="0" w:color="auto"/>
              <w:right w:val="single" w:sz="4" w:space="0" w:color="000000"/>
            </w:tcBorders>
            <w:shd w:val="clear" w:color="000000" w:fill="FFFFFF"/>
            <w:vAlign w:val="bottom"/>
            <w:hideMark/>
          </w:tcPr>
          <w:p w14:paraId="019DB85A" w14:textId="77777777" w:rsidR="002961DC" w:rsidRPr="00A95729" w:rsidRDefault="002961DC" w:rsidP="00E56366">
            <w:pPr>
              <w:spacing w:after="0" w:line="240" w:lineRule="auto"/>
              <w:jc w:val="center"/>
              <w:rPr>
                <w:rFonts w:eastAsia="Times New Roman"/>
                <w:color w:val="000000"/>
                <w:sz w:val="18"/>
                <w:szCs w:val="18"/>
              </w:rPr>
            </w:pPr>
            <w:r>
              <w:rPr>
                <w:rFonts w:eastAsia="Times New Roman"/>
                <w:color w:val="000000"/>
                <w:sz w:val="18"/>
                <w:szCs w:val="18"/>
              </w:rPr>
              <w:t xml:space="preserve">Poor </w:t>
            </w:r>
            <w:r w:rsidRPr="00A95729">
              <w:rPr>
                <w:rFonts w:eastAsia="Times New Roman"/>
                <w:color w:val="000000"/>
                <w:sz w:val="18"/>
                <w:szCs w:val="18"/>
              </w:rPr>
              <w:t>Destination Access</w:t>
            </w:r>
          </w:p>
        </w:tc>
        <w:tc>
          <w:tcPr>
            <w:tcW w:w="990" w:type="dxa"/>
            <w:gridSpan w:val="2"/>
            <w:tcBorders>
              <w:top w:val="single" w:sz="12" w:space="0" w:color="auto"/>
              <w:left w:val="nil"/>
              <w:bottom w:val="single" w:sz="12" w:space="0" w:color="auto"/>
              <w:right w:val="single" w:sz="4" w:space="0" w:color="000000"/>
            </w:tcBorders>
            <w:shd w:val="clear" w:color="000000" w:fill="FFFFFF"/>
            <w:noWrap/>
            <w:vAlign w:val="bottom"/>
            <w:hideMark/>
          </w:tcPr>
          <w:p w14:paraId="1AB617D5" w14:textId="77777777" w:rsidR="002961DC" w:rsidRPr="00A95729" w:rsidRDefault="002961DC" w:rsidP="00E56366">
            <w:pPr>
              <w:spacing w:after="0" w:line="240" w:lineRule="auto"/>
              <w:jc w:val="center"/>
              <w:rPr>
                <w:rFonts w:eastAsia="Times New Roman"/>
                <w:color w:val="000000"/>
                <w:sz w:val="18"/>
                <w:szCs w:val="18"/>
              </w:rPr>
            </w:pPr>
            <w:r>
              <w:rPr>
                <w:rFonts w:eastAsia="Times New Roman"/>
                <w:color w:val="000000"/>
                <w:sz w:val="18"/>
                <w:szCs w:val="18"/>
              </w:rPr>
              <w:t>Not Affordable</w:t>
            </w:r>
          </w:p>
        </w:tc>
        <w:tc>
          <w:tcPr>
            <w:tcW w:w="990" w:type="dxa"/>
            <w:gridSpan w:val="2"/>
            <w:tcBorders>
              <w:top w:val="single" w:sz="12" w:space="0" w:color="auto"/>
              <w:left w:val="nil"/>
              <w:bottom w:val="single" w:sz="12" w:space="0" w:color="auto"/>
              <w:right w:val="single" w:sz="4" w:space="0" w:color="000000"/>
            </w:tcBorders>
            <w:shd w:val="clear" w:color="000000" w:fill="FFFFFF"/>
            <w:noWrap/>
            <w:vAlign w:val="bottom"/>
            <w:hideMark/>
          </w:tcPr>
          <w:p w14:paraId="56BD16A1"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Health Problems</w:t>
            </w:r>
          </w:p>
        </w:tc>
        <w:tc>
          <w:tcPr>
            <w:tcW w:w="994" w:type="dxa"/>
            <w:gridSpan w:val="2"/>
            <w:tcBorders>
              <w:top w:val="single" w:sz="12" w:space="0" w:color="auto"/>
              <w:left w:val="nil"/>
              <w:bottom w:val="single" w:sz="12" w:space="0" w:color="auto"/>
              <w:right w:val="single" w:sz="4" w:space="0" w:color="000000"/>
            </w:tcBorders>
            <w:shd w:val="clear" w:color="000000" w:fill="FFFFFF"/>
            <w:noWrap/>
            <w:vAlign w:val="bottom"/>
            <w:hideMark/>
          </w:tcPr>
          <w:p w14:paraId="2F19F212" w14:textId="77777777" w:rsidR="002961DC" w:rsidRPr="00A95729" w:rsidRDefault="002961DC" w:rsidP="00E56366">
            <w:pPr>
              <w:spacing w:after="0" w:line="240" w:lineRule="auto"/>
              <w:jc w:val="center"/>
              <w:rPr>
                <w:rFonts w:eastAsia="Times New Roman"/>
                <w:color w:val="000000"/>
                <w:sz w:val="18"/>
                <w:szCs w:val="18"/>
              </w:rPr>
            </w:pPr>
            <w:r>
              <w:rPr>
                <w:rFonts w:eastAsia="Times New Roman"/>
                <w:color w:val="000000"/>
                <w:sz w:val="18"/>
                <w:szCs w:val="18"/>
              </w:rPr>
              <w:t xml:space="preserve">No </w:t>
            </w:r>
            <w:r w:rsidRPr="00A95729">
              <w:rPr>
                <w:rFonts w:eastAsia="Times New Roman"/>
                <w:color w:val="000000"/>
                <w:sz w:val="18"/>
                <w:szCs w:val="18"/>
              </w:rPr>
              <w:t>Time</w:t>
            </w:r>
          </w:p>
        </w:tc>
        <w:tc>
          <w:tcPr>
            <w:tcW w:w="996" w:type="dxa"/>
            <w:gridSpan w:val="2"/>
            <w:tcBorders>
              <w:top w:val="single" w:sz="12" w:space="0" w:color="auto"/>
              <w:left w:val="nil"/>
              <w:bottom w:val="single" w:sz="12" w:space="0" w:color="auto"/>
              <w:right w:val="single" w:sz="12" w:space="0" w:color="auto"/>
            </w:tcBorders>
            <w:shd w:val="clear" w:color="000000" w:fill="FFFFFF"/>
            <w:noWrap/>
            <w:vAlign w:val="bottom"/>
            <w:hideMark/>
          </w:tcPr>
          <w:p w14:paraId="11687AF4"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COVID</w:t>
            </w:r>
            <w:r>
              <w:rPr>
                <w:rFonts w:eastAsia="Times New Roman"/>
                <w:color w:val="000000"/>
                <w:sz w:val="18"/>
                <w:szCs w:val="18"/>
              </w:rPr>
              <w:t xml:space="preserve"> Concerns</w:t>
            </w:r>
          </w:p>
        </w:tc>
        <w:tc>
          <w:tcPr>
            <w:tcW w:w="1080" w:type="dxa"/>
            <w:gridSpan w:val="2"/>
            <w:tcBorders>
              <w:top w:val="single" w:sz="12" w:space="0" w:color="auto"/>
              <w:left w:val="nil"/>
              <w:bottom w:val="single" w:sz="12" w:space="0" w:color="auto"/>
              <w:right w:val="single" w:sz="12" w:space="0" w:color="auto"/>
            </w:tcBorders>
            <w:shd w:val="clear" w:color="000000" w:fill="FFFFFF"/>
            <w:vAlign w:val="bottom"/>
          </w:tcPr>
          <w:p w14:paraId="70419105"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Telework</w:t>
            </w:r>
          </w:p>
        </w:tc>
        <w:tc>
          <w:tcPr>
            <w:tcW w:w="1172" w:type="dxa"/>
            <w:gridSpan w:val="2"/>
            <w:tcBorders>
              <w:top w:val="single" w:sz="12" w:space="0" w:color="auto"/>
              <w:left w:val="single" w:sz="12" w:space="0" w:color="auto"/>
              <w:bottom w:val="single" w:sz="12" w:space="0" w:color="auto"/>
              <w:right w:val="single" w:sz="12" w:space="0" w:color="auto"/>
            </w:tcBorders>
            <w:shd w:val="clear" w:color="000000" w:fill="FFFFFF"/>
            <w:vAlign w:val="bottom"/>
          </w:tcPr>
          <w:p w14:paraId="1E65575E"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Deliveries</w:t>
            </w:r>
          </w:p>
        </w:tc>
      </w:tr>
      <w:tr w:rsidR="002961DC" w:rsidRPr="00A95729" w14:paraId="5573CF2B" w14:textId="77777777" w:rsidTr="00E56366">
        <w:trPr>
          <w:trHeight w:val="20"/>
          <w:jc w:val="center"/>
        </w:trPr>
        <w:tc>
          <w:tcPr>
            <w:tcW w:w="2595" w:type="dxa"/>
            <w:vMerge/>
            <w:tcBorders>
              <w:left w:val="single" w:sz="12" w:space="0" w:color="auto"/>
              <w:bottom w:val="single" w:sz="12" w:space="0" w:color="auto"/>
              <w:right w:val="single" w:sz="12" w:space="0" w:color="auto"/>
            </w:tcBorders>
            <w:vAlign w:val="center"/>
            <w:hideMark/>
          </w:tcPr>
          <w:p w14:paraId="07370C25" w14:textId="77777777" w:rsidR="002961DC" w:rsidRPr="00A95729" w:rsidRDefault="002961DC" w:rsidP="00E56366">
            <w:pPr>
              <w:spacing w:after="0" w:line="240" w:lineRule="auto"/>
              <w:rPr>
                <w:rFonts w:eastAsia="Times New Roman"/>
                <w:color w:val="000000"/>
                <w:sz w:val="18"/>
                <w:szCs w:val="18"/>
              </w:rPr>
            </w:pPr>
          </w:p>
        </w:tc>
        <w:tc>
          <w:tcPr>
            <w:tcW w:w="537" w:type="dxa"/>
            <w:tcBorders>
              <w:top w:val="single" w:sz="12" w:space="0" w:color="auto"/>
              <w:left w:val="single" w:sz="12" w:space="0" w:color="auto"/>
              <w:bottom w:val="single" w:sz="12" w:space="0" w:color="auto"/>
            </w:tcBorders>
            <w:shd w:val="clear" w:color="000000" w:fill="FFFFFF"/>
            <w:vAlign w:val="center"/>
          </w:tcPr>
          <w:p w14:paraId="65D98DE1"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Coeff.</w:t>
            </w:r>
          </w:p>
        </w:tc>
        <w:tc>
          <w:tcPr>
            <w:tcW w:w="541" w:type="dxa"/>
            <w:tcBorders>
              <w:top w:val="single" w:sz="12" w:space="0" w:color="auto"/>
              <w:left w:val="nil"/>
              <w:bottom w:val="single" w:sz="12" w:space="0" w:color="auto"/>
              <w:right w:val="single" w:sz="12" w:space="0" w:color="auto"/>
            </w:tcBorders>
            <w:shd w:val="clear" w:color="000000" w:fill="FFFFFF"/>
            <w:vAlign w:val="center"/>
          </w:tcPr>
          <w:p w14:paraId="6624D18B"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t-stat</w:t>
            </w:r>
          </w:p>
        </w:tc>
        <w:tc>
          <w:tcPr>
            <w:tcW w:w="539" w:type="dxa"/>
            <w:tcBorders>
              <w:top w:val="single" w:sz="12" w:space="0" w:color="auto"/>
              <w:left w:val="single" w:sz="12" w:space="0" w:color="auto"/>
              <w:bottom w:val="single" w:sz="12" w:space="0" w:color="auto"/>
              <w:right w:val="nil"/>
            </w:tcBorders>
            <w:shd w:val="clear" w:color="000000" w:fill="FFFFFF"/>
            <w:noWrap/>
            <w:vAlign w:val="center"/>
            <w:hideMark/>
          </w:tcPr>
          <w:p w14:paraId="2D87B569"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Coeff.</w:t>
            </w:r>
          </w:p>
        </w:tc>
        <w:tc>
          <w:tcPr>
            <w:tcW w:w="449" w:type="dxa"/>
            <w:tcBorders>
              <w:top w:val="single" w:sz="12" w:space="0" w:color="auto"/>
              <w:left w:val="nil"/>
              <w:bottom w:val="single" w:sz="12" w:space="0" w:color="auto"/>
              <w:right w:val="single" w:sz="4" w:space="0" w:color="auto"/>
            </w:tcBorders>
            <w:shd w:val="clear" w:color="000000" w:fill="FFFFFF"/>
            <w:noWrap/>
            <w:vAlign w:val="center"/>
            <w:hideMark/>
          </w:tcPr>
          <w:p w14:paraId="4A4756E9"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t-stat</w:t>
            </w:r>
          </w:p>
        </w:tc>
        <w:tc>
          <w:tcPr>
            <w:tcW w:w="540" w:type="dxa"/>
            <w:tcBorders>
              <w:top w:val="single" w:sz="12" w:space="0" w:color="auto"/>
              <w:left w:val="nil"/>
              <w:bottom w:val="single" w:sz="12" w:space="0" w:color="auto"/>
              <w:right w:val="nil"/>
            </w:tcBorders>
            <w:shd w:val="clear" w:color="000000" w:fill="FFFFFF"/>
            <w:noWrap/>
            <w:vAlign w:val="center"/>
            <w:hideMark/>
          </w:tcPr>
          <w:p w14:paraId="2DDDF359"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Coeff.</w:t>
            </w:r>
          </w:p>
        </w:tc>
        <w:tc>
          <w:tcPr>
            <w:tcW w:w="450" w:type="dxa"/>
            <w:tcBorders>
              <w:top w:val="single" w:sz="12" w:space="0" w:color="auto"/>
              <w:left w:val="nil"/>
              <w:bottom w:val="single" w:sz="12" w:space="0" w:color="auto"/>
              <w:right w:val="single" w:sz="4" w:space="0" w:color="auto"/>
            </w:tcBorders>
            <w:shd w:val="clear" w:color="000000" w:fill="FFFFFF"/>
            <w:noWrap/>
            <w:vAlign w:val="center"/>
            <w:hideMark/>
          </w:tcPr>
          <w:p w14:paraId="36CD7AD8"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t-stat</w:t>
            </w:r>
          </w:p>
        </w:tc>
        <w:tc>
          <w:tcPr>
            <w:tcW w:w="540" w:type="dxa"/>
            <w:tcBorders>
              <w:top w:val="single" w:sz="12" w:space="0" w:color="auto"/>
              <w:left w:val="nil"/>
              <w:bottom w:val="single" w:sz="12" w:space="0" w:color="auto"/>
              <w:right w:val="nil"/>
            </w:tcBorders>
            <w:shd w:val="clear" w:color="000000" w:fill="FFFFFF"/>
            <w:noWrap/>
            <w:vAlign w:val="center"/>
            <w:hideMark/>
          </w:tcPr>
          <w:p w14:paraId="03EE7E53"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Coeff.</w:t>
            </w:r>
          </w:p>
        </w:tc>
        <w:tc>
          <w:tcPr>
            <w:tcW w:w="450" w:type="dxa"/>
            <w:tcBorders>
              <w:top w:val="single" w:sz="12" w:space="0" w:color="auto"/>
              <w:left w:val="nil"/>
              <w:bottom w:val="single" w:sz="12" w:space="0" w:color="auto"/>
              <w:right w:val="single" w:sz="4" w:space="0" w:color="auto"/>
            </w:tcBorders>
            <w:shd w:val="clear" w:color="000000" w:fill="FFFFFF"/>
            <w:noWrap/>
            <w:vAlign w:val="center"/>
            <w:hideMark/>
          </w:tcPr>
          <w:p w14:paraId="6F70DF10"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t-stat</w:t>
            </w:r>
          </w:p>
        </w:tc>
        <w:tc>
          <w:tcPr>
            <w:tcW w:w="544" w:type="dxa"/>
            <w:tcBorders>
              <w:top w:val="single" w:sz="12" w:space="0" w:color="auto"/>
              <w:left w:val="nil"/>
              <w:bottom w:val="single" w:sz="12" w:space="0" w:color="auto"/>
              <w:right w:val="nil"/>
            </w:tcBorders>
            <w:shd w:val="clear" w:color="000000" w:fill="FFFFFF"/>
            <w:noWrap/>
            <w:vAlign w:val="center"/>
            <w:hideMark/>
          </w:tcPr>
          <w:p w14:paraId="582A4965"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Coeff.</w:t>
            </w:r>
          </w:p>
        </w:tc>
        <w:tc>
          <w:tcPr>
            <w:tcW w:w="540" w:type="dxa"/>
            <w:tcBorders>
              <w:top w:val="single" w:sz="12" w:space="0" w:color="auto"/>
              <w:left w:val="nil"/>
              <w:bottom w:val="single" w:sz="12" w:space="0" w:color="auto"/>
              <w:right w:val="single" w:sz="4" w:space="0" w:color="auto"/>
            </w:tcBorders>
            <w:shd w:val="clear" w:color="000000" w:fill="FFFFFF"/>
            <w:noWrap/>
            <w:vAlign w:val="center"/>
            <w:hideMark/>
          </w:tcPr>
          <w:p w14:paraId="694E86C6"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t-stat</w:t>
            </w:r>
          </w:p>
        </w:tc>
        <w:tc>
          <w:tcPr>
            <w:tcW w:w="540" w:type="dxa"/>
            <w:tcBorders>
              <w:top w:val="single" w:sz="12" w:space="0" w:color="auto"/>
              <w:left w:val="nil"/>
              <w:bottom w:val="single" w:sz="12" w:space="0" w:color="auto"/>
              <w:right w:val="nil"/>
            </w:tcBorders>
            <w:shd w:val="clear" w:color="000000" w:fill="FFFFFF"/>
            <w:noWrap/>
            <w:vAlign w:val="center"/>
            <w:hideMark/>
          </w:tcPr>
          <w:p w14:paraId="04954707"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Coeff.</w:t>
            </w:r>
          </w:p>
        </w:tc>
        <w:tc>
          <w:tcPr>
            <w:tcW w:w="450" w:type="dxa"/>
            <w:tcBorders>
              <w:top w:val="single" w:sz="12" w:space="0" w:color="auto"/>
              <w:left w:val="nil"/>
              <w:bottom w:val="single" w:sz="12" w:space="0" w:color="auto"/>
              <w:right w:val="single" w:sz="4" w:space="0" w:color="auto"/>
            </w:tcBorders>
            <w:shd w:val="clear" w:color="000000" w:fill="FFFFFF"/>
            <w:noWrap/>
            <w:vAlign w:val="center"/>
            <w:hideMark/>
          </w:tcPr>
          <w:p w14:paraId="6DD29D00"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t-stat</w:t>
            </w:r>
          </w:p>
        </w:tc>
        <w:tc>
          <w:tcPr>
            <w:tcW w:w="540" w:type="dxa"/>
            <w:tcBorders>
              <w:top w:val="single" w:sz="12" w:space="0" w:color="auto"/>
              <w:left w:val="nil"/>
              <w:bottom w:val="single" w:sz="12" w:space="0" w:color="auto"/>
              <w:right w:val="nil"/>
            </w:tcBorders>
            <w:shd w:val="clear" w:color="000000" w:fill="FFFFFF"/>
            <w:noWrap/>
            <w:vAlign w:val="center"/>
            <w:hideMark/>
          </w:tcPr>
          <w:p w14:paraId="43DDF173"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Coeff.</w:t>
            </w:r>
          </w:p>
        </w:tc>
        <w:tc>
          <w:tcPr>
            <w:tcW w:w="450" w:type="dxa"/>
            <w:tcBorders>
              <w:top w:val="single" w:sz="12" w:space="0" w:color="auto"/>
              <w:left w:val="nil"/>
              <w:bottom w:val="single" w:sz="12" w:space="0" w:color="auto"/>
              <w:right w:val="single" w:sz="4" w:space="0" w:color="auto"/>
            </w:tcBorders>
            <w:shd w:val="clear" w:color="000000" w:fill="FFFFFF"/>
            <w:noWrap/>
            <w:vAlign w:val="center"/>
            <w:hideMark/>
          </w:tcPr>
          <w:p w14:paraId="3484AAB6"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t-stat</w:t>
            </w:r>
          </w:p>
        </w:tc>
        <w:tc>
          <w:tcPr>
            <w:tcW w:w="540" w:type="dxa"/>
            <w:tcBorders>
              <w:top w:val="single" w:sz="12" w:space="0" w:color="auto"/>
              <w:left w:val="nil"/>
              <w:bottom w:val="single" w:sz="12" w:space="0" w:color="auto"/>
              <w:right w:val="nil"/>
            </w:tcBorders>
            <w:shd w:val="clear" w:color="000000" w:fill="FFFFFF"/>
            <w:noWrap/>
            <w:vAlign w:val="center"/>
            <w:hideMark/>
          </w:tcPr>
          <w:p w14:paraId="6095CB1A"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Coeff.</w:t>
            </w:r>
          </w:p>
        </w:tc>
        <w:tc>
          <w:tcPr>
            <w:tcW w:w="454" w:type="dxa"/>
            <w:tcBorders>
              <w:top w:val="single" w:sz="12" w:space="0" w:color="auto"/>
              <w:left w:val="nil"/>
              <w:bottom w:val="single" w:sz="12" w:space="0" w:color="auto"/>
              <w:right w:val="single" w:sz="4" w:space="0" w:color="auto"/>
            </w:tcBorders>
            <w:shd w:val="clear" w:color="000000" w:fill="FFFFFF"/>
            <w:noWrap/>
            <w:vAlign w:val="center"/>
            <w:hideMark/>
          </w:tcPr>
          <w:p w14:paraId="6D9D8D1E"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t-stat</w:t>
            </w:r>
          </w:p>
        </w:tc>
        <w:tc>
          <w:tcPr>
            <w:tcW w:w="540" w:type="dxa"/>
            <w:tcBorders>
              <w:top w:val="single" w:sz="12" w:space="0" w:color="auto"/>
              <w:left w:val="nil"/>
              <w:bottom w:val="single" w:sz="12" w:space="0" w:color="auto"/>
              <w:right w:val="nil"/>
            </w:tcBorders>
            <w:shd w:val="clear" w:color="000000" w:fill="FFFFFF"/>
            <w:noWrap/>
            <w:vAlign w:val="center"/>
            <w:hideMark/>
          </w:tcPr>
          <w:p w14:paraId="503BAE96"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Coeff.</w:t>
            </w:r>
          </w:p>
        </w:tc>
        <w:tc>
          <w:tcPr>
            <w:tcW w:w="456" w:type="dxa"/>
            <w:tcBorders>
              <w:top w:val="single" w:sz="12" w:space="0" w:color="auto"/>
              <w:left w:val="nil"/>
              <w:bottom w:val="single" w:sz="12" w:space="0" w:color="auto"/>
              <w:right w:val="single" w:sz="12" w:space="0" w:color="auto"/>
            </w:tcBorders>
            <w:shd w:val="clear" w:color="000000" w:fill="FFFFFF"/>
            <w:noWrap/>
            <w:vAlign w:val="center"/>
            <w:hideMark/>
          </w:tcPr>
          <w:p w14:paraId="1CA57F8B"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t-stat</w:t>
            </w:r>
          </w:p>
        </w:tc>
        <w:tc>
          <w:tcPr>
            <w:tcW w:w="540" w:type="dxa"/>
            <w:tcBorders>
              <w:top w:val="single" w:sz="12" w:space="0" w:color="auto"/>
              <w:left w:val="nil"/>
              <w:bottom w:val="single" w:sz="12" w:space="0" w:color="auto"/>
              <w:right w:val="nil"/>
            </w:tcBorders>
            <w:shd w:val="clear" w:color="000000" w:fill="FFFFFF"/>
            <w:vAlign w:val="center"/>
          </w:tcPr>
          <w:p w14:paraId="141AC32D"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Coeff.</w:t>
            </w:r>
          </w:p>
        </w:tc>
        <w:tc>
          <w:tcPr>
            <w:tcW w:w="540" w:type="dxa"/>
            <w:tcBorders>
              <w:top w:val="single" w:sz="12" w:space="0" w:color="auto"/>
              <w:left w:val="nil"/>
              <w:bottom w:val="single" w:sz="12" w:space="0" w:color="auto"/>
              <w:right w:val="single" w:sz="12" w:space="0" w:color="auto"/>
            </w:tcBorders>
            <w:shd w:val="clear" w:color="000000" w:fill="FFFFFF"/>
            <w:vAlign w:val="center"/>
          </w:tcPr>
          <w:p w14:paraId="61BE5A5B"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t-stat</w:t>
            </w:r>
          </w:p>
        </w:tc>
        <w:tc>
          <w:tcPr>
            <w:tcW w:w="630" w:type="dxa"/>
            <w:tcBorders>
              <w:top w:val="single" w:sz="12" w:space="0" w:color="auto"/>
              <w:left w:val="single" w:sz="12" w:space="0" w:color="auto"/>
              <w:bottom w:val="single" w:sz="12" w:space="0" w:color="auto"/>
              <w:right w:val="nil"/>
            </w:tcBorders>
            <w:shd w:val="clear" w:color="000000" w:fill="FFFFFF"/>
            <w:vAlign w:val="center"/>
          </w:tcPr>
          <w:p w14:paraId="5E9D3A0F"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Coeff.</w:t>
            </w:r>
          </w:p>
        </w:tc>
        <w:tc>
          <w:tcPr>
            <w:tcW w:w="542" w:type="dxa"/>
            <w:tcBorders>
              <w:top w:val="single" w:sz="12" w:space="0" w:color="auto"/>
              <w:left w:val="nil"/>
              <w:bottom w:val="single" w:sz="12" w:space="0" w:color="auto"/>
              <w:right w:val="single" w:sz="12" w:space="0" w:color="auto"/>
            </w:tcBorders>
            <w:shd w:val="clear" w:color="000000" w:fill="FFFFFF"/>
            <w:vAlign w:val="center"/>
          </w:tcPr>
          <w:p w14:paraId="50C94BF5"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t-stat</w:t>
            </w:r>
          </w:p>
        </w:tc>
      </w:tr>
      <w:tr w:rsidR="002961DC" w:rsidRPr="00A95729" w14:paraId="327C5D0C" w14:textId="77777777" w:rsidTr="00E56366">
        <w:trPr>
          <w:trHeight w:val="20"/>
          <w:jc w:val="center"/>
        </w:trPr>
        <w:tc>
          <w:tcPr>
            <w:tcW w:w="2595" w:type="dxa"/>
            <w:tcBorders>
              <w:top w:val="single" w:sz="12" w:space="0" w:color="auto"/>
              <w:left w:val="single" w:sz="12" w:space="0" w:color="auto"/>
              <w:bottom w:val="nil"/>
              <w:right w:val="single" w:sz="12" w:space="0" w:color="auto"/>
            </w:tcBorders>
            <w:shd w:val="clear" w:color="000000" w:fill="FFFFFF"/>
            <w:noWrap/>
            <w:vAlign w:val="bottom"/>
          </w:tcPr>
          <w:p w14:paraId="56DF844E" w14:textId="77777777" w:rsidR="002961DC" w:rsidRPr="00C16673" w:rsidRDefault="002961DC" w:rsidP="00E56366">
            <w:pPr>
              <w:spacing w:after="0" w:line="240" w:lineRule="auto"/>
              <w:rPr>
                <w:rFonts w:eastAsia="Times New Roman"/>
                <w:b/>
                <w:bCs/>
                <w:color w:val="000000"/>
                <w:sz w:val="18"/>
                <w:szCs w:val="18"/>
              </w:rPr>
            </w:pPr>
            <w:r w:rsidRPr="00C16673">
              <w:rPr>
                <w:rFonts w:eastAsia="Times New Roman"/>
                <w:b/>
                <w:bCs/>
                <w:color w:val="000000"/>
                <w:sz w:val="18"/>
                <w:szCs w:val="18"/>
              </w:rPr>
              <w:t xml:space="preserve">Thresholds </w:t>
            </w:r>
          </w:p>
        </w:tc>
        <w:tc>
          <w:tcPr>
            <w:tcW w:w="537" w:type="dxa"/>
            <w:tcBorders>
              <w:top w:val="single" w:sz="12" w:space="0" w:color="auto"/>
              <w:left w:val="single" w:sz="12" w:space="0" w:color="auto"/>
              <w:bottom w:val="nil"/>
            </w:tcBorders>
            <w:shd w:val="clear" w:color="000000" w:fill="FFFFFF"/>
          </w:tcPr>
          <w:p w14:paraId="57E37C73" w14:textId="77777777" w:rsidR="002961DC" w:rsidRPr="00A95729" w:rsidRDefault="002961DC" w:rsidP="00E56366">
            <w:pPr>
              <w:spacing w:after="0" w:line="240" w:lineRule="auto"/>
              <w:rPr>
                <w:rFonts w:eastAsia="Times New Roman"/>
                <w:color w:val="000000"/>
                <w:sz w:val="18"/>
                <w:szCs w:val="18"/>
              </w:rPr>
            </w:pPr>
          </w:p>
        </w:tc>
        <w:tc>
          <w:tcPr>
            <w:tcW w:w="541" w:type="dxa"/>
            <w:tcBorders>
              <w:top w:val="single" w:sz="12" w:space="0" w:color="auto"/>
              <w:left w:val="nil"/>
              <w:bottom w:val="nil"/>
              <w:right w:val="single" w:sz="12" w:space="0" w:color="auto"/>
            </w:tcBorders>
            <w:shd w:val="clear" w:color="000000" w:fill="FFFFFF"/>
          </w:tcPr>
          <w:p w14:paraId="4D2A38FE" w14:textId="77777777" w:rsidR="002961DC" w:rsidRPr="00A95729" w:rsidRDefault="002961DC" w:rsidP="00E56366">
            <w:pPr>
              <w:spacing w:after="0" w:line="240" w:lineRule="auto"/>
              <w:rPr>
                <w:rFonts w:eastAsia="Times New Roman"/>
                <w:color w:val="000000"/>
                <w:sz w:val="18"/>
                <w:szCs w:val="18"/>
              </w:rPr>
            </w:pPr>
          </w:p>
        </w:tc>
        <w:tc>
          <w:tcPr>
            <w:tcW w:w="539" w:type="dxa"/>
            <w:tcBorders>
              <w:top w:val="single" w:sz="12" w:space="0" w:color="auto"/>
              <w:left w:val="single" w:sz="12" w:space="0" w:color="auto"/>
              <w:bottom w:val="nil"/>
              <w:right w:val="nil"/>
            </w:tcBorders>
            <w:shd w:val="clear" w:color="000000" w:fill="FFFFFF"/>
            <w:noWrap/>
            <w:vAlign w:val="bottom"/>
            <w:hideMark/>
          </w:tcPr>
          <w:p w14:paraId="67D953B8" w14:textId="77777777" w:rsidR="002961DC" w:rsidRPr="00A95729" w:rsidRDefault="002961DC" w:rsidP="00E56366">
            <w:pPr>
              <w:spacing w:after="0" w:line="240" w:lineRule="auto"/>
              <w:rPr>
                <w:rFonts w:eastAsia="Times New Roman"/>
                <w:color w:val="000000"/>
                <w:sz w:val="18"/>
                <w:szCs w:val="18"/>
              </w:rPr>
            </w:pPr>
            <w:r w:rsidRPr="00A95729">
              <w:rPr>
                <w:rFonts w:eastAsia="Times New Roman"/>
                <w:color w:val="000000"/>
                <w:sz w:val="18"/>
                <w:szCs w:val="18"/>
              </w:rPr>
              <w:t> </w:t>
            </w:r>
          </w:p>
        </w:tc>
        <w:tc>
          <w:tcPr>
            <w:tcW w:w="449" w:type="dxa"/>
            <w:tcBorders>
              <w:top w:val="single" w:sz="12" w:space="0" w:color="auto"/>
              <w:left w:val="nil"/>
              <w:bottom w:val="nil"/>
              <w:right w:val="single" w:sz="4" w:space="0" w:color="auto"/>
            </w:tcBorders>
            <w:shd w:val="clear" w:color="000000" w:fill="FFFFFF"/>
            <w:noWrap/>
            <w:vAlign w:val="bottom"/>
            <w:hideMark/>
          </w:tcPr>
          <w:p w14:paraId="176DA5D1" w14:textId="77777777" w:rsidR="002961DC" w:rsidRPr="00A95729" w:rsidRDefault="002961DC" w:rsidP="00E56366">
            <w:pPr>
              <w:spacing w:after="0" w:line="240" w:lineRule="auto"/>
              <w:rPr>
                <w:rFonts w:eastAsia="Times New Roman"/>
                <w:color w:val="000000"/>
                <w:sz w:val="18"/>
                <w:szCs w:val="18"/>
              </w:rPr>
            </w:pPr>
            <w:r w:rsidRPr="00A95729">
              <w:rPr>
                <w:rFonts w:eastAsia="Times New Roman"/>
                <w:color w:val="000000"/>
                <w:sz w:val="18"/>
                <w:szCs w:val="18"/>
              </w:rPr>
              <w:t> </w:t>
            </w:r>
          </w:p>
        </w:tc>
        <w:tc>
          <w:tcPr>
            <w:tcW w:w="540" w:type="dxa"/>
            <w:tcBorders>
              <w:top w:val="single" w:sz="12" w:space="0" w:color="auto"/>
              <w:left w:val="nil"/>
              <w:bottom w:val="nil"/>
              <w:right w:val="nil"/>
            </w:tcBorders>
            <w:shd w:val="clear" w:color="000000" w:fill="FFFFFF"/>
            <w:noWrap/>
            <w:vAlign w:val="bottom"/>
            <w:hideMark/>
          </w:tcPr>
          <w:p w14:paraId="647F12F3" w14:textId="77777777" w:rsidR="002961DC" w:rsidRPr="00A95729" w:rsidRDefault="002961DC" w:rsidP="00E56366">
            <w:pPr>
              <w:spacing w:after="0" w:line="240" w:lineRule="auto"/>
              <w:rPr>
                <w:rFonts w:eastAsia="Times New Roman"/>
                <w:color w:val="000000"/>
                <w:sz w:val="18"/>
                <w:szCs w:val="18"/>
              </w:rPr>
            </w:pPr>
            <w:r w:rsidRPr="00A95729">
              <w:rPr>
                <w:rFonts w:eastAsia="Times New Roman"/>
                <w:color w:val="000000"/>
                <w:sz w:val="18"/>
                <w:szCs w:val="18"/>
              </w:rPr>
              <w:t> </w:t>
            </w:r>
          </w:p>
        </w:tc>
        <w:tc>
          <w:tcPr>
            <w:tcW w:w="450" w:type="dxa"/>
            <w:tcBorders>
              <w:top w:val="single" w:sz="12" w:space="0" w:color="auto"/>
              <w:left w:val="nil"/>
              <w:bottom w:val="nil"/>
              <w:right w:val="single" w:sz="4" w:space="0" w:color="auto"/>
            </w:tcBorders>
            <w:shd w:val="clear" w:color="000000" w:fill="FFFFFF"/>
            <w:noWrap/>
            <w:vAlign w:val="bottom"/>
            <w:hideMark/>
          </w:tcPr>
          <w:p w14:paraId="7A06CDD0" w14:textId="77777777" w:rsidR="002961DC" w:rsidRPr="00A95729" w:rsidRDefault="002961DC" w:rsidP="00E56366">
            <w:pPr>
              <w:spacing w:after="0" w:line="240" w:lineRule="auto"/>
              <w:rPr>
                <w:rFonts w:eastAsia="Times New Roman"/>
                <w:color w:val="000000"/>
                <w:sz w:val="18"/>
                <w:szCs w:val="18"/>
              </w:rPr>
            </w:pPr>
            <w:r w:rsidRPr="00A95729">
              <w:rPr>
                <w:rFonts w:eastAsia="Times New Roman"/>
                <w:color w:val="000000"/>
                <w:sz w:val="18"/>
                <w:szCs w:val="18"/>
              </w:rPr>
              <w:t> </w:t>
            </w:r>
          </w:p>
        </w:tc>
        <w:tc>
          <w:tcPr>
            <w:tcW w:w="540" w:type="dxa"/>
            <w:tcBorders>
              <w:top w:val="single" w:sz="12" w:space="0" w:color="auto"/>
              <w:left w:val="nil"/>
              <w:bottom w:val="nil"/>
              <w:right w:val="nil"/>
            </w:tcBorders>
            <w:shd w:val="clear" w:color="000000" w:fill="FFFFFF"/>
            <w:noWrap/>
            <w:vAlign w:val="bottom"/>
            <w:hideMark/>
          </w:tcPr>
          <w:p w14:paraId="7212A716" w14:textId="77777777" w:rsidR="002961DC" w:rsidRPr="00A95729" w:rsidRDefault="002961DC" w:rsidP="00E56366">
            <w:pPr>
              <w:spacing w:after="0" w:line="240" w:lineRule="auto"/>
              <w:rPr>
                <w:rFonts w:eastAsia="Times New Roman"/>
                <w:color w:val="000000"/>
                <w:sz w:val="18"/>
                <w:szCs w:val="18"/>
              </w:rPr>
            </w:pPr>
            <w:r w:rsidRPr="00A95729">
              <w:rPr>
                <w:rFonts w:eastAsia="Times New Roman"/>
                <w:color w:val="000000"/>
                <w:sz w:val="18"/>
                <w:szCs w:val="18"/>
              </w:rPr>
              <w:t> </w:t>
            </w:r>
          </w:p>
        </w:tc>
        <w:tc>
          <w:tcPr>
            <w:tcW w:w="450" w:type="dxa"/>
            <w:tcBorders>
              <w:top w:val="single" w:sz="12" w:space="0" w:color="auto"/>
              <w:left w:val="nil"/>
              <w:bottom w:val="nil"/>
              <w:right w:val="single" w:sz="4" w:space="0" w:color="auto"/>
            </w:tcBorders>
            <w:shd w:val="clear" w:color="000000" w:fill="FFFFFF"/>
            <w:noWrap/>
            <w:vAlign w:val="bottom"/>
            <w:hideMark/>
          </w:tcPr>
          <w:p w14:paraId="50A0E104" w14:textId="77777777" w:rsidR="002961DC" w:rsidRPr="00A95729" w:rsidRDefault="002961DC" w:rsidP="00E56366">
            <w:pPr>
              <w:spacing w:after="0" w:line="240" w:lineRule="auto"/>
              <w:rPr>
                <w:rFonts w:eastAsia="Times New Roman"/>
                <w:color w:val="000000"/>
                <w:sz w:val="18"/>
                <w:szCs w:val="18"/>
              </w:rPr>
            </w:pPr>
            <w:r w:rsidRPr="00A95729">
              <w:rPr>
                <w:rFonts w:eastAsia="Times New Roman"/>
                <w:color w:val="000000"/>
                <w:sz w:val="18"/>
                <w:szCs w:val="18"/>
              </w:rPr>
              <w:t> </w:t>
            </w:r>
          </w:p>
        </w:tc>
        <w:tc>
          <w:tcPr>
            <w:tcW w:w="544" w:type="dxa"/>
            <w:tcBorders>
              <w:top w:val="single" w:sz="12" w:space="0" w:color="auto"/>
              <w:left w:val="nil"/>
              <w:bottom w:val="nil"/>
              <w:right w:val="nil"/>
            </w:tcBorders>
            <w:shd w:val="clear" w:color="000000" w:fill="FFFFFF"/>
            <w:noWrap/>
            <w:vAlign w:val="bottom"/>
            <w:hideMark/>
          </w:tcPr>
          <w:p w14:paraId="46E53131" w14:textId="77777777" w:rsidR="002961DC" w:rsidRPr="00A95729" w:rsidRDefault="002961DC" w:rsidP="00E56366">
            <w:pPr>
              <w:spacing w:after="0" w:line="240" w:lineRule="auto"/>
              <w:rPr>
                <w:rFonts w:eastAsia="Times New Roman"/>
                <w:color w:val="000000"/>
                <w:sz w:val="18"/>
                <w:szCs w:val="18"/>
              </w:rPr>
            </w:pPr>
            <w:r w:rsidRPr="00A95729">
              <w:rPr>
                <w:rFonts w:eastAsia="Times New Roman"/>
                <w:color w:val="000000"/>
                <w:sz w:val="18"/>
                <w:szCs w:val="18"/>
              </w:rPr>
              <w:t> </w:t>
            </w:r>
          </w:p>
        </w:tc>
        <w:tc>
          <w:tcPr>
            <w:tcW w:w="540" w:type="dxa"/>
            <w:tcBorders>
              <w:top w:val="single" w:sz="12" w:space="0" w:color="auto"/>
              <w:left w:val="nil"/>
              <w:bottom w:val="nil"/>
              <w:right w:val="single" w:sz="4" w:space="0" w:color="auto"/>
            </w:tcBorders>
            <w:shd w:val="clear" w:color="000000" w:fill="FFFFFF"/>
            <w:noWrap/>
            <w:vAlign w:val="bottom"/>
            <w:hideMark/>
          </w:tcPr>
          <w:p w14:paraId="619CFD5D" w14:textId="77777777" w:rsidR="002961DC" w:rsidRPr="00A95729" w:rsidRDefault="002961DC" w:rsidP="00E56366">
            <w:pPr>
              <w:spacing w:after="0" w:line="240" w:lineRule="auto"/>
              <w:rPr>
                <w:rFonts w:eastAsia="Times New Roman"/>
                <w:color w:val="000000"/>
                <w:sz w:val="18"/>
                <w:szCs w:val="18"/>
              </w:rPr>
            </w:pPr>
            <w:r w:rsidRPr="00A95729">
              <w:rPr>
                <w:rFonts w:eastAsia="Times New Roman"/>
                <w:color w:val="000000"/>
                <w:sz w:val="18"/>
                <w:szCs w:val="18"/>
              </w:rPr>
              <w:t> </w:t>
            </w:r>
          </w:p>
        </w:tc>
        <w:tc>
          <w:tcPr>
            <w:tcW w:w="540" w:type="dxa"/>
            <w:tcBorders>
              <w:top w:val="single" w:sz="12" w:space="0" w:color="auto"/>
              <w:left w:val="nil"/>
              <w:bottom w:val="nil"/>
              <w:right w:val="nil"/>
            </w:tcBorders>
            <w:shd w:val="clear" w:color="000000" w:fill="FFFFFF"/>
            <w:noWrap/>
            <w:vAlign w:val="bottom"/>
            <w:hideMark/>
          </w:tcPr>
          <w:p w14:paraId="5EB0CD72" w14:textId="77777777" w:rsidR="002961DC" w:rsidRPr="00A95729" w:rsidRDefault="002961DC" w:rsidP="00E56366">
            <w:pPr>
              <w:spacing w:after="0" w:line="240" w:lineRule="auto"/>
              <w:rPr>
                <w:rFonts w:eastAsia="Times New Roman"/>
                <w:color w:val="000000"/>
                <w:sz w:val="18"/>
                <w:szCs w:val="18"/>
              </w:rPr>
            </w:pPr>
            <w:r w:rsidRPr="00A95729">
              <w:rPr>
                <w:rFonts w:eastAsia="Times New Roman"/>
                <w:color w:val="000000"/>
                <w:sz w:val="18"/>
                <w:szCs w:val="18"/>
              </w:rPr>
              <w:t> </w:t>
            </w:r>
          </w:p>
        </w:tc>
        <w:tc>
          <w:tcPr>
            <w:tcW w:w="450" w:type="dxa"/>
            <w:tcBorders>
              <w:top w:val="single" w:sz="12" w:space="0" w:color="auto"/>
              <w:left w:val="nil"/>
              <w:bottom w:val="nil"/>
              <w:right w:val="single" w:sz="4" w:space="0" w:color="auto"/>
            </w:tcBorders>
            <w:shd w:val="clear" w:color="000000" w:fill="FFFFFF"/>
            <w:noWrap/>
            <w:vAlign w:val="bottom"/>
            <w:hideMark/>
          </w:tcPr>
          <w:p w14:paraId="3FC68780" w14:textId="77777777" w:rsidR="002961DC" w:rsidRPr="00A95729" w:rsidRDefault="002961DC" w:rsidP="00E56366">
            <w:pPr>
              <w:spacing w:after="0" w:line="240" w:lineRule="auto"/>
              <w:rPr>
                <w:rFonts w:eastAsia="Times New Roman"/>
                <w:color w:val="000000"/>
                <w:sz w:val="18"/>
                <w:szCs w:val="18"/>
              </w:rPr>
            </w:pPr>
            <w:r w:rsidRPr="00A95729">
              <w:rPr>
                <w:rFonts w:eastAsia="Times New Roman"/>
                <w:color w:val="000000"/>
                <w:sz w:val="18"/>
                <w:szCs w:val="18"/>
              </w:rPr>
              <w:t> </w:t>
            </w:r>
          </w:p>
        </w:tc>
        <w:tc>
          <w:tcPr>
            <w:tcW w:w="540" w:type="dxa"/>
            <w:tcBorders>
              <w:top w:val="single" w:sz="12" w:space="0" w:color="auto"/>
              <w:left w:val="nil"/>
              <w:bottom w:val="nil"/>
              <w:right w:val="nil"/>
            </w:tcBorders>
            <w:shd w:val="clear" w:color="000000" w:fill="FFFFFF"/>
            <w:noWrap/>
            <w:vAlign w:val="bottom"/>
            <w:hideMark/>
          </w:tcPr>
          <w:p w14:paraId="3E49015B" w14:textId="77777777" w:rsidR="002961DC" w:rsidRPr="00A95729" w:rsidRDefault="002961DC" w:rsidP="00E56366">
            <w:pPr>
              <w:spacing w:after="0" w:line="240" w:lineRule="auto"/>
              <w:rPr>
                <w:rFonts w:eastAsia="Times New Roman"/>
                <w:color w:val="000000"/>
                <w:sz w:val="18"/>
                <w:szCs w:val="18"/>
              </w:rPr>
            </w:pPr>
            <w:r w:rsidRPr="00A95729">
              <w:rPr>
                <w:rFonts w:eastAsia="Times New Roman"/>
                <w:color w:val="000000"/>
                <w:sz w:val="18"/>
                <w:szCs w:val="18"/>
              </w:rPr>
              <w:t> </w:t>
            </w:r>
          </w:p>
        </w:tc>
        <w:tc>
          <w:tcPr>
            <w:tcW w:w="450" w:type="dxa"/>
            <w:tcBorders>
              <w:top w:val="single" w:sz="12" w:space="0" w:color="auto"/>
              <w:left w:val="nil"/>
              <w:bottom w:val="nil"/>
              <w:right w:val="single" w:sz="4" w:space="0" w:color="auto"/>
            </w:tcBorders>
            <w:shd w:val="clear" w:color="000000" w:fill="FFFFFF"/>
            <w:noWrap/>
            <w:vAlign w:val="bottom"/>
            <w:hideMark/>
          </w:tcPr>
          <w:p w14:paraId="11C5E152" w14:textId="77777777" w:rsidR="002961DC" w:rsidRPr="00A95729" w:rsidRDefault="002961DC" w:rsidP="00E56366">
            <w:pPr>
              <w:spacing w:after="0" w:line="240" w:lineRule="auto"/>
              <w:rPr>
                <w:rFonts w:eastAsia="Times New Roman"/>
                <w:color w:val="000000"/>
                <w:sz w:val="18"/>
                <w:szCs w:val="18"/>
              </w:rPr>
            </w:pPr>
            <w:r w:rsidRPr="00A95729">
              <w:rPr>
                <w:rFonts w:eastAsia="Times New Roman"/>
                <w:color w:val="000000"/>
                <w:sz w:val="18"/>
                <w:szCs w:val="18"/>
              </w:rPr>
              <w:t> </w:t>
            </w:r>
          </w:p>
        </w:tc>
        <w:tc>
          <w:tcPr>
            <w:tcW w:w="540" w:type="dxa"/>
            <w:tcBorders>
              <w:top w:val="single" w:sz="12" w:space="0" w:color="auto"/>
              <w:left w:val="nil"/>
              <w:bottom w:val="nil"/>
              <w:right w:val="nil"/>
            </w:tcBorders>
            <w:shd w:val="clear" w:color="000000" w:fill="FFFFFF"/>
            <w:noWrap/>
            <w:vAlign w:val="bottom"/>
            <w:hideMark/>
          </w:tcPr>
          <w:p w14:paraId="6F61B16C" w14:textId="77777777" w:rsidR="002961DC" w:rsidRPr="00A95729" w:rsidRDefault="002961DC" w:rsidP="00E56366">
            <w:pPr>
              <w:spacing w:after="0" w:line="240" w:lineRule="auto"/>
              <w:rPr>
                <w:rFonts w:eastAsia="Times New Roman"/>
                <w:color w:val="000000"/>
                <w:sz w:val="18"/>
                <w:szCs w:val="18"/>
              </w:rPr>
            </w:pPr>
            <w:r w:rsidRPr="00A95729">
              <w:rPr>
                <w:rFonts w:eastAsia="Times New Roman"/>
                <w:color w:val="000000"/>
                <w:sz w:val="18"/>
                <w:szCs w:val="18"/>
              </w:rPr>
              <w:t> </w:t>
            </w:r>
          </w:p>
        </w:tc>
        <w:tc>
          <w:tcPr>
            <w:tcW w:w="454" w:type="dxa"/>
            <w:tcBorders>
              <w:top w:val="single" w:sz="12" w:space="0" w:color="auto"/>
              <w:left w:val="nil"/>
              <w:bottom w:val="nil"/>
              <w:right w:val="single" w:sz="4" w:space="0" w:color="auto"/>
            </w:tcBorders>
            <w:shd w:val="clear" w:color="000000" w:fill="FFFFFF"/>
            <w:noWrap/>
            <w:vAlign w:val="bottom"/>
            <w:hideMark/>
          </w:tcPr>
          <w:p w14:paraId="11E063A3" w14:textId="77777777" w:rsidR="002961DC" w:rsidRPr="00A95729" w:rsidRDefault="002961DC" w:rsidP="00E56366">
            <w:pPr>
              <w:spacing w:after="0" w:line="240" w:lineRule="auto"/>
              <w:rPr>
                <w:rFonts w:eastAsia="Times New Roman"/>
                <w:color w:val="000000"/>
                <w:sz w:val="18"/>
                <w:szCs w:val="18"/>
              </w:rPr>
            </w:pPr>
            <w:r w:rsidRPr="00A95729">
              <w:rPr>
                <w:rFonts w:eastAsia="Times New Roman"/>
                <w:color w:val="000000"/>
                <w:sz w:val="18"/>
                <w:szCs w:val="18"/>
              </w:rPr>
              <w:t> </w:t>
            </w:r>
          </w:p>
        </w:tc>
        <w:tc>
          <w:tcPr>
            <w:tcW w:w="540" w:type="dxa"/>
            <w:tcBorders>
              <w:top w:val="single" w:sz="12" w:space="0" w:color="auto"/>
              <w:left w:val="nil"/>
              <w:bottom w:val="nil"/>
              <w:right w:val="nil"/>
            </w:tcBorders>
            <w:shd w:val="clear" w:color="000000" w:fill="FFFFFF"/>
            <w:noWrap/>
            <w:vAlign w:val="bottom"/>
            <w:hideMark/>
          </w:tcPr>
          <w:p w14:paraId="685B312A" w14:textId="77777777" w:rsidR="002961DC" w:rsidRPr="00A95729" w:rsidRDefault="002961DC" w:rsidP="00E56366">
            <w:pPr>
              <w:spacing w:after="0" w:line="240" w:lineRule="auto"/>
              <w:rPr>
                <w:rFonts w:eastAsia="Times New Roman"/>
                <w:color w:val="000000"/>
                <w:sz w:val="18"/>
                <w:szCs w:val="18"/>
              </w:rPr>
            </w:pPr>
            <w:r w:rsidRPr="00A95729">
              <w:rPr>
                <w:rFonts w:eastAsia="Times New Roman"/>
                <w:color w:val="000000"/>
                <w:sz w:val="18"/>
                <w:szCs w:val="18"/>
              </w:rPr>
              <w:t> </w:t>
            </w:r>
          </w:p>
        </w:tc>
        <w:tc>
          <w:tcPr>
            <w:tcW w:w="456" w:type="dxa"/>
            <w:tcBorders>
              <w:top w:val="single" w:sz="12" w:space="0" w:color="auto"/>
              <w:left w:val="nil"/>
              <w:bottom w:val="nil"/>
              <w:right w:val="single" w:sz="12" w:space="0" w:color="auto"/>
            </w:tcBorders>
            <w:shd w:val="clear" w:color="000000" w:fill="FFFFFF"/>
            <w:noWrap/>
            <w:vAlign w:val="bottom"/>
            <w:hideMark/>
          </w:tcPr>
          <w:p w14:paraId="0D7A0701" w14:textId="77777777" w:rsidR="002961DC" w:rsidRPr="00A95729" w:rsidRDefault="002961DC" w:rsidP="00E56366">
            <w:pPr>
              <w:spacing w:after="0" w:line="240" w:lineRule="auto"/>
              <w:rPr>
                <w:rFonts w:eastAsia="Times New Roman"/>
                <w:color w:val="000000"/>
                <w:sz w:val="18"/>
                <w:szCs w:val="18"/>
              </w:rPr>
            </w:pPr>
            <w:r w:rsidRPr="00A95729">
              <w:rPr>
                <w:rFonts w:eastAsia="Times New Roman"/>
                <w:color w:val="000000"/>
                <w:sz w:val="18"/>
                <w:szCs w:val="18"/>
              </w:rPr>
              <w:t> </w:t>
            </w:r>
          </w:p>
        </w:tc>
        <w:tc>
          <w:tcPr>
            <w:tcW w:w="540" w:type="dxa"/>
            <w:tcBorders>
              <w:top w:val="single" w:sz="12" w:space="0" w:color="auto"/>
              <w:left w:val="nil"/>
              <w:bottom w:val="nil"/>
              <w:right w:val="nil"/>
            </w:tcBorders>
            <w:shd w:val="clear" w:color="000000" w:fill="FFFFFF"/>
          </w:tcPr>
          <w:p w14:paraId="1D6B76AD" w14:textId="77777777" w:rsidR="002961DC" w:rsidRPr="00A95729" w:rsidRDefault="002961DC" w:rsidP="00E56366">
            <w:pPr>
              <w:spacing w:after="0" w:line="240" w:lineRule="auto"/>
              <w:rPr>
                <w:rFonts w:eastAsia="Times New Roman"/>
                <w:color w:val="000000"/>
                <w:sz w:val="18"/>
                <w:szCs w:val="18"/>
              </w:rPr>
            </w:pPr>
          </w:p>
        </w:tc>
        <w:tc>
          <w:tcPr>
            <w:tcW w:w="540" w:type="dxa"/>
            <w:tcBorders>
              <w:top w:val="single" w:sz="12" w:space="0" w:color="auto"/>
              <w:left w:val="nil"/>
              <w:bottom w:val="nil"/>
              <w:right w:val="single" w:sz="12" w:space="0" w:color="auto"/>
            </w:tcBorders>
            <w:shd w:val="clear" w:color="000000" w:fill="FFFFFF"/>
          </w:tcPr>
          <w:p w14:paraId="3EB47F00" w14:textId="77777777" w:rsidR="002961DC" w:rsidRPr="00A95729" w:rsidRDefault="002961DC" w:rsidP="00E56366">
            <w:pPr>
              <w:spacing w:after="0" w:line="240" w:lineRule="auto"/>
              <w:rPr>
                <w:rFonts w:eastAsia="Times New Roman"/>
                <w:color w:val="000000"/>
                <w:sz w:val="18"/>
                <w:szCs w:val="18"/>
              </w:rPr>
            </w:pPr>
          </w:p>
        </w:tc>
        <w:tc>
          <w:tcPr>
            <w:tcW w:w="630" w:type="dxa"/>
            <w:tcBorders>
              <w:top w:val="single" w:sz="12" w:space="0" w:color="auto"/>
              <w:left w:val="single" w:sz="12" w:space="0" w:color="auto"/>
              <w:bottom w:val="nil"/>
              <w:right w:val="nil"/>
            </w:tcBorders>
            <w:shd w:val="clear" w:color="000000" w:fill="FFFFFF"/>
          </w:tcPr>
          <w:p w14:paraId="2D78E6A9" w14:textId="77777777" w:rsidR="002961DC" w:rsidRPr="00A95729" w:rsidRDefault="002961DC" w:rsidP="00E56366">
            <w:pPr>
              <w:spacing w:after="0" w:line="240" w:lineRule="auto"/>
              <w:rPr>
                <w:rFonts w:eastAsia="Times New Roman"/>
                <w:color w:val="000000"/>
                <w:sz w:val="18"/>
                <w:szCs w:val="18"/>
              </w:rPr>
            </w:pPr>
          </w:p>
        </w:tc>
        <w:tc>
          <w:tcPr>
            <w:tcW w:w="542" w:type="dxa"/>
            <w:tcBorders>
              <w:top w:val="single" w:sz="12" w:space="0" w:color="auto"/>
              <w:left w:val="nil"/>
              <w:bottom w:val="nil"/>
              <w:right w:val="single" w:sz="12" w:space="0" w:color="auto"/>
            </w:tcBorders>
            <w:shd w:val="clear" w:color="000000" w:fill="FFFFFF"/>
          </w:tcPr>
          <w:p w14:paraId="1235BC10" w14:textId="77777777" w:rsidR="002961DC" w:rsidRPr="00A95729" w:rsidRDefault="002961DC" w:rsidP="00E56366">
            <w:pPr>
              <w:spacing w:after="0" w:line="240" w:lineRule="auto"/>
              <w:rPr>
                <w:rFonts w:eastAsia="Times New Roman"/>
                <w:color w:val="000000"/>
                <w:sz w:val="18"/>
                <w:szCs w:val="18"/>
              </w:rPr>
            </w:pPr>
          </w:p>
        </w:tc>
      </w:tr>
      <w:tr w:rsidR="002961DC" w:rsidRPr="00A95729" w14:paraId="7918D932" w14:textId="77777777" w:rsidTr="00E56366">
        <w:trPr>
          <w:trHeight w:val="20"/>
          <w:jc w:val="center"/>
        </w:trPr>
        <w:tc>
          <w:tcPr>
            <w:tcW w:w="2595" w:type="dxa"/>
            <w:tcBorders>
              <w:top w:val="nil"/>
              <w:left w:val="single" w:sz="12" w:space="0" w:color="auto"/>
              <w:bottom w:val="nil"/>
              <w:right w:val="single" w:sz="12" w:space="0" w:color="auto"/>
            </w:tcBorders>
            <w:shd w:val="clear" w:color="000000" w:fill="FFFFFF"/>
            <w:noWrap/>
            <w:vAlign w:val="bottom"/>
          </w:tcPr>
          <w:p w14:paraId="680A67C7" w14:textId="77777777" w:rsidR="002961DC" w:rsidRPr="00A95729" w:rsidRDefault="002961DC" w:rsidP="00E56366">
            <w:pPr>
              <w:spacing w:after="0" w:line="240" w:lineRule="auto"/>
              <w:rPr>
                <w:rFonts w:eastAsia="Times New Roman"/>
                <w:color w:val="000000"/>
                <w:sz w:val="18"/>
                <w:szCs w:val="18"/>
              </w:rPr>
            </w:pPr>
            <w:r w:rsidRPr="00A95729">
              <w:rPr>
                <w:rFonts w:eastAsia="Times New Roman"/>
                <w:color w:val="000000"/>
                <w:sz w:val="18"/>
                <w:szCs w:val="18"/>
              </w:rPr>
              <w:t>Threshold 0|1</w:t>
            </w:r>
          </w:p>
        </w:tc>
        <w:tc>
          <w:tcPr>
            <w:tcW w:w="537" w:type="dxa"/>
            <w:tcBorders>
              <w:top w:val="nil"/>
              <w:left w:val="single" w:sz="12" w:space="0" w:color="auto"/>
              <w:bottom w:val="nil"/>
            </w:tcBorders>
            <w:shd w:val="clear" w:color="000000" w:fill="FFFFFF"/>
            <w:vAlign w:val="bottom"/>
          </w:tcPr>
          <w:p w14:paraId="723C3600"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0.85</w:t>
            </w:r>
          </w:p>
        </w:tc>
        <w:tc>
          <w:tcPr>
            <w:tcW w:w="541" w:type="dxa"/>
            <w:tcBorders>
              <w:top w:val="nil"/>
              <w:left w:val="nil"/>
              <w:bottom w:val="nil"/>
              <w:right w:val="single" w:sz="12" w:space="0" w:color="auto"/>
            </w:tcBorders>
            <w:shd w:val="clear" w:color="000000" w:fill="FFFFFF"/>
            <w:vAlign w:val="bottom"/>
          </w:tcPr>
          <w:p w14:paraId="0AF08FBF"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8.95</w:t>
            </w:r>
          </w:p>
        </w:tc>
        <w:tc>
          <w:tcPr>
            <w:tcW w:w="539" w:type="dxa"/>
            <w:tcBorders>
              <w:top w:val="nil"/>
              <w:left w:val="single" w:sz="12" w:space="0" w:color="auto"/>
              <w:bottom w:val="nil"/>
              <w:right w:val="nil"/>
            </w:tcBorders>
            <w:shd w:val="clear" w:color="000000" w:fill="FFFFFF"/>
            <w:noWrap/>
            <w:vAlign w:val="bottom"/>
            <w:hideMark/>
          </w:tcPr>
          <w:p w14:paraId="49C73BAC"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1.89</w:t>
            </w:r>
          </w:p>
        </w:tc>
        <w:tc>
          <w:tcPr>
            <w:tcW w:w="449" w:type="dxa"/>
            <w:tcBorders>
              <w:top w:val="nil"/>
              <w:left w:val="nil"/>
              <w:bottom w:val="nil"/>
              <w:right w:val="single" w:sz="4" w:space="0" w:color="auto"/>
            </w:tcBorders>
            <w:shd w:val="clear" w:color="000000" w:fill="FFFFFF"/>
            <w:noWrap/>
            <w:vAlign w:val="bottom"/>
            <w:hideMark/>
          </w:tcPr>
          <w:p w14:paraId="7B49128B"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6.75</w:t>
            </w:r>
          </w:p>
        </w:tc>
        <w:tc>
          <w:tcPr>
            <w:tcW w:w="540" w:type="dxa"/>
            <w:tcBorders>
              <w:top w:val="nil"/>
              <w:left w:val="nil"/>
              <w:bottom w:val="nil"/>
              <w:right w:val="nil"/>
            </w:tcBorders>
            <w:shd w:val="clear" w:color="000000" w:fill="FFFFFF"/>
            <w:noWrap/>
            <w:vAlign w:val="bottom"/>
            <w:hideMark/>
          </w:tcPr>
          <w:p w14:paraId="3D594F43"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2.08</w:t>
            </w:r>
          </w:p>
        </w:tc>
        <w:tc>
          <w:tcPr>
            <w:tcW w:w="450" w:type="dxa"/>
            <w:tcBorders>
              <w:top w:val="nil"/>
              <w:left w:val="nil"/>
              <w:bottom w:val="nil"/>
              <w:right w:val="single" w:sz="4" w:space="0" w:color="auto"/>
            </w:tcBorders>
            <w:shd w:val="clear" w:color="000000" w:fill="FFFFFF"/>
            <w:noWrap/>
            <w:vAlign w:val="bottom"/>
            <w:hideMark/>
          </w:tcPr>
          <w:p w14:paraId="2642A56B"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8.57</w:t>
            </w:r>
          </w:p>
        </w:tc>
        <w:tc>
          <w:tcPr>
            <w:tcW w:w="540" w:type="dxa"/>
            <w:tcBorders>
              <w:top w:val="nil"/>
              <w:left w:val="nil"/>
              <w:bottom w:val="nil"/>
              <w:right w:val="nil"/>
            </w:tcBorders>
            <w:shd w:val="clear" w:color="000000" w:fill="FFFFFF"/>
            <w:noWrap/>
            <w:vAlign w:val="bottom"/>
            <w:hideMark/>
          </w:tcPr>
          <w:p w14:paraId="65D0B8CF"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1.17</w:t>
            </w:r>
          </w:p>
        </w:tc>
        <w:tc>
          <w:tcPr>
            <w:tcW w:w="450" w:type="dxa"/>
            <w:tcBorders>
              <w:top w:val="nil"/>
              <w:left w:val="nil"/>
              <w:bottom w:val="nil"/>
              <w:right w:val="single" w:sz="4" w:space="0" w:color="auto"/>
            </w:tcBorders>
            <w:shd w:val="clear" w:color="000000" w:fill="FFFFFF"/>
            <w:noWrap/>
            <w:vAlign w:val="bottom"/>
            <w:hideMark/>
          </w:tcPr>
          <w:p w14:paraId="134ECD38"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4.39</w:t>
            </w:r>
          </w:p>
        </w:tc>
        <w:tc>
          <w:tcPr>
            <w:tcW w:w="544" w:type="dxa"/>
            <w:tcBorders>
              <w:top w:val="nil"/>
              <w:left w:val="nil"/>
              <w:bottom w:val="nil"/>
              <w:right w:val="nil"/>
            </w:tcBorders>
            <w:shd w:val="clear" w:color="000000" w:fill="FFFFFF"/>
            <w:noWrap/>
            <w:vAlign w:val="bottom"/>
            <w:hideMark/>
          </w:tcPr>
          <w:p w14:paraId="5123A606"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1.20</w:t>
            </w:r>
          </w:p>
        </w:tc>
        <w:tc>
          <w:tcPr>
            <w:tcW w:w="540" w:type="dxa"/>
            <w:tcBorders>
              <w:top w:val="nil"/>
              <w:left w:val="nil"/>
              <w:bottom w:val="nil"/>
              <w:right w:val="single" w:sz="4" w:space="0" w:color="auto"/>
            </w:tcBorders>
            <w:shd w:val="clear" w:color="000000" w:fill="FFFFFF"/>
            <w:noWrap/>
            <w:vAlign w:val="bottom"/>
            <w:hideMark/>
          </w:tcPr>
          <w:p w14:paraId="5FA5155C"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3.60</w:t>
            </w:r>
          </w:p>
        </w:tc>
        <w:tc>
          <w:tcPr>
            <w:tcW w:w="540" w:type="dxa"/>
            <w:tcBorders>
              <w:top w:val="nil"/>
              <w:left w:val="nil"/>
              <w:bottom w:val="nil"/>
              <w:right w:val="nil"/>
            </w:tcBorders>
            <w:shd w:val="clear" w:color="000000" w:fill="FFFFFF"/>
            <w:noWrap/>
            <w:vAlign w:val="bottom"/>
            <w:hideMark/>
          </w:tcPr>
          <w:p w14:paraId="5B315AD0"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0.58</w:t>
            </w:r>
          </w:p>
        </w:tc>
        <w:tc>
          <w:tcPr>
            <w:tcW w:w="450" w:type="dxa"/>
            <w:tcBorders>
              <w:top w:val="nil"/>
              <w:left w:val="nil"/>
              <w:bottom w:val="nil"/>
              <w:right w:val="single" w:sz="4" w:space="0" w:color="auto"/>
            </w:tcBorders>
            <w:shd w:val="clear" w:color="000000" w:fill="FFFFFF"/>
            <w:noWrap/>
            <w:vAlign w:val="bottom"/>
            <w:hideMark/>
          </w:tcPr>
          <w:p w14:paraId="0F75C916"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2.71</w:t>
            </w:r>
          </w:p>
        </w:tc>
        <w:tc>
          <w:tcPr>
            <w:tcW w:w="540" w:type="dxa"/>
            <w:tcBorders>
              <w:top w:val="nil"/>
              <w:left w:val="nil"/>
              <w:bottom w:val="nil"/>
              <w:right w:val="nil"/>
            </w:tcBorders>
            <w:shd w:val="clear" w:color="000000" w:fill="FFFFFF"/>
            <w:noWrap/>
            <w:vAlign w:val="bottom"/>
            <w:hideMark/>
          </w:tcPr>
          <w:p w14:paraId="34B01D92"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1.27</w:t>
            </w:r>
          </w:p>
        </w:tc>
        <w:tc>
          <w:tcPr>
            <w:tcW w:w="450" w:type="dxa"/>
            <w:tcBorders>
              <w:top w:val="nil"/>
              <w:left w:val="nil"/>
              <w:bottom w:val="nil"/>
              <w:right w:val="single" w:sz="4" w:space="0" w:color="auto"/>
            </w:tcBorders>
            <w:shd w:val="clear" w:color="000000" w:fill="FFFFFF"/>
            <w:noWrap/>
            <w:vAlign w:val="bottom"/>
            <w:hideMark/>
          </w:tcPr>
          <w:p w14:paraId="636B35F1"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2.99</w:t>
            </w:r>
          </w:p>
        </w:tc>
        <w:tc>
          <w:tcPr>
            <w:tcW w:w="540" w:type="dxa"/>
            <w:tcBorders>
              <w:top w:val="nil"/>
              <w:left w:val="nil"/>
              <w:bottom w:val="nil"/>
              <w:right w:val="nil"/>
            </w:tcBorders>
            <w:shd w:val="clear" w:color="000000" w:fill="FFFFFF"/>
            <w:noWrap/>
            <w:vAlign w:val="bottom"/>
            <w:hideMark/>
          </w:tcPr>
          <w:p w14:paraId="23013878"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0.64</w:t>
            </w:r>
          </w:p>
        </w:tc>
        <w:tc>
          <w:tcPr>
            <w:tcW w:w="454" w:type="dxa"/>
            <w:tcBorders>
              <w:top w:val="nil"/>
              <w:left w:val="nil"/>
              <w:bottom w:val="nil"/>
              <w:right w:val="single" w:sz="4" w:space="0" w:color="auto"/>
            </w:tcBorders>
            <w:shd w:val="clear" w:color="000000" w:fill="FFFFFF"/>
            <w:noWrap/>
            <w:vAlign w:val="bottom"/>
            <w:hideMark/>
          </w:tcPr>
          <w:p w14:paraId="00E005E0"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1.74</w:t>
            </w:r>
          </w:p>
        </w:tc>
        <w:tc>
          <w:tcPr>
            <w:tcW w:w="540" w:type="dxa"/>
            <w:tcBorders>
              <w:top w:val="nil"/>
              <w:left w:val="nil"/>
              <w:bottom w:val="nil"/>
              <w:right w:val="nil"/>
            </w:tcBorders>
            <w:shd w:val="clear" w:color="000000" w:fill="FFFFFF"/>
            <w:noWrap/>
            <w:vAlign w:val="bottom"/>
            <w:hideMark/>
          </w:tcPr>
          <w:p w14:paraId="2D4E1148"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0.99</w:t>
            </w:r>
          </w:p>
        </w:tc>
        <w:tc>
          <w:tcPr>
            <w:tcW w:w="456" w:type="dxa"/>
            <w:tcBorders>
              <w:top w:val="nil"/>
              <w:left w:val="nil"/>
              <w:bottom w:val="nil"/>
              <w:right w:val="single" w:sz="12" w:space="0" w:color="auto"/>
            </w:tcBorders>
            <w:shd w:val="clear" w:color="000000" w:fill="FFFFFF"/>
            <w:noWrap/>
            <w:vAlign w:val="bottom"/>
            <w:hideMark/>
          </w:tcPr>
          <w:p w14:paraId="26F9C5C2"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5.58</w:t>
            </w:r>
          </w:p>
        </w:tc>
        <w:tc>
          <w:tcPr>
            <w:tcW w:w="540" w:type="dxa"/>
            <w:tcBorders>
              <w:top w:val="nil"/>
              <w:left w:val="nil"/>
              <w:bottom w:val="nil"/>
              <w:right w:val="nil"/>
            </w:tcBorders>
            <w:shd w:val="clear" w:color="000000" w:fill="FFFFFF"/>
            <w:vAlign w:val="bottom"/>
          </w:tcPr>
          <w:p w14:paraId="57247735"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1.09</w:t>
            </w:r>
          </w:p>
        </w:tc>
        <w:tc>
          <w:tcPr>
            <w:tcW w:w="540" w:type="dxa"/>
            <w:tcBorders>
              <w:top w:val="nil"/>
              <w:left w:val="nil"/>
              <w:bottom w:val="nil"/>
              <w:right w:val="single" w:sz="12" w:space="0" w:color="auto"/>
            </w:tcBorders>
            <w:shd w:val="clear" w:color="000000" w:fill="FFFFFF"/>
            <w:vAlign w:val="bottom"/>
          </w:tcPr>
          <w:p w14:paraId="2CFE18A4"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11.88</w:t>
            </w:r>
          </w:p>
        </w:tc>
        <w:tc>
          <w:tcPr>
            <w:tcW w:w="630" w:type="dxa"/>
            <w:tcBorders>
              <w:top w:val="nil"/>
              <w:left w:val="single" w:sz="12" w:space="0" w:color="auto"/>
              <w:bottom w:val="nil"/>
              <w:right w:val="nil"/>
            </w:tcBorders>
            <w:shd w:val="clear" w:color="000000" w:fill="FFFFFF"/>
            <w:vAlign w:val="bottom"/>
          </w:tcPr>
          <w:p w14:paraId="2B04086C"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0.16</w:t>
            </w:r>
          </w:p>
        </w:tc>
        <w:tc>
          <w:tcPr>
            <w:tcW w:w="542" w:type="dxa"/>
            <w:tcBorders>
              <w:top w:val="nil"/>
              <w:left w:val="nil"/>
              <w:bottom w:val="nil"/>
              <w:right w:val="single" w:sz="12" w:space="0" w:color="auto"/>
            </w:tcBorders>
            <w:shd w:val="clear" w:color="000000" w:fill="FFFFFF"/>
            <w:vAlign w:val="bottom"/>
          </w:tcPr>
          <w:p w14:paraId="54C3DD97"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2.35</w:t>
            </w:r>
          </w:p>
        </w:tc>
      </w:tr>
      <w:tr w:rsidR="002961DC" w:rsidRPr="00A95729" w14:paraId="20CA848B" w14:textId="77777777" w:rsidTr="00E56366">
        <w:trPr>
          <w:trHeight w:val="20"/>
          <w:jc w:val="center"/>
        </w:trPr>
        <w:tc>
          <w:tcPr>
            <w:tcW w:w="2595" w:type="dxa"/>
            <w:tcBorders>
              <w:top w:val="nil"/>
              <w:left w:val="single" w:sz="12" w:space="0" w:color="auto"/>
              <w:right w:val="single" w:sz="12" w:space="0" w:color="auto"/>
            </w:tcBorders>
            <w:shd w:val="clear" w:color="000000" w:fill="FFFFFF"/>
            <w:noWrap/>
            <w:vAlign w:val="bottom"/>
          </w:tcPr>
          <w:p w14:paraId="49515038" w14:textId="77777777" w:rsidR="002961DC" w:rsidRPr="00A95729" w:rsidRDefault="002961DC" w:rsidP="00E56366">
            <w:pPr>
              <w:spacing w:after="0" w:line="240" w:lineRule="auto"/>
              <w:rPr>
                <w:rFonts w:eastAsia="Times New Roman"/>
                <w:color w:val="000000"/>
                <w:sz w:val="18"/>
                <w:szCs w:val="18"/>
              </w:rPr>
            </w:pPr>
            <w:r w:rsidRPr="00A95729">
              <w:rPr>
                <w:rFonts w:eastAsia="Times New Roman"/>
                <w:color w:val="000000"/>
                <w:sz w:val="18"/>
                <w:szCs w:val="18"/>
              </w:rPr>
              <w:t>Threshold 1|2</w:t>
            </w:r>
          </w:p>
        </w:tc>
        <w:tc>
          <w:tcPr>
            <w:tcW w:w="537" w:type="dxa"/>
            <w:tcBorders>
              <w:top w:val="nil"/>
              <w:left w:val="single" w:sz="12" w:space="0" w:color="auto"/>
            </w:tcBorders>
            <w:shd w:val="clear" w:color="000000" w:fill="FFFFFF"/>
            <w:vAlign w:val="center"/>
          </w:tcPr>
          <w:p w14:paraId="4F7F5454"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541" w:type="dxa"/>
            <w:tcBorders>
              <w:top w:val="nil"/>
              <w:left w:val="nil"/>
              <w:right w:val="single" w:sz="12" w:space="0" w:color="auto"/>
            </w:tcBorders>
            <w:shd w:val="clear" w:color="000000" w:fill="FFFFFF"/>
            <w:vAlign w:val="center"/>
          </w:tcPr>
          <w:p w14:paraId="62D2E824"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39" w:type="dxa"/>
            <w:tcBorders>
              <w:top w:val="nil"/>
              <w:left w:val="single" w:sz="12" w:space="0" w:color="auto"/>
              <w:right w:val="nil"/>
            </w:tcBorders>
            <w:shd w:val="clear" w:color="000000" w:fill="FFFFFF"/>
            <w:noWrap/>
            <w:vAlign w:val="center"/>
          </w:tcPr>
          <w:p w14:paraId="50208DCF"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49" w:type="dxa"/>
            <w:tcBorders>
              <w:top w:val="nil"/>
              <w:left w:val="nil"/>
              <w:right w:val="single" w:sz="4" w:space="0" w:color="auto"/>
            </w:tcBorders>
            <w:shd w:val="clear" w:color="000000" w:fill="FFFFFF"/>
            <w:noWrap/>
            <w:vAlign w:val="center"/>
          </w:tcPr>
          <w:p w14:paraId="0BED2B26"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right w:val="nil"/>
            </w:tcBorders>
            <w:shd w:val="clear" w:color="000000" w:fill="FFFFFF"/>
            <w:noWrap/>
            <w:vAlign w:val="center"/>
          </w:tcPr>
          <w:p w14:paraId="249D0854"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right w:val="single" w:sz="4" w:space="0" w:color="auto"/>
            </w:tcBorders>
            <w:shd w:val="clear" w:color="000000" w:fill="FFFFFF"/>
            <w:noWrap/>
            <w:vAlign w:val="center"/>
          </w:tcPr>
          <w:p w14:paraId="375548D8"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right w:val="nil"/>
            </w:tcBorders>
            <w:shd w:val="clear" w:color="000000" w:fill="FFFFFF"/>
            <w:noWrap/>
            <w:vAlign w:val="center"/>
          </w:tcPr>
          <w:p w14:paraId="5DD86780"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right w:val="single" w:sz="4" w:space="0" w:color="auto"/>
            </w:tcBorders>
            <w:shd w:val="clear" w:color="000000" w:fill="FFFFFF"/>
            <w:noWrap/>
            <w:vAlign w:val="center"/>
          </w:tcPr>
          <w:p w14:paraId="52077BF4"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4" w:type="dxa"/>
            <w:tcBorders>
              <w:top w:val="nil"/>
              <w:left w:val="nil"/>
              <w:right w:val="nil"/>
            </w:tcBorders>
            <w:shd w:val="clear" w:color="000000" w:fill="FFFFFF"/>
            <w:noWrap/>
            <w:vAlign w:val="center"/>
          </w:tcPr>
          <w:p w14:paraId="042B3369"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540" w:type="dxa"/>
            <w:tcBorders>
              <w:top w:val="nil"/>
              <w:left w:val="nil"/>
              <w:right w:val="single" w:sz="4" w:space="0" w:color="auto"/>
            </w:tcBorders>
            <w:shd w:val="clear" w:color="000000" w:fill="FFFFFF"/>
            <w:noWrap/>
            <w:vAlign w:val="center"/>
          </w:tcPr>
          <w:p w14:paraId="085FE89D"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right w:val="nil"/>
            </w:tcBorders>
            <w:shd w:val="clear" w:color="000000" w:fill="FFFFFF"/>
            <w:noWrap/>
            <w:vAlign w:val="center"/>
          </w:tcPr>
          <w:p w14:paraId="626B7B9E"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right w:val="single" w:sz="4" w:space="0" w:color="auto"/>
            </w:tcBorders>
            <w:shd w:val="clear" w:color="000000" w:fill="FFFFFF"/>
            <w:noWrap/>
            <w:vAlign w:val="center"/>
          </w:tcPr>
          <w:p w14:paraId="50723929"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right w:val="nil"/>
            </w:tcBorders>
            <w:shd w:val="clear" w:color="000000" w:fill="FFFFFF"/>
            <w:noWrap/>
            <w:vAlign w:val="center"/>
          </w:tcPr>
          <w:p w14:paraId="4907AECA"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right w:val="single" w:sz="4" w:space="0" w:color="auto"/>
            </w:tcBorders>
            <w:shd w:val="clear" w:color="000000" w:fill="FFFFFF"/>
            <w:noWrap/>
            <w:vAlign w:val="center"/>
          </w:tcPr>
          <w:p w14:paraId="46C94D81"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right w:val="nil"/>
            </w:tcBorders>
            <w:shd w:val="clear" w:color="000000" w:fill="FFFFFF"/>
            <w:noWrap/>
            <w:vAlign w:val="center"/>
          </w:tcPr>
          <w:p w14:paraId="33AF2AB3"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4" w:type="dxa"/>
            <w:tcBorders>
              <w:top w:val="nil"/>
              <w:left w:val="nil"/>
              <w:right w:val="single" w:sz="4" w:space="0" w:color="auto"/>
            </w:tcBorders>
            <w:shd w:val="clear" w:color="000000" w:fill="FFFFFF"/>
            <w:noWrap/>
            <w:vAlign w:val="center"/>
          </w:tcPr>
          <w:p w14:paraId="6205F0E3"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right w:val="nil"/>
            </w:tcBorders>
            <w:shd w:val="clear" w:color="000000" w:fill="FFFFFF"/>
            <w:noWrap/>
            <w:vAlign w:val="center"/>
          </w:tcPr>
          <w:p w14:paraId="18F728D5"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6" w:type="dxa"/>
            <w:tcBorders>
              <w:top w:val="nil"/>
              <w:left w:val="nil"/>
              <w:right w:val="single" w:sz="12" w:space="0" w:color="auto"/>
            </w:tcBorders>
            <w:shd w:val="clear" w:color="000000" w:fill="FFFFFF"/>
            <w:noWrap/>
            <w:vAlign w:val="center"/>
          </w:tcPr>
          <w:p w14:paraId="5CE62A3A"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right w:val="nil"/>
            </w:tcBorders>
            <w:shd w:val="clear" w:color="000000" w:fill="FFFFFF"/>
            <w:vAlign w:val="bottom"/>
          </w:tcPr>
          <w:p w14:paraId="04EECB6A"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1.52</w:t>
            </w:r>
          </w:p>
        </w:tc>
        <w:tc>
          <w:tcPr>
            <w:tcW w:w="540" w:type="dxa"/>
            <w:tcBorders>
              <w:top w:val="nil"/>
              <w:left w:val="nil"/>
              <w:right w:val="single" w:sz="12" w:space="0" w:color="auto"/>
            </w:tcBorders>
            <w:shd w:val="clear" w:color="000000" w:fill="FFFFFF"/>
            <w:vAlign w:val="bottom"/>
          </w:tcPr>
          <w:p w14:paraId="57FE5AE7"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16.55</w:t>
            </w:r>
          </w:p>
        </w:tc>
        <w:tc>
          <w:tcPr>
            <w:tcW w:w="630" w:type="dxa"/>
            <w:tcBorders>
              <w:top w:val="nil"/>
              <w:left w:val="single" w:sz="12" w:space="0" w:color="auto"/>
              <w:right w:val="nil"/>
            </w:tcBorders>
            <w:shd w:val="clear" w:color="000000" w:fill="FFFFFF"/>
            <w:vAlign w:val="bottom"/>
          </w:tcPr>
          <w:p w14:paraId="53F22F00"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1.41</w:t>
            </w:r>
          </w:p>
        </w:tc>
        <w:tc>
          <w:tcPr>
            <w:tcW w:w="542" w:type="dxa"/>
            <w:tcBorders>
              <w:top w:val="nil"/>
              <w:left w:val="nil"/>
              <w:right w:val="single" w:sz="12" w:space="0" w:color="auto"/>
            </w:tcBorders>
            <w:shd w:val="clear" w:color="000000" w:fill="FFFFFF"/>
            <w:vAlign w:val="bottom"/>
          </w:tcPr>
          <w:p w14:paraId="0D020019"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21.10</w:t>
            </w:r>
          </w:p>
        </w:tc>
      </w:tr>
      <w:tr w:rsidR="002961DC" w:rsidRPr="00A95729" w14:paraId="5D943C5E" w14:textId="77777777" w:rsidTr="00E56366">
        <w:trPr>
          <w:trHeight w:val="20"/>
          <w:jc w:val="center"/>
        </w:trPr>
        <w:tc>
          <w:tcPr>
            <w:tcW w:w="2595" w:type="dxa"/>
            <w:tcBorders>
              <w:top w:val="nil"/>
              <w:left w:val="single" w:sz="12" w:space="0" w:color="auto"/>
              <w:bottom w:val="single" w:sz="4" w:space="0" w:color="auto"/>
              <w:right w:val="single" w:sz="12" w:space="0" w:color="auto"/>
            </w:tcBorders>
            <w:shd w:val="clear" w:color="000000" w:fill="FFFFFF"/>
            <w:noWrap/>
            <w:vAlign w:val="bottom"/>
          </w:tcPr>
          <w:p w14:paraId="144B8A96" w14:textId="77777777" w:rsidR="002961DC" w:rsidRPr="00A95729" w:rsidRDefault="002961DC" w:rsidP="00E56366">
            <w:pPr>
              <w:spacing w:after="0" w:line="240" w:lineRule="auto"/>
              <w:rPr>
                <w:rFonts w:eastAsia="Times New Roman"/>
                <w:color w:val="000000"/>
                <w:sz w:val="18"/>
                <w:szCs w:val="18"/>
              </w:rPr>
            </w:pPr>
            <w:r w:rsidRPr="00A95729">
              <w:rPr>
                <w:rFonts w:eastAsia="Times New Roman"/>
                <w:color w:val="000000"/>
                <w:sz w:val="18"/>
                <w:szCs w:val="18"/>
              </w:rPr>
              <w:t>Threshold 2|3</w:t>
            </w:r>
          </w:p>
        </w:tc>
        <w:tc>
          <w:tcPr>
            <w:tcW w:w="537" w:type="dxa"/>
            <w:tcBorders>
              <w:top w:val="nil"/>
              <w:left w:val="single" w:sz="12" w:space="0" w:color="auto"/>
              <w:bottom w:val="single" w:sz="4" w:space="0" w:color="auto"/>
            </w:tcBorders>
            <w:shd w:val="clear" w:color="000000" w:fill="FFFFFF"/>
            <w:vAlign w:val="center"/>
          </w:tcPr>
          <w:p w14:paraId="311057E9"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541" w:type="dxa"/>
            <w:tcBorders>
              <w:top w:val="nil"/>
              <w:left w:val="nil"/>
              <w:bottom w:val="single" w:sz="4" w:space="0" w:color="auto"/>
              <w:right w:val="single" w:sz="12" w:space="0" w:color="auto"/>
            </w:tcBorders>
            <w:shd w:val="clear" w:color="000000" w:fill="FFFFFF"/>
            <w:vAlign w:val="center"/>
          </w:tcPr>
          <w:p w14:paraId="5B09610E"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39" w:type="dxa"/>
            <w:tcBorders>
              <w:top w:val="nil"/>
              <w:left w:val="single" w:sz="12" w:space="0" w:color="auto"/>
              <w:bottom w:val="single" w:sz="4" w:space="0" w:color="auto"/>
              <w:right w:val="nil"/>
            </w:tcBorders>
            <w:shd w:val="clear" w:color="000000" w:fill="FFFFFF"/>
            <w:noWrap/>
            <w:vAlign w:val="center"/>
          </w:tcPr>
          <w:p w14:paraId="11DD4702"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49" w:type="dxa"/>
            <w:tcBorders>
              <w:top w:val="nil"/>
              <w:left w:val="nil"/>
              <w:bottom w:val="single" w:sz="4" w:space="0" w:color="auto"/>
              <w:right w:val="single" w:sz="4" w:space="0" w:color="auto"/>
            </w:tcBorders>
            <w:shd w:val="clear" w:color="000000" w:fill="FFFFFF"/>
            <w:noWrap/>
            <w:vAlign w:val="center"/>
          </w:tcPr>
          <w:p w14:paraId="70F9C0EF"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single" w:sz="4" w:space="0" w:color="auto"/>
              <w:right w:val="nil"/>
            </w:tcBorders>
            <w:shd w:val="clear" w:color="000000" w:fill="FFFFFF"/>
            <w:noWrap/>
            <w:vAlign w:val="center"/>
          </w:tcPr>
          <w:p w14:paraId="386B8D48"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single" w:sz="4" w:space="0" w:color="auto"/>
              <w:right w:val="single" w:sz="4" w:space="0" w:color="auto"/>
            </w:tcBorders>
            <w:shd w:val="clear" w:color="000000" w:fill="FFFFFF"/>
            <w:noWrap/>
            <w:vAlign w:val="center"/>
          </w:tcPr>
          <w:p w14:paraId="1117D1C2"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single" w:sz="4" w:space="0" w:color="auto"/>
              <w:right w:val="nil"/>
            </w:tcBorders>
            <w:shd w:val="clear" w:color="000000" w:fill="FFFFFF"/>
            <w:noWrap/>
            <w:vAlign w:val="center"/>
          </w:tcPr>
          <w:p w14:paraId="59D6C7B5"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single" w:sz="4" w:space="0" w:color="auto"/>
              <w:right w:val="single" w:sz="4" w:space="0" w:color="auto"/>
            </w:tcBorders>
            <w:shd w:val="clear" w:color="000000" w:fill="FFFFFF"/>
            <w:noWrap/>
            <w:vAlign w:val="center"/>
          </w:tcPr>
          <w:p w14:paraId="1FB8487E"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4" w:type="dxa"/>
            <w:tcBorders>
              <w:top w:val="nil"/>
              <w:left w:val="nil"/>
              <w:bottom w:val="single" w:sz="4" w:space="0" w:color="auto"/>
              <w:right w:val="nil"/>
            </w:tcBorders>
            <w:shd w:val="clear" w:color="000000" w:fill="FFFFFF"/>
            <w:noWrap/>
            <w:vAlign w:val="center"/>
          </w:tcPr>
          <w:p w14:paraId="7BC1C62A"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540" w:type="dxa"/>
            <w:tcBorders>
              <w:top w:val="nil"/>
              <w:left w:val="nil"/>
              <w:bottom w:val="single" w:sz="4" w:space="0" w:color="auto"/>
              <w:right w:val="single" w:sz="4" w:space="0" w:color="auto"/>
            </w:tcBorders>
            <w:shd w:val="clear" w:color="000000" w:fill="FFFFFF"/>
            <w:noWrap/>
            <w:vAlign w:val="center"/>
          </w:tcPr>
          <w:p w14:paraId="53DC2288"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single" w:sz="4" w:space="0" w:color="auto"/>
              <w:right w:val="nil"/>
            </w:tcBorders>
            <w:shd w:val="clear" w:color="000000" w:fill="FFFFFF"/>
            <w:noWrap/>
            <w:vAlign w:val="center"/>
          </w:tcPr>
          <w:p w14:paraId="3F259D30"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single" w:sz="4" w:space="0" w:color="auto"/>
              <w:right w:val="single" w:sz="4" w:space="0" w:color="auto"/>
            </w:tcBorders>
            <w:shd w:val="clear" w:color="000000" w:fill="FFFFFF"/>
            <w:noWrap/>
            <w:vAlign w:val="center"/>
          </w:tcPr>
          <w:p w14:paraId="210C15DA"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single" w:sz="4" w:space="0" w:color="auto"/>
              <w:right w:val="nil"/>
            </w:tcBorders>
            <w:shd w:val="clear" w:color="000000" w:fill="FFFFFF"/>
            <w:noWrap/>
            <w:vAlign w:val="center"/>
          </w:tcPr>
          <w:p w14:paraId="67AF16BF"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single" w:sz="4" w:space="0" w:color="auto"/>
              <w:right w:val="single" w:sz="4" w:space="0" w:color="auto"/>
            </w:tcBorders>
            <w:shd w:val="clear" w:color="000000" w:fill="FFFFFF"/>
            <w:noWrap/>
            <w:vAlign w:val="center"/>
          </w:tcPr>
          <w:p w14:paraId="43089353"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single" w:sz="4" w:space="0" w:color="auto"/>
              <w:right w:val="nil"/>
            </w:tcBorders>
            <w:shd w:val="clear" w:color="000000" w:fill="FFFFFF"/>
            <w:noWrap/>
            <w:vAlign w:val="center"/>
          </w:tcPr>
          <w:p w14:paraId="3B08AD3F"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4" w:type="dxa"/>
            <w:tcBorders>
              <w:top w:val="nil"/>
              <w:left w:val="nil"/>
              <w:bottom w:val="single" w:sz="4" w:space="0" w:color="auto"/>
              <w:right w:val="single" w:sz="4" w:space="0" w:color="auto"/>
            </w:tcBorders>
            <w:shd w:val="clear" w:color="000000" w:fill="FFFFFF"/>
            <w:noWrap/>
            <w:vAlign w:val="center"/>
          </w:tcPr>
          <w:p w14:paraId="56EB1869"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single" w:sz="4" w:space="0" w:color="auto"/>
              <w:right w:val="nil"/>
            </w:tcBorders>
            <w:shd w:val="clear" w:color="000000" w:fill="FFFFFF"/>
            <w:noWrap/>
            <w:vAlign w:val="center"/>
          </w:tcPr>
          <w:p w14:paraId="14145BC6"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6" w:type="dxa"/>
            <w:tcBorders>
              <w:top w:val="nil"/>
              <w:left w:val="nil"/>
              <w:bottom w:val="single" w:sz="4" w:space="0" w:color="auto"/>
              <w:right w:val="single" w:sz="12" w:space="0" w:color="auto"/>
            </w:tcBorders>
            <w:shd w:val="clear" w:color="000000" w:fill="FFFFFF"/>
            <w:noWrap/>
            <w:vAlign w:val="center"/>
          </w:tcPr>
          <w:p w14:paraId="6C11766C"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single" w:sz="4" w:space="0" w:color="auto"/>
              <w:right w:val="nil"/>
            </w:tcBorders>
            <w:shd w:val="clear" w:color="000000" w:fill="FFFFFF"/>
            <w:vAlign w:val="bottom"/>
          </w:tcPr>
          <w:p w14:paraId="74F8EF9D"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1.79</w:t>
            </w:r>
          </w:p>
        </w:tc>
        <w:tc>
          <w:tcPr>
            <w:tcW w:w="540" w:type="dxa"/>
            <w:tcBorders>
              <w:top w:val="nil"/>
              <w:left w:val="nil"/>
              <w:bottom w:val="single" w:sz="4" w:space="0" w:color="auto"/>
              <w:right w:val="single" w:sz="12" w:space="0" w:color="auto"/>
            </w:tcBorders>
            <w:shd w:val="clear" w:color="000000" w:fill="FFFFFF"/>
            <w:vAlign w:val="bottom"/>
          </w:tcPr>
          <w:p w14:paraId="0D0D46E9"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19.40</w:t>
            </w:r>
          </w:p>
        </w:tc>
        <w:tc>
          <w:tcPr>
            <w:tcW w:w="630" w:type="dxa"/>
            <w:tcBorders>
              <w:top w:val="nil"/>
              <w:left w:val="single" w:sz="12" w:space="0" w:color="auto"/>
              <w:bottom w:val="single" w:sz="4" w:space="0" w:color="auto"/>
              <w:right w:val="nil"/>
            </w:tcBorders>
            <w:shd w:val="clear" w:color="000000" w:fill="FFFFFF"/>
            <w:vAlign w:val="bottom"/>
          </w:tcPr>
          <w:p w14:paraId="51660946"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2.09</w:t>
            </w:r>
          </w:p>
        </w:tc>
        <w:tc>
          <w:tcPr>
            <w:tcW w:w="542" w:type="dxa"/>
            <w:tcBorders>
              <w:top w:val="nil"/>
              <w:left w:val="nil"/>
              <w:bottom w:val="single" w:sz="4" w:space="0" w:color="auto"/>
              <w:right w:val="single" w:sz="12" w:space="0" w:color="auto"/>
            </w:tcBorders>
            <w:shd w:val="clear" w:color="000000" w:fill="FFFFFF"/>
            <w:vAlign w:val="bottom"/>
          </w:tcPr>
          <w:p w14:paraId="527E97D9"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30.83</w:t>
            </w:r>
          </w:p>
        </w:tc>
      </w:tr>
      <w:tr w:rsidR="002961DC" w:rsidRPr="00A95729" w14:paraId="5F720769" w14:textId="77777777" w:rsidTr="00E56366">
        <w:trPr>
          <w:trHeight w:val="20"/>
          <w:jc w:val="center"/>
        </w:trPr>
        <w:tc>
          <w:tcPr>
            <w:tcW w:w="2595" w:type="dxa"/>
            <w:tcBorders>
              <w:top w:val="single" w:sz="4" w:space="0" w:color="auto"/>
              <w:left w:val="single" w:sz="12" w:space="0" w:color="auto"/>
              <w:bottom w:val="nil"/>
              <w:right w:val="single" w:sz="12" w:space="0" w:color="auto"/>
            </w:tcBorders>
            <w:shd w:val="clear" w:color="000000" w:fill="FFFFFF"/>
            <w:noWrap/>
            <w:vAlign w:val="bottom"/>
          </w:tcPr>
          <w:p w14:paraId="1ADCC881" w14:textId="77777777" w:rsidR="002961DC" w:rsidRPr="00C16673" w:rsidRDefault="002961DC" w:rsidP="00E56366">
            <w:pPr>
              <w:spacing w:after="0" w:line="240" w:lineRule="auto"/>
              <w:rPr>
                <w:rFonts w:eastAsia="Times New Roman"/>
                <w:b/>
                <w:bCs/>
                <w:color w:val="000000"/>
                <w:sz w:val="18"/>
                <w:szCs w:val="18"/>
              </w:rPr>
            </w:pPr>
            <w:r>
              <w:rPr>
                <w:rFonts w:eastAsia="Times New Roman"/>
                <w:b/>
                <w:bCs/>
                <w:color w:val="000000"/>
                <w:sz w:val="18"/>
                <w:szCs w:val="18"/>
              </w:rPr>
              <w:t>Census Division of Household Residence</w:t>
            </w:r>
          </w:p>
        </w:tc>
        <w:tc>
          <w:tcPr>
            <w:tcW w:w="537" w:type="dxa"/>
            <w:tcBorders>
              <w:top w:val="single" w:sz="4" w:space="0" w:color="auto"/>
              <w:left w:val="single" w:sz="12" w:space="0" w:color="auto"/>
              <w:bottom w:val="nil"/>
            </w:tcBorders>
            <w:shd w:val="clear" w:color="000000" w:fill="FFFFFF"/>
          </w:tcPr>
          <w:p w14:paraId="2304B4FD" w14:textId="77777777" w:rsidR="002961DC" w:rsidRPr="00A95729" w:rsidRDefault="002961DC" w:rsidP="00E56366">
            <w:pPr>
              <w:spacing w:after="0" w:line="240" w:lineRule="auto"/>
              <w:jc w:val="center"/>
              <w:rPr>
                <w:rFonts w:eastAsia="Times New Roman"/>
                <w:color w:val="000000"/>
                <w:sz w:val="18"/>
                <w:szCs w:val="18"/>
              </w:rPr>
            </w:pPr>
          </w:p>
        </w:tc>
        <w:tc>
          <w:tcPr>
            <w:tcW w:w="541" w:type="dxa"/>
            <w:tcBorders>
              <w:top w:val="single" w:sz="4" w:space="0" w:color="auto"/>
              <w:left w:val="nil"/>
              <w:bottom w:val="nil"/>
              <w:right w:val="single" w:sz="12" w:space="0" w:color="auto"/>
            </w:tcBorders>
            <w:shd w:val="clear" w:color="000000" w:fill="FFFFFF"/>
          </w:tcPr>
          <w:p w14:paraId="06A00343" w14:textId="77777777" w:rsidR="002961DC" w:rsidRPr="00A95729" w:rsidRDefault="002961DC" w:rsidP="00E56366">
            <w:pPr>
              <w:spacing w:after="0" w:line="240" w:lineRule="auto"/>
              <w:jc w:val="center"/>
              <w:rPr>
                <w:rFonts w:eastAsia="Times New Roman"/>
                <w:color w:val="000000"/>
                <w:sz w:val="18"/>
                <w:szCs w:val="18"/>
              </w:rPr>
            </w:pPr>
          </w:p>
        </w:tc>
        <w:tc>
          <w:tcPr>
            <w:tcW w:w="539" w:type="dxa"/>
            <w:tcBorders>
              <w:top w:val="single" w:sz="4" w:space="0" w:color="auto"/>
              <w:left w:val="single" w:sz="12" w:space="0" w:color="auto"/>
              <w:bottom w:val="nil"/>
              <w:right w:val="nil"/>
            </w:tcBorders>
            <w:shd w:val="clear" w:color="000000" w:fill="FFFFFF"/>
            <w:noWrap/>
            <w:vAlign w:val="center"/>
          </w:tcPr>
          <w:p w14:paraId="43A9E167" w14:textId="77777777" w:rsidR="002961DC" w:rsidRPr="00A95729" w:rsidRDefault="002961DC" w:rsidP="00E56366">
            <w:pPr>
              <w:spacing w:after="0" w:line="240" w:lineRule="auto"/>
              <w:jc w:val="center"/>
              <w:rPr>
                <w:rFonts w:eastAsia="Times New Roman"/>
                <w:color w:val="000000"/>
                <w:sz w:val="18"/>
                <w:szCs w:val="18"/>
              </w:rPr>
            </w:pPr>
          </w:p>
        </w:tc>
        <w:tc>
          <w:tcPr>
            <w:tcW w:w="449" w:type="dxa"/>
            <w:tcBorders>
              <w:top w:val="single" w:sz="4" w:space="0" w:color="auto"/>
              <w:left w:val="nil"/>
              <w:bottom w:val="nil"/>
              <w:right w:val="single" w:sz="4" w:space="0" w:color="auto"/>
            </w:tcBorders>
            <w:shd w:val="clear" w:color="000000" w:fill="FFFFFF"/>
            <w:noWrap/>
            <w:vAlign w:val="center"/>
          </w:tcPr>
          <w:p w14:paraId="673911DE" w14:textId="77777777" w:rsidR="002961DC" w:rsidRPr="00A95729" w:rsidRDefault="002961DC" w:rsidP="00E56366">
            <w:pPr>
              <w:spacing w:after="0" w:line="240" w:lineRule="auto"/>
              <w:jc w:val="center"/>
              <w:rPr>
                <w:rFonts w:eastAsia="Times New Roman"/>
                <w:color w:val="000000"/>
                <w:sz w:val="18"/>
                <w:szCs w:val="18"/>
              </w:rPr>
            </w:pPr>
          </w:p>
        </w:tc>
        <w:tc>
          <w:tcPr>
            <w:tcW w:w="540" w:type="dxa"/>
            <w:tcBorders>
              <w:top w:val="single" w:sz="4" w:space="0" w:color="auto"/>
              <w:left w:val="nil"/>
              <w:bottom w:val="nil"/>
              <w:right w:val="nil"/>
            </w:tcBorders>
            <w:shd w:val="clear" w:color="000000" w:fill="FFFFFF"/>
            <w:noWrap/>
            <w:vAlign w:val="center"/>
          </w:tcPr>
          <w:p w14:paraId="136F6F9B" w14:textId="77777777" w:rsidR="002961DC" w:rsidRPr="00A95729" w:rsidRDefault="002961DC" w:rsidP="00E56366">
            <w:pPr>
              <w:spacing w:after="0" w:line="240" w:lineRule="auto"/>
              <w:jc w:val="center"/>
              <w:rPr>
                <w:rFonts w:eastAsia="Times New Roman"/>
                <w:color w:val="000000"/>
                <w:sz w:val="18"/>
                <w:szCs w:val="18"/>
              </w:rPr>
            </w:pPr>
          </w:p>
        </w:tc>
        <w:tc>
          <w:tcPr>
            <w:tcW w:w="450" w:type="dxa"/>
            <w:tcBorders>
              <w:top w:val="single" w:sz="4" w:space="0" w:color="auto"/>
              <w:left w:val="nil"/>
              <w:bottom w:val="nil"/>
              <w:right w:val="single" w:sz="4" w:space="0" w:color="auto"/>
            </w:tcBorders>
            <w:shd w:val="clear" w:color="000000" w:fill="FFFFFF"/>
            <w:noWrap/>
            <w:vAlign w:val="center"/>
          </w:tcPr>
          <w:p w14:paraId="35194DBF" w14:textId="77777777" w:rsidR="002961DC" w:rsidRPr="00A95729" w:rsidRDefault="002961DC" w:rsidP="00E56366">
            <w:pPr>
              <w:spacing w:after="0" w:line="240" w:lineRule="auto"/>
              <w:jc w:val="center"/>
              <w:rPr>
                <w:rFonts w:eastAsia="Times New Roman"/>
                <w:color w:val="000000"/>
                <w:sz w:val="18"/>
                <w:szCs w:val="18"/>
              </w:rPr>
            </w:pPr>
          </w:p>
        </w:tc>
        <w:tc>
          <w:tcPr>
            <w:tcW w:w="540" w:type="dxa"/>
            <w:tcBorders>
              <w:top w:val="single" w:sz="4" w:space="0" w:color="auto"/>
              <w:left w:val="nil"/>
              <w:bottom w:val="nil"/>
              <w:right w:val="nil"/>
            </w:tcBorders>
            <w:shd w:val="clear" w:color="000000" w:fill="FFFFFF"/>
            <w:noWrap/>
            <w:vAlign w:val="center"/>
          </w:tcPr>
          <w:p w14:paraId="26C87A52" w14:textId="77777777" w:rsidR="002961DC" w:rsidRPr="00A95729" w:rsidRDefault="002961DC" w:rsidP="00E56366">
            <w:pPr>
              <w:spacing w:after="0" w:line="240" w:lineRule="auto"/>
              <w:jc w:val="center"/>
              <w:rPr>
                <w:rFonts w:eastAsia="Times New Roman"/>
                <w:color w:val="000000"/>
                <w:sz w:val="18"/>
                <w:szCs w:val="18"/>
              </w:rPr>
            </w:pPr>
          </w:p>
        </w:tc>
        <w:tc>
          <w:tcPr>
            <w:tcW w:w="450" w:type="dxa"/>
            <w:tcBorders>
              <w:top w:val="single" w:sz="4" w:space="0" w:color="auto"/>
              <w:left w:val="nil"/>
              <w:bottom w:val="nil"/>
              <w:right w:val="single" w:sz="4" w:space="0" w:color="auto"/>
            </w:tcBorders>
            <w:shd w:val="clear" w:color="000000" w:fill="FFFFFF"/>
            <w:noWrap/>
            <w:vAlign w:val="center"/>
          </w:tcPr>
          <w:p w14:paraId="74095EC6" w14:textId="77777777" w:rsidR="002961DC" w:rsidRPr="00A95729" w:rsidRDefault="002961DC" w:rsidP="00E56366">
            <w:pPr>
              <w:spacing w:after="0" w:line="240" w:lineRule="auto"/>
              <w:jc w:val="center"/>
              <w:rPr>
                <w:rFonts w:eastAsia="Times New Roman"/>
                <w:color w:val="000000"/>
                <w:sz w:val="18"/>
                <w:szCs w:val="18"/>
              </w:rPr>
            </w:pPr>
          </w:p>
        </w:tc>
        <w:tc>
          <w:tcPr>
            <w:tcW w:w="544" w:type="dxa"/>
            <w:tcBorders>
              <w:top w:val="single" w:sz="4" w:space="0" w:color="auto"/>
              <w:left w:val="nil"/>
              <w:bottom w:val="nil"/>
              <w:right w:val="nil"/>
            </w:tcBorders>
            <w:shd w:val="clear" w:color="000000" w:fill="FFFFFF"/>
            <w:noWrap/>
            <w:vAlign w:val="center"/>
          </w:tcPr>
          <w:p w14:paraId="2685BA9B" w14:textId="77777777" w:rsidR="002961DC" w:rsidRPr="00A95729" w:rsidRDefault="002961DC" w:rsidP="00E56366">
            <w:pPr>
              <w:spacing w:after="0" w:line="240" w:lineRule="auto"/>
              <w:jc w:val="center"/>
              <w:rPr>
                <w:rFonts w:eastAsia="Times New Roman"/>
                <w:color w:val="000000"/>
                <w:sz w:val="18"/>
                <w:szCs w:val="18"/>
              </w:rPr>
            </w:pPr>
          </w:p>
        </w:tc>
        <w:tc>
          <w:tcPr>
            <w:tcW w:w="540" w:type="dxa"/>
            <w:tcBorders>
              <w:top w:val="single" w:sz="4" w:space="0" w:color="auto"/>
              <w:left w:val="nil"/>
              <w:bottom w:val="nil"/>
              <w:right w:val="single" w:sz="4" w:space="0" w:color="auto"/>
            </w:tcBorders>
            <w:shd w:val="clear" w:color="000000" w:fill="FFFFFF"/>
            <w:noWrap/>
            <w:vAlign w:val="center"/>
          </w:tcPr>
          <w:p w14:paraId="73549CB4" w14:textId="77777777" w:rsidR="002961DC" w:rsidRPr="00A95729" w:rsidRDefault="002961DC" w:rsidP="00E56366">
            <w:pPr>
              <w:spacing w:after="0" w:line="240" w:lineRule="auto"/>
              <w:jc w:val="center"/>
              <w:rPr>
                <w:rFonts w:eastAsia="Times New Roman"/>
                <w:color w:val="000000"/>
                <w:sz w:val="18"/>
                <w:szCs w:val="18"/>
              </w:rPr>
            </w:pPr>
          </w:p>
        </w:tc>
        <w:tc>
          <w:tcPr>
            <w:tcW w:w="540" w:type="dxa"/>
            <w:tcBorders>
              <w:top w:val="single" w:sz="4" w:space="0" w:color="auto"/>
              <w:left w:val="nil"/>
              <w:bottom w:val="nil"/>
              <w:right w:val="nil"/>
            </w:tcBorders>
            <w:shd w:val="clear" w:color="000000" w:fill="FFFFFF"/>
            <w:noWrap/>
            <w:vAlign w:val="center"/>
          </w:tcPr>
          <w:p w14:paraId="100CA1C6" w14:textId="77777777" w:rsidR="002961DC" w:rsidRPr="00A95729" w:rsidRDefault="002961DC" w:rsidP="00E56366">
            <w:pPr>
              <w:spacing w:after="0" w:line="240" w:lineRule="auto"/>
              <w:jc w:val="center"/>
              <w:rPr>
                <w:rFonts w:eastAsia="Times New Roman"/>
                <w:color w:val="000000"/>
                <w:sz w:val="18"/>
                <w:szCs w:val="18"/>
              </w:rPr>
            </w:pPr>
          </w:p>
        </w:tc>
        <w:tc>
          <w:tcPr>
            <w:tcW w:w="450" w:type="dxa"/>
            <w:tcBorders>
              <w:top w:val="single" w:sz="4" w:space="0" w:color="auto"/>
              <w:left w:val="nil"/>
              <w:bottom w:val="nil"/>
              <w:right w:val="single" w:sz="4" w:space="0" w:color="auto"/>
            </w:tcBorders>
            <w:shd w:val="clear" w:color="000000" w:fill="FFFFFF"/>
            <w:noWrap/>
            <w:vAlign w:val="center"/>
          </w:tcPr>
          <w:p w14:paraId="4FA6F07C" w14:textId="77777777" w:rsidR="002961DC" w:rsidRPr="00A95729" w:rsidRDefault="002961DC" w:rsidP="00E56366">
            <w:pPr>
              <w:spacing w:after="0" w:line="240" w:lineRule="auto"/>
              <w:jc w:val="center"/>
              <w:rPr>
                <w:rFonts w:eastAsia="Times New Roman"/>
                <w:color w:val="000000"/>
                <w:sz w:val="18"/>
                <w:szCs w:val="18"/>
              </w:rPr>
            </w:pPr>
          </w:p>
        </w:tc>
        <w:tc>
          <w:tcPr>
            <w:tcW w:w="540" w:type="dxa"/>
            <w:tcBorders>
              <w:top w:val="single" w:sz="4" w:space="0" w:color="auto"/>
              <w:left w:val="nil"/>
              <w:bottom w:val="nil"/>
              <w:right w:val="nil"/>
            </w:tcBorders>
            <w:shd w:val="clear" w:color="000000" w:fill="FFFFFF"/>
            <w:noWrap/>
            <w:vAlign w:val="center"/>
          </w:tcPr>
          <w:p w14:paraId="5264B0CB" w14:textId="77777777" w:rsidR="002961DC" w:rsidRPr="00A95729" w:rsidRDefault="002961DC" w:rsidP="00E56366">
            <w:pPr>
              <w:spacing w:after="0" w:line="240" w:lineRule="auto"/>
              <w:jc w:val="center"/>
              <w:rPr>
                <w:rFonts w:eastAsia="Times New Roman"/>
                <w:color w:val="000000"/>
                <w:sz w:val="18"/>
                <w:szCs w:val="18"/>
              </w:rPr>
            </w:pPr>
          </w:p>
        </w:tc>
        <w:tc>
          <w:tcPr>
            <w:tcW w:w="450" w:type="dxa"/>
            <w:tcBorders>
              <w:top w:val="single" w:sz="4" w:space="0" w:color="auto"/>
              <w:left w:val="nil"/>
              <w:bottom w:val="nil"/>
              <w:right w:val="single" w:sz="4" w:space="0" w:color="auto"/>
            </w:tcBorders>
            <w:shd w:val="clear" w:color="000000" w:fill="FFFFFF"/>
            <w:noWrap/>
            <w:vAlign w:val="center"/>
          </w:tcPr>
          <w:p w14:paraId="7BDF3D39" w14:textId="77777777" w:rsidR="002961DC" w:rsidRPr="00A95729" w:rsidRDefault="002961DC" w:rsidP="00E56366">
            <w:pPr>
              <w:spacing w:after="0" w:line="240" w:lineRule="auto"/>
              <w:jc w:val="center"/>
              <w:rPr>
                <w:rFonts w:eastAsia="Times New Roman"/>
                <w:color w:val="000000"/>
                <w:sz w:val="18"/>
                <w:szCs w:val="18"/>
              </w:rPr>
            </w:pPr>
          </w:p>
        </w:tc>
        <w:tc>
          <w:tcPr>
            <w:tcW w:w="540" w:type="dxa"/>
            <w:tcBorders>
              <w:top w:val="single" w:sz="4" w:space="0" w:color="auto"/>
              <w:left w:val="nil"/>
              <w:bottom w:val="nil"/>
              <w:right w:val="nil"/>
            </w:tcBorders>
            <w:shd w:val="clear" w:color="000000" w:fill="FFFFFF"/>
            <w:noWrap/>
            <w:vAlign w:val="center"/>
          </w:tcPr>
          <w:p w14:paraId="3E3CBFF9" w14:textId="77777777" w:rsidR="002961DC" w:rsidRPr="00A95729" w:rsidRDefault="002961DC" w:rsidP="00E56366">
            <w:pPr>
              <w:spacing w:after="0" w:line="240" w:lineRule="auto"/>
              <w:jc w:val="center"/>
              <w:rPr>
                <w:rFonts w:eastAsia="Times New Roman"/>
                <w:color w:val="000000"/>
                <w:sz w:val="18"/>
                <w:szCs w:val="18"/>
              </w:rPr>
            </w:pPr>
          </w:p>
        </w:tc>
        <w:tc>
          <w:tcPr>
            <w:tcW w:w="454" w:type="dxa"/>
            <w:tcBorders>
              <w:top w:val="single" w:sz="4" w:space="0" w:color="auto"/>
              <w:left w:val="nil"/>
              <w:bottom w:val="nil"/>
              <w:right w:val="single" w:sz="4" w:space="0" w:color="auto"/>
            </w:tcBorders>
            <w:shd w:val="clear" w:color="000000" w:fill="FFFFFF"/>
            <w:noWrap/>
            <w:vAlign w:val="center"/>
          </w:tcPr>
          <w:p w14:paraId="3B9D8E7F" w14:textId="77777777" w:rsidR="002961DC" w:rsidRPr="00A95729" w:rsidRDefault="002961DC" w:rsidP="00E56366">
            <w:pPr>
              <w:spacing w:after="0" w:line="240" w:lineRule="auto"/>
              <w:jc w:val="center"/>
              <w:rPr>
                <w:rFonts w:eastAsia="Times New Roman"/>
                <w:color w:val="000000"/>
                <w:sz w:val="18"/>
                <w:szCs w:val="18"/>
              </w:rPr>
            </w:pPr>
          </w:p>
        </w:tc>
        <w:tc>
          <w:tcPr>
            <w:tcW w:w="540" w:type="dxa"/>
            <w:tcBorders>
              <w:top w:val="single" w:sz="4" w:space="0" w:color="auto"/>
              <w:left w:val="nil"/>
              <w:bottom w:val="nil"/>
              <w:right w:val="nil"/>
            </w:tcBorders>
            <w:shd w:val="clear" w:color="000000" w:fill="FFFFFF"/>
            <w:noWrap/>
            <w:vAlign w:val="center"/>
          </w:tcPr>
          <w:p w14:paraId="26706C37" w14:textId="77777777" w:rsidR="002961DC" w:rsidRPr="00A95729" w:rsidRDefault="002961DC" w:rsidP="00E56366">
            <w:pPr>
              <w:spacing w:after="0" w:line="240" w:lineRule="auto"/>
              <w:jc w:val="center"/>
              <w:rPr>
                <w:rFonts w:eastAsia="Times New Roman"/>
                <w:color w:val="000000"/>
                <w:sz w:val="18"/>
                <w:szCs w:val="18"/>
              </w:rPr>
            </w:pPr>
          </w:p>
        </w:tc>
        <w:tc>
          <w:tcPr>
            <w:tcW w:w="456" w:type="dxa"/>
            <w:tcBorders>
              <w:top w:val="single" w:sz="4" w:space="0" w:color="auto"/>
              <w:left w:val="nil"/>
              <w:bottom w:val="nil"/>
              <w:right w:val="single" w:sz="12" w:space="0" w:color="auto"/>
            </w:tcBorders>
            <w:shd w:val="clear" w:color="000000" w:fill="FFFFFF"/>
            <w:noWrap/>
            <w:vAlign w:val="center"/>
          </w:tcPr>
          <w:p w14:paraId="41F437CC" w14:textId="77777777" w:rsidR="002961DC" w:rsidRPr="00A95729" w:rsidRDefault="002961DC" w:rsidP="00E56366">
            <w:pPr>
              <w:spacing w:after="0" w:line="240" w:lineRule="auto"/>
              <w:jc w:val="center"/>
              <w:rPr>
                <w:rFonts w:eastAsia="Times New Roman"/>
                <w:color w:val="000000"/>
                <w:sz w:val="18"/>
                <w:szCs w:val="18"/>
              </w:rPr>
            </w:pPr>
          </w:p>
        </w:tc>
        <w:tc>
          <w:tcPr>
            <w:tcW w:w="540" w:type="dxa"/>
            <w:tcBorders>
              <w:top w:val="single" w:sz="4" w:space="0" w:color="auto"/>
              <w:left w:val="nil"/>
              <w:bottom w:val="nil"/>
              <w:right w:val="nil"/>
            </w:tcBorders>
            <w:shd w:val="clear" w:color="000000" w:fill="FFFFFF"/>
          </w:tcPr>
          <w:p w14:paraId="510D6154" w14:textId="77777777" w:rsidR="002961DC" w:rsidRPr="00A95729" w:rsidRDefault="002961DC" w:rsidP="00E56366">
            <w:pPr>
              <w:spacing w:after="0" w:line="240" w:lineRule="auto"/>
              <w:jc w:val="center"/>
              <w:rPr>
                <w:rFonts w:eastAsia="Times New Roman"/>
                <w:color w:val="000000"/>
                <w:sz w:val="18"/>
                <w:szCs w:val="18"/>
              </w:rPr>
            </w:pPr>
          </w:p>
        </w:tc>
        <w:tc>
          <w:tcPr>
            <w:tcW w:w="540" w:type="dxa"/>
            <w:tcBorders>
              <w:top w:val="single" w:sz="4" w:space="0" w:color="auto"/>
              <w:left w:val="nil"/>
              <w:bottom w:val="nil"/>
              <w:right w:val="single" w:sz="12" w:space="0" w:color="auto"/>
            </w:tcBorders>
            <w:shd w:val="clear" w:color="000000" w:fill="FFFFFF"/>
          </w:tcPr>
          <w:p w14:paraId="095BB3A7" w14:textId="77777777" w:rsidR="002961DC" w:rsidRPr="00A95729" w:rsidRDefault="002961DC" w:rsidP="00E56366">
            <w:pPr>
              <w:spacing w:after="0" w:line="240" w:lineRule="auto"/>
              <w:jc w:val="center"/>
              <w:rPr>
                <w:rFonts w:eastAsia="Times New Roman"/>
                <w:color w:val="000000"/>
                <w:sz w:val="18"/>
                <w:szCs w:val="18"/>
              </w:rPr>
            </w:pPr>
          </w:p>
        </w:tc>
        <w:tc>
          <w:tcPr>
            <w:tcW w:w="630" w:type="dxa"/>
            <w:tcBorders>
              <w:top w:val="single" w:sz="4" w:space="0" w:color="auto"/>
              <w:left w:val="single" w:sz="12" w:space="0" w:color="auto"/>
              <w:bottom w:val="nil"/>
              <w:right w:val="nil"/>
            </w:tcBorders>
            <w:shd w:val="clear" w:color="000000" w:fill="FFFFFF"/>
          </w:tcPr>
          <w:p w14:paraId="1E07C2DF" w14:textId="77777777" w:rsidR="002961DC" w:rsidRPr="00A95729" w:rsidRDefault="002961DC" w:rsidP="00E56366">
            <w:pPr>
              <w:spacing w:after="0" w:line="240" w:lineRule="auto"/>
              <w:jc w:val="center"/>
              <w:rPr>
                <w:rFonts w:eastAsia="Times New Roman"/>
                <w:color w:val="000000"/>
                <w:sz w:val="18"/>
                <w:szCs w:val="18"/>
              </w:rPr>
            </w:pPr>
          </w:p>
        </w:tc>
        <w:tc>
          <w:tcPr>
            <w:tcW w:w="542" w:type="dxa"/>
            <w:tcBorders>
              <w:top w:val="single" w:sz="4" w:space="0" w:color="auto"/>
              <w:left w:val="nil"/>
              <w:bottom w:val="nil"/>
              <w:right w:val="single" w:sz="12" w:space="0" w:color="auto"/>
            </w:tcBorders>
            <w:shd w:val="clear" w:color="000000" w:fill="FFFFFF"/>
          </w:tcPr>
          <w:p w14:paraId="2ACB9724" w14:textId="77777777" w:rsidR="002961DC" w:rsidRPr="00A95729" w:rsidRDefault="002961DC" w:rsidP="00E56366">
            <w:pPr>
              <w:spacing w:after="0" w:line="240" w:lineRule="auto"/>
              <w:jc w:val="center"/>
              <w:rPr>
                <w:rFonts w:eastAsia="Times New Roman"/>
                <w:color w:val="000000"/>
                <w:sz w:val="18"/>
                <w:szCs w:val="18"/>
              </w:rPr>
            </w:pPr>
          </w:p>
        </w:tc>
      </w:tr>
      <w:tr w:rsidR="002961DC" w:rsidRPr="00A95729" w14:paraId="768723A7" w14:textId="77777777" w:rsidTr="00E56366">
        <w:trPr>
          <w:trHeight w:val="20"/>
          <w:jc w:val="center"/>
        </w:trPr>
        <w:tc>
          <w:tcPr>
            <w:tcW w:w="2595" w:type="dxa"/>
            <w:tcBorders>
              <w:top w:val="nil"/>
              <w:left w:val="single" w:sz="12" w:space="0" w:color="auto"/>
              <w:bottom w:val="nil"/>
              <w:right w:val="single" w:sz="12" w:space="0" w:color="auto"/>
            </w:tcBorders>
            <w:shd w:val="clear" w:color="000000" w:fill="FFFFFF"/>
            <w:noWrap/>
            <w:vAlign w:val="bottom"/>
          </w:tcPr>
          <w:p w14:paraId="34931DFD" w14:textId="77777777" w:rsidR="002961DC" w:rsidRPr="00A95729" w:rsidRDefault="002961DC" w:rsidP="00E56366">
            <w:pPr>
              <w:spacing w:after="0" w:line="240" w:lineRule="auto"/>
              <w:rPr>
                <w:rFonts w:eastAsia="Times New Roman"/>
                <w:color w:val="000000"/>
                <w:sz w:val="18"/>
                <w:szCs w:val="18"/>
              </w:rPr>
            </w:pPr>
            <w:r w:rsidRPr="00A95729">
              <w:rPr>
                <w:rFonts w:eastAsia="Times New Roman"/>
                <w:color w:val="000000"/>
                <w:sz w:val="18"/>
                <w:szCs w:val="18"/>
              </w:rPr>
              <w:t>Census Division (New England)</w:t>
            </w:r>
          </w:p>
        </w:tc>
        <w:tc>
          <w:tcPr>
            <w:tcW w:w="537" w:type="dxa"/>
            <w:tcBorders>
              <w:top w:val="nil"/>
              <w:left w:val="single" w:sz="12" w:space="0" w:color="auto"/>
              <w:bottom w:val="nil"/>
            </w:tcBorders>
            <w:shd w:val="clear" w:color="000000" w:fill="FFFFFF"/>
            <w:vAlign w:val="bottom"/>
          </w:tcPr>
          <w:p w14:paraId="0AF23A65" w14:textId="77777777" w:rsidR="002961DC" w:rsidRPr="00A95729" w:rsidRDefault="002961DC" w:rsidP="00E56366">
            <w:pPr>
              <w:spacing w:after="0" w:line="240" w:lineRule="auto"/>
              <w:jc w:val="center"/>
              <w:rPr>
                <w:rFonts w:eastAsia="Times New Roman"/>
                <w:color w:val="000000"/>
                <w:sz w:val="18"/>
                <w:szCs w:val="18"/>
              </w:rPr>
            </w:pPr>
          </w:p>
        </w:tc>
        <w:tc>
          <w:tcPr>
            <w:tcW w:w="541" w:type="dxa"/>
            <w:tcBorders>
              <w:top w:val="nil"/>
              <w:left w:val="nil"/>
              <w:bottom w:val="nil"/>
              <w:right w:val="single" w:sz="12" w:space="0" w:color="auto"/>
            </w:tcBorders>
            <w:shd w:val="clear" w:color="000000" w:fill="FFFFFF"/>
            <w:vAlign w:val="bottom"/>
          </w:tcPr>
          <w:p w14:paraId="09B6F31C" w14:textId="77777777" w:rsidR="002961DC" w:rsidRPr="00A95729" w:rsidRDefault="002961DC" w:rsidP="00E56366">
            <w:pPr>
              <w:spacing w:after="0" w:line="240" w:lineRule="auto"/>
              <w:jc w:val="center"/>
              <w:rPr>
                <w:rFonts w:eastAsia="Times New Roman"/>
                <w:color w:val="000000"/>
                <w:sz w:val="18"/>
                <w:szCs w:val="18"/>
              </w:rPr>
            </w:pPr>
          </w:p>
        </w:tc>
        <w:tc>
          <w:tcPr>
            <w:tcW w:w="539" w:type="dxa"/>
            <w:tcBorders>
              <w:top w:val="nil"/>
              <w:left w:val="single" w:sz="12" w:space="0" w:color="auto"/>
              <w:bottom w:val="nil"/>
              <w:right w:val="nil"/>
            </w:tcBorders>
            <w:shd w:val="clear" w:color="000000" w:fill="FFFFFF"/>
            <w:noWrap/>
            <w:vAlign w:val="bottom"/>
          </w:tcPr>
          <w:p w14:paraId="4A993869" w14:textId="77777777" w:rsidR="002961DC" w:rsidRPr="00A95729" w:rsidRDefault="002961DC" w:rsidP="00E56366">
            <w:pPr>
              <w:spacing w:after="0" w:line="240" w:lineRule="auto"/>
              <w:jc w:val="center"/>
              <w:rPr>
                <w:rFonts w:eastAsia="Times New Roman"/>
                <w:color w:val="000000"/>
                <w:sz w:val="18"/>
                <w:szCs w:val="18"/>
              </w:rPr>
            </w:pPr>
          </w:p>
        </w:tc>
        <w:tc>
          <w:tcPr>
            <w:tcW w:w="449" w:type="dxa"/>
            <w:tcBorders>
              <w:top w:val="nil"/>
              <w:left w:val="nil"/>
              <w:bottom w:val="nil"/>
              <w:right w:val="single" w:sz="4" w:space="0" w:color="auto"/>
            </w:tcBorders>
            <w:shd w:val="clear" w:color="000000" w:fill="FFFFFF"/>
            <w:noWrap/>
            <w:vAlign w:val="bottom"/>
          </w:tcPr>
          <w:p w14:paraId="7315F9AB" w14:textId="77777777" w:rsidR="002961DC" w:rsidRPr="00A95729" w:rsidRDefault="002961DC" w:rsidP="00E56366">
            <w:pPr>
              <w:spacing w:after="0" w:line="240" w:lineRule="auto"/>
              <w:jc w:val="center"/>
              <w:rPr>
                <w:rFonts w:eastAsia="Times New Roman"/>
                <w:color w:val="000000"/>
                <w:sz w:val="18"/>
                <w:szCs w:val="18"/>
              </w:rPr>
            </w:pPr>
          </w:p>
        </w:tc>
        <w:tc>
          <w:tcPr>
            <w:tcW w:w="540" w:type="dxa"/>
            <w:tcBorders>
              <w:top w:val="nil"/>
              <w:left w:val="nil"/>
              <w:bottom w:val="nil"/>
              <w:right w:val="nil"/>
            </w:tcBorders>
            <w:shd w:val="clear" w:color="000000" w:fill="FFFFFF"/>
            <w:noWrap/>
            <w:vAlign w:val="bottom"/>
          </w:tcPr>
          <w:p w14:paraId="2D181A0C" w14:textId="77777777" w:rsidR="002961DC" w:rsidRPr="00A95729" w:rsidRDefault="002961DC" w:rsidP="00E56366">
            <w:pPr>
              <w:spacing w:after="0" w:line="240" w:lineRule="auto"/>
              <w:jc w:val="center"/>
              <w:rPr>
                <w:rFonts w:eastAsia="Times New Roman"/>
                <w:color w:val="000000"/>
                <w:sz w:val="18"/>
                <w:szCs w:val="18"/>
              </w:rPr>
            </w:pPr>
          </w:p>
        </w:tc>
        <w:tc>
          <w:tcPr>
            <w:tcW w:w="450" w:type="dxa"/>
            <w:tcBorders>
              <w:top w:val="nil"/>
              <w:left w:val="nil"/>
              <w:bottom w:val="nil"/>
              <w:right w:val="single" w:sz="4" w:space="0" w:color="auto"/>
            </w:tcBorders>
            <w:shd w:val="clear" w:color="000000" w:fill="FFFFFF"/>
            <w:noWrap/>
            <w:vAlign w:val="bottom"/>
          </w:tcPr>
          <w:p w14:paraId="10ABFAD4" w14:textId="77777777" w:rsidR="002961DC" w:rsidRPr="00A95729" w:rsidRDefault="002961DC" w:rsidP="00E56366">
            <w:pPr>
              <w:spacing w:after="0" w:line="240" w:lineRule="auto"/>
              <w:jc w:val="center"/>
              <w:rPr>
                <w:rFonts w:eastAsia="Times New Roman"/>
                <w:color w:val="000000"/>
                <w:sz w:val="18"/>
                <w:szCs w:val="18"/>
              </w:rPr>
            </w:pPr>
          </w:p>
        </w:tc>
        <w:tc>
          <w:tcPr>
            <w:tcW w:w="540" w:type="dxa"/>
            <w:tcBorders>
              <w:top w:val="nil"/>
              <w:left w:val="nil"/>
              <w:bottom w:val="nil"/>
              <w:right w:val="nil"/>
            </w:tcBorders>
            <w:shd w:val="clear" w:color="000000" w:fill="FFFFFF"/>
            <w:noWrap/>
            <w:vAlign w:val="center"/>
          </w:tcPr>
          <w:p w14:paraId="30C260E5" w14:textId="77777777" w:rsidR="002961DC" w:rsidRPr="00A95729" w:rsidRDefault="002961DC" w:rsidP="00E56366">
            <w:pPr>
              <w:spacing w:after="0" w:line="240" w:lineRule="auto"/>
              <w:jc w:val="center"/>
              <w:rPr>
                <w:rFonts w:eastAsia="Times New Roman"/>
                <w:color w:val="000000"/>
                <w:sz w:val="18"/>
                <w:szCs w:val="18"/>
              </w:rPr>
            </w:pPr>
          </w:p>
        </w:tc>
        <w:tc>
          <w:tcPr>
            <w:tcW w:w="450" w:type="dxa"/>
            <w:tcBorders>
              <w:top w:val="nil"/>
              <w:left w:val="nil"/>
              <w:bottom w:val="nil"/>
              <w:right w:val="single" w:sz="4" w:space="0" w:color="auto"/>
            </w:tcBorders>
            <w:shd w:val="clear" w:color="000000" w:fill="FFFFFF"/>
            <w:noWrap/>
            <w:vAlign w:val="center"/>
          </w:tcPr>
          <w:p w14:paraId="2C0C0EC7" w14:textId="77777777" w:rsidR="002961DC" w:rsidRPr="00A95729" w:rsidRDefault="002961DC" w:rsidP="00E56366">
            <w:pPr>
              <w:spacing w:after="0" w:line="240" w:lineRule="auto"/>
              <w:jc w:val="center"/>
              <w:rPr>
                <w:rFonts w:eastAsia="Times New Roman"/>
                <w:color w:val="000000"/>
                <w:sz w:val="18"/>
                <w:szCs w:val="18"/>
              </w:rPr>
            </w:pPr>
          </w:p>
        </w:tc>
        <w:tc>
          <w:tcPr>
            <w:tcW w:w="544" w:type="dxa"/>
            <w:tcBorders>
              <w:top w:val="nil"/>
              <w:left w:val="nil"/>
              <w:bottom w:val="nil"/>
              <w:right w:val="nil"/>
            </w:tcBorders>
            <w:shd w:val="clear" w:color="000000" w:fill="FFFFFF"/>
            <w:noWrap/>
            <w:vAlign w:val="center"/>
          </w:tcPr>
          <w:p w14:paraId="659FBD1C" w14:textId="77777777" w:rsidR="002961DC" w:rsidRPr="00A95729" w:rsidRDefault="002961DC" w:rsidP="00E56366">
            <w:pPr>
              <w:spacing w:after="0" w:line="240" w:lineRule="auto"/>
              <w:jc w:val="center"/>
              <w:rPr>
                <w:rFonts w:eastAsia="Times New Roman"/>
                <w:color w:val="000000"/>
                <w:sz w:val="18"/>
                <w:szCs w:val="18"/>
              </w:rPr>
            </w:pPr>
          </w:p>
        </w:tc>
        <w:tc>
          <w:tcPr>
            <w:tcW w:w="540" w:type="dxa"/>
            <w:tcBorders>
              <w:top w:val="nil"/>
              <w:left w:val="nil"/>
              <w:bottom w:val="nil"/>
              <w:right w:val="single" w:sz="4" w:space="0" w:color="auto"/>
            </w:tcBorders>
            <w:shd w:val="clear" w:color="000000" w:fill="FFFFFF"/>
            <w:noWrap/>
            <w:vAlign w:val="center"/>
          </w:tcPr>
          <w:p w14:paraId="3C26CCB0" w14:textId="77777777" w:rsidR="002961DC" w:rsidRPr="00A95729" w:rsidRDefault="002961DC" w:rsidP="00E56366">
            <w:pPr>
              <w:spacing w:after="0" w:line="240" w:lineRule="auto"/>
              <w:jc w:val="center"/>
              <w:rPr>
                <w:rFonts w:eastAsia="Times New Roman"/>
                <w:color w:val="000000"/>
                <w:sz w:val="18"/>
                <w:szCs w:val="18"/>
              </w:rPr>
            </w:pPr>
          </w:p>
        </w:tc>
        <w:tc>
          <w:tcPr>
            <w:tcW w:w="540" w:type="dxa"/>
            <w:tcBorders>
              <w:top w:val="nil"/>
              <w:left w:val="nil"/>
              <w:bottom w:val="nil"/>
              <w:right w:val="nil"/>
            </w:tcBorders>
            <w:shd w:val="clear" w:color="000000" w:fill="FFFFFF"/>
            <w:noWrap/>
            <w:vAlign w:val="bottom"/>
          </w:tcPr>
          <w:p w14:paraId="37875CE5" w14:textId="77777777" w:rsidR="002961DC" w:rsidRPr="00A95729" w:rsidRDefault="002961DC" w:rsidP="00E56366">
            <w:pPr>
              <w:spacing w:after="0" w:line="240" w:lineRule="auto"/>
              <w:jc w:val="center"/>
              <w:rPr>
                <w:rFonts w:eastAsia="Times New Roman"/>
                <w:color w:val="000000"/>
                <w:sz w:val="18"/>
                <w:szCs w:val="18"/>
              </w:rPr>
            </w:pPr>
          </w:p>
        </w:tc>
        <w:tc>
          <w:tcPr>
            <w:tcW w:w="450" w:type="dxa"/>
            <w:tcBorders>
              <w:top w:val="nil"/>
              <w:left w:val="nil"/>
              <w:bottom w:val="nil"/>
              <w:right w:val="single" w:sz="4" w:space="0" w:color="auto"/>
            </w:tcBorders>
            <w:shd w:val="clear" w:color="000000" w:fill="FFFFFF"/>
            <w:noWrap/>
            <w:vAlign w:val="bottom"/>
          </w:tcPr>
          <w:p w14:paraId="5F0398AD" w14:textId="77777777" w:rsidR="002961DC" w:rsidRPr="00A95729" w:rsidRDefault="002961DC" w:rsidP="00E56366">
            <w:pPr>
              <w:spacing w:after="0" w:line="240" w:lineRule="auto"/>
              <w:jc w:val="center"/>
              <w:rPr>
                <w:rFonts w:eastAsia="Times New Roman"/>
                <w:color w:val="000000"/>
                <w:sz w:val="18"/>
                <w:szCs w:val="18"/>
              </w:rPr>
            </w:pPr>
          </w:p>
        </w:tc>
        <w:tc>
          <w:tcPr>
            <w:tcW w:w="540" w:type="dxa"/>
            <w:tcBorders>
              <w:top w:val="nil"/>
              <w:left w:val="nil"/>
              <w:bottom w:val="nil"/>
              <w:right w:val="nil"/>
            </w:tcBorders>
            <w:shd w:val="clear" w:color="000000" w:fill="FFFFFF"/>
            <w:noWrap/>
            <w:vAlign w:val="bottom"/>
          </w:tcPr>
          <w:p w14:paraId="28051CBC" w14:textId="77777777" w:rsidR="002961DC" w:rsidRPr="00A95729" w:rsidRDefault="002961DC" w:rsidP="00E56366">
            <w:pPr>
              <w:spacing w:after="0" w:line="240" w:lineRule="auto"/>
              <w:jc w:val="center"/>
              <w:rPr>
                <w:rFonts w:eastAsia="Times New Roman"/>
                <w:color w:val="000000"/>
                <w:sz w:val="18"/>
                <w:szCs w:val="18"/>
              </w:rPr>
            </w:pPr>
          </w:p>
        </w:tc>
        <w:tc>
          <w:tcPr>
            <w:tcW w:w="450" w:type="dxa"/>
            <w:tcBorders>
              <w:top w:val="nil"/>
              <w:left w:val="nil"/>
              <w:bottom w:val="nil"/>
              <w:right w:val="single" w:sz="4" w:space="0" w:color="auto"/>
            </w:tcBorders>
            <w:shd w:val="clear" w:color="000000" w:fill="FFFFFF"/>
            <w:noWrap/>
            <w:vAlign w:val="bottom"/>
          </w:tcPr>
          <w:p w14:paraId="672C23BF" w14:textId="77777777" w:rsidR="002961DC" w:rsidRPr="00A95729" w:rsidRDefault="002961DC" w:rsidP="00E56366">
            <w:pPr>
              <w:spacing w:after="0" w:line="240" w:lineRule="auto"/>
              <w:jc w:val="center"/>
              <w:rPr>
                <w:rFonts w:eastAsia="Times New Roman"/>
                <w:color w:val="000000"/>
                <w:sz w:val="18"/>
                <w:szCs w:val="18"/>
              </w:rPr>
            </w:pPr>
          </w:p>
        </w:tc>
        <w:tc>
          <w:tcPr>
            <w:tcW w:w="540" w:type="dxa"/>
            <w:tcBorders>
              <w:top w:val="nil"/>
              <w:left w:val="nil"/>
              <w:bottom w:val="nil"/>
              <w:right w:val="nil"/>
            </w:tcBorders>
            <w:shd w:val="clear" w:color="000000" w:fill="FFFFFF"/>
            <w:noWrap/>
            <w:vAlign w:val="center"/>
          </w:tcPr>
          <w:p w14:paraId="23645338" w14:textId="77777777" w:rsidR="002961DC" w:rsidRPr="00A95729" w:rsidRDefault="002961DC" w:rsidP="00E56366">
            <w:pPr>
              <w:spacing w:after="0" w:line="240" w:lineRule="auto"/>
              <w:jc w:val="center"/>
              <w:rPr>
                <w:rFonts w:eastAsia="Times New Roman"/>
                <w:color w:val="000000"/>
                <w:sz w:val="18"/>
                <w:szCs w:val="18"/>
              </w:rPr>
            </w:pPr>
          </w:p>
        </w:tc>
        <w:tc>
          <w:tcPr>
            <w:tcW w:w="454" w:type="dxa"/>
            <w:tcBorders>
              <w:top w:val="nil"/>
              <w:left w:val="nil"/>
              <w:bottom w:val="nil"/>
              <w:right w:val="single" w:sz="4" w:space="0" w:color="auto"/>
            </w:tcBorders>
            <w:shd w:val="clear" w:color="000000" w:fill="FFFFFF"/>
            <w:noWrap/>
            <w:vAlign w:val="center"/>
          </w:tcPr>
          <w:p w14:paraId="5AD95658" w14:textId="77777777" w:rsidR="002961DC" w:rsidRPr="00A95729" w:rsidRDefault="002961DC" w:rsidP="00E56366">
            <w:pPr>
              <w:spacing w:after="0" w:line="240" w:lineRule="auto"/>
              <w:jc w:val="center"/>
              <w:rPr>
                <w:rFonts w:eastAsia="Times New Roman"/>
                <w:color w:val="000000"/>
                <w:sz w:val="18"/>
                <w:szCs w:val="18"/>
              </w:rPr>
            </w:pPr>
          </w:p>
        </w:tc>
        <w:tc>
          <w:tcPr>
            <w:tcW w:w="540" w:type="dxa"/>
            <w:tcBorders>
              <w:top w:val="nil"/>
              <w:left w:val="nil"/>
              <w:bottom w:val="nil"/>
              <w:right w:val="nil"/>
            </w:tcBorders>
            <w:shd w:val="clear" w:color="000000" w:fill="FFFFFF"/>
            <w:noWrap/>
            <w:vAlign w:val="center"/>
          </w:tcPr>
          <w:p w14:paraId="5ED2675A" w14:textId="77777777" w:rsidR="002961DC" w:rsidRPr="00A95729" w:rsidRDefault="002961DC" w:rsidP="00E56366">
            <w:pPr>
              <w:spacing w:after="0" w:line="240" w:lineRule="auto"/>
              <w:jc w:val="center"/>
              <w:rPr>
                <w:rFonts w:eastAsia="Times New Roman"/>
                <w:color w:val="000000"/>
                <w:sz w:val="18"/>
                <w:szCs w:val="18"/>
              </w:rPr>
            </w:pPr>
          </w:p>
        </w:tc>
        <w:tc>
          <w:tcPr>
            <w:tcW w:w="456" w:type="dxa"/>
            <w:tcBorders>
              <w:top w:val="nil"/>
              <w:left w:val="nil"/>
              <w:bottom w:val="nil"/>
              <w:right w:val="single" w:sz="12" w:space="0" w:color="auto"/>
            </w:tcBorders>
            <w:shd w:val="clear" w:color="000000" w:fill="FFFFFF"/>
            <w:noWrap/>
            <w:vAlign w:val="center"/>
          </w:tcPr>
          <w:p w14:paraId="48D3CB6D" w14:textId="77777777" w:rsidR="002961DC" w:rsidRPr="00A95729" w:rsidRDefault="002961DC" w:rsidP="00E56366">
            <w:pPr>
              <w:spacing w:after="0" w:line="240" w:lineRule="auto"/>
              <w:jc w:val="center"/>
              <w:rPr>
                <w:rFonts w:eastAsia="Times New Roman"/>
                <w:color w:val="000000"/>
                <w:sz w:val="18"/>
                <w:szCs w:val="18"/>
              </w:rPr>
            </w:pPr>
          </w:p>
        </w:tc>
        <w:tc>
          <w:tcPr>
            <w:tcW w:w="540" w:type="dxa"/>
            <w:tcBorders>
              <w:top w:val="nil"/>
              <w:left w:val="nil"/>
              <w:bottom w:val="nil"/>
              <w:right w:val="nil"/>
            </w:tcBorders>
            <w:shd w:val="clear" w:color="000000" w:fill="FFFFFF"/>
            <w:vAlign w:val="bottom"/>
          </w:tcPr>
          <w:p w14:paraId="002FE560" w14:textId="77777777" w:rsidR="002961DC" w:rsidRPr="00A95729" w:rsidRDefault="002961DC" w:rsidP="00E56366">
            <w:pPr>
              <w:spacing w:after="0" w:line="240" w:lineRule="auto"/>
              <w:jc w:val="center"/>
              <w:rPr>
                <w:rFonts w:eastAsia="Times New Roman"/>
                <w:color w:val="000000"/>
                <w:sz w:val="18"/>
                <w:szCs w:val="18"/>
              </w:rPr>
            </w:pPr>
          </w:p>
        </w:tc>
        <w:tc>
          <w:tcPr>
            <w:tcW w:w="540" w:type="dxa"/>
            <w:tcBorders>
              <w:top w:val="nil"/>
              <w:left w:val="nil"/>
              <w:bottom w:val="nil"/>
              <w:right w:val="single" w:sz="12" w:space="0" w:color="auto"/>
            </w:tcBorders>
            <w:shd w:val="clear" w:color="000000" w:fill="FFFFFF"/>
            <w:vAlign w:val="bottom"/>
          </w:tcPr>
          <w:p w14:paraId="487F4002" w14:textId="77777777" w:rsidR="002961DC" w:rsidRPr="00A95729" w:rsidRDefault="002961DC" w:rsidP="00E56366">
            <w:pPr>
              <w:spacing w:after="0" w:line="240" w:lineRule="auto"/>
              <w:jc w:val="center"/>
              <w:rPr>
                <w:rFonts w:eastAsia="Times New Roman"/>
                <w:color w:val="000000"/>
                <w:sz w:val="18"/>
                <w:szCs w:val="18"/>
              </w:rPr>
            </w:pPr>
          </w:p>
        </w:tc>
        <w:tc>
          <w:tcPr>
            <w:tcW w:w="630" w:type="dxa"/>
            <w:tcBorders>
              <w:top w:val="nil"/>
              <w:left w:val="single" w:sz="12" w:space="0" w:color="auto"/>
              <w:bottom w:val="nil"/>
              <w:right w:val="nil"/>
            </w:tcBorders>
            <w:shd w:val="clear" w:color="000000" w:fill="FFFFFF"/>
            <w:vAlign w:val="bottom"/>
          </w:tcPr>
          <w:p w14:paraId="54C7660B" w14:textId="77777777" w:rsidR="002961DC" w:rsidRPr="00A95729" w:rsidRDefault="002961DC" w:rsidP="00E56366">
            <w:pPr>
              <w:spacing w:after="0" w:line="240" w:lineRule="auto"/>
              <w:jc w:val="center"/>
              <w:rPr>
                <w:rFonts w:eastAsia="Times New Roman"/>
                <w:color w:val="000000"/>
                <w:sz w:val="18"/>
                <w:szCs w:val="18"/>
              </w:rPr>
            </w:pPr>
          </w:p>
        </w:tc>
        <w:tc>
          <w:tcPr>
            <w:tcW w:w="542" w:type="dxa"/>
            <w:tcBorders>
              <w:top w:val="nil"/>
              <w:left w:val="nil"/>
              <w:bottom w:val="nil"/>
              <w:right w:val="single" w:sz="12" w:space="0" w:color="auto"/>
            </w:tcBorders>
            <w:shd w:val="clear" w:color="000000" w:fill="FFFFFF"/>
            <w:vAlign w:val="bottom"/>
          </w:tcPr>
          <w:p w14:paraId="00A289A5" w14:textId="77777777" w:rsidR="002961DC" w:rsidRPr="00A95729" w:rsidRDefault="002961DC" w:rsidP="00E56366">
            <w:pPr>
              <w:spacing w:after="0" w:line="240" w:lineRule="auto"/>
              <w:jc w:val="center"/>
              <w:rPr>
                <w:rFonts w:eastAsia="Times New Roman"/>
                <w:color w:val="000000"/>
                <w:sz w:val="18"/>
                <w:szCs w:val="18"/>
              </w:rPr>
            </w:pPr>
          </w:p>
        </w:tc>
      </w:tr>
      <w:tr w:rsidR="002961DC" w:rsidRPr="00A95729" w14:paraId="63000088" w14:textId="77777777" w:rsidTr="00E56366">
        <w:trPr>
          <w:trHeight w:val="20"/>
          <w:jc w:val="center"/>
        </w:trPr>
        <w:tc>
          <w:tcPr>
            <w:tcW w:w="2595" w:type="dxa"/>
            <w:tcBorders>
              <w:top w:val="nil"/>
              <w:left w:val="single" w:sz="12" w:space="0" w:color="auto"/>
              <w:bottom w:val="nil"/>
              <w:right w:val="single" w:sz="12" w:space="0" w:color="auto"/>
            </w:tcBorders>
            <w:shd w:val="clear" w:color="000000" w:fill="FFFFFF"/>
            <w:noWrap/>
            <w:vAlign w:val="bottom"/>
          </w:tcPr>
          <w:p w14:paraId="396FBE06" w14:textId="77777777" w:rsidR="002961DC" w:rsidRPr="00A95729" w:rsidRDefault="002961DC" w:rsidP="00E56366">
            <w:pPr>
              <w:spacing w:after="0" w:line="240" w:lineRule="auto"/>
              <w:rPr>
                <w:rFonts w:eastAsia="Times New Roman"/>
                <w:color w:val="000000"/>
                <w:sz w:val="18"/>
                <w:szCs w:val="18"/>
              </w:rPr>
            </w:pPr>
            <w:r w:rsidRPr="00A95729">
              <w:rPr>
                <w:rFonts w:eastAsia="Times New Roman"/>
                <w:color w:val="000000"/>
                <w:sz w:val="18"/>
                <w:szCs w:val="18"/>
              </w:rPr>
              <w:t xml:space="preserve">     Middle Atlantic</w:t>
            </w:r>
          </w:p>
        </w:tc>
        <w:tc>
          <w:tcPr>
            <w:tcW w:w="537" w:type="dxa"/>
            <w:tcBorders>
              <w:top w:val="nil"/>
              <w:left w:val="single" w:sz="12" w:space="0" w:color="auto"/>
              <w:bottom w:val="nil"/>
            </w:tcBorders>
            <w:shd w:val="clear" w:color="000000" w:fill="FFFFFF"/>
            <w:vAlign w:val="bottom"/>
          </w:tcPr>
          <w:p w14:paraId="0ED9B10B"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-0.23</w:t>
            </w:r>
          </w:p>
        </w:tc>
        <w:tc>
          <w:tcPr>
            <w:tcW w:w="541" w:type="dxa"/>
            <w:tcBorders>
              <w:top w:val="nil"/>
              <w:left w:val="nil"/>
              <w:bottom w:val="nil"/>
              <w:right w:val="single" w:sz="12" w:space="0" w:color="auto"/>
            </w:tcBorders>
            <w:shd w:val="clear" w:color="000000" w:fill="FFFFFF"/>
            <w:vAlign w:val="bottom"/>
          </w:tcPr>
          <w:p w14:paraId="5069A3B3"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-4.86</w:t>
            </w:r>
          </w:p>
        </w:tc>
        <w:tc>
          <w:tcPr>
            <w:tcW w:w="539" w:type="dxa"/>
            <w:tcBorders>
              <w:top w:val="nil"/>
              <w:left w:val="single" w:sz="12" w:space="0" w:color="auto"/>
              <w:bottom w:val="nil"/>
              <w:right w:val="nil"/>
            </w:tcBorders>
            <w:shd w:val="clear" w:color="000000" w:fill="FFFFFF"/>
            <w:noWrap/>
            <w:vAlign w:val="center"/>
          </w:tcPr>
          <w:p w14:paraId="7FB9E669"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49" w:type="dxa"/>
            <w:tcBorders>
              <w:top w:val="nil"/>
              <w:left w:val="nil"/>
              <w:bottom w:val="nil"/>
              <w:right w:val="single" w:sz="4" w:space="0" w:color="auto"/>
            </w:tcBorders>
            <w:shd w:val="clear" w:color="000000" w:fill="FFFFFF"/>
            <w:noWrap/>
            <w:vAlign w:val="center"/>
          </w:tcPr>
          <w:p w14:paraId="19C948ED"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59FF6C76"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tcPr>
          <w:p w14:paraId="36F0C5D5"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4DE2437C"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tcPr>
          <w:p w14:paraId="7C43D458" w14:textId="77777777" w:rsidR="002961DC" w:rsidRPr="00A95729" w:rsidRDefault="002961DC" w:rsidP="00E56366">
            <w:pPr>
              <w:spacing w:after="0" w:line="240" w:lineRule="auto"/>
              <w:jc w:val="center"/>
              <w:rPr>
                <w:rFonts w:eastAsia="Times New Roman"/>
                <w:color w:val="000000"/>
                <w:sz w:val="18"/>
                <w:szCs w:val="18"/>
              </w:rPr>
            </w:pPr>
          </w:p>
        </w:tc>
        <w:tc>
          <w:tcPr>
            <w:tcW w:w="544" w:type="dxa"/>
            <w:tcBorders>
              <w:top w:val="nil"/>
              <w:left w:val="nil"/>
              <w:bottom w:val="nil"/>
              <w:right w:val="nil"/>
            </w:tcBorders>
            <w:shd w:val="clear" w:color="000000" w:fill="FFFFFF"/>
            <w:noWrap/>
            <w:vAlign w:val="center"/>
          </w:tcPr>
          <w:p w14:paraId="51362E2D"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540" w:type="dxa"/>
            <w:tcBorders>
              <w:top w:val="nil"/>
              <w:left w:val="nil"/>
              <w:bottom w:val="nil"/>
              <w:right w:val="single" w:sz="4" w:space="0" w:color="auto"/>
            </w:tcBorders>
            <w:shd w:val="clear" w:color="000000" w:fill="FFFFFF"/>
            <w:noWrap/>
            <w:vAlign w:val="center"/>
          </w:tcPr>
          <w:p w14:paraId="26965814"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70BDC809"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tcPr>
          <w:p w14:paraId="3BAFFA21"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bottom"/>
          </w:tcPr>
          <w:p w14:paraId="691B9D60"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0.27</w:t>
            </w:r>
          </w:p>
        </w:tc>
        <w:tc>
          <w:tcPr>
            <w:tcW w:w="450" w:type="dxa"/>
            <w:tcBorders>
              <w:top w:val="nil"/>
              <w:left w:val="nil"/>
              <w:bottom w:val="nil"/>
              <w:right w:val="single" w:sz="4" w:space="0" w:color="auto"/>
            </w:tcBorders>
            <w:shd w:val="clear" w:color="000000" w:fill="FFFFFF"/>
            <w:noWrap/>
            <w:vAlign w:val="bottom"/>
          </w:tcPr>
          <w:p w14:paraId="63716076"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2.42</w:t>
            </w:r>
          </w:p>
        </w:tc>
        <w:tc>
          <w:tcPr>
            <w:tcW w:w="540" w:type="dxa"/>
            <w:tcBorders>
              <w:top w:val="nil"/>
              <w:left w:val="nil"/>
              <w:bottom w:val="nil"/>
              <w:right w:val="nil"/>
            </w:tcBorders>
            <w:shd w:val="clear" w:color="000000" w:fill="FFFFFF"/>
            <w:noWrap/>
            <w:vAlign w:val="bottom"/>
          </w:tcPr>
          <w:p w14:paraId="0F8E80FC"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0.23</w:t>
            </w:r>
          </w:p>
        </w:tc>
        <w:tc>
          <w:tcPr>
            <w:tcW w:w="454" w:type="dxa"/>
            <w:tcBorders>
              <w:top w:val="nil"/>
              <w:left w:val="nil"/>
              <w:bottom w:val="nil"/>
              <w:right w:val="single" w:sz="4" w:space="0" w:color="auto"/>
            </w:tcBorders>
            <w:shd w:val="clear" w:color="000000" w:fill="FFFFFF"/>
            <w:noWrap/>
            <w:vAlign w:val="bottom"/>
          </w:tcPr>
          <w:p w14:paraId="68F70F86"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2.35</w:t>
            </w:r>
          </w:p>
        </w:tc>
        <w:tc>
          <w:tcPr>
            <w:tcW w:w="540" w:type="dxa"/>
            <w:tcBorders>
              <w:top w:val="nil"/>
              <w:left w:val="nil"/>
              <w:bottom w:val="nil"/>
              <w:right w:val="nil"/>
            </w:tcBorders>
            <w:shd w:val="clear" w:color="000000" w:fill="FFFFFF"/>
            <w:noWrap/>
            <w:vAlign w:val="bottom"/>
          </w:tcPr>
          <w:p w14:paraId="691B688F"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0.38</w:t>
            </w:r>
          </w:p>
        </w:tc>
        <w:tc>
          <w:tcPr>
            <w:tcW w:w="456" w:type="dxa"/>
            <w:tcBorders>
              <w:top w:val="nil"/>
              <w:left w:val="nil"/>
              <w:bottom w:val="nil"/>
              <w:right w:val="single" w:sz="12" w:space="0" w:color="auto"/>
            </w:tcBorders>
            <w:shd w:val="clear" w:color="000000" w:fill="FFFFFF"/>
            <w:noWrap/>
            <w:vAlign w:val="bottom"/>
          </w:tcPr>
          <w:p w14:paraId="5B8730D5"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4.04</w:t>
            </w:r>
          </w:p>
        </w:tc>
        <w:tc>
          <w:tcPr>
            <w:tcW w:w="540" w:type="dxa"/>
            <w:tcBorders>
              <w:top w:val="nil"/>
              <w:left w:val="nil"/>
              <w:bottom w:val="nil"/>
              <w:right w:val="nil"/>
            </w:tcBorders>
            <w:shd w:val="clear" w:color="000000" w:fill="FFFFFF"/>
            <w:vAlign w:val="center"/>
          </w:tcPr>
          <w:p w14:paraId="6C693105"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540" w:type="dxa"/>
            <w:tcBorders>
              <w:top w:val="nil"/>
              <w:left w:val="nil"/>
              <w:bottom w:val="nil"/>
              <w:right w:val="single" w:sz="12" w:space="0" w:color="auto"/>
            </w:tcBorders>
            <w:shd w:val="clear" w:color="000000" w:fill="FFFFFF"/>
            <w:vAlign w:val="center"/>
          </w:tcPr>
          <w:p w14:paraId="1A8A7E43"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630" w:type="dxa"/>
            <w:tcBorders>
              <w:top w:val="nil"/>
              <w:left w:val="single" w:sz="12" w:space="0" w:color="auto"/>
              <w:bottom w:val="nil"/>
              <w:right w:val="nil"/>
            </w:tcBorders>
            <w:shd w:val="clear" w:color="000000" w:fill="FFFFFF"/>
            <w:vAlign w:val="center"/>
          </w:tcPr>
          <w:p w14:paraId="4E1A841D"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542" w:type="dxa"/>
            <w:tcBorders>
              <w:top w:val="nil"/>
              <w:left w:val="nil"/>
              <w:bottom w:val="nil"/>
              <w:right w:val="single" w:sz="12" w:space="0" w:color="auto"/>
            </w:tcBorders>
            <w:shd w:val="clear" w:color="000000" w:fill="FFFFFF"/>
            <w:vAlign w:val="bottom"/>
          </w:tcPr>
          <w:p w14:paraId="6A4B3A14" w14:textId="77777777" w:rsidR="002961DC" w:rsidRPr="00A95729" w:rsidRDefault="002961DC" w:rsidP="00E56366">
            <w:pPr>
              <w:spacing w:after="0" w:line="240" w:lineRule="auto"/>
              <w:jc w:val="center"/>
              <w:rPr>
                <w:rFonts w:eastAsia="Times New Roman"/>
                <w:color w:val="000000"/>
                <w:sz w:val="18"/>
                <w:szCs w:val="18"/>
              </w:rPr>
            </w:pPr>
          </w:p>
        </w:tc>
      </w:tr>
      <w:tr w:rsidR="002961DC" w:rsidRPr="00A95729" w14:paraId="044CC0C6" w14:textId="77777777" w:rsidTr="00E56366">
        <w:trPr>
          <w:trHeight w:val="20"/>
          <w:jc w:val="center"/>
        </w:trPr>
        <w:tc>
          <w:tcPr>
            <w:tcW w:w="2595" w:type="dxa"/>
            <w:tcBorders>
              <w:top w:val="nil"/>
              <w:left w:val="single" w:sz="12" w:space="0" w:color="auto"/>
              <w:bottom w:val="nil"/>
              <w:right w:val="single" w:sz="12" w:space="0" w:color="auto"/>
            </w:tcBorders>
            <w:shd w:val="clear" w:color="000000" w:fill="FFFFFF"/>
            <w:noWrap/>
            <w:vAlign w:val="bottom"/>
          </w:tcPr>
          <w:p w14:paraId="1221577F" w14:textId="77777777" w:rsidR="002961DC" w:rsidRPr="00A95729" w:rsidRDefault="002961DC" w:rsidP="00E56366">
            <w:pPr>
              <w:spacing w:after="0" w:line="240" w:lineRule="auto"/>
              <w:rPr>
                <w:rFonts w:eastAsia="Times New Roman"/>
                <w:color w:val="000000"/>
                <w:sz w:val="18"/>
                <w:szCs w:val="18"/>
              </w:rPr>
            </w:pPr>
            <w:r w:rsidRPr="00A95729">
              <w:rPr>
                <w:rFonts w:eastAsia="Times New Roman"/>
                <w:color w:val="000000"/>
                <w:sz w:val="18"/>
                <w:szCs w:val="18"/>
              </w:rPr>
              <w:t xml:space="preserve">     East North Central</w:t>
            </w:r>
          </w:p>
        </w:tc>
        <w:tc>
          <w:tcPr>
            <w:tcW w:w="537" w:type="dxa"/>
            <w:tcBorders>
              <w:top w:val="nil"/>
              <w:left w:val="single" w:sz="12" w:space="0" w:color="auto"/>
              <w:bottom w:val="nil"/>
            </w:tcBorders>
            <w:shd w:val="clear" w:color="000000" w:fill="FFFFFF"/>
            <w:vAlign w:val="bottom"/>
          </w:tcPr>
          <w:p w14:paraId="242660CE"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-0.25</w:t>
            </w:r>
          </w:p>
        </w:tc>
        <w:tc>
          <w:tcPr>
            <w:tcW w:w="541" w:type="dxa"/>
            <w:tcBorders>
              <w:top w:val="nil"/>
              <w:left w:val="nil"/>
              <w:bottom w:val="nil"/>
              <w:right w:val="single" w:sz="12" w:space="0" w:color="auto"/>
            </w:tcBorders>
            <w:shd w:val="clear" w:color="000000" w:fill="FFFFFF"/>
            <w:vAlign w:val="bottom"/>
          </w:tcPr>
          <w:p w14:paraId="6F5C851E"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-5.85</w:t>
            </w:r>
          </w:p>
        </w:tc>
        <w:tc>
          <w:tcPr>
            <w:tcW w:w="539" w:type="dxa"/>
            <w:tcBorders>
              <w:top w:val="nil"/>
              <w:left w:val="single" w:sz="12" w:space="0" w:color="auto"/>
              <w:bottom w:val="nil"/>
              <w:right w:val="nil"/>
            </w:tcBorders>
            <w:shd w:val="clear" w:color="000000" w:fill="FFFFFF"/>
            <w:noWrap/>
            <w:vAlign w:val="center"/>
          </w:tcPr>
          <w:p w14:paraId="4B6BB846"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49" w:type="dxa"/>
            <w:tcBorders>
              <w:top w:val="nil"/>
              <w:left w:val="nil"/>
              <w:bottom w:val="nil"/>
              <w:right w:val="single" w:sz="4" w:space="0" w:color="auto"/>
            </w:tcBorders>
            <w:shd w:val="clear" w:color="000000" w:fill="FFFFFF"/>
            <w:noWrap/>
            <w:vAlign w:val="center"/>
          </w:tcPr>
          <w:p w14:paraId="7E893050"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700F79ED"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tcPr>
          <w:p w14:paraId="1CC56585"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5BD472DC"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tcPr>
          <w:p w14:paraId="00475012" w14:textId="77777777" w:rsidR="002961DC" w:rsidRPr="00A95729" w:rsidRDefault="002961DC" w:rsidP="00E56366">
            <w:pPr>
              <w:spacing w:after="0" w:line="240" w:lineRule="auto"/>
              <w:jc w:val="center"/>
              <w:rPr>
                <w:rFonts w:eastAsia="Times New Roman"/>
                <w:color w:val="000000"/>
                <w:sz w:val="18"/>
                <w:szCs w:val="18"/>
              </w:rPr>
            </w:pPr>
          </w:p>
        </w:tc>
        <w:tc>
          <w:tcPr>
            <w:tcW w:w="544" w:type="dxa"/>
            <w:tcBorders>
              <w:top w:val="nil"/>
              <w:left w:val="nil"/>
              <w:bottom w:val="nil"/>
              <w:right w:val="nil"/>
            </w:tcBorders>
            <w:shd w:val="clear" w:color="000000" w:fill="FFFFFF"/>
            <w:noWrap/>
            <w:vAlign w:val="bottom"/>
          </w:tcPr>
          <w:p w14:paraId="4AD77677"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0.16</w:t>
            </w:r>
          </w:p>
        </w:tc>
        <w:tc>
          <w:tcPr>
            <w:tcW w:w="540" w:type="dxa"/>
            <w:tcBorders>
              <w:top w:val="nil"/>
              <w:left w:val="nil"/>
              <w:bottom w:val="nil"/>
              <w:right w:val="single" w:sz="4" w:space="0" w:color="auto"/>
            </w:tcBorders>
            <w:shd w:val="clear" w:color="000000" w:fill="FFFFFF"/>
            <w:noWrap/>
            <w:vAlign w:val="bottom"/>
          </w:tcPr>
          <w:p w14:paraId="46E8885A"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1.44</w:t>
            </w:r>
          </w:p>
        </w:tc>
        <w:tc>
          <w:tcPr>
            <w:tcW w:w="540" w:type="dxa"/>
            <w:tcBorders>
              <w:top w:val="nil"/>
              <w:left w:val="nil"/>
              <w:bottom w:val="nil"/>
              <w:right w:val="nil"/>
            </w:tcBorders>
            <w:shd w:val="clear" w:color="000000" w:fill="FFFFFF"/>
            <w:noWrap/>
            <w:vAlign w:val="bottom"/>
          </w:tcPr>
          <w:p w14:paraId="61C3B3BE"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0.41</w:t>
            </w:r>
          </w:p>
        </w:tc>
        <w:tc>
          <w:tcPr>
            <w:tcW w:w="450" w:type="dxa"/>
            <w:tcBorders>
              <w:top w:val="nil"/>
              <w:left w:val="nil"/>
              <w:bottom w:val="nil"/>
              <w:right w:val="single" w:sz="4" w:space="0" w:color="auto"/>
            </w:tcBorders>
            <w:shd w:val="clear" w:color="000000" w:fill="FFFFFF"/>
            <w:noWrap/>
            <w:vAlign w:val="bottom"/>
          </w:tcPr>
          <w:p w14:paraId="2BD37211"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4.47</w:t>
            </w:r>
          </w:p>
        </w:tc>
        <w:tc>
          <w:tcPr>
            <w:tcW w:w="540" w:type="dxa"/>
            <w:tcBorders>
              <w:top w:val="nil"/>
              <w:left w:val="nil"/>
              <w:bottom w:val="nil"/>
              <w:right w:val="nil"/>
            </w:tcBorders>
            <w:shd w:val="clear" w:color="000000" w:fill="FFFFFF"/>
            <w:noWrap/>
            <w:vAlign w:val="bottom"/>
          </w:tcPr>
          <w:p w14:paraId="69CBBB2F"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0.20</w:t>
            </w:r>
          </w:p>
        </w:tc>
        <w:tc>
          <w:tcPr>
            <w:tcW w:w="450" w:type="dxa"/>
            <w:tcBorders>
              <w:top w:val="nil"/>
              <w:left w:val="nil"/>
              <w:bottom w:val="nil"/>
              <w:right w:val="single" w:sz="4" w:space="0" w:color="auto"/>
            </w:tcBorders>
            <w:shd w:val="clear" w:color="000000" w:fill="FFFFFF"/>
            <w:noWrap/>
            <w:vAlign w:val="bottom"/>
          </w:tcPr>
          <w:p w14:paraId="47D8DF14"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1.97</w:t>
            </w:r>
          </w:p>
        </w:tc>
        <w:tc>
          <w:tcPr>
            <w:tcW w:w="540" w:type="dxa"/>
            <w:tcBorders>
              <w:top w:val="nil"/>
              <w:left w:val="nil"/>
              <w:bottom w:val="nil"/>
              <w:right w:val="nil"/>
            </w:tcBorders>
            <w:shd w:val="clear" w:color="000000" w:fill="FFFFFF"/>
            <w:noWrap/>
            <w:vAlign w:val="center"/>
          </w:tcPr>
          <w:p w14:paraId="65F2D668"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4" w:type="dxa"/>
            <w:tcBorders>
              <w:top w:val="nil"/>
              <w:left w:val="nil"/>
              <w:bottom w:val="nil"/>
              <w:right w:val="single" w:sz="4" w:space="0" w:color="auto"/>
            </w:tcBorders>
            <w:shd w:val="clear" w:color="000000" w:fill="FFFFFF"/>
            <w:noWrap/>
            <w:vAlign w:val="center"/>
          </w:tcPr>
          <w:p w14:paraId="3018534F" w14:textId="77777777" w:rsidR="002961DC" w:rsidRPr="00A95729" w:rsidRDefault="002961DC" w:rsidP="00E56366">
            <w:pPr>
              <w:spacing w:after="0" w:line="240" w:lineRule="auto"/>
              <w:jc w:val="center"/>
              <w:rPr>
                <w:rFonts w:eastAsia="Times New Roman"/>
                <w:color w:val="000000"/>
                <w:sz w:val="18"/>
                <w:szCs w:val="18"/>
              </w:rPr>
            </w:pPr>
          </w:p>
        </w:tc>
        <w:tc>
          <w:tcPr>
            <w:tcW w:w="540" w:type="dxa"/>
            <w:tcBorders>
              <w:top w:val="nil"/>
              <w:left w:val="nil"/>
              <w:bottom w:val="nil"/>
              <w:right w:val="nil"/>
            </w:tcBorders>
            <w:shd w:val="clear" w:color="000000" w:fill="FFFFFF"/>
            <w:noWrap/>
            <w:vAlign w:val="bottom"/>
          </w:tcPr>
          <w:p w14:paraId="3040DD62"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0.27</w:t>
            </w:r>
          </w:p>
        </w:tc>
        <w:tc>
          <w:tcPr>
            <w:tcW w:w="456" w:type="dxa"/>
            <w:tcBorders>
              <w:top w:val="nil"/>
              <w:left w:val="nil"/>
              <w:bottom w:val="nil"/>
              <w:right w:val="single" w:sz="12" w:space="0" w:color="auto"/>
            </w:tcBorders>
            <w:shd w:val="clear" w:color="000000" w:fill="FFFFFF"/>
            <w:noWrap/>
            <w:vAlign w:val="bottom"/>
          </w:tcPr>
          <w:p w14:paraId="4379D0B8"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3.12</w:t>
            </w:r>
          </w:p>
        </w:tc>
        <w:tc>
          <w:tcPr>
            <w:tcW w:w="540" w:type="dxa"/>
            <w:tcBorders>
              <w:top w:val="nil"/>
              <w:left w:val="nil"/>
              <w:bottom w:val="nil"/>
              <w:right w:val="nil"/>
            </w:tcBorders>
            <w:shd w:val="clear" w:color="000000" w:fill="FFFFFF"/>
            <w:vAlign w:val="center"/>
          </w:tcPr>
          <w:p w14:paraId="3348EDB3"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540" w:type="dxa"/>
            <w:tcBorders>
              <w:top w:val="nil"/>
              <w:left w:val="nil"/>
              <w:bottom w:val="nil"/>
              <w:right w:val="single" w:sz="12" w:space="0" w:color="auto"/>
            </w:tcBorders>
            <w:shd w:val="clear" w:color="000000" w:fill="FFFFFF"/>
            <w:vAlign w:val="center"/>
          </w:tcPr>
          <w:p w14:paraId="0FD3B11D"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630" w:type="dxa"/>
            <w:tcBorders>
              <w:top w:val="nil"/>
              <w:left w:val="single" w:sz="12" w:space="0" w:color="auto"/>
              <w:bottom w:val="nil"/>
              <w:right w:val="nil"/>
            </w:tcBorders>
            <w:shd w:val="clear" w:color="000000" w:fill="FFFFFF"/>
            <w:vAlign w:val="center"/>
          </w:tcPr>
          <w:p w14:paraId="473E6B25"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542" w:type="dxa"/>
            <w:tcBorders>
              <w:top w:val="nil"/>
              <w:left w:val="nil"/>
              <w:bottom w:val="nil"/>
              <w:right w:val="single" w:sz="12" w:space="0" w:color="auto"/>
            </w:tcBorders>
            <w:shd w:val="clear" w:color="000000" w:fill="FFFFFF"/>
            <w:vAlign w:val="bottom"/>
          </w:tcPr>
          <w:p w14:paraId="40A13A77" w14:textId="77777777" w:rsidR="002961DC" w:rsidRPr="00A95729" w:rsidRDefault="002961DC" w:rsidP="00E56366">
            <w:pPr>
              <w:spacing w:after="0" w:line="240" w:lineRule="auto"/>
              <w:jc w:val="center"/>
              <w:rPr>
                <w:rFonts w:eastAsia="Times New Roman"/>
                <w:color w:val="000000"/>
                <w:sz w:val="18"/>
                <w:szCs w:val="18"/>
              </w:rPr>
            </w:pPr>
          </w:p>
        </w:tc>
      </w:tr>
      <w:tr w:rsidR="002961DC" w:rsidRPr="00A95729" w14:paraId="7EE06908" w14:textId="77777777" w:rsidTr="00E56366">
        <w:trPr>
          <w:trHeight w:val="20"/>
          <w:jc w:val="center"/>
        </w:trPr>
        <w:tc>
          <w:tcPr>
            <w:tcW w:w="2595" w:type="dxa"/>
            <w:tcBorders>
              <w:top w:val="nil"/>
              <w:left w:val="single" w:sz="12" w:space="0" w:color="auto"/>
              <w:bottom w:val="nil"/>
              <w:right w:val="single" w:sz="12" w:space="0" w:color="auto"/>
            </w:tcBorders>
            <w:shd w:val="clear" w:color="000000" w:fill="FFFFFF"/>
            <w:noWrap/>
            <w:vAlign w:val="bottom"/>
          </w:tcPr>
          <w:p w14:paraId="0F8C21BB" w14:textId="77777777" w:rsidR="002961DC" w:rsidRPr="00A95729" w:rsidRDefault="002961DC" w:rsidP="00E56366">
            <w:pPr>
              <w:spacing w:after="0" w:line="240" w:lineRule="auto"/>
              <w:rPr>
                <w:rFonts w:eastAsia="Times New Roman"/>
                <w:color w:val="000000"/>
                <w:sz w:val="18"/>
                <w:szCs w:val="18"/>
              </w:rPr>
            </w:pPr>
            <w:r w:rsidRPr="00A95729">
              <w:rPr>
                <w:rFonts w:eastAsia="Times New Roman"/>
                <w:color w:val="000000"/>
                <w:sz w:val="18"/>
                <w:szCs w:val="18"/>
              </w:rPr>
              <w:t xml:space="preserve">     West North Central</w:t>
            </w:r>
          </w:p>
        </w:tc>
        <w:tc>
          <w:tcPr>
            <w:tcW w:w="537" w:type="dxa"/>
            <w:tcBorders>
              <w:top w:val="nil"/>
              <w:left w:val="single" w:sz="12" w:space="0" w:color="auto"/>
              <w:bottom w:val="nil"/>
            </w:tcBorders>
            <w:shd w:val="clear" w:color="000000" w:fill="FFFFFF"/>
            <w:vAlign w:val="bottom"/>
          </w:tcPr>
          <w:p w14:paraId="0DF6C673"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-0.40</w:t>
            </w:r>
          </w:p>
        </w:tc>
        <w:tc>
          <w:tcPr>
            <w:tcW w:w="541" w:type="dxa"/>
            <w:tcBorders>
              <w:top w:val="nil"/>
              <w:left w:val="nil"/>
              <w:bottom w:val="nil"/>
              <w:right w:val="single" w:sz="12" w:space="0" w:color="auto"/>
            </w:tcBorders>
            <w:shd w:val="clear" w:color="000000" w:fill="FFFFFF"/>
            <w:vAlign w:val="bottom"/>
          </w:tcPr>
          <w:p w14:paraId="4F27D024"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-6.79</w:t>
            </w:r>
          </w:p>
        </w:tc>
        <w:tc>
          <w:tcPr>
            <w:tcW w:w="539" w:type="dxa"/>
            <w:tcBorders>
              <w:top w:val="nil"/>
              <w:left w:val="single" w:sz="12" w:space="0" w:color="auto"/>
              <w:bottom w:val="nil"/>
              <w:right w:val="nil"/>
            </w:tcBorders>
            <w:shd w:val="clear" w:color="000000" w:fill="FFFFFF"/>
            <w:noWrap/>
            <w:vAlign w:val="center"/>
          </w:tcPr>
          <w:p w14:paraId="4568CEEB"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49" w:type="dxa"/>
            <w:tcBorders>
              <w:top w:val="nil"/>
              <w:left w:val="nil"/>
              <w:bottom w:val="nil"/>
              <w:right w:val="single" w:sz="4" w:space="0" w:color="auto"/>
            </w:tcBorders>
            <w:shd w:val="clear" w:color="000000" w:fill="FFFFFF"/>
            <w:noWrap/>
            <w:vAlign w:val="center"/>
          </w:tcPr>
          <w:p w14:paraId="60D6DF0B"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2E378263"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tcPr>
          <w:p w14:paraId="2291DE31"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5105C98D"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tcPr>
          <w:p w14:paraId="66121890" w14:textId="77777777" w:rsidR="002961DC" w:rsidRPr="00A95729" w:rsidRDefault="002961DC" w:rsidP="00E56366">
            <w:pPr>
              <w:spacing w:after="0" w:line="240" w:lineRule="auto"/>
              <w:jc w:val="center"/>
              <w:rPr>
                <w:rFonts w:eastAsia="Times New Roman"/>
                <w:color w:val="000000"/>
                <w:sz w:val="18"/>
                <w:szCs w:val="18"/>
              </w:rPr>
            </w:pPr>
          </w:p>
        </w:tc>
        <w:tc>
          <w:tcPr>
            <w:tcW w:w="544" w:type="dxa"/>
            <w:tcBorders>
              <w:top w:val="nil"/>
              <w:left w:val="nil"/>
              <w:bottom w:val="nil"/>
              <w:right w:val="nil"/>
            </w:tcBorders>
            <w:shd w:val="clear" w:color="000000" w:fill="FFFFFF"/>
            <w:noWrap/>
            <w:vAlign w:val="center"/>
          </w:tcPr>
          <w:p w14:paraId="5F452D31"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540" w:type="dxa"/>
            <w:tcBorders>
              <w:top w:val="nil"/>
              <w:left w:val="nil"/>
              <w:bottom w:val="nil"/>
              <w:right w:val="single" w:sz="4" w:space="0" w:color="auto"/>
            </w:tcBorders>
            <w:shd w:val="clear" w:color="000000" w:fill="FFFFFF"/>
            <w:noWrap/>
            <w:vAlign w:val="center"/>
          </w:tcPr>
          <w:p w14:paraId="7BE3ABAE"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683E2E37"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tcPr>
          <w:p w14:paraId="347FE57F"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bottom"/>
          </w:tcPr>
          <w:p w14:paraId="29941A18"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0.24</w:t>
            </w:r>
          </w:p>
        </w:tc>
        <w:tc>
          <w:tcPr>
            <w:tcW w:w="450" w:type="dxa"/>
            <w:tcBorders>
              <w:top w:val="nil"/>
              <w:left w:val="nil"/>
              <w:bottom w:val="nil"/>
              <w:right w:val="single" w:sz="4" w:space="0" w:color="auto"/>
            </w:tcBorders>
            <w:shd w:val="clear" w:color="000000" w:fill="FFFFFF"/>
            <w:noWrap/>
            <w:vAlign w:val="bottom"/>
          </w:tcPr>
          <w:p w14:paraId="31B9E635"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1.75</w:t>
            </w:r>
          </w:p>
        </w:tc>
        <w:tc>
          <w:tcPr>
            <w:tcW w:w="540" w:type="dxa"/>
            <w:tcBorders>
              <w:top w:val="nil"/>
              <w:left w:val="nil"/>
              <w:bottom w:val="nil"/>
              <w:right w:val="nil"/>
            </w:tcBorders>
            <w:shd w:val="clear" w:color="000000" w:fill="FFFFFF"/>
            <w:noWrap/>
            <w:vAlign w:val="bottom"/>
          </w:tcPr>
          <w:p w14:paraId="43C150C7"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0.42</w:t>
            </w:r>
          </w:p>
        </w:tc>
        <w:tc>
          <w:tcPr>
            <w:tcW w:w="454" w:type="dxa"/>
            <w:tcBorders>
              <w:top w:val="nil"/>
              <w:left w:val="nil"/>
              <w:bottom w:val="nil"/>
              <w:right w:val="single" w:sz="4" w:space="0" w:color="auto"/>
            </w:tcBorders>
            <w:shd w:val="clear" w:color="000000" w:fill="FFFFFF"/>
            <w:noWrap/>
            <w:vAlign w:val="bottom"/>
          </w:tcPr>
          <w:p w14:paraId="6A44ADBE"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4.54</w:t>
            </w:r>
          </w:p>
        </w:tc>
        <w:tc>
          <w:tcPr>
            <w:tcW w:w="540" w:type="dxa"/>
            <w:tcBorders>
              <w:top w:val="nil"/>
              <w:left w:val="nil"/>
              <w:bottom w:val="nil"/>
              <w:right w:val="nil"/>
            </w:tcBorders>
            <w:shd w:val="clear" w:color="000000" w:fill="FFFFFF"/>
            <w:noWrap/>
            <w:vAlign w:val="center"/>
          </w:tcPr>
          <w:p w14:paraId="67CA4EDA"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6" w:type="dxa"/>
            <w:tcBorders>
              <w:top w:val="nil"/>
              <w:left w:val="nil"/>
              <w:bottom w:val="nil"/>
              <w:right w:val="single" w:sz="12" w:space="0" w:color="auto"/>
            </w:tcBorders>
            <w:shd w:val="clear" w:color="000000" w:fill="FFFFFF"/>
            <w:noWrap/>
            <w:vAlign w:val="center"/>
          </w:tcPr>
          <w:p w14:paraId="573FF290"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vAlign w:val="center"/>
          </w:tcPr>
          <w:p w14:paraId="4B495155"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540" w:type="dxa"/>
            <w:tcBorders>
              <w:top w:val="nil"/>
              <w:left w:val="nil"/>
              <w:bottom w:val="nil"/>
              <w:right w:val="single" w:sz="12" w:space="0" w:color="auto"/>
            </w:tcBorders>
            <w:shd w:val="clear" w:color="000000" w:fill="FFFFFF"/>
            <w:vAlign w:val="center"/>
          </w:tcPr>
          <w:p w14:paraId="56C20D9B"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630" w:type="dxa"/>
            <w:tcBorders>
              <w:top w:val="nil"/>
              <w:left w:val="single" w:sz="12" w:space="0" w:color="auto"/>
              <w:bottom w:val="nil"/>
              <w:right w:val="nil"/>
            </w:tcBorders>
            <w:shd w:val="clear" w:color="000000" w:fill="FFFFFF"/>
            <w:vAlign w:val="bottom"/>
          </w:tcPr>
          <w:p w14:paraId="6D90EA71"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-0.10</w:t>
            </w:r>
          </w:p>
        </w:tc>
        <w:tc>
          <w:tcPr>
            <w:tcW w:w="542" w:type="dxa"/>
            <w:tcBorders>
              <w:top w:val="nil"/>
              <w:left w:val="nil"/>
              <w:bottom w:val="nil"/>
              <w:right w:val="single" w:sz="12" w:space="0" w:color="auto"/>
            </w:tcBorders>
            <w:shd w:val="clear" w:color="000000" w:fill="FFFFFF"/>
            <w:vAlign w:val="bottom"/>
          </w:tcPr>
          <w:p w14:paraId="6B7EE9E8"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-2.49</w:t>
            </w:r>
          </w:p>
        </w:tc>
      </w:tr>
      <w:tr w:rsidR="002961DC" w:rsidRPr="00A95729" w14:paraId="5918128E" w14:textId="77777777" w:rsidTr="00E56366">
        <w:trPr>
          <w:trHeight w:val="20"/>
          <w:jc w:val="center"/>
        </w:trPr>
        <w:tc>
          <w:tcPr>
            <w:tcW w:w="2595" w:type="dxa"/>
            <w:tcBorders>
              <w:top w:val="nil"/>
              <w:left w:val="single" w:sz="12" w:space="0" w:color="auto"/>
              <w:bottom w:val="nil"/>
              <w:right w:val="single" w:sz="12" w:space="0" w:color="auto"/>
            </w:tcBorders>
            <w:shd w:val="clear" w:color="000000" w:fill="FFFFFF"/>
            <w:noWrap/>
            <w:vAlign w:val="bottom"/>
          </w:tcPr>
          <w:p w14:paraId="022A4C93" w14:textId="77777777" w:rsidR="002961DC" w:rsidRPr="00A95729" w:rsidRDefault="002961DC" w:rsidP="00E56366">
            <w:pPr>
              <w:spacing w:after="0" w:line="240" w:lineRule="auto"/>
              <w:rPr>
                <w:rFonts w:eastAsia="Times New Roman"/>
                <w:color w:val="000000"/>
                <w:sz w:val="18"/>
                <w:szCs w:val="18"/>
              </w:rPr>
            </w:pPr>
            <w:r w:rsidRPr="00A95729">
              <w:rPr>
                <w:rFonts w:eastAsia="Times New Roman"/>
                <w:color w:val="000000"/>
                <w:sz w:val="18"/>
                <w:szCs w:val="18"/>
              </w:rPr>
              <w:t xml:space="preserve">     South Atlantic</w:t>
            </w:r>
          </w:p>
        </w:tc>
        <w:tc>
          <w:tcPr>
            <w:tcW w:w="537" w:type="dxa"/>
            <w:tcBorders>
              <w:top w:val="nil"/>
              <w:left w:val="single" w:sz="12" w:space="0" w:color="auto"/>
              <w:bottom w:val="nil"/>
            </w:tcBorders>
            <w:shd w:val="clear" w:color="000000" w:fill="FFFFFF"/>
            <w:vAlign w:val="bottom"/>
          </w:tcPr>
          <w:p w14:paraId="2BC84FD6"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-0.19</w:t>
            </w:r>
          </w:p>
        </w:tc>
        <w:tc>
          <w:tcPr>
            <w:tcW w:w="541" w:type="dxa"/>
            <w:tcBorders>
              <w:top w:val="nil"/>
              <w:left w:val="nil"/>
              <w:bottom w:val="nil"/>
              <w:right w:val="single" w:sz="12" w:space="0" w:color="auto"/>
            </w:tcBorders>
            <w:shd w:val="clear" w:color="000000" w:fill="FFFFFF"/>
            <w:vAlign w:val="bottom"/>
          </w:tcPr>
          <w:p w14:paraId="3EAB9392"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-4.63</w:t>
            </w:r>
          </w:p>
        </w:tc>
        <w:tc>
          <w:tcPr>
            <w:tcW w:w="539" w:type="dxa"/>
            <w:tcBorders>
              <w:top w:val="nil"/>
              <w:left w:val="single" w:sz="12" w:space="0" w:color="auto"/>
              <w:bottom w:val="nil"/>
              <w:right w:val="nil"/>
            </w:tcBorders>
            <w:shd w:val="clear" w:color="000000" w:fill="FFFFFF"/>
            <w:noWrap/>
            <w:vAlign w:val="center"/>
          </w:tcPr>
          <w:p w14:paraId="574915D0"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49" w:type="dxa"/>
            <w:tcBorders>
              <w:top w:val="nil"/>
              <w:left w:val="nil"/>
              <w:bottom w:val="nil"/>
              <w:right w:val="single" w:sz="4" w:space="0" w:color="auto"/>
            </w:tcBorders>
            <w:shd w:val="clear" w:color="000000" w:fill="FFFFFF"/>
            <w:noWrap/>
            <w:vAlign w:val="center"/>
          </w:tcPr>
          <w:p w14:paraId="29D6BB3C"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2DD9AB23"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tcPr>
          <w:p w14:paraId="12873C5A"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69230BFB"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tcPr>
          <w:p w14:paraId="008F7A5F" w14:textId="77777777" w:rsidR="002961DC" w:rsidRPr="00A95729" w:rsidRDefault="002961DC" w:rsidP="00E56366">
            <w:pPr>
              <w:spacing w:after="0" w:line="240" w:lineRule="auto"/>
              <w:jc w:val="center"/>
              <w:rPr>
                <w:rFonts w:eastAsia="Times New Roman"/>
                <w:color w:val="000000"/>
                <w:sz w:val="18"/>
                <w:szCs w:val="18"/>
              </w:rPr>
            </w:pPr>
          </w:p>
        </w:tc>
        <w:tc>
          <w:tcPr>
            <w:tcW w:w="544" w:type="dxa"/>
            <w:tcBorders>
              <w:top w:val="nil"/>
              <w:left w:val="nil"/>
              <w:bottom w:val="nil"/>
              <w:right w:val="nil"/>
            </w:tcBorders>
            <w:shd w:val="clear" w:color="000000" w:fill="FFFFFF"/>
            <w:noWrap/>
            <w:vAlign w:val="bottom"/>
          </w:tcPr>
          <w:p w14:paraId="1B564E5A"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0.19</w:t>
            </w:r>
          </w:p>
        </w:tc>
        <w:tc>
          <w:tcPr>
            <w:tcW w:w="540" w:type="dxa"/>
            <w:tcBorders>
              <w:top w:val="nil"/>
              <w:left w:val="nil"/>
              <w:bottom w:val="nil"/>
              <w:right w:val="single" w:sz="4" w:space="0" w:color="auto"/>
            </w:tcBorders>
            <w:shd w:val="clear" w:color="000000" w:fill="FFFFFF"/>
            <w:noWrap/>
            <w:vAlign w:val="bottom"/>
          </w:tcPr>
          <w:p w14:paraId="5908A33E"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1.78</w:t>
            </w:r>
          </w:p>
        </w:tc>
        <w:tc>
          <w:tcPr>
            <w:tcW w:w="540" w:type="dxa"/>
            <w:tcBorders>
              <w:top w:val="nil"/>
              <w:left w:val="nil"/>
              <w:bottom w:val="nil"/>
              <w:right w:val="nil"/>
            </w:tcBorders>
            <w:shd w:val="clear" w:color="000000" w:fill="FFFFFF"/>
            <w:noWrap/>
            <w:vAlign w:val="bottom"/>
          </w:tcPr>
          <w:p w14:paraId="3B6B70FB"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0.29</w:t>
            </w:r>
          </w:p>
        </w:tc>
        <w:tc>
          <w:tcPr>
            <w:tcW w:w="450" w:type="dxa"/>
            <w:tcBorders>
              <w:top w:val="nil"/>
              <w:left w:val="nil"/>
              <w:bottom w:val="nil"/>
              <w:right w:val="single" w:sz="4" w:space="0" w:color="auto"/>
            </w:tcBorders>
            <w:shd w:val="clear" w:color="000000" w:fill="FFFFFF"/>
            <w:noWrap/>
            <w:vAlign w:val="bottom"/>
          </w:tcPr>
          <w:p w14:paraId="23DA1B1C"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3.38</w:t>
            </w:r>
          </w:p>
        </w:tc>
        <w:tc>
          <w:tcPr>
            <w:tcW w:w="540" w:type="dxa"/>
            <w:tcBorders>
              <w:top w:val="nil"/>
              <w:left w:val="nil"/>
              <w:bottom w:val="nil"/>
              <w:right w:val="nil"/>
            </w:tcBorders>
            <w:shd w:val="clear" w:color="000000" w:fill="FFFFFF"/>
            <w:noWrap/>
            <w:vAlign w:val="center"/>
          </w:tcPr>
          <w:p w14:paraId="014ED76B"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tcPr>
          <w:p w14:paraId="48AAD9F8"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bottom"/>
          </w:tcPr>
          <w:p w14:paraId="5D78DE7A"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0.19</w:t>
            </w:r>
          </w:p>
        </w:tc>
        <w:tc>
          <w:tcPr>
            <w:tcW w:w="454" w:type="dxa"/>
            <w:tcBorders>
              <w:top w:val="nil"/>
              <w:left w:val="nil"/>
              <w:bottom w:val="nil"/>
              <w:right w:val="single" w:sz="4" w:space="0" w:color="auto"/>
            </w:tcBorders>
            <w:shd w:val="clear" w:color="000000" w:fill="FFFFFF"/>
            <w:noWrap/>
            <w:vAlign w:val="bottom"/>
          </w:tcPr>
          <w:p w14:paraId="00FBDC65"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1.41</w:t>
            </w:r>
          </w:p>
        </w:tc>
        <w:tc>
          <w:tcPr>
            <w:tcW w:w="540" w:type="dxa"/>
            <w:tcBorders>
              <w:top w:val="nil"/>
              <w:left w:val="nil"/>
              <w:bottom w:val="nil"/>
              <w:right w:val="nil"/>
            </w:tcBorders>
            <w:shd w:val="clear" w:color="000000" w:fill="FFFFFF"/>
            <w:noWrap/>
            <w:vAlign w:val="bottom"/>
          </w:tcPr>
          <w:p w14:paraId="5942BBA6"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0.27</w:t>
            </w:r>
          </w:p>
        </w:tc>
        <w:tc>
          <w:tcPr>
            <w:tcW w:w="456" w:type="dxa"/>
            <w:tcBorders>
              <w:top w:val="nil"/>
              <w:left w:val="nil"/>
              <w:bottom w:val="nil"/>
              <w:right w:val="single" w:sz="12" w:space="0" w:color="auto"/>
            </w:tcBorders>
            <w:shd w:val="clear" w:color="000000" w:fill="FFFFFF"/>
            <w:noWrap/>
            <w:vAlign w:val="bottom"/>
          </w:tcPr>
          <w:p w14:paraId="7025A88B"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3.41</w:t>
            </w:r>
          </w:p>
        </w:tc>
        <w:tc>
          <w:tcPr>
            <w:tcW w:w="540" w:type="dxa"/>
            <w:tcBorders>
              <w:top w:val="nil"/>
              <w:left w:val="nil"/>
              <w:bottom w:val="nil"/>
              <w:right w:val="nil"/>
            </w:tcBorders>
            <w:shd w:val="clear" w:color="000000" w:fill="FFFFFF"/>
            <w:vAlign w:val="center"/>
          </w:tcPr>
          <w:p w14:paraId="6FBFCE9C"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540" w:type="dxa"/>
            <w:tcBorders>
              <w:top w:val="nil"/>
              <w:left w:val="nil"/>
              <w:bottom w:val="nil"/>
              <w:right w:val="single" w:sz="12" w:space="0" w:color="auto"/>
            </w:tcBorders>
            <w:shd w:val="clear" w:color="000000" w:fill="FFFFFF"/>
            <w:vAlign w:val="center"/>
          </w:tcPr>
          <w:p w14:paraId="2C662917"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630" w:type="dxa"/>
            <w:tcBorders>
              <w:top w:val="nil"/>
              <w:left w:val="single" w:sz="12" w:space="0" w:color="auto"/>
              <w:bottom w:val="nil"/>
              <w:right w:val="nil"/>
            </w:tcBorders>
            <w:shd w:val="clear" w:color="000000" w:fill="FFFFFF"/>
            <w:vAlign w:val="bottom"/>
          </w:tcPr>
          <w:p w14:paraId="664318EA"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0.05</w:t>
            </w:r>
          </w:p>
        </w:tc>
        <w:tc>
          <w:tcPr>
            <w:tcW w:w="542" w:type="dxa"/>
            <w:tcBorders>
              <w:top w:val="nil"/>
              <w:left w:val="nil"/>
              <w:bottom w:val="nil"/>
              <w:right w:val="single" w:sz="12" w:space="0" w:color="auto"/>
            </w:tcBorders>
            <w:shd w:val="clear" w:color="000000" w:fill="FFFFFF"/>
            <w:vAlign w:val="bottom"/>
          </w:tcPr>
          <w:p w14:paraId="371FC6BD"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1.99</w:t>
            </w:r>
          </w:p>
        </w:tc>
      </w:tr>
      <w:tr w:rsidR="002961DC" w:rsidRPr="00A95729" w14:paraId="36A29ED9" w14:textId="77777777" w:rsidTr="00E56366">
        <w:trPr>
          <w:trHeight w:val="20"/>
          <w:jc w:val="center"/>
        </w:trPr>
        <w:tc>
          <w:tcPr>
            <w:tcW w:w="2595" w:type="dxa"/>
            <w:tcBorders>
              <w:top w:val="nil"/>
              <w:left w:val="single" w:sz="12" w:space="0" w:color="auto"/>
              <w:bottom w:val="nil"/>
              <w:right w:val="single" w:sz="12" w:space="0" w:color="auto"/>
            </w:tcBorders>
            <w:shd w:val="clear" w:color="000000" w:fill="FFFFFF"/>
            <w:noWrap/>
            <w:vAlign w:val="bottom"/>
          </w:tcPr>
          <w:p w14:paraId="0B8CBFE2" w14:textId="77777777" w:rsidR="002961DC" w:rsidRPr="00A95729" w:rsidRDefault="002961DC" w:rsidP="00E56366">
            <w:pPr>
              <w:spacing w:after="0" w:line="240" w:lineRule="auto"/>
              <w:rPr>
                <w:rFonts w:eastAsia="Times New Roman"/>
                <w:color w:val="000000"/>
                <w:sz w:val="18"/>
                <w:szCs w:val="18"/>
              </w:rPr>
            </w:pPr>
            <w:r w:rsidRPr="00A95729">
              <w:rPr>
                <w:rFonts w:eastAsia="Times New Roman"/>
                <w:color w:val="000000"/>
                <w:sz w:val="18"/>
                <w:szCs w:val="18"/>
              </w:rPr>
              <w:t xml:space="preserve">     East South Central</w:t>
            </w:r>
          </w:p>
        </w:tc>
        <w:tc>
          <w:tcPr>
            <w:tcW w:w="537" w:type="dxa"/>
            <w:tcBorders>
              <w:top w:val="nil"/>
              <w:left w:val="single" w:sz="12" w:space="0" w:color="auto"/>
              <w:bottom w:val="nil"/>
            </w:tcBorders>
            <w:shd w:val="clear" w:color="000000" w:fill="FFFFFF"/>
            <w:vAlign w:val="bottom"/>
          </w:tcPr>
          <w:p w14:paraId="31AA02F7"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-0.27</w:t>
            </w:r>
          </w:p>
        </w:tc>
        <w:tc>
          <w:tcPr>
            <w:tcW w:w="541" w:type="dxa"/>
            <w:tcBorders>
              <w:top w:val="nil"/>
              <w:left w:val="nil"/>
              <w:bottom w:val="nil"/>
              <w:right w:val="single" w:sz="12" w:space="0" w:color="auto"/>
            </w:tcBorders>
            <w:shd w:val="clear" w:color="000000" w:fill="FFFFFF"/>
            <w:vAlign w:val="bottom"/>
          </w:tcPr>
          <w:p w14:paraId="62408A9B"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-4.24</w:t>
            </w:r>
          </w:p>
        </w:tc>
        <w:tc>
          <w:tcPr>
            <w:tcW w:w="539" w:type="dxa"/>
            <w:tcBorders>
              <w:top w:val="nil"/>
              <w:left w:val="single" w:sz="12" w:space="0" w:color="auto"/>
              <w:bottom w:val="nil"/>
              <w:right w:val="nil"/>
            </w:tcBorders>
            <w:shd w:val="clear" w:color="000000" w:fill="FFFFFF"/>
            <w:noWrap/>
            <w:vAlign w:val="center"/>
          </w:tcPr>
          <w:p w14:paraId="61124415"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49" w:type="dxa"/>
            <w:tcBorders>
              <w:top w:val="nil"/>
              <w:left w:val="nil"/>
              <w:bottom w:val="nil"/>
              <w:right w:val="single" w:sz="4" w:space="0" w:color="auto"/>
            </w:tcBorders>
            <w:shd w:val="clear" w:color="000000" w:fill="FFFFFF"/>
            <w:noWrap/>
            <w:vAlign w:val="center"/>
          </w:tcPr>
          <w:p w14:paraId="14CAC96D"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429E0E60"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tcPr>
          <w:p w14:paraId="449A400F"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6C98485A"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tcPr>
          <w:p w14:paraId="291C9AC9" w14:textId="77777777" w:rsidR="002961DC" w:rsidRPr="00A95729" w:rsidRDefault="002961DC" w:rsidP="00E56366">
            <w:pPr>
              <w:spacing w:after="0" w:line="240" w:lineRule="auto"/>
              <w:jc w:val="center"/>
              <w:rPr>
                <w:rFonts w:eastAsia="Times New Roman"/>
                <w:color w:val="000000"/>
                <w:sz w:val="18"/>
                <w:szCs w:val="18"/>
              </w:rPr>
            </w:pPr>
          </w:p>
        </w:tc>
        <w:tc>
          <w:tcPr>
            <w:tcW w:w="544" w:type="dxa"/>
            <w:tcBorders>
              <w:top w:val="nil"/>
              <w:left w:val="nil"/>
              <w:bottom w:val="nil"/>
              <w:right w:val="nil"/>
            </w:tcBorders>
            <w:shd w:val="clear" w:color="000000" w:fill="FFFFFF"/>
            <w:noWrap/>
            <w:vAlign w:val="center"/>
          </w:tcPr>
          <w:p w14:paraId="496ACEAF"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540" w:type="dxa"/>
            <w:tcBorders>
              <w:top w:val="nil"/>
              <w:left w:val="nil"/>
              <w:bottom w:val="nil"/>
              <w:right w:val="single" w:sz="4" w:space="0" w:color="auto"/>
            </w:tcBorders>
            <w:shd w:val="clear" w:color="000000" w:fill="FFFFFF"/>
            <w:noWrap/>
            <w:vAlign w:val="center"/>
          </w:tcPr>
          <w:p w14:paraId="2187FC39"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78E3D8B7"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tcPr>
          <w:p w14:paraId="57FDE5A8"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bottom"/>
          </w:tcPr>
          <w:p w14:paraId="42603D91"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0.23</w:t>
            </w:r>
          </w:p>
        </w:tc>
        <w:tc>
          <w:tcPr>
            <w:tcW w:w="450" w:type="dxa"/>
            <w:tcBorders>
              <w:top w:val="nil"/>
              <w:left w:val="nil"/>
              <w:bottom w:val="nil"/>
              <w:right w:val="single" w:sz="4" w:space="0" w:color="auto"/>
            </w:tcBorders>
            <w:shd w:val="clear" w:color="000000" w:fill="FFFFFF"/>
            <w:noWrap/>
            <w:vAlign w:val="bottom"/>
          </w:tcPr>
          <w:p w14:paraId="0126ADDC"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1.73</w:t>
            </w:r>
          </w:p>
        </w:tc>
        <w:tc>
          <w:tcPr>
            <w:tcW w:w="540" w:type="dxa"/>
            <w:tcBorders>
              <w:top w:val="nil"/>
              <w:left w:val="nil"/>
              <w:bottom w:val="nil"/>
              <w:right w:val="nil"/>
            </w:tcBorders>
            <w:shd w:val="clear" w:color="000000" w:fill="FFFFFF"/>
            <w:noWrap/>
            <w:vAlign w:val="bottom"/>
          </w:tcPr>
          <w:p w14:paraId="43E87DA7"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0.32</w:t>
            </w:r>
          </w:p>
        </w:tc>
        <w:tc>
          <w:tcPr>
            <w:tcW w:w="454" w:type="dxa"/>
            <w:tcBorders>
              <w:top w:val="nil"/>
              <w:left w:val="nil"/>
              <w:bottom w:val="nil"/>
              <w:right w:val="single" w:sz="4" w:space="0" w:color="auto"/>
            </w:tcBorders>
            <w:shd w:val="clear" w:color="000000" w:fill="FFFFFF"/>
            <w:noWrap/>
            <w:vAlign w:val="bottom"/>
          </w:tcPr>
          <w:p w14:paraId="49295A5E"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2.90</w:t>
            </w:r>
          </w:p>
        </w:tc>
        <w:tc>
          <w:tcPr>
            <w:tcW w:w="540" w:type="dxa"/>
            <w:tcBorders>
              <w:top w:val="nil"/>
              <w:left w:val="nil"/>
              <w:bottom w:val="nil"/>
              <w:right w:val="nil"/>
            </w:tcBorders>
            <w:shd w:val="clear" w:color="000000" w:fill="FFFFFF"/>
            <w:noWrap/>
            <w:vAlign w:val="center"/>
          </w:tcPr>
          <w:p w14:paraId="527CA043"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6" w:type="dxa"/>
            <w:tcBorders>
              <w:top w:val="nil"/>
              <w:left w:val="nil"/>
              <w:bottom w:val="nil"/>
              <w:right w:val="single" w:sz="12" w:space="0" w:color="auto"/>
            </w:tcBorders>
            <w:shd w:val="clear" w:color="000000" w:fill="FFFFFF"/>
            <w:noWrap/>
            <w:vAlign w:val="center"/>
          </w:tcPr>
          <w:p w14:paraId="121D1B8F"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vAlign w:val="bottom"/>
          </w:tcPr>
          <w:p w14:paraId="01B7020A"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-0.15</w:t>
            </w:r>
          </w:p>
        </w:tc>
        <w:tc>
          <w:tcPr>
            <w:tcW w:w="540" w:type="dxa"/>
            <w:tcBorders>
              <w:top w:val="nil"/>
              <w:left w:val="nil"/>
              <w:bottom w:val="nil"/>
              <w:right w:val="single" w:sz="12" w:space="0" w:color="auto"/>
            </w:tcBorders>
            <w:shd w:val="clear" w:color="000000" w:fill="FFFFFF"/>
            <w:vAlign w:val="bottom"/>
          </w:tcPr>
          <w:p w14:paraId="64D5D8E0"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-2.27</w:t>
            </w:r>
          </w:p>
        </w:tc>
        <w:tc>
          <w:tcPr>
            <w:tcW w:w="630" w:type="dxa"/>
            <w:tcBorders>
              <w:top w:val="nil"/>
              <w:left w:val="single" w:sz="12" w:space="0" w:color="auto"/>
              <w:bottom w:val="nil"/>
              <w:right w:val="nil"/>
            </w:tcBorders>
            <w:shd w:val="clear" w:color="000000" w:fill="FFFFFF"/>
            <w:vAlign w:val="bottom"/>
          </w:tcPr>
          <w:p w14:paraId="7AEDFFC3"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-0.12</w:t>
            </w:r>
          </w:p>
        </w:tc>
        <w:tc>
          <w:tcPr>
            <w:tcW w:w="542" w:type="dxa"/>
            <w:tcBorders>
              <w:top w:val="nil"/>
              <w:left w:val="nil"/>
              <w:bottom w:val="nil"/>
              <w:right w:val="single" w:sz="12" w:space="0" w:color="auto"/>
            </w:tcBorders>
            <w:shd w:val="clear" w:color="000000" w:fill="FFFFFF"/>
            <w:vAlign w:val="bottom"/>
          </w:tcPr>
          <w:p w14:paraId="1779CC63"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-2.83</w:t>
            </w:r>
          </w:p>
        </w:tc>
      </w:tr>
      <w:tr w:rsidR="002961DC" w:rsidRPr="00A95729" w14:paraId="572A3765" w14:textId="77777777" w:rsidTr="00E56366">
        <w:trPr>
          <w:trHeight w:val="20"/>
          <w:jc w:val="center"/>
        </w:trPr>
        <w:tc>
          <w:tcPr>
            <w:tcW w:w="2595" w:type="dxa"/>
            <w:tcBorders>
              <w:top w:val="nil"/>
              <w:left w:val="single" w:sz="12" w:space="0" w:color="auto"/>
              <w:bottom w:val="nil"/>
              <w:right w:val="single" w:sz="12" w:space="0" w:color="auto"/>
            </w:tcBorders>
            <w:shd w:val="clear" w:color="000000" w:fill="FFFFFF"/>
            <w:noWrap/>
            <w:vAlign w:val="bottom"/>
          </w:tcPr>
          <w:p w14:paraId="17B4BD1B" w14:textId="77777777" w:rsidR="002961DC" w:rsidRPr="00A95729" w:rsidRDefault="002961DC" w:rsidP="00E56366">
            <w:pPr>
              <w:spacing w:after="0" w:line="240" w:lineRule="auto"/>
              <w:rPr>
                <w:rFonts w:eastAsia="Times New Roman"/>
                <w:color w:val="000000"/>
                <w:sz w:val="18"/>
                <w:szCs w:val="18"/>
              </w:rPr>
            </w:pPr>
            <w:r w:rsidRPr="00A95729">
              <w:rPr>
                <w:rFonts w:eastAsia="Times New Roman"/>
                <w:color w:val="000000"/>
                <w:sz w:val="18"/>
                <w:szCs w:val="18"/>
              </w:rPr>
              <w:t xml:space="preserve">     West South Central</w:t>
            </w:r>
          </w:p>
        </w:tc>
        <w:tc>
          <w:tcPr>
            <w:tcW w:w="537" w:type="dxa"/>
            <w:tcBorders>
              <w:top w:val="nil"/>
              <w:left w:val="single" w:sz="12" w:space="0" w:color="auto"/>
              <w:bottom w:val="nil"/>
            </w:tcBorders>
            <w:shd w:val="clear" w:color="000000" w:fill="FFFFFF"/>
            <w:vAlign w:val="bottom"/>
          </w:tcPr>
          <w:p w14:paraId="0BC77939"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-0.36</w:t>
            </w:r>
          </w:p>
        </w:tc>
        <w:tc>
          <w:tcPr>
            <w:tcW w:w="541" w:type="dxa"/>
            <w:tcBorders>
              <w:top w:val="nil"/>
              <w:left w:val="nil"/>
              <w:bottom w:val="nil"/>
              <w:right w:val="single" w:sz="12" w:space="0" w:color="auto"/>
            </w:tcBorders>
            <w:shd w:val="clear" w:color="000000" w:fill="FFFFFF"/>
            <w:vAlign w:val="bottom"/>
          </w:tcPr>
          <w:p w14:paraId="7E822CF6"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-7.30</w:t>
            </w:r>
          </w:p>
        </w:tc>
        <w:tc>
          <w:tcPr>
            <w:tcW w:w="539" w:type="dxa"/>
            <w:tcBorders>
              <w:top w:val="nil"/>
              <w:left w:val="single" w:sz="12" w:space="0" w:color="auto"/>
              <w:bottom w:val="nil"/>
              <w:right w:val="nil"/>
            </w:tcBorders>
            <w:shd w:val="clear" w:color="000000" w:fill="FFFFFF"/>
            <w:noWrap/>
            <w:vAlign w:val="center"/>
          </w:tcPr>
          <w:p w14:paraId="6303CE7A"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49" w:type="dxa"/>
            <w:tcBorders>
              <w:top w:val="nil"/>
              <w:left w:val="nil"/>
              <w:bottom w:val="nil"/>
              <w:right w:val="single" w:sz="4" w:space="0" w:color="auto"/>
            </w:tcBorders>
            <w:shd w:val="clear" w:color="000000" w:fill="FFFFFF"/>
            <w:noWrap/>
            <w:vAlign w:val="center"/>
          </w:tcPr>
          <w:p w14:paraId="24151AEE"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58B6D28F"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tcPr>
          <w:p w14:paraId="78B89754"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5C927A7C"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tcPr>
          <w:p w14:paraId="7A71C262" w14:textId="77777777" w:rsidR="002961DC" w:rsidRPr="00A95729" w:rsidRDefault="002961DC" w:rsidP="00E56366">
            <w:pPr>
              <w:spacing w:after="0" w:line="240" w:lineRule="auto"/>
              <w:jc w:val="center"/>
              <w:rPr>
                <w:rFonts w:eastAsia="Times New Roman"/>
                <w:color w:val="000000"/>
                <w:sz w:val="18"/>
                <w:szCs w:val="18"/>
              </w:rPr>
            </w:pPr>
          </w:p>
        </w:tc>
        <w:tc>
          <w:tcPr>
            <w:tcW w:w="544" w:type="dxa"/>
            <w:tcBorders>
              <w:top w:val="nil"/>
              <w:left w:val="nil"/>
              <w:bottom w:val="nil"/>
              <w:right w:val="nil"/>
            </w:tcBorders>
            <w:shd w:val="clear" w:color="000000" w:fill="FFFFFF"/>
            <w:noWrap/>
            <w:vAlign w:val="center"/>
          </w:tcPr>
          <w:p w14:paraId="793B138C"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540" w:type="dxa"/>
            <w:tcBorders>
              <w:top w:val="nil"/>
              <w:left w:val="nil"/>
              <w:bottom w:val="nil"/>
              <w:right w:val="single" w:sz="4" w:space="0" w:color="auto"/>
            </w:tcBorders>
            <w:shd w:val="clear" w:color="000000" w:fill="FFFFFF"/>
            <w:noWrap/>
            <w:vAlign w:val="center"/>
          </w:tcPr>
          <w:p w14:paraId="6A69DC11"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7A2C5BE7"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tcPr>
          <w:p w14:paraId="12CEA40F"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bottom"/>
          </w:tcPr>
          <w:p w14:paraId="1C787FBC"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0.27</w:t>
            </w:r>
          </w:p>
        </w:tc>
        <w:tc>
          <w:tcPr>
            <w:tcW w:w="450" w:type="dxa"/>
            <w:tcBorders>
              <w:top w:val="nil"/>
              <w:left w:val="nil"/>
              <w:bottom w:val="nil"/>
              <w:right w:val="single" w:sz="4" w:space="0" w:color="auto"/>
            </w:tcBorders>
            <w:shd w:val="clear" w:color="000000" w:fill="FFFFFF"/>
            <w:noWrap/>
            <w:vAlign w:val="bottom"/>
          </w:tcPr>
          <w:p w14:paraId="55C9102F"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2.31</w:t>
            </w:r>
          </w:p>
        </w:tc>
        <w:tc>
          <w:tcPr>
            <w:tcW w:w="540" w:type="dxa"/>
            <w:tcBorders>
              <w:top w:val="nil"/>
              <w:left w:val="nil"/>
              <w:bottom w:val="nil"/>
              <w:right w:val="nil"/>
            </w:tcBorders>
            <w:shd w:val="clear" w:color="000000" w:fill="FFFFFF"/>
            <w:noWrap/>
            <w:vAlign w:val="bottom"/>
          </w:tcPr>
          <w:p w14:paraId="1D7EC074"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0.22</w:t>
            </w:r>
          </w:p>
        </w:tc>
        <w:tc>
          <w:tcPr>
            <w:tcW w:w="454" w:type="dxa"/>
            <w:tcBorders>
              <w:top w:val="nil"/>
              <w:left w:val="nil"/>
              <w:bottom w:val="nil"/>
              <w:right w:val="single" w:sz="4" w:space="0" w:color="auto"/>
            </w:tcBorders>
            <w:shd w:val="clear" w:color="000000" w:fill="FFFFFF"/>
            <w:noWrap/>
            <w:vAlign w:val="bottom"/>
          </w:tcPr>
          <w:p w14:paraId="22A9F2C4"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1.84</w:t>
            </w:r>
          </w:p>
        </w:tc>
        <w:tc>
          <w:tcPr>
            <w:tcW w:w="540" w:type="dxa"/>
            <w:tcBorders>
              <w:top w:val="nil"/>
              <w:left w:val="nil"/>
              <w:bottom w:val="nil"/>
              <w:right w:val="nil"/>
            </w:tcBorders>
            <w:shd w:val="clear" w:color="000000" w:fill="FFFFFF"/>
            <w:noWrap/>
            <w:vAlign w:val="center"/>
          </w:tcPr>
          <w:p w14:paraId="6CD30DC3"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6" w:type="dxa"/>
            <w:tcBorders>
              <w:top w:val="nil"/>
              <w:left w:val="nil"/>
              <w:bottom w:val="nil"/>
              <w:right w:val="single" w:sz="12" w:space="0" w:color="auto"/>
            </w:tcBorders>
            <w:shd w:val="clear" w:color="000000" w:fill="FFFFFF"/>
            <w:noWrap/>
            <w:vAlign w:val="center"/>
          </w:tcPr>
          <w:p w14:paraId="77C3D365"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vAlign w:val="bottom"/>
          </w:tcPr>
          <w:p w14:paraId="2E91B6B7"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-0.08</w:t>
            </w:r>
          </w:p>
        </w:tc>
        <w:tc>
          <w:tcPr>
            <w:tcW w:w="540" w:type="dxa"/>
            <w:tcBorders>
              <w:top w:val="nil"/>
              <w:left w:val="nil"/>
              <w:bottom w:val="nil"/>
              <w:right w:val="single" w:sz="12" w:space="0" w:color="auto"/>
            </w:tcBorders>
            <w:shd w:val="clear" w:color="000000" w:fill="FFFFFF"/>
            <w:vAlign w:val="bottom"/>
          </w:tcPr>
          <w:p w14:paraId="271B490C"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-1.70</w:t>
            </w:r>
          </w:p>
        </w:tc>
        <w:tc>
          <w:tcPr>
            <w:tcW w:w="630" w:type="dxa"/>
            <w:tcBorders>
              <w:top w:val="nil"/>
              <w:left w:val="single" w:sz="12" w:space="0" w:color="auto"/>
              <w:bottom w:val="nil"/>
              <w:right w:val="nil"/>
            </w:tcBorders>
            <w:shd w:val="clear" w:color="000000" w:fill="FFFFFF"/>
            <w:vAlign w:val="bottom"/>
          </w:tcPr>
          <w:p w14:paraId="5CCE1E89"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-0.07</w:t>
            </w:r>
          </w:p>
        </w:tc>
        <w:tc>
          <w:tcPr>
            <w:tcW w:w="542" w:type="dxa"/>
            <w:tcBorders>
              <w:top w:val="nil"/>
              <w:left w:val="nil"/>
              <w:bottom w:val="nil"/>
              <w:right w:val="single" w:sz="12" w:space="0" w:color="auto"/>
            </w:tcBorders>
            <w:shd w:val="clear" w:color="000000" w:fill="FFFFFF"/>
            <w:vAlign w:val="bottom"/>
          </w:tcPr>
          <w:p w14:paraId="6A764B0E"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-2.29</w:t>
            </w:r>
          </w:p>
        </w:tc>
      </w:tr>
      <w:tr w:rsidR="002961DC" w:rsidRPr="00A95729" w14:paraId="25A2D2EC" w14:textId="77777777" w:rsidTr="00E56366">
        <w:trPr>
          <w:trHeight w:val="20"/>
          <w:jc w:val="center"/>
        </w:trPr>
        <w:tc>
          <w:tcPr>
            <w:tcW w:w="2595" w:type="dxa"/>
            <w:tcBorders>
              <w:top w:val="nil"/>
              <w:left w:val="single" w:sz="12" w:space="0" w:color="auto"/>
              <w:right w:val="single" w:sz="12" w:space="0" w:color="auto"/>
            </w:tcBorders>
            <w:shd w:val="clear" w:color="000000" w:fill="FFFFFF"/>
            <w:noWrap/>
            <w:vAlign w:val="bottom"/>
          </w:tcPr>
          <w:p w14:paraId="099BF955" w14:textId="77777777" w:rsidR="002961DC" w:rsidRPr="00A95729" w:rsidRDefault="002961DC" w:rsidP="00E56366">
            <w:pPr>
              <w:spacing w:after="0" w:line="240" w:lineRule="auto"/>
              <w:rPr>
                <w:rFonts w:eastAsia="Times New Roman"/>
                <w:color w:val="000000"/>
                <w:sz w:val="18"/>
                <w:szCs w:val="18"/>
              </w:rPr>
            </w:pPr>
            <w:r w:rsidRPr="00A95729">
              <w:rPr>
                <w:rFonts w:eastAsia="Times New Roman"/>
                <w:color w:val="000000"/>
                <w:sz w:val="18"/>
                <w:szCs w:val="18"/>
              </w:rPr>
              <w:t xml:space="preserve">     Mountain</w:t>
            </w:r>
          </w:p>
        </w:tc>
        <w:tc>
          <w:tcPr>
            <w:tcW w:w="537" w:type="dxa"/>
            <w:tcBorders>
              <w:top w:val="nil"/>
              <w:left w:val="single" w:sz="12" w:space="0" w:color="auto"/>
            </w:tcBorders>
            <w:shd w:val="clear" w:color="000000" w:fill="FFFFFF"/>
            <w:vAlign w:val="bottom"/>
          </w:tcPr>
          <w:p w14:paraId="3FB8EAFA"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-0.24</w:t>
            </w:r>
          </w:p>
        </w:tc>
        <w:tc>
          <w:tcPr>
            <w:tcW w:w="541" w:type="dxa"/>
            <w:tcBorders>
              <w:top w:val="nil"/>
              <w:left w:val="nil"/>
              <w:right w:val="single" w:sz="12" w:space="0" w:color="auto"/>
            </w:tcBorders>
            <w:shd w:val="clear" w:color="000000" w:fill="FFFFFF"/>
            <w:vAlign w:val="bottom"/>
          </w:tcPr>
          <w:p w14:paraId="341B3C08"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-4.48</w:t>
            </w:r>
          </w:p>
        </w:tc>
        <w:tc>
          <w:tcPr>
            <w:tcW w:w="539" w:type="dxa"/>
            <w:tcBorders>
              <w:top w:val="nil"/>
              <w:left w:val="single" w:sz="12" w:space="0" w:color="auto"/>
              <w:right w:val="nil"/>
            </w:tcBorders>
            <w:shd w:val="clear" w:color="000000" w:fill="FFFFFF"/>
            <w:noWrap/>
            <w:vAlign w:val="center"/>
          </w:tcPr>
          <w:p w14:paraId="13DAD620"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49" w:type="dxa"/>
            <w:tcBorders>
              <w:top w:val="nil"/>
              <w:left w:val="nil"/>
              <w:right w:val="single" w:sz="4" w:space="0" w:color="auto"/>
            </w:tcBorders>
            <w:shd w:val="clear" w:color="000000" w:fill="FFFFFF"/>
            <w:noWrap/>
            <w:vAlign w:val="center"/>
          </w:tcPr>
          <w:p w14:paraId="4D554D96"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right w:val="nil"/>
            </w:tcBorders>
            <w:shd w:val="clear" w:color="000000" w:fill="FFFFFF"/>
            <w:noWrap/>
            <w:vAlign w:val="center"/>
          </w:tcPr>
          <w:p w14:paraId="5C8E43AA"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right w:val="single" w:sz="4" w:space="0" w:color="auto"/>
            </w:tcBorders>
            <w:shd w:val="clear" w:color="000000" w:fill="FFFFFF"/>
            <w:noWrap/>
            <w:vAlign w:val="center"/>
          </w:tcPr>
          <w:p w14:paraId="58C6B83C"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right w:val="nil"/>
            </w:tcBorders>
            <w:shd w:val="clear" w:color="000000" w:fill="FFFFFF"/>
            <w:noWrap/>
            <w:vAlign w:val="center"/>
          </w:tcPr>
          <w:p w14:paraId="5A96A9B7"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right w:val="single" w:sz="4" w:space="0" w:color="auto"/>
            </w:tcBorders>
            <w:shd w:val="clear" w:color="000000" w:fill="FFFFFF"/>
            <w:noWrap/>
            <w:vAlign w:val="center"/>
          </w:tcPr>
          <w:p w14:paraId="60F9BC1A" w14:textId="77777777" w:rsidR="002961DC" w:rsidRPr="00A95729" w:rsidRDefault="002961DC" w:rsidP="00E56366">
            <w:pPr>
              <w:spacing w:after="0" w:line="240" w:lineRule="auto"/>
              <w:jc w:val="center"/>
              <w:rPr>
                <w:rFonts w:eastAsia="Times New Roman"/>
                <w:color w:val="000000"/>
                <w:sz w:val="18"/>
                <w:szCs w:val="18"/>
              </w:rPr>
            </w:pPr>
          </w:p>
        </w:tc>
        <w:tc>
          <w:tcPr>
            <w:tcW w:w="544" w:type="dxa"/>
            <w:tcBorders>
              <w:top w:val="nil"/>
              <w:left w:val="nil"/>
              <w:right w:val="nil"/>
            </w:tcBorders>
            <w:shd w:val="clear" w:color="000000" w:fill="FFFFFF"/>
            <w:noWrap/>
            <w:vAlign w:val="center"/>
          </w:tcPr>
          <w:p w14:paraId="67B21D7D"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540" w:type="dxa"/>
            <w:tcBorders>
              <w:top w:val="nil"/>
              <w:left w:val="nil"/>
              <w:right w:val="single" w:sz="4" w:space="0" w:color="auto"/>
            </w:tcBorders>
            <w:shd w:val="clear" w:color="000000" w:fill="FFFFFF"/>
            <w:noWrap/>
            <w:vAlign w:val="center"/>
          </w:tcPr>
          <w:p w14:paraId="372241C4"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right w:val="nil"/>
            </w:tcBorders>
            <w:shd w:val="clear" w:color="000000" w:fill="FFFFFF"/>
            <w:noWrap/>
            <w:vAlign w:val="center"/>
          </w:tcPr>
          <w:p w14:paraId="3841D19F"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right w:val="single" w:sz="4" w:space="0" w:color="auto"/>
            </w:tcBorders>
            <w:shd w:val="clear" w:color="000000" w:fill="FFFFFF"/>
            <w:noWrap/>
            <w:vAlign w:val="center"/>
          </w:tcPr>
          <w:p w14:paraId="50139D4C"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right w:val="nil"/>
            </w:tcBorders>
            <w:shd w:val="clear" w:color="000000" w:fill="FFFFFF"/>
            <w:noWrap/>
            <w:vAlign w:val="center"/>
          </w:tcPr>
          <w:p w14:paraId="1B8652F7"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right w:val="single" w:sz="4" w:space="0" w:color="auto"/>
            </w:tcBorders>
            <w:shd w:val="clear" w:color="000000" w:fill="FFFFFF"/>
            <w:noWrap/>
            <w:vAlign w:val="center"/>
          </w:tcPr>
          <w:p w14:paraId="0B2985DB"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right w:val="nil"/>
            </w:tcBorders>
            <w:shd w:val="clear" w:color="000000" w:fill="FFFFFF"/>
            <w:noWrap/>
            <w:vAlign w:val="bottom"/>
          </w:tcPr>
          <w:p w14:paraId="5300D7E8"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0.29</w:t>
            </w:r>
          </w:p>
        </w:tc>
        <w:tc>
          <w:tcPr>
            <w:tcW w:w="454" w:type="dxa"/>
            <w:tcBorders>
              <w:top w:val="nil"/>
              <w:left w:val="nil"/>
              <w:right w:val="single" w:sz="4" w:space="0" w:color="auto"/>
            </w:tcBorders>
            <w:shd w:val="clear" w:color="000000" w:fill="FFFFFF"/>
            <w:noWrap/>
            <w:vAlign w:val="bottom"/>
          </w:tcPr>
          <w:p w14:paraId="6267C5B5"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2.82</w:t>
            </w:r>
          </w:p>
        </w:tc>
        <w:tc>
          <w:tcPr>
            <w:tcW w:w="540" w:type="dxa"/>
            <w:tcBorders>
              <w:top w:val="nil"/>
              <w:left w:val="nil"/>
              <w:right w:val="nil"/>
            </w:tcBorders>
            <w:shd w:val="clear" w:color="000000" w:fill="FFFFFF"/>
            <w:noWrap/>
            <w:vAlign w:val="bottom"/>
          </w:tcPr>
          <w:p w14:paraId="42189635"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0.18</w:t>
            </w:r>
          </w:p>
        </w:tc>
        <w:tc>
          <w:tcPr>
            <w:tcW w:w="456" w:type="dxa"/>
            <w:tcBorders>
              <w:top w:val="nil"/>
              <w:left w:val="nil"/>
              <w:right w:val="single" w:sz="12" w:space="0" w:color="auto"/>
            </w:tcBorders>
            <w:shd w:val="clear" w:color="000000" w:fill="FFFFFF"/>
            <w:noWrap/>
            <w:vAlign w:val="bottom"/>
          </w:tcPr>
          <w:p w14:paraId="444746D8"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1.71</w:t>
            </w:r>
          </w:p>
        </w:tc>
        <w:tc>
          <w:tcPr>
            <w:tcW w:w="540" w:type="dxa"/>
            <w:tcBorders>
              <w:top w:val="nil"/>
              <w:left w:val="nil"/>
              <w:right w:val="nil"/>
            </w:tcBorders>
            <w:shd w:val="clear" w:color="000000" w:fill="FFFFFF"/>
            <w:vAlign w:val="bottom"/>
          </w:tcPr>
          <w:p w14:paraId="7D75B344"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0.18</w:t>
            </w:r>
          </w:p>
        </w:tc>
        <w:tc>
          <w:tcPr>
            <w:tcW w:w="540" w:type="dxa"/>
            <w:tcBorders>
              <w:top w:val="nil"/>
              <w:left w:val="nil"/>
              <w:right w:val="single" w:sz="12" w:space="0" w:color="auto"/>
            </w:tcBorders>
            <w:shd w:val="clear" w:color="000000" w:fill="FFFFFF"/>
            <w:vAlign w:val="bottom"/>
          </w:tcPr>
          <w:p w14:paraId="276B4000"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3.15</w:t>
            </w:r>
          </w:p>
        </w:tc>
        <w:tc>
          <w:tcPr>
            <w:tcW w:w="630" w:type="dxa"/>
            <w:tcBorders>
              <w:top w:val="nil"/>
              <w:left w:val="single" w:sz="12" w:space="0" w:color="auto"/>
              <w:right w:val="nil"/>
            </w:tcBorders>
            <w:shd w:val="clear" w:color="000000" w:fill="FFFFFF"/>
            <w:vAlign w:val="center"/>
          </w:tcPr>
          <w:p w14:paraId="5883030F"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542" w:type="dxa"/>
            <w:tcBorders>
              <w:top w:val="nil"/>
              <w:left w:val="nil"/>
              <w:right w:val="single" w:sz="12" w:space="0" w:color="auto"/>
            </w:tcBorders>
            <w:shd w:val="clear" w:color="000000" w:fill="FFFFFF"/>
            <w:vAlign w:val="bottom"/>
          </w:tcPr>
          <w:p w14:paraId="35194618" w14:textId="77777777" w:rsidR="002961DC" w:rsidRPr="00A95729" w:rsidRDefault="002961DC" w:rsidP="00E56366">
            <w:pPr>
              <w:spacing w:after="0" w:line="240" w:lineRule="auto"/>
              <w:jc w:val="center"/>
              <w:rPr>
                <w:rFonts w:eastAsia="Times New Roman"/>
                <w:color w:val="000000"/>
                <w:sz w:val="18"/>
                <w:szCs w:val="18"/>
              </w:rPr>
            </w:pPr>
          </w:p>
        </w:tc>
      </w:tr>
      <w:tr w:rsidR="002961DC" w:rsidRPr="00A95729" w14:paraId="73C75715" w14:textId="77777777" w:rsidTr="00E56366">
        <w:trPr>
          <w:trHeight w:val="20"/>
          <w:jc w:val="center"/>
        </w:trPr>
        <w:tc>
          <w:tcPr>
            <w:tcW w:w="2595" w:type="dxa"/>
            <w:tcBorders>
              <w:top w:val="nil"/>
              <w:left w:val="single" w:sz="12" w:space="0" w:color="auto"/>
              <w:bottom w:val="single" w:sz="4" w:space="0" w:color="auto"/>
              <w:right w:val="single" w:sz="12" w:space="0" w:color="auto"/>
            </w:tcBorders>
            <w:shd w:val="clear" w:color="000000" w:fill="FFFFFF"/>
            <w:noWrap/>
            <w:vAlign w:val="bottom"/>
          </w:tcPr>
          <w:p w14:paraId="72827728" w14:textId="77777777" w:rsidR="002961DC" w:rsidRPr="00A95729" w:rsidRDefault="002961DC" w:rsidP="00E56366">
            <w:pPr>
              <w:spacing w:after="0" w:line="240" w:lineRule="auto"/>
              <w:rPr>
                <w:rFonts w:eastAsia="Times New Roman"/>
                <w:color w:val="000000"/>
                <w:sz w:val="18"/>
                <w:szCs w:val="18"/>
              </w:rPr>
            </w:pPr>
            <w:r w:rsidRPr="00A95729">
              <w:rPr>
                <w:rFonts w:eastAsia="Times New Roman"/>
                <w:color w:val="000000"/>
                <w:sz w:val="18"/>
                <w:szCs w:val="18"/>
              </w:rPr>
              <w:t xml:space="preserve">     Pacific</w:t>
            </w:r>
          </w:p>
        </w:tc>
        <w:tc>
          <w:tcPr>
            <w:tcW w:w="537" w:type="dxa"/>
            <w:tcBorders>
              <w:top w:val="nil"/>
              <w:left w:val="single" w:sz="12" w:space="0" w:color="auto"/>
              <w:bottom w:val="single" w:sz="4" w:space="0" w:color="auto"/>
            </w:tcBorders>
            <w:shd w:val="clear" w:color="000000" w:fill="FFFFFF"/>
            <w:vAlign w:val="center"/>
          </w:tcPr>
          <w:p w14:paraId="1222280E"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541" w:type="dxa"/>
            <w:tcBorders>
              <w:top w:val="nil"/>
              <w:left w:val="nil"/>
              <w:bottom w:val="single" w:sz="4" w:space="0" w:color="auto"/>
              <w:right w:val="single" w:sz="12" w:space="0" w:color="auto"/>
            </w:tcBorders>
            <w:shd w:val="clear" w:color="000000" w:fill="FFFFFF"/>
            <w:vAlign w:val="center"/>
          </w:tcPr>
          <w:p w14:paraId="43675191"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39" w:type="dxa"/>
            <w:tcBorders>
              <w:top w:val="nil"/>
              <w:left w:val="single" w:sz="12" w:space="0" w:color="auto"/>
              <w:bottom w:val="single" w:sz="4" w:space="0" w:color="auto"/>
              <w:right w:val="nil"/>
            </w:tcBorders>
            <w:shd w:val="clear" w:color="000000" w:fill="FFFFFF"/>
            <w:noWrap/>
            <w:vAlign w:val="center"/>
          </w:tcPr>
          <w:p w14:paraId="6DB0EF28"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49" w:type="dxa"/>
            <w:tcBorders>
              <w:top w:val="nil"/>
              <w:left w:val="nil"/>
              <w:bottom w:val="single" w:sz="4" w:space="0" w:color="auto"/>
              <w:right w:val="single" w:sz="4" w:space="0" w:color="auto"/>
            </w:tcBorders>
            <w:shd w:val="clear" w:color="000000" w:fill="FFFFFF"/>
            <w:noWrap/>
            <w:vAlign w:val="center"/>
          </w:tcPr>
          <w:p w14:paraId="37D3B650"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single" w:sz="4" w:space="0" w:color="auto"/>
              <w:right w:val="nil"/>
            </w:tcBorders>
            <w:shd w:val="clear" w:color="000000" w:fill="FFFFFF"/>
            <w:noWrap/>
            <w:vAlign w:val="center"/>
          </w:tcPr>
          <w:p w14:paraId="5005DA60"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single" w:sz="4" w:space="0" w:color="auto"/>
              <w:right w:val="single" w:sz="4" w:space="0" w:color="auto"/>
            </w:tcBorders>
            <w:shd w:val="clear" w:color="000000" w:fill="FFFFFF"/>
            <w:noWrap/>
            <w:vAlign w:val="center"/>
          </w:tcPr>
          <w:p w14:paraId="0B978160"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single" w:sz="4" w:space="0" w:color="auto"/>
              <w:right w:val="nil"/>
            </w:tcBorders>
            <w:shd w:val="clear" w:color="000000" w:fill="FFFFFF"/>
            <w:noWrap/>
            <w:vAlign w:val="center"/>
          </w:tcPr>
          <w:p w14:paraId="4E4AF3F3"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single" w:sz="4" w:space="0" w:color="auto"/>
              <w:right w:val="single" w:sz="4" w:space="0" w:color="auto"/>
            </w:tcBorders>
            <w:shd w:val="clear" w:color="000000" w:fill="FFFFFF"/>
            <w:noWrap/>
            <w:vAlign w:val="center"/>
          </w:tcPr>
          <w:p w14:paraId="2C7D9456" w14:textId="77777777" w:rsidR="002961DC" w:rsidRPr="00A95729" w:rsidRDefault="002961DC" w:rsidP="00E56366">
            <w:pPr>
              <w:spacing w:after="0" w:line="240" w:lineRule="auto"/>
              <w:jc w:val="center"/>
              <w:rPr>
                <w:rFonts w:eastAsia="Times New Roman"/>
                <w:color w:val="000000"/>
                <w:sz w:val="18"/>
                <w:szCs w:val="18"/>
              </w:rPr>
            </w:pPr>
          </w:p>
        </w:tc>
        <w:tc>
          <w:tcPr>
            <w:tcW w:w="544" w:type="dxa"/>
            <w:tcBorders>
              <w:top w:val="nil"/>
              <w:left w:val="nil"/>
              <w:bottom w:val="single" w:sz="4" w:space="0" w:color="auto"/>
              <w:right w:val="nil"/>
            </w:tcBorders>
            <w:shd w:val="clear" w:color="000000" w:fill="FFFFFF"/>
            <w:noWrap/>
            <w:vAlign w:val="bottom"/>
          </w:tcPr>
          <w:p w14:paraId="68B05FA9"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0.20</w:t>
            </w:r>
          </w:p>
        </w:tc>
        <w:tc>
          <w:tcPr>
            <w:tcW w:w="540" w:type="dxa"/>
            <w:tcBorders>
              <w:top w:val="nil"/>
              <w:left w:val="nil"/>
              <w:bottom w:val="single" w:sz="4" w:space="0" w:color="auto"/>
              <w:right w:val="single" w:sz="4" w:space="0" w:color="auto"/>
            </w:tcBorders>
            <w:shd w:val="clear" w:color="000000" w:fill="FFFFFF"/>
            <w:noWrap/>
            <w:vAlign w:val="bottom"/>
          </w:tcPr>
          <w:p w14:paraId="5152CDFB"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1.76</w:t>
            </w:r>
          </w:p>
        </w:tc>
        <w:tc>
          <w:tcPr>
            <w:tcW w:w="540" w:type="dxa"/>
            <w:tcBorders>
              <w:top w:val="nil"/>
              <w:left w:val="nil"/>
              <w:bottom w:val="single" w:sz="4" w:space="0" w:color="auto"/>
              <w:right w:val="nil"/>
            </w:tcBorders>
            <w:shd w:val="clear" w:color="000000" w:fill="FFFFFF"/>
            <w:noWrap/>
            <w:vAlign w:val="center"/>
          </w:tcPr>
          <w:p w14:paraId="70B4EC20"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single" w:sz="4" w:space="0" w:color="auto"/>
              <w:right w:val="single" w:sz="4" w:space="0" w:color="auto"/>
            </w:tcBorders>
            <w:shd w:val="clear" w:color="000000" w:fill="FFFFFF"/>
            <w:noWrap/>
            <w:vAlign w:val="center"/>
          </w:tcPr>
          <w:p w14:paraId="67D36E93"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single" w:sz="4" w:space="0" w:color="auto"/>
              <w:right w:val="nil"/>
            </w:tcBorders>
            <w:shd w:val="clear" w:color="000000" w:fill="FFFFFF"/>
            <w:noWrap/>
            <w:vAlign w:val="bottom"/>
          </w:tcPr>
          <w:p w14:paraId="3545ED6C"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0.21</w:t>
            </w:r>
          </w:p>
        </w:tc>
        <w:tc>
          <w:tcPr>
            <w:tcW w:w="450" w:type="dxa"/>
            <w:tcBorders>
              <w:top w:val="nil"/>
              <w:left w:val="nil"/>
              <w:bottom w:val="single" w:sz="4" w:space="0" w:color="auto"/>
              <w:right w:val="single" w:sz="4" w:space="0" w:color="auto"/>
            </w:tcBorders>
            <w:shd w:val="clear" w:color="000000" w:fill="FFFFFF"/>
            <w:noWrap/>
            <w:vAlign w:val="bottom"/>
          </w:tcPr>
          <w:p w14:paraId="56B210EA"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2.04</w:t>
            </w:r>
          </w:p>
        </w:tc>
        <w:tc>
          <w:tcPr>
            <w:tcW w:w="540" w:type="dxa"/>
            <w:tcBorders>
              <w:top w:val="nil"/>
              <w:left w:val="nil"/>
              <w:bottom w:val="single" w:sz="4" w:space="0" w:color="auto"/>
              <w:right w:val="nil"/>
            </w:tcBorders>
            <w:shd w:val="clear" w:color="000000" w:fill="FFFFFF"/>
            <w:noWrap/>
            <w:vAlign w:val="bottom"/>
          </w:tcPr>
          <w:p w14:paraId="083FC232"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0.42</w:t>
            </w:r>
          </w:p>
        </w:tc>
        <w:tc>
          <w:tcPr>
            <w:tcW w:w="454" w:type="dxa"/>
            <w:tcBorders>
              <w:top w:val="nil"/>
              <w:left w:val="nil"/>
              <w:bottom w:val="single" w:sz="4" w:space="0" w:color="auto"/>
              <w:right w:val="single" w:sz="4" w:space="0" w:color="auto"/>
            </w:tcBorders>
            <w:shd w:val="clear" w:color="000000" w:fill="FFFFFF"/>
            <w:noWrap/>
            <w:vAlign w:val="bottom"/>
          </w:tcPr>
          <w:p w14:paraId="11099BD5"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4.54</w:t>
            </w:r>
          </w:p>
        </w:tc>
        <w:tc>
          <w:tcPr>
            <w:tcW w:w="540" w:type="dxa"/>
            <w:tcBorders>
              <w:top w:val="nil"/>
              <w:left w:val="nil"/>
              <w:bottom w:val="single" w:sz="4" w:space="0" w:color="auto"/>
              <w:right w:val="nil"/>
            </w:tcBorders>
            <w:shd w:val="clear" w:color="000000" w:fill="FFFFFF"/>
            <w:noWrap/>
            <w:vAlign w:val="bottom"/>
          </w:tcPr>
          <w:p w14:paraId="38ABFF8A"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0.52</w:t>
            </w:r>
          </w:p>
        </w:tc>
        <w:tc>
          <w:tcPr>
            <w:tcW w:w="456" w:type="dxa"/>
            <w:tcBorders>
              <w:top w:val="nil"/>
              <w:left w:val="nil"/>
              <w:bottom w:val="single" w:sz="4" w:space="0" w:color="auto"/>
              <w:right w:val="single" w:sz="12" w:space="0" w:color="auto"/>
            </w:tcBorders>
            <w:shd w:val="clear" w:color="000000" w:fill="FFFFFF"/>
            <w:noWrap/>
            <w:vAlign w:val="bottom"/>
          </w:tcPr>
          <w:p w14:paraId="39771DB6"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6.14</w:t>
            </w:r>
          </w:p>
        </w:tc>
        <w:tc>
          <w:tcPr>
            <w:tcW w:w="540" w:type="dxa"/>
            <w:tcBorders>
              <w:top w:val="nil"/>
              <w:left w:val="nil"/>
              <w:bottom w:val="single" w:sz="4" w:space="0" w:color="auto"/>
              <w:right w:val="nil"/>
            </w:tcBorders>
            <w:shd w:val="clear" w:color="000000" w:fill="FFFFFF"/>
            <w:vAlign w:val="center"/>
          </w:tcPr>
          <w:p w14:paraId="29BB9B05"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540" w:type="dxa"/>
            <w:tcBorders>
              <w:top w:val="nil"/>
              <w:left w:val="nil"/>
              <w:bottom w:val="single" w:sz="4" w:space="0" w:color="auto"/>
              <w:right w:val="single" w:sz="12" w:space="0" w:color="auto"/>
            </w:tcBorders>
            <w:shd w:val="clear" w:color="000000" w:fill="FFFFFF"/>
            <w:vAlign w:val="center"/>
          </w:tcPr>
          <w:p w14:paraId="1D36E8BC"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630" w:type="dxa"/>
            <w:tcBorders>
              <w:top w:val="nil"/>
              <w:left w:val="single" w:sz="12" w:space="0" w:color="auto"/>
              <w:bottom w:val="single" w:sz="4" w:space="0" w:color="auto"/>
              <w:right w:val="nil"/>
            </w:tcBorders>
            <w:shd w:val="clear" w:color="000000" w:fill="FFFFFF"/>
            <w:vAlign w:val="center"/>
          </w:tcPr>
          <w:p w14:paraId="5E8B2692"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542" w:type="dxa"/>
            <w:tcBorders>
              <w:top w:val="nil"/>
              <w:left w:val="nil"/>
              <w:bottom w:val="single" w:sz="4" w:space="0" w:color="auto"/>
              <w:right w:val="single" w:sz="12" w:space="0" w:color="auto"/>
            </w:tcBorders>
            <w:shd w:val="clear" w:color="000000" w:fill="FFFFFF"/>
            <w:vAlign w:val="bottom"/>
          </w:tcPr>
          <w:p w14:paraId="1B53AAAC" w14:textId="77777777" w:rsidR="002961DC" w:rsidRPr="00A95729" w:rsidRDefault="002961DC" w:rsidP="00E56366">
            <w:pPr>
              <w:spacing w:after="0" w:line="240" w:lineRule="auto"/>
              <w:jc w:val="center"/>
              <w:rPr>
                <w:rFonts w:eastAsia="Times New Roman"/>
                <w:color w:val="000000"/>
                <w:sz w:val="18"/>
                <w:szCs w:val="18"/>
              </w:rPr>
            </w:pPr>
          </w:p>
        </w:tc>
      </w:tr>
      <w:tr w:rsidR="002961DC" w:rsidRPr="00A95729" w14:paraId="54637229" w14:textId="77777777" w:rsidTr="00E56366">
        <w:trPr>
          <w:trHeight w:val="20"/>
          <w:jc w:val="center"/>
        </w:trPr>
        <w:tc>
          <w:tcPr>
            <w:tcW w:w="2595" w:type="dxa"/>
            <w:tcBorders>
              <w:top w:val="single" w:sz="4" w:space="0" w:color="auto"/>
              <w:left w:val="single" w:sz="12" w:space="0" w:color="auto"/>
              <w:bottom w:val="nil"/>
              <w:right w:val="single" w:sz="12" w:space="0" w:color="auto"/>
            </w:tcBorders>
            <w:shd w:val="clear" w:color="000000" w:fill="FFFFFF"/>
            <w:noWrap/>
            <w:vAlign w:val="bottom"/>
          </w:tcPr>
          <w:p w14:paraId="4164AF39" w14:textId="6CED78D8" w:rsidR="002961DC" w:rsidRPr="00A95729" w:rsidRDefault="002961DC" w:rsidP="00E56366">
            <w:pPr>
              <w:spacing w:after="0" w:line="240" w:lineRule="auto"/>
              <w:rPr>
                <w:rFonts w:eastAsia="Times New Roman"/>
                <w:color w:val="000000"/>
                <w:sz w:val="18"/>
                <w:szCs w:val="18"/>
              </w:rPr>
            </w:pPr>
            <w:r w:rsidRPr="00A95729">
              <w:rPr>
                <w:rFonts w:eastAsia="Times New Roman"/>
                <w:b/>
                <w:bCs/>
                <w:color w:val="000000"/>
                <w:sz w:val="18"/>
                <w:szCs w:val="18"/>
              </w:rPr>
              <w:t>Household</w:t>
            </w:r>
            <w:r w:rsidR="003553BE">
              <w:rPr>
                <w:rFonts w:eastAsia="Times New Roman"/>
                <w:b/>
                <w:bCs/>
                <w:color w:val="000000"/>
                <w:sz w:val="18"/>
                <w:szCs w:val="18"/>
              </w:rPr>
              <w:t xml:space="preserve"> Demographics</w:t>
            </w:r>
          </w:p>
        </w:tc>
        <w:tc>
          <w:tcPr>
            <w:tcW w:w="537" w:type="dxa"/>
            <w:tcBorders>
              <w:top w:val="single" w:sz="4" w:space="0" w:color="auto"/>
              <w:left w:val="single" w:sz="12" w:space="0" w:color="auto"/>
              <w:bottom w:val="nil"/>
            </w:tcBorders>
            <w:shd w:val="clear" w:color="000000" w:fill="FFFFFF"/>
          </w:tcPr>
          <w:p w14:paraId="4EA2FB71" w14:textId="77777777" w:rsidR="002961DC" w:rsidRPr="00A95729" w:rsidRDefault="002961DC" w:rsidP="00E56366">
            <w:pPr>
              <w:spacing w:after="0" w:line="240" w:lineRule="auto"/>
              <w:jc w:val="center"/>
              <w:rPr>
                <w:rFonts w:eastAsia="Times New Roman"/>
                <w:color w:val="000000"/>
                <w:sz w:val="18"/>
                <w:szCs w:val="18"/>
              </w:rPr>
            </w:pPr>
          </w:p>
        </w:tc>
        <w:tc>
          <w:tcPr>
            <w:tcW w:w="541" w:type="dxa"/>
            <w:tcBorders>
              <w:top w:val="single" w:sz="4" w:space="0" w:color="auto"/>
              <w:left w:val="nil"/>
              <w:bottom w:val="nil"/>
              <w:right w:val="single" w:sz="12" w:space="0" w:color="auto"/>
            </w:tcBorders>
            <w:shd w:val="clear" w:color="000000" w:fill="FFFFFF"/>
          </w:tcPr>
          <w:p w14:paraId="5D9500CE" w14:textId="77777777" w:rsidR="002961DC" w:rsidRPr="00A95729" w:rsidRDefault="002961DC" w:rsidP="00E56366">
            <w:pPr>
              <w:spacing w:after="0" w:line="240" w:lineRule="auto"/>
              <w:jc w:val="center"/>
              <w:rPr>
                <w:rFonts w:eastAsia="Times New Roman"/>
                <w:color w:val="000000"/>
                <w:sz w:val="18"/>
                <w:szCs w:val="18"/>
              </w:rPr>
            </w:pPr>
          </w:p>
        </w:tc>
        <w:tc>
          <w:tcPr>
            <w:tcW w:w="539" w:type="dxa"/>
            <w:tcBorders>
              <w:top w:val="single" w:sz="4" w:space="0" w:color="auto"/>
              <w:left w:val="single" w:sz="12" w:space="0" w:color="auto"/>
              <w:bottom w:val="nil"/>
              <w:right w:val="nil"/>
            </w:tcBorders>
            <w:shd w:val="clear" w:color="000000" w:fill="FFFFFF"/>
            <w:noWrap/>
            <w:vAlign w:val="center"/>
          </w:tcPr>
          <w:p w14:paraId="384CC81C" w14:textId="77777777" w:rsidR="002961DC" w:rsidRPr="00A95729" w:rsidRDefault="002961DC" w:rsidP="00E56366">
            <w:pPr>
              <w:spacing w:after="0" w:line="240" w:lineRule="auto"/>
              <w:jc w:val="center"/>
              <w:rPr>
                <w:rFonts w:eastAsia="Times New Roman"/>
                <w:color w:val="000000"/>
                <w:sz w:val="18"/>
                <w:szCs w:val="18"/>
              </w:rPr>
            </w:pPr>
          </w:p>
        </w:tc>
        <w:tc>
          <w:tcPr>
            <w:tcW w:w="449" w:type="dxa"/>
            <w:tcBorders>
              <w:top w:val="single" w:sz="4" w:space="0" w:color="auto"/>
              <w:left w:val="nil"/>
              <w:bottom w:val="nil"/>
              <w:right w:val="single" w:sz="4" w:space="0" w:color="auto"/>
            </w:tcBorders>
            <w:shd w:val="clear" w:color="000000" w:fill="FFFFFF"/>
            <w:noWrap/>
            <w:vAlign w:val="center"/>
          </w:tcPr>
          <w:p w14:paraId="74A5BBE0" w14:textId="77777777" w:rsidR="002961DC" w:rsidRPr="00A95729" w:rsidRDefault="002961DC" w:rsidP="00E56366">
            <w:pPr>
              <w:spacing w:after="0" w:line="240" w:lineRule="auto"/>
              <w:jc w:val="center"/>
              <w:rPr>
                <w:rFonts w:eastAsia="Times New Roman"/>
                <w:color w:val="000000"/>
                <w:sz w:val="18"/>
                <w:szCs w:val="18"/>
              </w:rPr>
            </w:pPr>
          </w:p>
        </w:tc>
        <w:tc>
          <w:tcPr>
            <w:tcW w:w="540" w:type="dxa"/>
            <w:tcBorders>
              <w:top w:val="single" w:sz="4" w:space="0" w:color="auto"/>
              <w:left w:val="nil"/>
              <w:bottom w:val="nil"/>
              <w:right w:val="nil"/>
            </w:tcBorders>
            <w:shd w:val="clear" w:color="000000" w:fill="FFFFFF"/>
            <w:noWrap/>
            <w:vAlign w:val="center"/>
          </w:tcPr>
          <w:p w14:paraId="15257B2F" w14:textId="77777777" w:rsidR="002961DC" w:rsidRPr="00A95729" w:rsidRDefault="002961DC" w:rsidP="00E56366">
            <w:pPr>
              <w:spacing w:after="0" w:line="240" w:lineRule="auto"/>
              <w:jc w:val="center"/>
              <w:rPr>
                <w:rFonts w:eastAsia="Times New Roman"/>
                <w:color w:val="000000"/>
                <w:sz w:val="18"/>
                <w:szCs w:val="18"/>
              </w:rPr>
            </w:pPr>
          </w:p>
        </w:tc>
        <w:tc>
          <w:tcPr>
            <w:tcW w:w="450" w:type="dxa"/>
            <w:tcBorders>
              <w:top w:val="single" w:sz="4" w:space="0" w:color="auto"/>
              <w:left w:val="nil"/>
              <w:bottom w:val="nil"/>
              <w:right w:val="single" w:sz="4" w:space="0" w:color="auto"/>
            </w:tcBorders>
            <w:shd w:val="clear" w:color="000000" w:fill="FFFFFF"/>
            <w:noWrap/>
            <w:vAlign w:val="center"/>
          </w:tcPr>
          <w:p w14:paraId="59F388D3" w14:textId="77777777" w:rsidR="002961DC" w:rsidRPr="00A95729" w:rsidRDefault="002961DC" w:rsidP="00E56366">
            <w:pPr>
              <w:spacing w:after="0" w:line="240" w:lineRule="auto"/>
              <w:jc w:val="center"/>
              <w:rPr>
                <w:rFonts w:eastAsia="Times New Roman"/>
                <w:color w:val="000000"/>
                <w:sz w:val="18"/>
                <w:szCs w:val="18"/>
              </w:rPr>
            </w:pPr>
          </w:p>
        </w:tc>
        <w:tc>
          <w:tcPr>
            <w:tcW w:w="540" w:type="dxa"/>
            <w:tcBorders>
              <w:top w:val="single" w:sz="4" w:space="0" w:color="auto"/>
              <w:left w:val="nil"/>
              <w:bottom w:val="nil"/>
              <w:right w:val="nil"/>
            </w:tcBorders>
            <w:shd w:val="clear" w:color="000000" w:fill="FFFFFF"/>
            <w:noWrap/>
            <w:vAlign w:val="center"/>
          </w:tcPr>
          <w:p w14:paraId="6ED4DCD1" w14:textId="77777777" w:rsidR="002961DC" w:rsidRPr="00A95729" w:rsidRDefault="002961DC" w:rsidP="00E56366">
            <w:pPr>
              <w:spacing w:after="0" w:line="240" w:lineRule="auto"/>
              <w:jc w:val="center"/>
              <w:rPr>
                <w:rFonts w:eastAsia="Times New Roman"/>
                <w:color w:val="000000"/>
                <w:sz w:val="18"/>
                <w:szCs w:val="18"/>
              </w:rPr>
            </w:pPr>
          </w:p>
        </w:tc>
        <w:tc>
          <w:tcPr>
            <w:tcW w:w="450" w:type="dxa"/>
            <w:tcBorders>
              <w:top w:val="single" w:sz="4" w:space="0" w:color="auto"/>
              <w:left w:val="nil"/>
              <w:bottom w:val="nil"/>
              <w:right w:val="single" w:sz="4" w:space="0" w:color="auto"/>
            </w:tcBorders>
            <w:shd w:val="clear" w:color="000000" w:fill="FFFFFF"/>
            <w:noWrap/>
            <w:vAlign w:val="center"/>
          </w:tcPr>
          <w:p w14:paraId="772839C7" w14:textId="77777777" w:rsidR="002961DC" w:rsidRPr="00A95729" w:rsidRDefault="002961DC" w:rsidP="00E56366">
            <w:pPr>
              <w:spacing w:after="0" w:line="240" w:lineRule="auto"/>
              <w:jc w:val="center"/>
              <w:rPr>
                <w:rFonts w:eastAsia="Times New Roman"/>
                <w:color w:val="000000"/>
                <w:sz w:val="18"/>
                <w:szCs w:val="18"/>
              </w:rPr>
            </w:pPr>
          </w:p>
        </w:tc>
        <w:tc>
          <w:tcPr>
            <w:tcW w:w="544" w:type="dxa"/>
            <w:tcBorders>
              <w:top w:val="single" w:sz="4" w:space="0" w:color="auto"/>
              <w:left w:val="nil"/>
              <w:bottom w:val="nil"/>
              <w:right w:val="nil"/>
            </w:tcBorders>
            <w:shd w:val="clear" w:color="000000" w:fill="FFFFFF"/>
            <w:noWrap/>
            <w:vAlign w:val="center"/>
          </w:tcPr>
          <w:p w14:paraId="5D3D913C" w14:textId="77777777" w:rsidR="002961DC" w:rsidRPr="00A95729" w:rsidRDefault="002961DC" w:rsidP="00E56366">
            <w:pPr>
              <w:spacing w:after="0" w:line="240" w:lineRule="auto"/>
              <w:jc w:val="center"/>
              <w:rPr>
                <w:rFonts w:eastAsia="Times New Roman"/>
                <w:color w:val="000000"/>
                <w:sz w:val="18"/>
                <w:szCs w:val="18"/>
              </w:rPr>
            </w:pPr>
          </w:p>
        </w:tc>
        <w:tc>
          <w:tcPr>
            <w:tcW w:w="540" w:type="dxa"/>
            <w:tcBorders>
              <w:top w:val="single" w:sz="4" w:space="0" w:color="auto"/>
              <w:left w:val="nil"/>
              <w:bottom w:val="nil"/>
              <w:right w:val="single" w:sz="4" w:space="0" w:color="auto"/>
            </w:tcBorders>
            <w:shd w:val="clear" w:color="000000" w:fill="FFFFFF"/>
            <w:noWrap/>
            <w:vAlign w:val="center"/>
          </w:tcPr>
          <w:p w14:paraId="1DF99413" w14:textId="77777777" w:rsidR="002961DC" w:rsidRPr="00A95729" w:rsidRDefault="002961DC" w:rsidP="00E56366">
            <w:pPr>
              <w:spacing w:after="0" w:line="240" w:lineRule="auto"/>
              <w:jc w:val="center"/>
              <w:rPr>
                <w:rFonts w:eastAsia="Times New Roman"/>
                <w:color w:val="000000"/>
                <w:sz w:val="18"/>
                <w:szCs w:val="18"/>
              </w:rPr>
            </w:pPr>
          </w:p>
        </w:tc>
        <w:tc>
          <w:tcPr>
            <w:tcW w:w="540" w:type="dxa"/>
            <w:tcBorders>
              <w:top w:val="single" w:sz="4" w:space="0" w:color="auto"/>
              <w:left w:val="nil"/>
              <w:bottom w:val="nil"/>
              <w:right w:val="nil"/>
            </w:tcBorders>
            <w:shd w:val="clear" w:color="000000" w:fill="FFFFFF"/>
            <w:noWrap/>
            <w:vAlign w:val="center"/>
          </w:tcPr>
          <w:p w14:paraId="0AB25840" w14:textId="77777777" w:rsidR="002961DC" w:rsidRPr="00A95729" w:rsidRDefault="002961DC" w:rsidP="00E56366">
            <w:pPr>
              <w:spacing w:after="0" w:line="240" w:lineRule="auto"/>
              <w:jc w:val="center"/>
              <w:rPr>
                <w:rFonts w:eastAsia="Times New Roman"/>
                <w:color w:val="000000"/>
                <w:sz w:val="18"/>
                <w:szCs w:val="18"/>
              </w:rPr>
            </w:pPr>
          </w:p>
        </w:tc>
        <w:tc>
          <w:tcPr>
            <w:tcW w:w="450" w:type="dxa"/>
            <w:tcBorders>
              <w:top w:val="single" w:sz="4" w:space="0" w:color="auto"/>
              <w:left w:val="nil"/>
              <w:bottom w:val="nil"/>
              <w:right w:val="single" w:sz="4" w:space="0" w:color="auto"/>
            </w:tcBorders>
            <w:shd w:val="clear" w:color="000000" w:fill="FFFFFF"/>
            <w:noWrap/>
            <w:vAlign w:val="center"/>
          </w:tcPr>
          <w:p w14:paraId="76F03D54" w14:textId="77777777" w:rsidR="002961DC" w:rsidRPr="00A95729" w:rsidRDefault="002961DC" w:rsidP="00E56366">
            <w:pPr>
              <w:spacing w:after="0" w:line="240" w:lineRule="auto"/>
              <w:jc w:val="center"/>
              <w:rPr>
                <w:rFonts w:eastAsia="Times New Roman"/>
                <w:color w:val="000000"/>
                <w:sz w:val="18"/>
                <w:szCs w:val="18"/>
              </w:rPr>
            </w:pPr>
          </w:p>
        </w:tc>
        <w:tc>
          <w:tcPr>
            <w:tcW w:w="540" w:type="dxa"/>
            <w:tcBorders>
              <w:top w:val="single" w:sz="4" w:space="0" w:color="auto"/>
              <w:left w:val="nil"/>
              <w:bottom w:val="nil"/>
              <w:right w:val="nil"/>
            </w:tcBorders>
            <w:shd w:val="clear" w:color="000000" w:fill="FFFFFF"/>
            <w:noWrap/>
            <w:vAlign w:val="center"/>
          </w:tcPr>
          <w:p w14:paraId="796DB48D" w14:textId="77777777" w:rsidR="002961DC" w:rsidRPr="00A95729" w:rsidRDefault="002961DC" w:rsidP="00E56366">
            <w:pPr>
              <w:spacing w:after="0" w:line="240" w:lineRule="auto"/>
              <w:jc w:val="center"/>
              <w:rPr>
                <w:rFonts w:eastAsia="Times New Roman"/>
                <w:color w:val="000000"/>
                <w:sz w:val="18"/>
                <w:szCs w:val="18"/>
              </w:rPr>
            </w:pPr>
          </w:p>
        </w:tc>
        <w:tc>
          <w:tcPr>
            <w:tcW w:w="450" w:type="dxa"/>
            <w:tcBorders>
              <w:top w:val="single" w:sz="4" w:space="0" w:color="auto"/>
              <w:left w:val="nil"/>
              <w:bottom w:val="nil"/>
              <w:right w:val="single" w:sz="4" w:space="0" w:color="auto"/>
            </w:tcBorders>
            <w:shd w:val="clear" w:color="000000" w:fill="FFFFFF"/>
            <w:noWrap/>
            <w:vAlign w:val="center"/>
          </w:tcPr>
          <w:p w14:paraId="00B47AF0" w14:textId="77777777" w:rsidR="002961DC" w:rsidRPr="00A95729" w:rsidRDefault="002961DC" w:rsidP="00E56366">
            <w:pPr>
              <w:spacing w:after="0" w:line="240" w:lineRule="auto"/>
              <w:jc w:val="center"/>
              <w:rPr>
                <w:rFonts w:eastAsia="Times New Roman"/>
                <w:color w:val="000000"/>
                <w:sz w:val="18"/>
                <w:szCs w:val="18"/>
              </w:rPr>
            </w:pPr>
          </w:p>
        </w:tc>
        <w:tc>
          <w:tcPr>
            <w:tcW w:w="540" w:type="dxa"/>
            <w:tcBorders>
              <w:top w:val="single" w:sz="4" w:space="0" w:color="auto"/>
              <w:left w:val="nil"/>
              <w:bottom w:val="nil"/>
              <w:right w:val="nil"/>
            </w:tcBorders>
            <w:shd w:val="clear" w:color="000000" w:fill="FFFFFF"/>
            <w:noWrap/>
            <w:vAlign w:val="center"/>
          </w:tcPr>
          <w:p w14:paraId="26DD0A74" w14:textId="77777777" w:rsidR="002961DC" w:rsidRPr="00A95729" w:rsidRDefault="002961DC" w:rsidP="00E56366">
            <w:pPr>
              <w:spacing w:after="0" w:line="240" w:lineRule="auto"/>
              <w:jc w:val="center"/>
              <w:rPr>
                <w:rFonts w:eastAsia="Times New Roman"/>
                <w:color w:val="000000"/>
                <w:sz w:val="18"/>
                <w:szCs w:val="18"/>
              </w:rPr>
            </w:pPr>
          </w:p>
        </w:tc>
        <w:tc>
          <w:tcPr>
            <w:tcW w:w="454" w:type="dxa"/>
            <w:tcBorders>
              <w:top w:val="single" w:sz="4" w:space="0" w:color="auto"/>
              <w:left w:val="nil"/>
              <w:bottom w:val="nil"/>
              <w:right w:val="single" w:sz="4" w:space="0" w:color="auto"/>
            </w:tcBorders>
            <w:shd w:val="clear" w:color="000000" w:fill="FFFFFF"/>
            <w:noWrap/>
            <w:vAlign w:val="center"/>
          </w:tcPr>
          <w:p w14:paraId="08E6BFA3" w14:textId="77777777" w:rsidR="002961DC" w:rsidRPr="00A95729" w:rsidRDefault="002961DC" w:rsidP="00E56366">
            <w:pPr>
              <w:spacing w:after="0" w:line="240" w:lineRule="auto"/>
              <w:jc w:val="center"/>
              <w:rPr>
                <w:rFonts w:eastAsia="Times New Roman"/>
                <w:color w:val="000000"/>
                <w:sz w:val="18"/>
                <w:szCs w:val="18"/>
              </w:rPr>
            </w:pPr>
          </w:p>
        </w:tc>
        <w:tc>
          <w:tcPr>
            <w:tcW w:w="540" w:type="dxa"/>
            <w:tcBorders>
              <w:top w:val="single" w:sz="4" w:space="0" w:color="auto"/>
              <w:left w:val="nil"/>
              <w:bottom w:val="nil"/>
              <w:right w:val="nil"/>
            </w:tcBorders>
            <w:shd w:val="clear" w:color="000000" w:fill="FFFFFF"/>
            <w:noWrap/>
            <w:vAlign w:val="center"/>
          </w:tcPr>
          <w:p w14:paraId="175297BD" w14:textId="77777777" w:rsidR="002961DC" w:rsidRPr="00A95729" w:rsidRDefault="002961DC" w:rsidP="00E56366">
            <w:pPr>
              <w:spacing w:after="0" w:line="240" w:lineRule="auto"/>
              <w:jc w:val="center"/>
              <w:rPr>
                <w:rFonts w:eastAsia="Times New Roman"/>
                <w:color w:val="000000"/>
                <w:sz w:val="18"/>
                <w:szCs w:val="18"/>
              </w:rPr>
            </w:pPr>
          </w:p>
        </w:tc>
        <w:tc>
          <w:tcPr>
            <w:tcW w:w="456" w:type="dxa"/>
            <w:tcBorders>
              <w:top w:val="single" w:sz="4" w:space="0" w:color="auto"/>
              <w:left w:val="nil"/>
              <w:bottom w:val="nil"/>
              <w:right w:val="single" w:sz="12" w:space="0" w:color="auto"/>
            </w:tcBorders>
            <w:shd w:val="clear" w:color="000000" w:fill="FFFFFF"/>
            <w:noWrap/>
            <w:vAlign w:val="center"/>
          </w:tcPr>
          <w:p w14:paraId="5693DC60" w14:textId="77777777" w:rsidR="002961DC" w:rsidRPr="00A95729" w:rsidRDefault="002961DC" w:rsidP="00E56366">
            <w:pPr>
              <w:spacing w:after="0" w:line="240" w:lineRule="auto"/>
              <w:jc w:val="center"/>
              <w:rPr>
                <w:rFonts w:eastAsia="Times New Roman"/>
                <w:color w:val="000000"/>
                <w:sz w:val="18"/>
                <w:szCs w:val="18"/>
              </w:rPr>
            </w:pPr>
          </w:p>
        </w:tc>
        <w:tc>
          <w:tcPr>
            <w:tcW w:w="540" w:type="dxa"/>
            <w:tcBorders>
              <w:top w:val="single" w:sz="4" w:space="0" w:color="auto"/>
              <w:left w:val="nil"/>
              <w:bottom w:val="nil"/>
              <w:right w:val="nil"/>
            </w:tcBorders>
            <w:shd w:val="clear" w:color="000000" w:fill="FFFFFF"/>
          </w:tcPr>
          <w:p w14:paraId="017A459A" w14:textId="77777777" w:rsidR="002961DC" w:rsidRPr="00A95729" w:rsidRDefault="002961DC" w:rsidP="00E56366">
            <w:pPr>
              <w:spacing w:after="0" w:line="240" w:lineRule="auto"/>
              <w:jc w:val="center"/>
              <w:rPr>
                <w:rFonts w:eastAsia="Times New Roman"/>
                <w:color w:val="000000"/>
                <w:sz w:val="18"/>
                <w:szCs w:val="18"/>
              </w:rPr>
            </w:pPr>
          </w:p>
        </w:tc>
        <w:tc>
          <w:tcPr>
            <w:tcW w:w="540" w:type="dxa"/>
            <w:tcBorders>
              <w:top w:val="single" w:sz="4" w:space="0" w:color="auto"/>
              <w:left w:val="nil"/>
              <w:bottom w:val="nil"/>
              <w:right w:val="single" w:sz="12" w:space="0" w:color="auto"/>
            </w:tcBorders>
            <w:shd w:val="clear" w:color="000000" w:fill="FFFFFF"/>
          </w:tcPr>
          <w:p w14:paraId="4ACCE456" w14:textId="77777777" w:rsidR="002961DC" w:rsidRPr="00A95729" w:rsidRDefault="002961DC" w:rsidP="00E56366">
            <w:pPr>
              <w:spacing w:after="0" w:line="240" w:lineRule="auto"/>
              <w:jc w:val="center"/>
              <w:rPr>
                <w:rFonts w:eastAsia="Times New Roman"/>
                <w:color w:val="000000"/>
                <w:sz w:val="18"/>
                <w:szCs w:val="18"/>
              </w:rPr>
            </w:pPr>
          </w:p>
        </w:tc>
        <w:tc>
          <w:tcPr>
            <w:tcW w:w="630" w:type="dxa"/>
            <w:tcBorders>
              <w:top w:val="single" w:sz="4" w:space="0" w:color="auto"/>
              <w:left w:val="single" w:sz="12" w:space="0" w:color="auto"/>
              <w:bottom w:val="nil"/>
              <w:right w:val="nil"/>
            </w:tcBorders>
            <w:shd w:val="clear" w:color="000000" w:fill="FFFFFF"/>
          </w:tcPr>
          <w:p w14:paraId="31608459" w14:textId="77777777" w:rsidR="002961DC" w:rsidRPr="00A95729" w:rsidRDefault="002961DC" w:rsidP="00E56366">
            <w:pPr>
              <w:spacing w:after="0" w:line="240" w:lineRule="auto"/>
              <w:jc w:val="center"/>
              <w:rPr>
                <w:rFonts w:eastAsia="Times New Roman"/>
                <w:color w:val="000000"/>
                <w:sz w:val="18"/>
                <w:szCs w:val="18"/>
              </w:rPr>
            </w:pPr>
          </w:p>
        </w:tc>
        <w:tc>
          <w:tcPr>
            <w:tcW w:w="542" w:type="dxa"/>
            <w:tcBorders>
              <w:top w:val="single" w:sz="4" w:space="0" w:color="auto"/>
              <w:left w:val="nil"/>
              <w:bottom w:val="nil"/>
              <w:right w:val="single" w:sz="12" w:space="0" w:color="auto"/>
            </w:tcBorders>
            <w:shd w:val="clear" w:color="000000" w:fill="FFFFFF"/>
          </w:tcPr>
          <w:p w14:paraId="5EC205C0" w14:textId="77777777" w:rsidR="002961DC" w:rsidRPr="00A95729" w:rsidRDefault="002961DC" w:rsidP="00E56366">
            <w:pPr>
              <w:spacing w:after="0" w:line="240" w:lineRule="auto"/>
              <w:jc w:val="center"/>
              <w:rPr>
                <w:rFonts w:eastAsia="Times New Roman"/>
                <w:color w:val="000000"/>
                <w:sz w:val="18"/>
                <w:szCs w:val="18"/>
              </w:rPr>
            </w:pPr>
          </w:p>
        </w:tc>
      </w:tr>
      <w:tr w:rsidR="002961DC" w:rsidRPr="00A95729" w14:paraId="13255445" w14:textId="77777777" w:rsidTr="00E56366">
        <w:trPr>
          <w:trHeight w:val="20"/>
          <w:jc w:val="center"/>
        </w:trPr>
        <w:tc>
          <w:tcPr>
            <w:tcW w:w="2595" w:type="dxa"/>
            <w:tcBorders>
              <w:top w:val="nil"/>
              <w:left w:val="single" w:sz="12" w:space="0" w:color="auto"/>
              <w:bottom w:val="nil"/>
              <w:right w:val="single" w:sz="12" w:space="0" w:color="auto"/>
            </w:tcBorders>
            <w:shd w:val="clear" w:color="000000" w:fill="FFFFFF"/>
            <w:noWrap/>
            <w:vAlign w:val="bottom"/>
          </w:tcPr>
          <w:p w14:paraId="061F7FD1" w14:textId="77777777" w:rsidR="002961DC" w:rsidRPr="00A95729" w:rsidRDefault="002961DC" w:rsidP="00E56366">
            <w:pPr>
              <w:spacing w:after="0" w:line="240" w:lineRule="auto"/>
              <w:rPr>
                <w:rFonts w:eastAsia="Times New Roman"/>
                <w:color w:val="000000"/>
                <w:sz w:val="18"/>
                <w:szCs w:val="18"/>
              </w:rPr>
            </w:pPr>
            <w:r w:rsidRPr="00A95729">
              <w:rPr>
                <w:rFonts w:eastAsia="Times New Roman"/>
                <w:color w:val="000000"/>
                <w:sz w:val="18"/>
                <w:szCs w:val="18"/>
              </w:rPr>
              <w:t>Composition</w:t>
            </w:r>
          </w:p>
        </w:tc>
        <w:tc>
          <w:tcPr>
            <w:tcW w:w="537" w:type="dxa"/>
            <w:tcBorders>
              <w:top w:val="nil"/>
              <w:left w:val="single" w:sz="12" w:space="0" w:color="auto"/>
              <w:bottom w:val="nil"/>
            </w:tcBorders>
            <w:shd w:val="clear" w:color="000000" w:fill="FFFFFF"/>
          </w:tcPr>
          <w:p w14:paraId="01771E24" w14:textId="77777777" w:rsidR="002961DC" w:rsidRPr="00A95729" w:rsidRDefault="002961DC" w:rsidP="00E56366">
            <w:pPr>
              <w:spacing w:after="0" w:line="240" w:lineRule="auto"/>
              <w:jc w:val="center"/>
              <w:rPr>
                <w:rFonts w:eastAsia="Times New Roman"/>
                <w:color w:val="000000"/>
                <w:sz w:val="18"/>
                <w:szCs w:val="18"/>
              </w:rPr>
            </w:pPr>
          </w:p>
        </w:tc>
        <w:tc>
          <w:tcPr>
            <w:tcW w:w="541" w:type="dxa"/>
            <w:tcBorders>
              <w:top w:val="nil"/>
              <w:left w:val="nil"/>
              <w:bottom w:val="nil"/>
              <w:right w:val="single" w:sz="12" w:space="0" w:color="auto"/>
            </w:tcBorders>
            <w:shd w:val="clear" w:color="000000" w:fill="FFFFFF"/>
          </w:tcPr>
          <w:p w14:paraId="51CBFACF" w14:textId="77777777" w:rsidR="002961DC" w:rsidRPr="00A95729" w:rsidRDefault="002961DC" w:rsidP="00E56366">
            <w:pPr>
              <w:spacing w:after="0" w:line="240" w:lineRule="auto"/>
              <w:jc w:val="center"/>
              <w:rPr>
                <w:rFonts w:eastAsia="Times New Roman"/>
                <w:color w:val="000000"/>
                <w:sz w:val="18"/>
                <w:szCs w:val="18"/>
              </w:rPr>
            </w:pPr>
          </w:p>
        </w:tc>
        <w:tc>
          <w:tcPr>
            <w:tcW w:w="539" w:type="dxa"/>
            <w:tcBorders>
              <w:top w:val="nil"/>
              <w:left w:val="single" w:sz="12" w:space="0" w:color="auto"/>
              <w:bottom w:val="nil"/>
              <w:right w:val="nil"/>
            </w:tcBorders>
            <w:shd w:val="clear" w:color="000000" w:fill="FFFFFF"/>
            <w:noWrap/>
            <w:vAlign w:val="center"/>
          </w:tcPr>
          <w:p w14:paraId="1961A5BA" w14:textId="77777777" w:rsidR="002961DC" w:rsidRPr="00A95729" w:rsidRDefault="002961DC" w:rsidP="00E56366">
            <w:pPr>
              <w:spacing w:after="0" w:line="240" w:lineRule="auto"/>
              <w:jc w:val="center"/>
              <w:rPr>
                <w:rFonts w:eastAsia="Times New Roman"/>
                <w:color w:val="000000"/>
                <w:sz w:val="18"/>
                <w:szCs w:val="18"/>
              </w:rPr>
            </w:pPr>
          </w:p>
        </w:tc>
        <w:tc>
          <w:tcPr>
            <w:tcW w:w="449" w:type="dxa"/>
            <w:tcBorders>
              <w:top w:val="nil"/>
              <w:left w:val="nil"/>
              <w:bottom w:val="nil"/>
              <w:right w:val="single" w:sz="4" w:space="0" w:color="auto"/>
            </w:tcBorders>
            <w:shd w:val="clear" w:color="000000" w:fill="FFFFFF"/>
            <w:noWrap/>
            <w:vAlign w:val="center"/>
          </w:tcPr>
          <w:p w14:paraId="521F9D4C" w14:textId="77777777" w:rsidR="002961DC" w:rsidRPr="00A95729" w:rsidRDefault="002961DC" w:rsidP="00E56366">
            <w:pPr>
              <w:spacing w:after="0" w:line="240" w:lineRule="auto"/>
              <w:jc w:val="center"/>
              <w:rPr>
                <w:rFonts w:eastAsia="Times New Roman"/>
                <w:color w:val="000000"/>
                <w:sz w:val="18"/>
                <w:szCs w:val="18"/>
              </w:rPr>
            </w:pPr>
          </w:p>
        </w:tc>
        <w:tc>
          <w:tcPr>
            <w:tcW w:w="540" w:type="dxa"/>
            <w:tcBorders>
              <w:top w:val="nil"/>
              <w:left w:val="nil"/>
              <w:bottom w:val="nil"/>
              <w:right w:val="nil"/>
            </w:tcBorders>
            <w:shd w:val="clear" w:color="000000" w:fill="FFFFFF"/>
            <w:noWrap/>
            <w:vAlign w:val="center"/>
          </w:tcPr>
          <w:p w14:paraId="21E24673" w14:textId="77777777" w:rsidR="002961DC" w:rsidRPr="00A95729" w:rsidRDefault="002961DC" w:rsidP="00E56366">
            <w:pPr>
              <w:spacing w:after="0" w:line="240" w:lineRule="auto"/>
              <w:jc w:val="center"/>
              <w:rPr>
                <w:rFonts w:eastAsia="Times New Roman"/>
                <w:color w:val="000000"/>
                <w:sz w:val="18"/>
                <w:szCs w:val="18"/>
              </w:rPr>
            </w:pPr>
          </w:p>
        </w:tc>
        <w:tc>
          <w:tcPr>
            <w:tcW w:w="450" w:type="dxa"/>
            <w:tcBorders>
              <w:top w:val="nil"/>
              <w:left w:val="nil"/>
              <w:bottom w:val="nil"/>
              <w:right w:val="single" w:sz="4" w:space="0" w:color="auto"/>
            </w:tcBorders>
            <w:shd w:val="clear" w:color="000000" w:fill="FFFFFF"/>
            <w:noWrap/>
            <w:vAlign w:val="center"/>
          </w:tcPr>
          <w:p w14:paraId="00B57B74" w14:textId="77777777" w:rsidR="002961DC" w:rsidRPr="00A95729" w:rsidRDefault="002961DC" w:rsidP="00E56366">
            <w:pPr>
              <w:spacing w:after="0" w:line="240" w:lineRule="auto"/>
              <w:jc w:val="center"/>
              <w:rPr>
                <w:rFonts w:eastAsia="Times New Roman"/>
                <w:color w:val="000000"/>
                <w:sz w:val="18"/>
                <w:szCs w:val="18"/>
              </w:rPr>
            </w:pPr>
          </w:p>
        </w:tc>
        <w:tc>
          <w:tcPr>
            <w:tcW w:w="540" w:type="dxa"/>
            <w:tcBorders>
              <w:top w:val="nil"/>
              <w:left w:val="nil"/>
              <w:bottom w:val="nil"/>
              <w:right w:val="nil"/>
            </w:tcBorders>
            <w:shd w:val="clear" w:color="000000" w:fill="FFFFFF"/>
            <w:noWrap/>
            <w:vAlign w:val="center"/>
          </w:tcPr>
          <w:p w14:paraId="4D4DC42B" w14:textId="77777777" w:rsidR="002961DC" w:rsidRPr="00A95729" w:rsidRDefault="002961DC" w:rsidP="00E56366">
            <w:pPr>
              <w:spacing w:after="0" w:line="240" w:lineRule="auto"/>
              <w:jc w:val="center"/>
              <w:rPr>
                <w:rFonts w:eastAsia="Times New Roman"/>
                <w:color w:val="000000"/>
                <w:sz w:val="18"/>
                <w:szCs w:val="18"/>
              </w:rPr>
            </w:pPr>
          </w:p>
        </w:tc>
        <w:tc>
          <w:tcPr>
            <w:tcW w:w="450" w:type="dxa"/>
            <w:tcBorders>
              <w:top w:val="nil"/>
              <w:left w:val="nil"/>
              <w:bottom w:val="nil"/>
              <w:right w:val="single" w:sz="4" w:space="0" w:color="auto"/>
            </w:tcBorders>
            <w:shd w:val="clear" w:color="000000" w:fill="FFFFFF"/>
            <w:noWrap/>
            <w:vAlign w:val="center"/>
          </w:tcPr>
          <w:p w14:paraId="3B6B73D9" w14:textId="77777777" w:rsidR="002961DC" w:rsidRPr="00A95729" w:rsidRDefault="002961DC" w:rsidP="00E56366">
            <w:pPr>
              <w:spacing w:after="0" w:line="240" w:lineRule="auto"/>
              <w:jc w:val="center"/>
              <w:rPr>
                <w:rFonts w:eastAsia="Times New Roman"/>
                <w:color w:val="000000"/>
                <w:sz w:val="18"/>
                <w:szCs w:val="18"/>
              </w:rPr>
            </w:pPr>
          </w:p>
        </w:tc>
        <w:tc>
          <w:tcPr>
            <w:tcW w:w="544" w:type="dxa"/>
            <w:tcBorders>
              <w:top w:val="nil"/>
              <w:left w:val="nil"/>
              <w:bottom w:val="nil"/>
              <w:right w:val="nil"/>
            </w:tcBorders>
            <w:shd w:val="clear" w:color="000000" w:fill="FFFFFF"/>
            <w:noWrap/>
            <w:vAlign w:val="center"/>
          </w:tcPr>
          <w:p w14:paraId="2448230D" w14:textId="77777777" w:rsidR="002961DC" w:rsidRPr="00A95729" w:rsidRDefault="002961DC" w:rsidP="00E56366">
            <w:pPr>
              <w:spacing w:after="0" w:line="240" w:lineRule="auto"/>
              <w:jc w:val="center"/>
              <w:rPr>
                <w:rFonts w:eastAsia="Times New Roman"/>
                <w:color w:val="000000"/>
                <w:sz w:val="18"/>
                <w:szCs w:val="18"/>
              </w:rPr>
            </w:pPr>
          </w:p>
        </w:tc>
        <w:tc>
          <w:tcPr>
            <w:tcW w:w="540" w:type="dxa"/>
            <w:tcBorders>
              <w:top w:val="nil"/>
              <w:left w:val="nil"/>
              <w:bottom w:val="nil"/>
              <w:right w:val="single" w:sz="4" w:space="0" w:color="auto"/>
            </w:tcBorders>
            <w:shd w:val="clear" w:color="000000" w:fill="FFFFFF"/>
            <w:noWrap/>
            <w:vAlign w:val="center"/>
          </w:tcPr>
          <w:p w14:paraId="7E756DAE" w14:textId="77777777" w:rsidR="002961DC" w:rsidRPr="00A95729" w:rsidRDefault="002961DC" w:rsidP="00E56366">
            <w:pPr>
              <w:spacing w:after="0" w:line="240" w:lineRule="auto"/>
              <w:jc w:val="center"/>
              <w:rPr>
                <w:rFonts w:eastAsia="Times New Roman"/>
                <w:color w:val="000000"/>
                <w:sz w:val="18"/>
                <w:szCs w:val="18"/>
              </w:rPr>
            </w:pPr>
          </w:p>
        </w:tc>
        <w:tc>
          <w:tcPr>
            <w:tcW w:w="540" w:type="dxa"/>
            <w:tcBorders>
              <w:top w:val="nil"/>
              <w:left w:val="nil"/>
              <w:bottom w:val="nil"/>
              <w:right w:val="nil"/>
            </w:tcBorders>
            <w:shd w:val="clear" w:color="000000" w:fill="FFFFFF"/>
            <w:noWrap/>
            <w:vAlign w:val="center"/>
          </w:tcPr>
          <w:p w14:paraId="79FDA2BF" w14:textId="77777777" w:rsidR="002961DC" w:rsidRPr="00A95729" w:rsidRDefault="002961DC" w:rsidP="00E56366">
            <w:pPr>
              <w:spacing w:after="0" w:line="240" w:lineRule="auto"/>
              <w:jc w:val="center"/>
              <w:rPr>
                <w:rFonts w:eastAsia="Times New Roman"/>
                <w:color w:val="000000"/>
                <w:sz w:val="18"/>
                <w:szCs w:val="18"/>
              </w:rPr>
            </w:pPr>
          </w:p>
        </w:tc>
        <w:tc>
          <w:tcPr>
            <w:tcW w:w="450" w:type="dxa"/>
            <w:tcBorders>
              <w:top w:val="nil"/>
              <w:left w:val="nil"/>
              <w:bottom w:val="nil"/>
              <w:right w:val="single" w:sz="4" w:space="0" w:color="auto"/>
            </w:tcBorders>
            <w:shd w:val="clear" w:color="000000" w:fill="FFFFFF"/>
            <w:noWrap/>
            <w:vAlign w:val="center"/>
          </w:tcPr>
          <w:p w14:paraId="12596104" w14:textId="77777777" w:rsidR="002961DC" w:rsidRPr="00A95729" w:rsidRDefault="002961DC" w:rsidP="00E56366">
            <w:pPr>
              <w:spacing w:after="0" w:line="240" w:lineRule="auto"/>
              <w:jc w:val="center"/>
              <w:rPr>
                <w:rFonts w:eastAsia="Times New Roman"/>
                <w:color w:val="000000"/>
                <w:sz w:val="18"/>
                <w:szCs w:val="18"/>
              </w:rPr>
            </w:pPr>
          </w:p>
        </w:tc>
        <w:tc>
          <w:tcPr>
            <w:tcW w:w="540" w:type="dxa"/>
            <w:tcBorders>
              <w:top w:val="nil"/>
              <w:left w:val="nil"/>
              <w:bottom w:val="nil"/>
              <w:right w:val="nil"/>
            </w:tcBorders>
            <w:shd w:val="clear" w:color="000000" w:fill="FFFFFF"/>
            <w:noWrap/>
            <w:vAlign w:val="center"/>
          </w:tcPr>
          <w:p w14:paraId="09EB9206" w14:textId="77777777" w:rsidR="002961DC" w:rsidRPr="00A95729" w:rsidRDefault="002961DC" w:rsidP="00E56366">
            <w:pPr>
              <w:spacing w:after="0" w:line="240" w:lineRule="auto"/>
              <w:jc w:val="center"/>
              <w:rPr>
                <w:rFonts w:eastAsia="Times New Roman"/>
                <w:color w:val="000000"/>
                <w:sz w:val="18"/>
                <w:szCs w:val="18"/>
              </w:rPr>
            </w:pPr>
          </w:p>
        </w:tc>
        <w:tc>
          <w:tcPr>
            <w:tcW w:w="450" w:type="dxa"/>
            <w:tcBorders>
              <w:top w:val="nil"/>
              <w:left w:val="nil"/>
              <w:bottom w:val="nil"/>
              <w:right w:val="single" w:sz="4" w:space="0" w:color="auto"/>
            </w:tcBorders>
            <w:shd w:val="clear" w:color="000000" w:fill="FFFFFF"/>
            <w:noWrap/>
            <w:vAlign w:val="center"/>
          </w:tcPr>
          <w:p w14:paraId="2D4DB32B" w14:textId="77777777" w:rsidR="002961DC" w:rsidRPr="00A95729" w:rsidRDefault="002961DC" w:rsidP="00E56366">
            <w:pPr>
              <w:spacing w:after="0" w:line="240" w:lineRule="auto"/>
              <w:jc w:val="center"/>
              <w:rPr>
                <w:rFonts w:eastAsia="Times New Roman"/>
                <w:color w:val="000000"/>
                <w:sz w:val="18"/>
                <w:szCs w:val="18"/>
              </w:rPr>
            </w:pPr>
          </w:p>
        </w:tc>
        <w:tc>
          <w:tcPr>
            <w:tcW w:w="540" w:type="dxa"/>
            <w:tcBorders>
              <w:top w:val="nil"/>
              <w:left w:val="nil"/>
              <w:bottom w:val="nil"/>
              <w:right w:val="nil"/>
            </w:tcBorders>
            <w:shd w:val="clear" w:color="000000" w:fill="FFFFFF"/>
            <w:noWrap/>
            <w:vAlign w:val="center"/>
          </w:tcPr>
          <w:p w14:paraId="18DF3AEF" w14:textId="77777777" w:rsidR="002961DC" w:rsidRPr="00A95729" w:rsidRDefault="002961DC" w:rsidP="00E56366">
            <w:pPr>
              <w:spacing w:after="0" w:line="240" w:lineRule="auto"/>
              <w:jc w:val="center"/>
              <w:rPr>
                <w:rFonts w:eastAsia="Times New Roman"/>
                <w:color w:val="000000"/>
                <w:sz w:val="18"/>
                <w:szCs w:val="18"/>
              </w:rPr>
            </w:pPr>
          </w:p>
        </w:tc>
        <w:tc>
          <w:tcPr>
            <w:tcW w:w="454" w:type="dxa"/>
            <w:tcBorders>
              <w:top w:val="nil"/>
              <w:left w:val="nil"/>
              <w:bottom w:val="nil"/>
              <w:right w:val="single" w:sz="4" w:space="0" w:color="auto"/>
            </w:tcBorders>
            <w:shd w:val="clear" w:color="000000" w:fill="FFFFFF"/>
            <w:noWrap/>
            <w:vAlign w:val="center"/>
          </w:tcPr>
          <w:p w14:paraId="46E4B326" w14:textId="77777777" w:rsidR="002961DC" w:rsidRPr="00A95729" w:rsidRDefault="002961DC" w:rsidP="00E56366">
            <w:pPr>
              <w:spacing w:after="0" w:line="240" w:lineRule="auto"/>
              <w:jc w:val="center"/>
              <w:rPr>
                <w:rFonts w:eastAsia="Times New Roman"/>
                <w:color w:val="000000"/>
                <w:sz w:val="18"/>
                <w:szCs w:val="18"/>
              </w:rPr>
            </w:pPr>
          </w:p>
        </w:tc>
        <w:tc>
          <w:tcPr>
            <w:tcW w:w="540" w:type="dxa"/>
            <w:tcBorders>
              <w:top w:val="nil"/>
              <w:left w:val="nil"/>
              <w:bottom w:val="nil"/>
              <w:right w:val="nil"/>
            </w:tcBorders>
            <w:shd w:val="clear" w:color="000000" w:fill="FFFFFF"/>
            <w:noWrap/>
            <w:vAlign w:val="center"/>
          </w:tcPr>
          <w:p w14:paraId="4EB987DA" w14:textId="77777777" w:rsidR="002961DC" w:rsidRPr="00A95729" w:rsidRDefault="002961DC" w:rsidP="00E56366">
            <w:pPr>
              <w:spacing w:after="0" w:line="240" w:lineRule="auto"/>
              <w:jc w:val="center"/>
              <w:rPr>
                <w:rFonts w:eastAsia="Times New Roman"/>
                <w:color w:val="000000"/>
                <w:sz w:val="18"/>
                <w:szCs w:val="18"/>
              </w:rPr>
            </w:pPr>
          </w:p>
        </w:tc>
        <w:tc>
          <w:tcPr>
            <w:tcW w:w="456" w:type="dxa"/>
            <w:tcBorders>
              <w:top w:val="nil"/>
              <w:left w:val="nil"/>
              <w:bottom w:val="nil"/>
              <w:right w:val="single" w:sz="12" w:space="0" w:color="auto"/>
            </w:tcBorders>
            <w:shd w:val="clear" w:color="000000" w:fill="FFFFFF"/>
            <w:noWrap/>
            <w:vAlign w:val="center"/>
          </w:tcPr>
          <w:p w14:paraId="3E9DA83D" w14:textId="77777777" w:rsidR="002961DC" w:rsidRPr="00A95729" w:rsidRDefault="002961DC" w:rsidP="00E56366">
            <w:pPr>
              <w:spacing w:after="0" w:line="240" w:lineRule="auto"/>
              <w:jc w:val="center"/>
              <w:rPr>
                <w:rFonts w:eastAsia="Times New Roman"/>
                <w:color w:val="000000"/>
                <w:sz w:val="18"/>
                <w:szCs w:val="18"/>
              </w:rPr>
            </w:pPr>
          </w:p>
        </w:tc>
        <w:tc>
          <w:tcPr>
            <w:tcW w:w="540" w:type="dxa"/>
            <w:tcBorders>
              <w:top w:val="nil"/>
              <w:left w:val="nil"/>
              <w:bottom w:val="nil"/>
              <w:right w:val="nil"/>
            </w:tcBorders>
            <w:shd w:val="clear" w:color="000000" w:fill="FFFFFF"/>
          </w:tcPr>
          <w:p w14:paraId="414BF12B" w14:textId="77777777" w:rsidR="002961DC" w:rsidRPr="00A95729" w:rsidRDefault="002961DC" w:rsidP="00E56366">
            <w:pPr>
              <w:spacing w:after="0" w:line="240" w:lineRule="auto"/>
              <w:jc w:val="center"/>
              <w:rPr>
                <w:rFonts w:eastAsia="Times New Roman"/>
                <w:color w:val="000000"/>
                <w:sz w:val="18"/>
                <w:szCs w:val="18"/>
              </w:rPr>
            </w:pPr>
          </w:p>
        </w:tc>
        <w:tc>
          <w:tcPr>
            <w:tcW w:w="540" w:type="dxa"/>
            <w:tcBorders>
              <w:top w:val="nil"/>
              <w:left w:val="nil"/>
              <w:bottom w:val="nil"/>
              <w:right w:val="single" w:sz="12" w:space="0" w:color="auto"/>
            </w:tcBorders>
            <w:shd w:val="clear" w:color="000000" w:fill="FFFFFF"/>
          </w:tcPr>
          <w:p w14:paraId="196FE3A1" w14:textId="77777777" w:rsidR="002961DC" w:rsidRPr="00A95729" w:rsidRDefault="002961DC" w:rsidP="00E56366">
            <w:pPr>
              <w:spacing w:after="0" w:line="240" w:lineRule="auto"/>
              <w:jc w:val="center"/>
              <w:rPr>
                <w:rFonts w:eastAsia="Times New Roman"/>
                <w:color w:val="000000"/>
                <w:sz w:val="18"/>
                <w:szCs w:val="18"/>
              </w:rPr>
            </w:pPr>
          </w:p>
        </w:tc>
        <w:tc>
          <w:tcPr>
            <w:tcW w:w="630" w:type="dxa"/>
            <w:tcBorders>
              <w:top w:val="nil"/>
              <w:left w:val="single" w:sz="12" w:space="0" w:color="auto"/>
              <w:bottom w:val="nil"/>
              <w:right w:val="nil"/>
            </w:tcBorders>
            <w:shd w:val="clear" w:color="000000" w:fill="FFFFFF"/>
          </w:tcPr>
          <w:p w14:paraId="747C4544" w14:textId="77777777" w:rsidR="002961DC" w:rsidRPr="00A95729" w:rsidRDefault="002961DC" w:rsidP="00E56366">
            <w:pPr>
              <w:spacing w:after="0" w:line="240" w:lineRule="auto"/>
              <w:jc w:val="center"/>
              <w:rPr>
                <w:rFonts w:eastAsia="Times New Roman"/>
                <w:color w:val="000000"/>
                <w:sz w:val="18"/>
                <w:szCs w:val="18"/>
              </w:rPr>
            </w:pPr>
          </w:p>
        </w:tc>
        <w:tc>
          <w:tcPr>
            <w:tcW w:w="542" w:type="dxa"/>
            <w:tcBorders>
              <w:top w:val="nil"/>
              <w:left w:val="nil"/>
              <w:bottom w:val="nil"/>
              <w:right w:val="single" w:sz="12" w:space="0" w:color="auto"/>
            </w:tcBorders>
            <w:shd w:val="clear" w:color="000000" w:fill="FFFFFF"/>
          </w:tcPr>
          <w:p w14:paraId="5E7A413B" w14:textId="77777777" w:rsidR="002961DC" w:rsidRPr="00A95729" w:rsidRDefault="002961DC" w:rsidP="00E56366">
            <w:pPr>
              <w:spacing w:after="0" w:line="240" w:lineRule="auto"/>
              <w:jc w:val="center"/>
              <w:rPr>
                <w:rFonts w:eastAsia="Times New Roman"/>
                <w:color w:val="000000"/>
                <w:sz w:val="18"/>
                <w:szCs w:val="18"/>
              </w:rPr>
            </w:pPr>
          </w:p>
        </w:tc>
      </w:tr>
      <w:tr w:rsidR="002961DC" w:rsidRPr="00A95729" w14:paraId="705AC127" w14:textId="77777777" w:rsidTr="00E56366">
        <w:trPr>
          <w:trHeight w:val="20"/>
          <w:jc w:val="center"/>
        </w:trPr>
        <w:tc>
          <w:tcPr>
            <w:tcW w:w="2595" w:type="dxa"/>
            <w:tcBorders>
              <w:top w:val="nil"/>
              <w:left w:val="single" w:sz="12" w:space="0" w:color="auto"/>
              <w:bottom w:val="nil"/>
              <w:right w:val="single" w:sz="12" w:space="0" w:color="auto"/>
            </w:tcBorders>
            <w:shd w:val="clear" w:color="000000" w:fill="FFFFFF"/>
            <w:noWrap/>
            <w:vAlign w:val="bottom"/>
            <w:hideMark/>
          </w:tcPr>
          <w:p w14:paraId="1A1E9AC2" w14:textId="77777777" w:rsidR="002961DC" w:rsidRPr="00A95729" w:rsidRDefault="002961DC" w:rsidP="00E56366">
            <w:pPr>
              <w:spacing w:after="0" w:line="240" w:lineRule="auto"/>
              <w:rPr>
                <w:rFonts w:eastAsia="Times New Roman"/>
                <w:color w:val="000000"/>
                <w:sz w:val="18"/>
                <w:szCs w:val="18"/>
              </w:rPr>
            </w:pPr>
            <w:r w:rsidRPr="00A95729">
              <w:rPr>
                <w:rFonts w:eastAsia="Times New Roman"/>
                <w:color w:val="000000"/>
                <w:sz w:val="18"/>
                <w:szCs w:val="18"/>
              </w:rPr>
              <w:t xml:space="preserve">     Single adult </w:t>
            </w:r>
            <w:r>
              <w:rPr>
                <w:rFonts w:eastAsia="Times New Roman"/>
                <w:color w:val="000000"/>
                <w:sz w:val="18"/>
                <w:szCs w:val="18"/>
              </w:rPr>
              <w:t>(</w:t>
            </w:r>
            <w:r w:rsidRPr="00A95729">
              <w:rPr>
                <w:rFonts w:eastAsia="Times New Roman"/>
                <w:color w:val="000000"/>
                <w:sz w:val="18"/>
                <w:szCs w:val="18"/>
              </w:rPr>
              <w:t>2+ adults</w:t>
            </w:r>
            <w:r>
              <w:rPr>
                <w:rFonts w:eastAsia="Times New Roman"/>
                <w:color w:val="000000"/>
                <w:sz w:val="18"/>
                <w:szCs w:val="18"/>
              </w:rPr>
              <w:t>)</w:t>
            </w:r>
          </w:p>
        </w:tc>
        <w:tc>
          <w:tcPr>
            <w:tcW w:w="537" w:type="dxa"/>
            <w:tcBorders>
              <w:top w:val="nil"/>
              <w:left w:val="single" w:sz="12" w:space="0" w:color="auto"/>
              <w:bottom w:val="nil"/>
            </w:tcBorders>
            <w:shd w:val="clear" w:color="000000" w:fill="FFFFFF"/>
            <w:vAlign w:val="bottom"/>
          </w:tcPr>
          <w:p w14:paraId="2323C717"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0.12</w:t>
            </w:r>
          </w:p>
        </w:tc>
        <w:tc>
          <w:tcPr>
            <w:tcW w:w="541" w:type="dxa"/>
            <w:tcBorders>
              <w:top w:val="nil"/>
              <w:left w:val="nil"/>
              <w:bottom w:val="nil"/>
              <w:right w:val="single" w:sz="12" w:space="0" w:color="auto"/>
            </w:tcBorders>
            <w:shd w:val="clear" w:color="000000" w:fill="FFFFFF"/>
            <w:vAlign w:val="bottom"/>
          </w:tcPr>
          <w:p w14:paraId="2E998331"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3.40</w:t>
            </w:r>
          </w:p>
        </w:tc>
        <w:tc>
          <w:tcPr>
            <w:tcW w:w="539" w:type="dxa"/>
            <w:tcBorders>
              <w:top w:val="nil"/>
              <w:left w:val="single" w:sz="12" w:space="0" w:color="auto"/>
              <w:bottom w:val="nil"/>
              <w:right w:val="nil"/>
            </w:tcBorders>
            <w:shd w:val="clear" w:color="000000" w:fill="FFFFFF"/>
            <w:noWrap/>
            <w:vAlign w:val="center"/>
            <w:hideMark/>
          </w:tcPr>
          <w:p w14:paraId="524AAD5D"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49" w:type="dxa"/>
            <w:tcBorders>
              <w:top w:val="nil"/>
              <w:left w:val="nil"/>
              <w:bottom w:val="nil"/>
              <w:right w:val="single" w:sz="4" w:space="0" w:color="auto"/>
            </w:tcBorders>
            <w:shd w:val="clear" w:color="000000" w:fill="FFFFFF"/>
            <w:noWrap/>
            <w:vAlign w:val="center"/>
            <w:hideMark/>
          </w:tcPr>
          <w:p w14:paraId="15E9BC54"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hideMark/>
          </w:tcPr>
          <w:p w14:paraId="42EA9970"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hideMark/>
          </w:tcPr>
          <w:p w14:paraId="3D0D3CFF"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hideMark/>
          </w:tcPr>
          <w:p w14:paraId="3FE9DE46"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hideMark/>
          </w:tcPr>
          <w:p w14:paraId="0A0102E4"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4" w:type="dxa"/>
            <w:tcBorders>
              <w:top w:val="nil"/>
              <w:left w:val="nil"/>
              <w:bottom w:val="nil"/>
              <w:right w:val="nil"/>
            </w:tcBorders>
            <w:shd w:val="clear" w:color="000000" w:fill="FFFFFF"/>
            <w:noWrap/>
            <w:vAlign w:val="bottom"/>
            <w:hideMark/>
          </w:tcPr>
          <w:p w14:paraId="63D8A809"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0.17</w:t>
            </w:r>
          </w:p>
        </w:tc>
        <w:tc>
          <w:tcPr>
            <w:tcW w:w="540" w:type="dxa"/>
            <w:tcBorders>
              <w:top w:val="nil"/>
              <w:left w:val="nil"/>
              <w:bottom w:val="nil"/>
              <w:right w:val="single" w:sz="4" w:space="0" w:color="auto"/>
            </w:tcBorders>
            <w:shd w:val="clear" w:color="000000" w:fill="FFFFFF"/>
            <w:noWrap/>
            <w:vAlign w:val="bottom"/>
            <w:hideMark/>
          </w:tcPr>
          <w:p w14:paraId="09B35EDA"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1.79</w:t>
            </w:r>
          </w:p>
        </w:tc>
        <w:tc>
          <w:tcPr>
            <w:tcW w:w="540" w:type="dxa"/>
            <w:tcBorders>
              <w:top w:val="nil"/>
              <w:left w:val="nil"/>
              <w:bottom w:val="nil"/>
              <w:right w:val="nil"/>
            </w:tcBorders>
            <w:shd w:val="clear" w:color="000000" w:fill="FFFFFF"/>
            <w:noWrap/>
            <w:vAlign w:val="center"/>
            <w:hideMark/>
          </w:tcPr>
          <w:p w14:paraId="414A9528"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hideMark/>
          </w:tcPr>
          <w:p w14:paraId="6548EFB4"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hideMark/>
          </w:tcPr>
          <w:p w14:paraId="3A20B3DE"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hideMark/>
          </w:tcPr>
          <w:p w14:paraId="13A11F92"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hideMark/>
          </w:tcPr>
          <w:p w14:paraId="2744E84D"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4" w:type="dxa"/>
            <w:tcBorders>
              <w:top w:val="nil"/>
              <w:left w:val="nil"/>
              <w:bottom w:val="nil"/>
              <w:right w:val="single" w:sz="4" w:space="0" w:color="auto"/>
            </w:tcBorders>
            <w:shd w:val="clear" w:color="000000" w:fill="FFFFFF"/>
            <w:noWrap/>
            <w:vAlign w:val="center"/>
            <w:hideMark/>
          </w:tcPr>
          <w:p w14:paraId="199097A9"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bottom"/>
            <w:hideMark/>
          </w:tcPr>
          <w:p w14:paraId="5B16DF06" w14:textId="77777777" w:rsidR="002961DC" w:rsidRPr="00A95729" w:rsidRDefault="002961DC" w:rsidP="00E56366">
            <w:pPr>
              <w:spacing w:after="0" w:line="240" w:lineRule="auto"/>
              <w:jc w:val="center"/>
              <w:rPr>
                <w:rFonts w:eastAsia="Times New Roman"/>
                <w:color w:val="000000"/>
                <w:sz w:val="18"/>
                <w:szCs w:val="18"/>
              </w:rPr>
            </w:pPr>
            <w:r>
              <w:rPr>
                <w:color w:val="000000"/>
                <w:sz w:val="18"/>
                <w:szCs w:val="18"/>
              </w:rPr>
              <w:t>-</w:t>
            </w:r>
            <w:r w:rsidRPr="00A95729">
              <w:rPr>
                <w:color w:val="000000"/>
                <w:sz w:val="18"/>
                <w:szCs w:val="18"/>
              </w:rPr>
              <w:t>0.13</w:t>
            </w:r>
          </w:p>
        </w:tc>
        <w:tc>
          <w:tcPr>
            <w:tcW w:w="456" w:type="dxa"/>
            <w:tcBorders>
              <w:top w:val="nil"/>
              <w:left w:val="nil"/>
              <w:bottom w:val="nil"/>
              <w:right w:val="single" w:sz="12" w:space="0" w:color="auto"/>
            </w:tcBorders>
            <w:shd w:val="clear" w:color="000000" w:fill="FFFFFF"/>
            <w:noWrap/>
            <w:vAlign w:val="bottom"/>
            <w:hideMark/>
          </w:tcPr>
          <w:p w14:paraId="1776BE9A" w14:textId="77777777" w:rsidR="002961DC" w:rsidRPr="00A95729" w:rsidRDefault="002961DC" w:rsidP="00E56366">
            <w:pPr>
              <w:spacing w:after="0" w:line="240" w:lineRule="auto"/>
              <w:jc w:val="center"/>
              <w:rPr>
                <w:rFonts w:eastAsia="Times New Roman"/>
                <w:color w:val="000000"/>
                <w:sz w:val="18"/>
                <w:szCs w:val="18"/>
              </w:rPr>
            </w:pPr>
            <w:r>
              <w:rPr>
                <w:color w:val="000000"/>
                <w:sz w:val="18"/>
                <w:szCs w:val="18"/>
              </w:rPr>
              <w:t>-</w:t>
            </w:r>
            <w:r w:rsidRPr="00A95729">
              <w:rPr>
                <w:color w:val="000000"/>
                <w:sz w:val="18"/>
                <w:szCs w:val="18"/>
              </w:rPr>
              <w:t>2.04</w:t>
            </w:r>
          </w:p>
        </w:tc>
        <w:tc>
          <w:tcPr>
            <w:tcW w:w="540" w:type="dxa"/>
            <w:tcBorders>
              <w:top w:val="nil"/>
              <w:left w:val="nil"/>
              <w:bottom w:val="nil"/>
              <w:right w:val="nil"/>
            </w:tcBorders>
            <w:shd w:val="clear" w:color="000000" w:fill="FFFFFF"/>
            <w:vAlign w:val="bottom"/>
          </w:tcPr>
          <w:p w14:paraId="417AD01E" w14:textId="77777777" w:rsidR="002961DC" w:rsidRPr="00A95729" w:rsidRDefault="002961DC" w:rsidP="00E56366">
            <w:pPr>
              <w:spacing w:after="0" w:line="240" w:lineRule="auto"/>
              <w:jc w:val="center"/>
              <w:rPr>
                <w:color w:val="000000"/>
                <w:sz w:val="18"/>
                <w:szCs w:val="18"/>
              </w:rPr>
            </w:pPr>
            <w:r w:rsidRPr="00A95729">
              <w:rPr>
                <w:color w:val="000000"/>
                <w:sz w:val="18"/>
                <w:szCs w:val="18"/>
              </w:rPr>
              <w:t>0.10</w:t>
            </w:r>
          </w:p>
        </w:tc>
        <w:tc>
          <w:tcPr>
            <w:tcW w:w="540" w:type="dxa"/>
            <w:tcBorders>
              <w:top w:val="nil"/>
              <w:left w:val="nil"/>
              <w:bottom w:val="nil"/>
              <w:right w:val="single" w:sz="12" w:space="0" w:color="auto"/>
            </w:tcBorders>
            <w:shd w:val="clear" w:color="000000" w:fill="FFFFFF"/>
            <w:vAlign w:val="bottom"/>
          </w:tcPr>
          <w:p w14:paraId="1F8EF541" w14:textId="77777777" w:rsidR="002961DC" w:rsidRPr="00A95729" w:rsidRDefault="002961DC" w:rsidP="00E56366">
            <w:pPr>
              <w:spacing w:after="0" w:line="240" w:lineRule="auto"/>
              <w:jc w:val="center"/>
              <w:rPr>
                <w:color w:val="000000"/>
                <w:sz w:val="18"/>
                <w:szCs w:val="18"/>
              </w:rPr>
            </w:pPr>
            <w:r w:rsidRPr="00A95729">
              <w:rPr>
                <w:color w:val="000000"/>
                <w:sz w:val="18"/>
                <w:szCs w:val="18"/>
              </w:rPr>
              <w:t>2.52</w:t>
            </w:r>
          </w:p>
        </w:tc>
        <w:tc>
          <w:tcPr>
            <w:tcW w:w="630" w:type="dxa"/>
            <w:tcBorders>
              <w:top w:val="nil"/>
              <w:left w:val="single" w:sz="12" w:space="0" w:color="auto"/>
              <w:bottom w:val="nil"/>
              <w:right w:val="nil"/>
            </w:tcBorders>
            <w:shd w:val="clear" w:color="000000" w:fill="FFFFFF"/>
            <w:vAlign w:val="center"/>
          </w:tcPr>
          <w:p w14:paraId="4A6376BC" w14:textId="77777777" w:rsidR="002961DC" w:rsidRPr="00A95729" w:rsidRDefault="002961DC" w:rsidP="00E56366">
            <w:pPr>
              <w:spacing w:after="0" w:line="240" w:lineRule="auto"/>
              <w:jc w:val="center"/>
              <w:rPr>
                <w:color w:val="000000"/>
                <w:sz w:val="18"/>
                <w:szCs w:val="18"/>
              </w:rPr>
            </w:pPr>
            <w:r w:rsidRPr="00A95729">
              <w:rPr>
                <w:rFonts w:eastAsia="Times New Roman"/>
                <w:color w:val="000000"/>
                <w:sz w:val="18"/>
                <w:szCs w:val="18"/>
              </w:rPr>
              <w:t>--</w:t>
            </w:r>
          </w:p>
        </w:tc>
        <w:tc>
          <w:tcPr>
            <w:tcW w:w="542" w:type="dxa"/>
            <w:tcBorders>
              <w:top w:val="nil"/>
              <w:left w:val="nil"/>
              <w:bottom w:val="nil"/>
              <w:right w:val="single" w:sz="12" w:space="0" w:color="auto"/>
            </w:tcBorders>
            <w:shd w:val="clear" w:color="000000" w:fill="FFFFFF"/>
            <w:vAlign w:val="center"/>
          </w:tcPr>
          <w:p w14:paraId="64CEE602" w14:textId="77777777" w:rsidR="002961DC" w:rsidRPr="00A95729" w:rsidRDefault="002961DC" w:rsidP="00E56366">
            <w:pPr>
              <w:spacing w:after="0" w:line="240" w:lineRule="auto"/>
              <w:jc w:val="center"/>
              <w:rPr>
                <w:color w:val="000000"/>
                <w:sz w:val="18"/>
                <w:szCs w:val="18"/>
              </w:rPr>
            </w:pPr>
            <w:r w:rsidRPr="00A95729">
              <w:rPr>
                <w:rFonts w:eastAsia="Times New Roman"/>
                <w:color w:val="000000"/>
                <w:sz w:val="18"/>
                <w:szCs w:val="18"/>
              </w:rPr>
              <w:t> </w:t>
            </w:r>
          </w:p>
        </w:tc>
      </w:tr>
      <w:tr w:rsidR="002961DC" w:rsidRPr="00A95729" w14:paraId="7556FB91" w14:textId="77777777" w:rsidTr="00E56366">
        <w:trPr>
          <w:trHeight w:val="20"/>
          <w:jc w:val="center"/>
        </w:trPr>
        <w:tc>
          <w:tcPr>
            <w:tcW w:w="2595" w:type="dxa"/>
            <w:tcBorders>
              <w:top w:val="nil"/>
              <w:left w:val="single" w:sz="12" w:space="0" w:color="auto"/>
              <w:bottom w:val="nil"/>
              <w:right w:val="single" w:sz="12" w:space="0" w:color="auto"/>
            </w:tcBorders>
            <w:shd w:val="clear" w:color="000000" w:fill="FFFFFF"/>
            <w:noWrap/>
            <w:vAlign w:val="bottom"/>
            <w:hideMark/>
          </w:tcPr>
          <w:p w14:paraId="64B0DA9E" w14:textId="04BC1608" w:rsidR="002961DC" w:rsidRPr="00A95729" w:rsidRDefault="002961DC" w:rsidP="00E56366">
            <w:pPr>
              <w:spacing w:after="0" w:line="240" w:lineRule="auto"/>
              <w:rPr>
                <w:rFonts w:eastAsia="Times New Roman"/>
                <w:color w:val="000000"/>
                <w:sz w:val="18"/>
                <w:szCs w:val="18"/>
              </w:rPr>
            </w:pPr>
            <w:r w:rsidRPr="00A95729">
              <w:rPr>
                <w:rFonts w:eastAsia="Times New Roman"/>
                <w:color w:val="000000"/>
                <w:sz w:val="18"/>
                <w:szCs w:val="18"/>
              </w:rPr>
              <w:t xml:space="preserve">     Presence of Children</w:t>
            </w:r>
            <w:r w:rsidR="003553BE">
              <w:rPr>
                <w:rFonts w:eastAsia="Times New Roman"/>
                <w:color w:val="000000"/>
                <w:sz w:val="18"/>
                <w:szCs w:val="18"/>
              </w:rPr>
              <w:t xml:space="preserve"> (≤17 yrs.)</w:t>
            </w:r>
          </w:p>
        </w:tc>
        <w:tc>
          <w:tcPr>
            <w:tcW w:w="537" w:type="dxa"/>
            <w:tcBorders>
              <w:top w:val="nil"/>
              <w:left w:val="single" w:sz="12" w:space="0" w:color="auto"/>
              <w:bottom w:val="nil"/>
            </w:tcBorders>
            <w:shd w:val="clear" w:color="000000" w:fill="FFFFFF"/>
            <w:vAlign w:val="center"/>
          </w:tcPr>
          <w:p w14:paraId="6FBFDD80"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541" w:type="dxa"/>
            <w:tcBorders>
              <w:top w:val="nil"/>
              <w:left w:val="nil"/>
              <w:bottom w:val="nil"/>
              <w:right w:val="single" w:sz="12" w:space="0" w:color="auto"/>
            </w:tcBorders>
            <w:shd w:val="clear" w:color="000000" w:fill="FFFFFF"/>
            <w:vAlign w:val="center"/>
          </w:tcPr>
          <w:p w14:paraId="2EA16C3D"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39" w:type="dxa"/>
            <w:tcBorders>
              <w:top w:val="nil"/>
              <w:left w:val="single" w:sz="12" w:space="0" w:color="auto"/>
              <w:bottom w:val="nil"/>
              <w:right w:val="nil"/>
            </w:tcBorders>
            <w:shd w:val="clear" w:color="000000" w:fill="FFFFFF"/>
            <w:noWrap/>
            <w:vAlign w:val="center"/>
            <w:hideMark/>
          </w:tcPr>
          <w:p w14:paraId="01C23A01"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49" w:type="dxa"/>
            <w:tcBorders>
              <w:top w:val="nil"/>
              <w:left w:val="nil"/>
              <w:bottom w:val="nil"/>
              <w:right w:val="single" w:sz="4" w:space="0" w:color="auto"/>
            </w:tcBorders>
            <w:shd w:val="clear" w:color="000000" w:fill="FFFFFF"/>
            <w:noWrap/>
            <w:vAlign w:val="center"/>
            <w:hideMark/>
          </w:tcPr>
          <w:p w14:paraId="1337E3AD"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hideMark/>
          </w:tcPr>
          <w:p w14:paraId="622616E0"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hideMark/>
          </w:tcPr>
          <w:p w14:paraId="6A48749A"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bottom"/>
            <w:hideMark/>
          </w:tcPr>
          <w:p w14:paraId="78AE20FE"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-0.15</w:t>
            </w:r>
          </w:p>
        </w:tc>
        <w:tc>
          <w:tcPr>
            <w:tcW w:w="450" w:type="dxa"/>
            <w:tcBorders>
              <w:top w:val="nil"/>
              <w:left w:val="nil"/>
              <w:bottom w:val="nil"/>
              <w:right w:val="single" w:sz="4" w:space="0" w:color="auto"/>
            </w:tcBorders>
            <w:shd w:val="clear" w:color="000000" w:fill="FFFFFF"/>
            <w:noWrap/>
            <w:vAlign w:val="bottom"/>
            <w:hideMark/>
          </w:tcPr>
          <w:p w14:paraId="4B34A370"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-1.54</w:t>
            </w:r>
          </w:p>
        </w:tc>
        <w:tc>
          <w:tcPr>
            <w:tcW w:w="544" w:type="dxa"/>
            <w:tcBorders>
              <w:top w:val="nil"/>
              <w:left w:val="nil"/>
              <w:bottom w:val="nil"/>
              <w:right w:val="nil"/>
            </w:tcBorders>
            <w:shd w:val="clear" w:color="000000" w:fill="FFFFFF"/>
            <w:noWrap/>
            <w:vAlign w:val="bottom"/>
            <w:hideMark/>
          </w:tcPr>
          <w:p w14:paraId="3D6EE092"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-0.17</w:t>
            </w:r>
          </w:p>
        </w:tc>
        <w:tc>
          <w:tcPr>
            <w:tcW w:w="540" w:type="dxa"/>
            <w:tcBorders>
              <w:top w:val="nil"/>
              <w:left w:val="nil"/>
              <w:bottom w:val="nil"/>
              <w:right w:val="single" w:sz="4" w:space="0" w:color="auto"/>
            </w:tcBorders>
            <w:shd w:val="clear" w:color="000000" w:fill="FFFFFF"/>
            <w:noWrap/>
            <w:vAlign w:val="bottom"/>
            <w:hideMark/>
          </w:tcPr>
          <w:p w14:paraId="61AA158E"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-1.66</w:t>
            </w:r>
          </w:p>
        </w:tc>
        <w:tc>
          <w:tcPr>
            <w:tcW w:w="540" w:type="dxa"/>
            <w:tcBorders>
              <w:top w:val="nil"/>
              <w:left w:val="nil"/>
              <w:bottom w:val="nil"/>
              <w:right w:val="nil"/>
            </w:tcBorders>
            <w:shd w:val="clear" w:color="000000" w:fill="FFFFFF"/>
            <w:noWrap/>
            <w:vAlign w:val="bottom"/>
            <w:hideMark/>
          </w:tcPr>
          <w:p w14:paraId="5509E497"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0.13</w:t>
            </w:r>
          </w:p>
        </w:tc>
        <w:tc>
          <w:tcPr>
            <w:tcW w:w="450" w:type="dxa"/>
            <w:tcBorders>
              <w:top w:val="nil"/>
              <w:left w:val="nil"/>
              <w:bottom w:val="nil"/>
              <w:right w:val="single" w:sz="4" w:space="0" w:color="auto"/>
            </w:tcBorders>
            <w:shd w:val="clear" w:color="000000" w:fill="FFFFFF"/>
            <w:noWrap/>
            <w:vAlign w:val="bottom"/>
            <w:hideMark/>
          </w:tcPr>
          <w:p w14:paraId="7793664B"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1.79</w:t>
            </w:r>
          </w:p>
        </w:tc>
        <w:tc>
          <w:tcPr>
            <w:tcW w:w="540" w:type="dxa"/>
            <w:tcBorders>
              <w:top w:val="nil"/>
              <w:left w:val="nil"/>
              <w:bottom w:val="nil"/>
              <w:right w:val="nil"/>
            </w:tcBorders>
            <w:shd w:val="clear" w:color="000000" w:fill="FFFFFF"/>
            <w:noWrap/>
            <w:vAlign w:val="center"/>
            <w:hideMark/>
          </w:tcPr>
          <w:p w14:paraId="6CC84B99"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hideMark/>
          </w:tcPr>
          <w:p w14:paraId="5B090C44"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hideMark/>
          </w:tcPr>
          <w:p w14:paraId="052864E6"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4" w:type="dxa"/>
            <w:tcBorders>
              <w:top w:val="nil"/>
              <w:left w:val="nil"/>
              <w:bottom w:val="nil"/>
              <w:right w:val="single" w:sz="4" w:space="0" w:color="auto"/>
            </w:tcBorders>
            <w:shd w:val="clear" w:color="000000" w:fill="FFFFFF"/>
            <w:noWrap/>
            <w:vAlign w:val="center"/>
            <w:hideMark/>
          </w:tcPr>
          <w:p w14:paraId="79B37703"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hideMark/>
          </w:tcPr>
          <w:p w14:paraId="74E9956A"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6" w:type="dxa"/>
            <w:tcBorders>
              <w:top w:val="nil"/>
              <w:left w:val="nil"/>
              <w:bottom w:val="nil"/>
              <w:right w:val="single" w:sz="12" w:space="0" w:color="auto"/>
            </w:tcBorders>
            <w:shd w:val="clear" w:color="000000" w:fill="FFFFFF"/>
            <w:noWrap/>
            <w:vAlign w:val="center"/>
            <w:hideMark/>
          </w:tcPr>
          <w:p w14:paraId="4015EFEE"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vAlign w:val="bottom"/>
          </w:tcPr>
          <w:p w14:paraId="24A25102"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-0.10</w:t>
            </w:r>
          </w:p>
        </w:tc>
        <w:tc>
          <w:tcPr>
            <w:tcW w:w="540" w:type="dxa"/>
            <w:tcBorders>
              <w:top w:val="nil"/>
              <w:left w:val="nil"/>
              <w:bottom w:val="nil"/>
              <w:right w:val="single" w:sz="12" w:space="0" w:color="auto"/>
            </w:tcBorders>
            <w:shd w:val="clear" w:color="000000" w:fill="FFFFFF"/>
            <w:vAlign w:val="bottom"/>
          </w:tcPr>
          <w:p w14:paraId="020A8183"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-3.34</w:t>
            </w:r>
          </w:p>
        </w:tc>
        <w:tc>
          <w:tcPr>
            <w:tcW w:w="630" w:type="dxa"/>
            <w:tcBorders>
              <w:top w:val="nil"/>
              <w:left w:val="single" w:sz="12" w:space="0" w:color="auto"/>
              <w:bottom w:val="nil"/>
              <w:right w:val="nil"/>
            </w:tcBorders>
            <w:shd w:val="clear" w:color="000000" w:fill="FFFFFF"/>
            <w:vAlign w:val="bottom"/>
          </w:tcPr>
          <w:p w14:paraId="68173283"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0.08</w:t>
            </w:r>
          </w:p>
        </w:tc>
        <w:tc>
          <w:tcPr>
            <w:tcW w:w="542" w:type="dxa"/>
            <w:tcBorders>
              <w:top w:val="nil"/>
              <w:left w:val="nil"/>
              <w:bottom w:val="nil"/>
              <w:right w:val="single" w:sz="12" w:space="0" w:color="auto"/>
            </w:tcBorders>
            <w:shd w:val="clear" w:color="000000" w:fill="FFFFFF"/>
            <w:vAlign w:val="bottom"/>
          </w:tcPr>
          <w:p w14:paraId="5CF9C713"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3.23</w:t>
            </w:r>
          </w:p>
        </w:tc>
      </w:tr>
      <w:tr w:rsidR="002961DC" w:rsidRPr="00A95729" w14:paraId="34D5C017" w14:textId="77777777" w:rsidTr="00E56366">
        <w:trPr>
          <w:trHeight w:val="20"/>
          <w:jc w:val="center"/>
        </w:trPr>
        <w:tc>
          <w:tcPr>
            <w:tcW w:w="2595" w:type="dxa"/>
            <w:tcBorders>
              <w:top w:val="nil"/>
              <w:left w:val="single" w:sz="12" w:space="0" w:color="auto"/>
              <w:bottom w:val="nil"/>
              <w:right w:val="single" w:sz="12" w:space="0" w:color="auto"/>
            </w:tcBorders>
            <w:shd w:val="clear" w:color="000000" w:fill="FFFFFF"/>
            <w:noWrap/>
            <w:vAlign w:val="bottom"/>
            <w:hideMark/>
          </w:tcPr>
          <w:p w14:paraId="24FDD773" w14:textId="77777777" w:rsidR="002961DC" w:rsidRPr="00A95729" w:rsidRDefault="002961DC" w:rsidP="00E56366">
            <w:pPr>
              <w:spacing w:after="0" w:line="240" w:lineRule="auto"/>
              <w:rPr>
                <w:rFonts w:eastAsia="Times New Roman"/>
                <w:color w:val="000000"/>
                <w:sz w:val="18"/>
                <w:szCs w:val="18"/>
              </w:rPr>
            </w:pPr>
            <w:r w:rsidRPr="00A95729">
              <w:rPr>
                <w:rFonts w:eastAsia="Times New Roman"/>
                <w:color w:val="000000"/>
                <w:sz w:val="18"/>
                <w:szCs w:val="18"/>
              </w:rPr>
              <w:t>Number of Workers (0 workers)</w:t>
            </w:r>
          </w:p>
        </w:tc>
        <w:tc>
          <w:tcPr>
            <w:tcW w:w="537" w:type="dxa"/>
            <w:tcBorders>
              <w:top w:val="nil"/>
              <w:left w:val="single" w:sz="12" w:space="0" w:color="auto"/>
              <w:bottom w:val="nil"/>
            </w:tcBorders>
            <w:shd w:val="clear" w:color="000000" w:fill="FFFFFF"/>
          </w:tcPr>
          <w:p w14:paraId="393F0E4D" w14:textId="77777777" w:rsidR="002961DC" w:rsidRPr="00A95729" w:rsidRDefault="002961DC" w:rsidP="00E56366">
            <w:pPr>
              <w:spacing w:after="0" w:line="240" w:lineRule="auto"/>
              <w:jc w:val="center"/>
              <w:rPr>
                <w:rFonts w:eastAsia="Times New Roman"/>
                <w:color w:val="000000"/>
                <w:sz w:val="18"/>
                <w:szCs w:val="18"/>
              </w:rPr>
            </w:pPr>
          </w:p>
        </w:tc>
        <w:tc>
          <w:tcPr>
            <w:tcW w:w="541" w:type="dxa"/>
            <w:tcBorders>
              <w:top w:val="nil"/>
              <w:left w:val="nil"/>
              <w:bottom w:val="nil"/>
              <w:right w:val="single" w:sz="12" w:space="0" w:color="auto"/>
            </w:tcBorders>
            <w:shd w:val="clear" w:color="000000" w:fill="FFFFFF"/>
          </w:tcPr>
          <w:p w14:paraId="43146A4D" w14:textId="77777777" w:rsidR="002961DC" w:rsidRPr="00A95729" w:rsidRDefault="002961DC" w:rsidP="00E56366">
            <w:pPr>
              <w:spacing w:after="0" w:line="240" w:lineRule="auto"/>
              <w:jc w:val="center"/>
              <w:rPr>
                <w:rFonts w:eastAsia="Times New Roman"/>
                <w:color w:val="000000"/>
                <w:sz w:val="18"/>
                <w:szCs w:val="18"/>
              </w:rPr>
            </w:pPr>
          </w:p>
        </w:tc>
        <w:tc>
          <w:tcPr>
            <w:tcW w:w="539" w:type="dxa"/>
            <w:tcBorders>
              <w:top w:val="nil"/>
              <w:left w:val="single" w:sz="12" w:space="0" w:color="auto"/>
              <w:bottom w:val="nil"/>
              <w:right w:val="nil"/>
            </w:tcBorders>
            <w:shd w:val="clear" w:color="000000" w:fill="FFFFFF"/>
            <w:noWrap/>
            <w:vAlign w:val="center"/>
            <w:hideMark/>
          </w:tcPr>
          <w:p w14:paraId="013EED02"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449" w:type="dxa"/>
            <w:tcBorders>
              <w:top w:val="nil"/>
              <w:left w:val="nil"/>
              <w:bottom w:val="nil"/>
              <w:right w:val="single" w:sz="4" w:space="0" w:color="auto"/>
            </w:tcBorders>
            <w:shd w:val="clear" w:color="000000" w:fill="FFFFFF"/>
            <w:noWrap/>
            <w:vAlign w:val="center"/>
            <w:hideMark/>
          </w:tcPr>
          <w:p w14:paraId="661721D1"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hideMark/>
          </w:tcPr>
          <w:p w14:paraId="207942B2"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450" w:type="dxa"/>
            <w:tcBorders>
              <w:top w:val="nil"/>
              <w:left w:val="nil"/>
              <w:bottom w:val="nil"/>
              <w:right w:val="single" w:sz="4" w:space="0" w:color="auto"/>
            </w:tcBorders>
            <w:shd w:val="clear" w:color="000000" w:fill="FFFFFF"/>
            <w:noWrap/>
            <w:vAlign w:val="center"/>
            <w:hideMark/>
          </w:tcPr>
          <w:p w14:paraId="67005797"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hideMark/>
          </w:tcPr>
          <w:p w14:paraId="132D2D26"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450" w:type="dxa"/>
            <w:tcBorders>
              <w:top w:val="nil"/>
              <w:left w:val="nil"/>
              <w:bottom w:val="nil"/>
              <w:right w:val="single" w:sz="4" w:space="0" w:color="auto"/>
            </w:tcBorders>
            <w:shd w:val="clear" w:color="000000" w:fill="FFFFFF"/>
            <w:noWrap/>
            <w:vAlign w:val="center"/>
            <w:hideMark/>
          </w:tcPr>
          <w:p w14:paraId="4729D6DB"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4" w:type="dxa"/>
            <w:tcBorders>
              <w:top w:val="nil"/>
              <w:left w:val="nil"/>
              <w:bottom w:val="nil"/>
              <w:right w:val="nil"/>
            </w:tcBorders>
            <w:shd w:val="clear" w:color="000000" w:fill="FFFFFF"/>
            <w:noWrap/>
            <w:vAlign w:val="center"/>
            <w:hideMark/>
          </w:tcPr>
          <w:p w14:paraId="2B247769"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single" w:sz="4" w:space="0" w:color="auto"/>
            </w:tcBorders>
            <w:shd w:val="clear" w:color="000000" w:fill="FFFFFF"/>
            <w:noWrap/>
            <w:vAlign w:val="center"/>
            <w:hideMark/>
          </w:tcPr>
          <w:p w14:paraId="3105C78B"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45C4F584" w14:textId="77777777" w:rsidR="002961DC" w:rsidRPr="00A95729" w:rsidRDefault="002961DC" w:rsidP="00E56366">
            <w:pPr>
              <w:spacing w:after="0" w:line="240" w:lineRule="auto"/>
              <w:jc w:val="center"/>
              <w:rPr>
                <w:rFonts w:eastAsia="Times New Roman"/>
                <w:color w:val="000000"/>
                <w:sz w:val="18"/>
                <w:szCs w:val="18"/>
              </w:rPr>
            </w:pPr>
          </w:p>
        </w:tc>
        <w:tc>
          <w:tcPr>
            <w:tcW w:w="450" w:type="dxa"/>
            <w:tcBorders>
              <w:top w:val="nil"/>
              <w:left w:val="nil"/>
              <w:bottom w:val="nil"/>
              <w:right w:val="single" w:sz="4" w:space="0" w:color="auto"/>
            </w:tcBorders>
            <w:shd w:val="clear" w:color="000000" w:fill="FFFFFF"/>
            <w:noWrap/>
            <w:vAlign w:val="center"/>
          </w:tcPr>
          <w:p w14:paraId="300B9083" w14:textId="77777777" w:rsidR="002961DC" w:rsidRPr="00A95729" w:rsidRDefault="002961DC" w:rsidP="00E56366">
            <w:pPr>
              <w:spacing w:after="0" w:line="240" w:lineRule="auto"/>
              <w:jc w:val="center"/>
              <w:rPr>
                <w:rFonts w:eastAsia="Times New Roman"/>
                <w:color w:val="000000"/>
                <w:sz w:val="18"/>
                <w:szCs w:val="18"/>
              </w:rPr>
            </w:pPr>
          </w:p>
        </w:tc>
        <w:tc>
          <w:tcPr>
            <w:tcW w:w="540" w:type="dxa"/>
            <w:tcBorders>
              <w:top w:val="nil"/>
              <w:left w:val="nil"/>
              <w:bottom w:val="nil"/>
              <w:right w:val="nil"/>
            </w:tcBorders>
            <w:shd w:val="clear" w:color="000000" w:fill="FFFFFF"/>
            <w:noWrap/>
            <w:vAlign w:val="center"/>
            <w:hideMark/>
          </w:tcPr>
          <w:p w14:paraId="46B3B6F9"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450" w:type="dxa"/>
            <w:tcBorders>
              <w:top w:val="nil"/>
              <w:left w:val="nil"/>
              <w:bottom w:val="nil"/>
              <w:right w:val="single" w:sz="4" w:space="0" w:color="auto"/>
            </w:tcBorders>
            <w:shd w:val="clear" w:color="000000" w:fill="FFFFFF"/>
            <w:noWrap/>
            <w:vAlign w:val="center"/>
            <w:hideMark/>
          </w:tcPr>
          <w:p w14:paraId="777F4FF0"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hideMark/>
          </w:tcPr>
          <w:p w14:paraId="6A2A9016"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454" w:type="dxa"/>
            <w:tcBorders>
              <w:top w:val="nil"/>
              <w:left w:val="nil"/>
              <w:bottom w:val="nil"/>
              <w:right w:val="single" w:sz="4" w:space="0" w:color="auto"/>
            </w:tcBorders>
            <w:shd w:val="clear" w:color="000000" w:fill="FFFFFF"/>
            <w:noWrap/>
            <w:vAlign w:val="center"/>
            <w:hideMark/>
          </w:tcPr>
          <w:p w14:paraId="7DE69D64"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hideMark/>
          </w:tcPr>
          <w:p w14:paraId="1330F9C5"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456" w:type="dxa"/>
            <w:tcBorders>
              <w:top w:val="nil"/>
              <w:left w:val="nil"/>
              <w:bottom w:val="nil"/>
              <w:right w:val="single" w:sz="12" w:space="0" w:color="auto"/>
            </w:tcBorders>
            <w:shd w:val="clear" w:color="000000" w:fill="FFFFFF"/>
            <w:noWrap/>
            <w:vAlign w:val="center"/>
            <w:hideMark/>
          </w:tcPr>
          <w:p w14:paraId="58EAB888"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tcPr>
          <w:p w14:paraId="3FB61B90" w14:textId="77777777" w:rsidR="002961DC" w:rsidRPr="00A95729" w:rsidRDefault="002961DC" w:rsidP="00E56366">
            <w:pPr>
              <w:spacing w:after="0" w:line="240" w:lineRule="auto"/>
              <w:jc w:val="center"/>
              <w:rPr>
                <w:rFonts w:eastAsia="Times New Roman"/>
                <w:color w:val="000000"/>
                <w:sz w:val="18"/>
                <w:szCs w:val="18"/>
              </w:rPr>
            </w:pPr>
          </w:p>
        </w:tc>
        <w:tc>
          <w:tcPr>
            <w:tcW w:w="540" w:type="dxa"/>
            <w:tcBorders>
              <w:top w:val="nil"/>
              <w:left w:val="nil"/>
              <w:bottom w:val="nil"/>
              <w:right w:val="single" w:sz="12" w:space="0" w:color="auto"/>
            </w:tcBorders>
            <w:shd w:val="clear" w:color="000000" w:fill="FFFFFF"/>
          </w:tcPr>
          <w:p w14:paraId="484C3B34" w14:textId="77777777" w:rsidR="002961DC" w:rsidRPr="00A95729" w:rsidRDefault="002961DC" w:rsidP="00E56366">
            <w:pPr>
              <w:spacing w:after="0" w:line="240" w:lineRule="auto"/>
              <w:jc w:val="center"/>
              <w:rPr>
                <w:rFonts w:eastAsia="Times New Roman"/>
                <w:color w:val="000000"/>
                <w:sz w:val="18"/>
                <w:szCs w:val="18"/>
              </w:rPr>
            </w:pPr>
          </w:p>
        </w:tc>
        <w:tc>
          <w:tcPr>
            <w:tcW w:w="630" w:type="dxa"/>
            <w:tcBorders>
              <w:top w:val="nil"/>
              <w:left w:val="single" w:sz="12" w:space="0" w:color="auto"/>
              <w:bottom w:val="nil"/>
              <w:right w:val="nil"/>
            </w:tcBorders>
            <w:shd w:val="clear" w:color="000000" w:fill="FFFFFF"/>
          </w:tcPr>
          <w:p w14:paraId="2F881634" w14:textId="77777777" w:rsidR="002961DC" w:rsidRPr="00A95729" w:rsidRDefault="002961DC" w:rsidP="00E56366">
            <w:pPr>
              <w:spacing w:after="0" w:line="240" w:lineRule="auto"/>
              <w:jc w:val="center"/>
              <w:rPr>
                <w:rFonts w:eastAsia="Times New Roman"/>
                <w:color w:val="000000"/>
                <w:sz w:val="18"/>
                <w:szCs w:val="18"/>
              </w:rPr>
            </w:pPr>
          </w:p>
        </w:tc>
        <w:tc>
          <w:tcPr>
            <w:tcW w:w="542" w:type="dxa"/>
            <w:tcBorders>
              <w:top w:val="nil"/>
              <w:left w:val="nil"/>
              <w:bottom w:val="nil"/>
              <w:right w:val="single" w:sz="12" w:space="0" w:color="auto"/>
            </w:tcBorders>
            <w:shd w:val="clear" w:color="000000" w:fill="FFFFFF"/>
          </w:tcPr>
          <w:p w14:paraId="12C89A57" w14:textId="77777777" w:rsidR="002961DC" w:rsidRPr="00A95729" w:rsidRDefault="002961DC" w:rsidP="00E56366">
            <w:pPr>
              <w:spacing w:after="0" w:line="240" w:lineRule="auto"/>
              <w:jc w:val="center"/>
              <w:rPr>
                <w:rFonts w:eastAsia="Times New Roman"/>
                <w:color w:val="000000"/>
                <w:sz w:val="18"/>
                <w:szCs w:val="18"/>
              </w:rPr>
            </w:pPr>
          </w:p>
        </w:tc>
      </w:tr>
      <w:tr w:rsidR="002961DC" w:rsidRPr="00A95729" w14:paraId="6ACF5B24" w14:textId="77777777" w:rsidTr="00E56366">
        <w:trPr>
          <w:trHeight w:val="20"/>
          <w:jc w:val="center"/>
        </w:trPr>
        <w:tc>
          <w:tcPr>
            <w:tcW w:w="2595" w:type="dxa"/>
            <w:tcBorders>
              <w:top w:val="nil"/>
              <w:left w:val="single" w:sz="12" w:space="0" w:color="auto"/>
              <w:bottom w:val="nil"/>
              <w:right w:val="single" w:sz="12" w:space="0" w:color="auto"/>
            </w:tcBorders>
            <w:shd w:val="clear" w:color="000000" w:fill="FFFFFF"/>
            <w:noWrap/>
            <w:vAlign w:val="bottom"/>
          </w:tcPr>
          <w:p w14:paraId="07370CF3" w14:textId="77777777" w:rsidR="002961DC" w:rsidRPr="00A95729" w:rsidRDefault="002961DC" w:rsidP="00E56366">
            <w:pPr>
              <w:spacing w:after="0" w:line="240" w:lineRule="auto"/>
              <w:rPr>
                <w:rFonts w:eastAsia="Times New Roman"/>
                <w:color w:val="000000"/>
                <w:sz w:val="18"/>
                <w:szCs w:val="18"/>
              </w:rPr>
            </w:pPr>
            <w:r w:rsidRPr="00A95729">
              <w:rPr>
                <w:rFonts w:eastAsia="Times New Roman"/>
                <w:color w:val="000000"/>
                <w:sz w:val="18"/>
                <w:szCs w:val="18"/>
              </w:rPr>
              <w:t xml:space="preserve">     1 worker</w:t>
            </w:r>
          </w:p>
        </w:tc>
        <w:tc>
          <w:tcPr>
            <w:tcW w:w="537" w:type="dxa"/>
            <w:tcBorders>
              <w:top w:val="nil"/>
              <w:left w:val="single" w:sz="12" w:space="0" w:color="auto"/>
              <w:bottom w:val="nil"/>
            </w:tcBorders>
            <w:shd w:val="clear" w:color="000000" w:fill="FFFFFF"/>
            <w:vAlign w:val="center"/>
          </w:tcPr>
          <w:p w14:paraId="65F86A8A"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541" w:type="dxa"/>
            <w:tcBorders>
              <w:top w:val="nil"/>
              <w:left w:val="nil"/>
              <w:bottom w:val="nil"/>
              <w:right w:val="single" w:sz="12" w:space="0" w:color="auto"/>
            </w:tcBorders>
            <w:shd w:val="clear" w:color="000000" w:fill="FFFFFF"/>
            <w:vAlign w:val="center"/>
          </w:tcPr>
          <w:p w14:paraId="061C2D0B"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39" w:type="dxa"/>
            <w:tcBorders>
              <w:top w:val="nil"/>
              <w:left w:val="single" w:sz="12" w:space="0" w:color="auto"/>
              <w:bottom w:val="nil"/>
              <w:right w:val="nil"/>
            </w:tcBorders>
            <w:shd w:val="clear" w:color="000000" w:fill="FFFFFF"/>
            <w:noWrap/>
            <w:vAlign w:val="center"/>
          </w:tcPr>
          <w:p w14:paraId="01F8AA9C"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49" w:type="dxa"/>
            <w:tcBorders>
              <w:top w:val="nil"/>
              <w:left w:val="nil"/>
              <w:bottom w:val="nil"/>
              <w:right w:val="single" w:sz="4" w:space="0" w:color="auto"/>
            </w:tcBorders>
            <w:shd w:val="clear" w:color="000000" w:fill="FFFFFF"/>
            <w:noWrap/>
            <w:vAlign w:val="center"/>
          </w:tcPr>
          <w:p w14:paraId="3BB5CB35"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4841945C"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tcPr>
          <w:p w14:paraId="16E571AE"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7B46D508"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tcPr>
          <w:p w14:paraId="67679648"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4" w:type="dxa"/>
            <w:tcBorders>
              <w:top w:val="nil"/>
              <w:left w:val="nil"/>
              <w:bottom w:val="nil"/>
              <w:right w:val="nil"/>
            </w:tcBorders>
            <w:shd w:val="clear" w:color="000000" w:fill="FFFFFF"/>
            <w:noWrap/>
            <w:vAlign w:val="center"/>
          </w:tcPr>
          <w:p w14:paraId="0BFD2419"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540" w:type="dxa"/>
            <w:tcBorders>
              <w:top w:val="nil"/>
              <w:left w:val="nil"/>
              <w:bottom w:val="nil"/>
              <w:right w:val="single" w:sz="4" w:space="0" w:color="auto"/>
            </w:tcBorders>
            <w:shd w:val="clear" w:color="000000" w:fill="FFFFFF"/>
            <w:noWrap/>
            <w:vAlign w:val="center"/>
          </w:tcPr>
          <w:p w14:paraId="095E81B1"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09A21608"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tcPr>
          <w:p w14:paraId="2A33E342"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23A23737"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tcPr>
          <w:p w14:paraId="212D0376"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56EA8E79"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4" w:type="dxa"/>
            <w:tcBorders>
              <w:top w:val="nil"/>
              <w:left w:val="nil"/>
              <w:bottom w:val="nil"/>
              <w:right w:val="single" w:sz="4" w:space="0" w:color="auto"/>
            </w:tcBorders>
            <w:shd w:val="clear" w:color="000000" w:fill="FFFFFF"/>
            <w:noWrap/>
            <w:vAlign w:val="center"/>
          </w:tcPr>
          <w:p w14:paraId="7F68922B"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69BC7022"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6" w:type="dxa"/>
            <w:tcBorders>
              <w:top w:val="nil"/>
              <w:left w:val="nil"/>
              <w:bottom w:val="nil"/>
              <w:right w:val="single" w:sz="12" w:space="0" w:color="auto"/>
            </w:tcBorders>
            <w:shd w:val="clear" w:color="000000" w:fill="FFFFFF"/>
            <w:noWrap/>
            <w:vAlign w:val="center"/>
          </w:tcPr>
          <w:p w14:paraId="7D26B392"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vAlign w:val="center"/>
          </w:tcPr>
          <w:p w14:paraId="50C3E578"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540" w:type="dxa"/>
            <w:tcBorders>
              <w:top w:val="nil"/>
              <w:left w:val="nil"/>
              <w:bottom w:val="nil"/>
              <w:right w:val="single" w:sz="12" w:space="0" w:color="auto"/>
            </w:tcBorders>
            <w:shd w:val="clear" w:color="000000" w:fill="FFFFFF"/>
            <w:vAlign w:val="center"/>
          </w:tcPr>
          <w:p w14:paraId="06470922"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630" w:type="dxa"/>
            <w:tcBorders>
              <w:top w:val="nil"/>
              <w:left w:val="single" w:sz="12" w:space="0" w:color="auto"/>
              <w:bottom w:val="nil"/>
              <w:right w:val="nil"/>
            </w:tcBorders>
            <w:shd w:val="clear" w:color="000000" w:fill="FFFFFF"/>
            <w:vAlign w:val="bottom"/>
          </w:tcPr>
          <w:p w14:paraId="6E361D56"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-0.10</w:t>
            </w:r>
          </w:p>
        </w:tc>
        <w:tc>
          <w:tcPr>
            <w:tcW w:w="542" w:type="dxa"/>
            <w:tcBorders>
              <w:top w:val="nil"/>
              <w:left w:val="nil"/>
              <w:bottom w:val="nil"/>
              <w:right w:val="single" w:sz="12" w:space="0" w:color="auto"/>
            </w:tcBorders>
            <w:shd w:val="clear" w:color="000000" w:fill="FFFFFF"/>
            <w:vAlign w:val="bottom"/>
          </w:tcPr>
          <w:p w14:paraId="2D107117"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-3.07</w:t>
            </w:r>
          </w:p>
        </w:tc>
      </w:tr>
      <w:tr w:rsidR="002961DC" w:rsidRPr="00A95729" w14:paraId="4326FDFD" w14:textId="77777777" w:rsidTr="00E56366">
        <w:trPr>
          <w:trHeight w:val="20"/>
          <w:jc w:val="center"/>
        </w:trPr>
        <w:tc>
          <w:tcPr>
            <w:tcW w:w="2595" w:type="dxa"/>
            <w:tcBorders>
              <w:top w:val="nil"/>
              <w:left w:val="single" w:sz="12" w:space="0" w:color="auto"/>
              <w:bottom w:val="nil"/>
              <w:right w:val="single" w:sz="12" w:space="0" w:color="auto"/>
            </w:tcBorders>
            <w:shd w:val="clear" w:color="000000" w:fill="FFFFFF"/>
            <w:noWrap/>
            <w:vAlign w:val="bottom"/>
            <w:hideMark/>
          </w:tcPr>
          <w:p w14:paraId="2FE8617A" w14:textId="77777777" w:rsidR="002961DC" w:rsidRPr="00A95729" w:rsidRDefault="002961DC" w:rsidP="00E56366">
            <w:pPr>
              <w:spacing w:after="0" w:line="240" w:lineRule="auto"/>
              <w:rPr>
                <w:rFonts w:eastAsia="Times New Roman"/>
                <w:color w:val="000000"/>
                <w:sz w:val="18"/>
                <w:szCs w:val="18"/>
              </w:rPr>
            </w:pPr>
            <w:r w:rsidRPr="00A95729">
              <w:rPr>
                <w:rFonts w:eastAsia="Times New Roman"/>
                <w:color w:val="000000"/>
                <w:sz w:val="18"/>
                <w:szCs w:val="18"/>
              </w:rPr>
              <w:t xml:space="preserve">     2 workers</w:t>
            </w:r>
          </w:p>
        </w:tc>
        <w:tc>
          <w:tcPr>
            <w:tcW w:w="537" w:type="dxa"/>
            <w:tcBorders>
              <w:top w:val="nil"/>
              <w:left w:val="single" w:sz="12" w:space="0" w:color="auto"/>
              <w:bottom w:val="nil"/>
            </w:tcBorders>
            <w:shd w:val="clear" w:color="000000" w:fill="FFFFFF"/>
            <w:vAlign w:val="center"/>
          </w:tcPr>
          <w:p w14:paraId="00F0404B" w14:textId="77777777" w:rsidR="002961DC" w:rsidRPr="00A95729" w:rsidRDefault="002961DC" w:rsidP="00E56366">
            <w:pPr>
              <w:spacing w:after="0" w:line="240" w:lineRule="auto"/>
              <w:jc w:val="center"/>
              <w:rPr>
                <w:rFonts w:eastAsia="Times New Roman"/>
                <w:sz w:val="18"/>
                <w:szCs w:val="18"/>
              </w:rPr>
            </w:pPr>
            <w:r w:rsidRPr="00A95729">
              <w:rPr>
                <w:rFonts w:eastAsia="Times New Roman"/>
                <w:sz w:val="18"/>
                <w:szCs w:val="18"/>
              </w:rPr>
              <w:t>--</w:t>
            </w:r>
          </w:p>
        </w:tc>
        <w:tc>
          <w:tcPr>
            <w:tcW w:w="541" w:type="dxa"/>
            <w:tcBorders>
              <w:top w:val="nil"/>
              <w:left w:val="nil"/>
              <w:bottom w:val="nil"/>
              <w:right w:val="single" w:sz="12" w:space="0" w:color="auto"/>
            </w:tcBorders>
            <w:shd w:val="clear" w:color="000000" w:fill="FFFFFF"/>
            <w:vAlign w:val="center"/>
          </w:tcPr>
          <w:p w14:paraId="1BDF2EDA" w14:textId="77777777" w:rsidR="002961DC" w:rsidRPr="00A95729" w:rsidRDefault="002961DC" w:rsidP="00E56366">
            <w:pPr>
              <w:spacing w:after="0" w:line="240" w:lineRule="auto"/>
              <w:jc w:val="center"/>
              <w:rPr>
                <w:rFonts w:eastAsia="Times New Roman"/>
                <w:sz w:val="18"/>
                <w:szCs w:val="18"/>
              </w:rPr>
            </w:pPr>
            <w:r w:rsidRPr="00A95729">
              <w:rPr>
                <w:rFonts w:eastAsia="Times New Roman"/>
                <w:sz w:val="18"/>
                <w:szCs w:val="18"/>
              </w:rPr>
              <w:t> </w:t>
            </w:r>
          </w:p>
        </w:tc>
        <w:tc>
          <w:tcPr>
            <w:tcW w:w="539" w:type="dxa"/>
            <w:tcBorders>
              <w:top w:val="nil"/>
              <w:left w:val="single" w:sz="12" w:space="0" w:color="auto"/>
              <w:bottom w:val="nil"/>
              <w:right w:val="nil"/>
            </w:tcBorders>
            <w:shd w:val="clear" w:color="000000" w:fill="FFFFFF"/>
            <w:noWrap/>
            <w:vAlign w:val="center"/>
            <w:hideMark/>
          </w:tcPr>
          <w:p w14:paraId="5C151E1D" w14:textId="77777777" w:rsidR="002961DC" w:rsidRPr="00A95729" w:rsidRDefault="002961DC" w:rsidP="00E56366">
            <w:pPr>
              <w:spacing w:after="0" w:line="240" w:lineRule="auto"/>
              <w:jc w:val="center"/>
              <w:rPr>
                <w:rFonts w:eastAsia="Times New Roman"/>
                <w:sz w:val="18"/>
                <w:szCs w:val="18"/>
              </w:rPr>
            </w:pPr>
            <w:r w:rsidRPr="00A95729">
              <w:rPr>
                <w:rFonts w:eastAsia="Times New Roman"/>
                <w:sz w:val="18"/>
                <w:szCs w:val="18"/>
              </w:rPr>
              <w:t>--</w:t>
            </w:r>
          </w:p>
        </w:tc>
        <w:tc>
          <w:tcPr>
            <w:tcW w:w="449" w:type="dxa"/>
            <w:tcBorders>
              <w:top w:val="nil"/>
              <w:left w:val="nil"/>
              <w:bottom w:val="nil"/>
              <w:right w:val="single" w:sz="4" w:space="0" w:color="auto"/>
            </w:tcBorders>
            <w:shd w:val="clear" w:color="000000" w:fill="FFFFFF"/>
            <w:noWrap/>
            <w:vAlign w:val="center"/>
            <w:hideMark/>
          </w:tcPr>
          <w:p w14:paraId="3131175D" w14:textId="77777777" w:rsidR="002961DC" w:rsidRPr="00A95729" w:rsidRDefault="002961DC" w:rsidP="00E56366">
            <w:pPr>
              <w:spacing w:after="0" w:line="240" w:lineRule="auto"/>
              <w:jc w:val="center"/>
              <w:rPr>
                <w:rFonts w:eastAsia="Times New Roman"/>
                <w:sz w:val="18"/>
                <w:szCs w:val="18"/>
              </w:rPr>
            </w:pPr>
            <w:r w:rsidRPr="00A95729">
              <w:rPr>
                <w:rFonts w:eastAsia="Times New Roman"/>
                <w:sz w:val="18"/>
                <w:szCs w:val="18"/>
              </w:rPr>
              <w:t> </w:t>
            </w:r>
          </w:p>
        </w:tc>
        <w:tc>
          <w:tcPr>
            <w:tcW w:w="540" w:type="dxa"/>
            <w:tcBorders>
              <w:top w:val="nil"/>
              <w:left w:val="nil"/>
              <w:bottom w:val="nil"/>
              <w:right w:val="nil"/>
            </w:tcBorders>
            <w:shd w:val="clear" w:color="000000" w:fill="FFFFFF"/>
            <w:noWrap/>
            <w:vAlign w:val="center"/>
            <w:hideMark/>
          </w:tcPr>
          <w:p w14:paraId="435A1E41" w14:textId="77777777" w:rsidR="002961DC" w:rsidRPr="00A95729" w:rsidRDefault="002961DC" w:rsidP="00E56366">
            <w:pPr>
              <w:spacing w:after="0" w:line="240" w:lineRule="auto"/>
              <w:jc w:val="center"/>
              <w:rPr>
                <w:rFonts w:eastAsia="Times New Roman"/>
                <w:sz w:val="18"/>
                <w:szCs w:val="18"/>
              </w:rPr>
            </w:pPr>
            <w:r w:rsidRPr="00A95729">
              <w:rPr>
                <w:rFonts w:eastAsia="Times New Roman"/>
                <w:sz w:val="18"/>
                <w:szCs w:val="18"/>
              </w:rPr>
              <w:t>--</w:t>
            </w:r>
          </w:p>
        </w:tc>
        <w:tc>
          <w:tcPr>
            <w:tcW w:w="450" w:type="dxa"/>
            <w:tcBorders>
              <w:top w:val="nil"/>
              <w:left w:val="nil"/>
              <w:bottom w:val="nil"/>
              <w:right w:val="single" w:sz="4" w:space="0" w:color="auto"/>
            </w:tcBorders>
            <w:shd w:val="clear" w:color="000000" w:fill="FFFFFF"/>
            <w:noWrap/>
            <w:vAlign w:val="center"/>
            <w:hideMark/>
          </w:tcPr>
          <w:p w14:paraId="73478AC9" w14:textId="77777777" w:rsidR="002961DC" w:rsidRPr="00A95729" w:rsidRDefault="002961DC" w:rsidP="00E56366">
            <w:pPr>
              <w:spacing w:after="0" w:line="240" w:lineRule="auto"/>
              <w:jc w:val="center"/>
              <w:rPr>
                <w:rFonts w:eastAsia="Times New Roman"/>
                <w:sz w:val="18"/>
                <w:szCs w:val="18"/>
              </w:rPr>
            </w:pPr>
            <w:r w:rsidRPr="00A95729">
              <w:rPr>
                <w:rFonts w:eastAsia="Times New Roman"/>
                <w:sz w:val="18"/>
                <w:szCs w:val="18"/>
              </w:rPr>
              <w:t> </w:t>
            </w:r>
          </w:p>
        </w:tc>
        <w:tc>
          <w:tcPr>
            <w:tcW w:w="540" w:type="dxa"/>
            <w:tcBorders>
              <w:top w:val="nil"/>
              <w:left w:val="nil"/>
              <w:bottom w:val="nil"/>
              <w:right w:val="nil"/>
            </w:tcBorders>
            <w:shd w:val="clear" w:color="000000" w:fill="FFFFFF"/>
            <w:noWrap/>
            <w:vAlign w:val="center"/>
            <w:hideMark/>
          </w:tcPr>
          <w:p w14:paraId="1AA445CC" w14:textId="77777777" w:rsidR="002961DC" w:rsidRPr="00A95729" w:rsidRDefault="002961DC" w:rsidP="00E56366">
            <w:pPr>
              <w:spacing w:after="0" w:line="240" w:lineRule="auto"/>
              <w:jc w:val="center"/>
              <w:rPr>
                <w:rFonts w:eastAsia="Times New Roman"/>
                <w:sz w:val="18"/>
                <w:szCs w:val="18"/>
              </w:rPr>
            </w:pPr>
            <w:r w:rsidRPr="00A95729">
              <w:rPr>
                <w:rFonts w:eastAsia="Times New Roman"/>
                <w:sz w:val="18"/>
                <w:szCs w:val="18"/>
              </w:rPr>
              <w:t>--</w:t>
            </w:r>
          </w:p>
        </w:tc>
        <w:tc>
          <w:tcPr>
            <w:tcW w:w="450" w:type="dxa"/>
            <w:tcBorders>
              <w:top w:val="nil"/>
              <w:left w:val="nil"/>
              <w:bottom w:val="nil"/>
              <w:right w:val="single" w:sz="4" w:space="0" w:color="auto"/>
            </w:tcBorders>
            <w:shd w:val="clear" w:color="000000" w:fill="FFFFFF"/>
            <w:noWrap/>
            <w:vAlign w:val="center"/>
            <w:hideMark/>
          </w:tcPr>
          <w:p w14:paraId="2B16517E" w14:textId="77777777" w:rsidR="002961DC" w:rsidRPr="00A95729" w:rsidRDefault="002961DC" w:rsidP="00E56366">
            <w:pPr>
              <w:spacing w:after="0" w:line="240" w:lineRule="auto"/>
              <w:jc w:val="center"/>
              <w:rPr>
                <w:rFonts w:eastAsia="Times New Roman"/>
                <w:sz w:val="18"/>
                <w:szCs w:val="18"/>
              </w:rPr>
            </w:pPr>
            <w:r w:rsidRPr="00A95729">
              <w:rPr>
                <w:rFonts w:eastAsia="Times New Roman"/>
                <w:sz w:val="18"/>
                <w:szCs w:val="18"/>
              </w:rPr>
              <w:t> </w:t>
            </w:r>
          </w:p>
        </w:tc>
        <w:tc>
          <w:tcPr>
            <w:tcW w:w="544" w:type="dxa"/>
            <w:tcBorders>
              <w:top w:val="nil"/>
              <w:left w:val="nil"/>
              <w:bottom w:val="nil"/>
              <w:right w:val="nil"/>
            </w:tcBorders>
            <w:shd w:val="clear" w:color="000000" w:fill="FFFFFF"/>
            <w:noWrap/>
            <w:vAlign w:val="bottom"/>
            <w:hideMark/>
          </w:tcPr>
          <w:p w14:paraId="124112F6" w14:textId="77777777" w:rsidR="002961DC" w:rsidRPr="00A95729" w:rsidRDefault="002961DC" w:rsidP="00E56366">
            <w:pPr>
              <w:spacing w:after="0" w:line="240" w:lineRule="auto"/>
              <w:jc w:val="center"/>
              <w:rPr>
                <w:rFonts w:eastAsia="Times New Roman"/>
                <w:sz w:val="18"/>
                <w:szCs w:val="18"/>
              </w:rPr>
            </w:pPr>
            <w:r w:rsidRPr="00A95729">
              <w:rPr>
                <w:color w:val="000000"/>
                <w:sz w:val="18"/>
                <w:szCs w:val="18"/>
              </w:rPr>
              <w:t>0.31</w:t>
            </w:r>
          </w:p>
        </w:tc>
        <w:tc>
          <w:tcPr>
            <w:tcW w:w="540" w:type="dxa"/>
            <w:tcBorders>
              <w:top w:val="nil"/>
              <w:left w:val="nil"/>
              <w:bottom w:val="nil"/>
              <w:right w:val="single" w:sz="4" w:space="0" w:color="auto"/>
            </w:tcBorders>
            <w:shd w:val="clear" w:color="000000" w:fill="FFFFFF"/>
            <w:noWrap/>
            <w:vAlign w:val="bottom"/>
            <w:hideMark/>
          </w:tcPr>
          <w:p w14:paraId="65812615" w14:textId="77777777" w:rsidR="002961DC" w:rsidRPr="00A95729" w:rsidRDefault="002961DC" w:rsidP="00E56366">
            <w:pPr>
              <w:spacing w:after="0" w:line="240" w:lineRule="auto"/>
              <w:jc w:val="center"/>
              <w:rPr>
                <w:rFonts w:eastAsia="Times New Roman"/>
                <w:sz w:val="18"/>
                <w:szCs w:val="18"/>
              </w:rPr>
            </w:pPr>
            <w:r w:rsidRPr="00A95729">
              <w:rPr>
                <w:color w:val="000000"/>
                <w:sz w:val="18"/>
                <w:szCs w:val="18"/>
              </w:rPr>
              <w:t>2.95</w:t>
            </w:r>
          </w:p>
        </w:tc>
        <w:tc>
          <w:tcPr>
            <w:tcW w:w="540" w:type="dxa"/>
            <w:tcBorders>
              <w:top w:val="nil"/>
              <w:left w:val="nil"/>
              <w:bottom w:val="nil"/>
              <w:right w:val="nil"/>
            </w:tcBorders>
            <w:shd w:val="clear" w:color="000000" w:fill="FFFFFF"/>
            <w:noWrap/>
            <w:vAlign w:val="center"/>
            <w:hideMark/>
          </w:tcPr>
          <w:p w14:paraId="269ECEBE" w14:textId="77777777" w:rsidR="002961DC" w:rsidRPr="00A95729" w:rsidRDefault="002961DC" w:rsidP="00E56366">
            <w:pPr>
              <w:spacing w:after="0" w:line="240" w:lineRule="auto"/>
              <w:jc w:val="center"/>
              <w:rPr>
                <w:rFonts w:eastAsia="Times New Roman"/>
                <w:sz w:val="18"/>
                <w:szCs w:val="18"/>
              </w:rPr>
            </w:pPr>
            <w:r w:rsidRPr="00A95729">
              <w:rPr>
                <w:rFonts w:eastAsia="Times New Roman"/>
                <w:sz w:val="18"/>
                <w:szCs w:val="18"/>
              </w:rPr>
              <w:t>--</w:t>
            </w:r>
          </w:p>
        </w:tc>
        <w:tc>
          <w:tcPr>
            <w:tcW w:w="450" w:type="dxa"/>
            <w:tcBorders>
              <w:top w:val="nil"/>
              <w:left w:val="nil"/>
              <w:bottom w:val="nil"/>
              <w:right w:val="single" w:sz="4" w:space="0" w:color="auto"/>
            </w:tcBorders>
            <w:shd w:val="clear" w:color="000000" w:fill="FFFFFF"/>
            <w:noWrap/>
            <w:vAlign w:val="center"/>
            <w:hideMark/>
          </w:tcPr>
          <w:p w14:paraId="356E2411" w14:textId="77777777" w:rsidR="002961DC" w:rsidRPr="00A95729" w:rsidRDefault="002961DC" w:rsidP="00E56366">
            <w:pPr>
              <w:spacing w:after="0" w:line="240" w:lineRule="auto"/>
              <w:jc w:val="center"/>
              <w:rPr>
                <w:rFonts w:eastAsia="Times New Roman"/>
                <w:sz w:val="18"/>
                <w:szCs w:val="18"/>
              </w:rPr>
            </w:pPr>
            <w:r w:rsidRPr="00A95729">
              <w:rPr>
                <w:rFonts w:eastAsia="Times New Roman"/>
                <w:sz w:val="18"/>
                <w:szCs w:val="18"/>
              </w:rPr>
              <w:t> </w:t>
            </w:r>
          </w:p>
        </w:tc>
        <w:tc>
          <w:tcPr>
            <w:tcW w:w="540" w:type="dxa"/>
            <w:tcBorders>
              <w:top w:val="nil"/>
              <w:left w:val="nil"/>
              <w:bottom w:val="nil"/>
              <w:right w:val="nil"/>
            </w:tcBorders>
            <w:shd w:val="clear" w:color="000000" w:fill="FFFFFF"/>
            <w:noWrap/>
            <w:vAlign w:val="center"/>
            <w:hideMark/>
          </w:tcPr>
          <w:p w14:paraId="5D6A803B" w14:textId="77777777" w:rsidR="002961DC" w:rsidRPr="00A95729" w:rsidRDefault="002961DC" w:rsidP="00E56366">
            <w:pPr>
              <w:spacing w:after="0" w:line="240" w:lineRule="auto"/>
              <w:jc w:val="center"/>
              <w:rPr>
                <w:rFonts w:eastAsia="Times New Roman"/>
                <w:sz w:val="18"/>
                <w:szCs w:val="18"/>
              </w:rPr>
            </w:pPr>
            <w:r w:rsidRPr="00A95729">
              <w:rPr>
                <w:rFonts w:eastAsia="Times New Roman"/>
                <w:sz w:val="18"/>
                <w:szCs w:val="18"/>
              </w:rPr>
              <w:t>--</w:t>
            </w:r>
          </w:p>
        </w:tc>
        <w:tc>
          <w:tcPr>
            <w:tcW w:w="450" w:type="dxa"/>
            <w:tcBorders>
              <w:top w:val="nil"/>
              <w:left w:val="nil"/>
              <w:bottom w:val="nil"/>
              <w:right w:val="single" w:sz="4" w:space="0" w:color="auto"/>
            </w:tcBorders>
            <w:shd w:val="clear" w:color="000000" w:fill="FFFFFF"/>
            <w:noWrap/>
            <w:vAlign w:val="center"/>
            <w:hideMark/>
          </w:tcPr>
          <w:p w14:paraId="59C65264" w14:textId="77777777" w:rsidR="002961DC" w:rsidRPr="00A95729" w:rsidRDefault="002961DC" w:rsidP="00E56366">
            <w:pPr>
              <w:spacing w:after="0" w:line="240" w:lineRule="auto"/>
              <w:jc w:val="center"/>
              <w:rPr>
                <w:rFonts w:eastAsia="Times New Roman"/>
                <w:sz w:val="18"/>
                <w:szCs w:val="18"/>
              </w:rPr>
            </w:pPr>
            <w:r w:rsidRPr="00A95729">
              <w:rPr>
                <w:rFonts w:eastAsia="Times New Roman"/>
                <w:sz w:val="18"/>
                <w:szCs w:val="18"/>
              </w:rPr>
              <w:t> </w:t>
            </w:r>
          </w:p>
        </w:tc>
        <w:tc>
          <w:tcPr>
            <w:tcW w:w="540" w:type="dxa"/>
            <w:tcBorders>
              <w:top w:val="nil"/>
              <w:left w:val="nil"/>
              <w:bottom w:val="nil"/>
              <w:right w:val="nil"/>
            </w:tcBorders>
            <w:shd w:val="clear" w:color="000000" w:fill="FFFFFF"/>
            <w:noWrap/>
            <w:vAlign w:val="center"/>
            <w:hideMark/>
          </w:tcPr>
          <w:p w14:paraId="2853A2F1" w14:textId="77777777" w:rsidR="002961DC" w:rsidRPr="00A95729" w:rsidRDefault="002961DC" w:rsidP="00E56366">
            <w:pPr>
              <w:spacing w:after="0" w:line="240" w:lineRule="auto"/>
              <w:jc w:val="center"/>
              <w:rPr>
                <w:rFonts w:eastAsia="Times New Roman"/>
                <w:sz w:val="18"/>
                <w:szCs w:val="18"/>
              </w:rPr>
            </w:pPr>
            <w:r w:rsidRPr="00A95729">
              <w:rPr>
                <w:rFonts w:eastAsia="Times New Roman"/>
                <w:color w:val="000000"/>
                <w:sz w:val="18"/>
                <w:szCs w:val="18"/>
              </w:rPr>
              <w:t>--</w:t>
            </w:r>
          </w:p>
        </w:tc>
        <w:tc>
          <w:tcPr>
            <w:tcW w:w="454" w:type="dxa"/>
            <w:tcBorders>
              <w:top w:val="nil"/>
              <w:left w:val="nil"/>
              <w:bottom w:val="nil"/>
              <w:right w:val="single" w:sz="4" w:space="0" w:color="auto"/>
            </w:tcBorders>
            <w:shd w:val="clear" w:color="000000" w:fill="FFFFFF"/>
            <w:noWrap/>
            <w:vAlign w:val="center"/>
            <w:hideMark/>
          </w:tcPr>
          <w:p w14:paraId="2B9EBE82" w14:textId="77777777" w:rsidR="002961DC" w:rsidRPr="00A95729" w:rsidRDefault="002961DC" w:rsidP="00E56366">
            <w:pPr>
              <w:spacing w:after="0" w:line="240" w:lineRule="auto"/>
              <w:jc w:val="center"/>
              <w:rPr>
                <w:rFonts w:eastAsia="Times New Roman"/>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hideMark/>
          </w:tcPr>
          <w:p w14:paraId="03FF5B98" w14:textId="77777777" w:rsidR="002961DC" w:rsidRPr="00A95729" w:rsidRDefault="002961DC" w:rsidP="00E56366">
            <w:pPr>
              <w:spacing w:after="0" w:line="240" w:lineRule="auto"/>
              <w:jc w:val="center"/>
              <w:rPr>
                <w:rFonts w:eastAsia="Times New Roman"/>
                <w:sz w:val="18"/>
                <w:szCs w:val="18"/>
              </w:rPr>
            </w:pPr>
            <w:r w:rsidRPr="00A95729">
              <w:rPr>
                <w:rFonts w:eastAsia="Times New Roman"/>
                <w:sz w:val="18"/>
                <w:szCs w:val="18"/>
              </w:rPr>
              <w:t>--</w:t>
            </w:r>
          </w:p>
        </w:tc>
        <w:tc>
          <w:tcPr>
            <w:tcW w:w="456" w:type="dxa"/>
            <w:tcBorders>
              <w:top w:val="nil"/>
              <w:left w:val="nil"/>
              <w:bottom w:val="nil"/>
              <w:right w:val="single" w:sz="12" w:space="0" w:color="auto"/>
            </w:tcBorders>
            <w:shd w:val="clear" w:color="000000" w:fill="FFFFFF"/>
            <w:noWrap/>
            <w:vAlign w:val="center"/>
            <w:hideMark/>
          </w:tcPr>
          <w:p w14:paraId="76698BF0" w14:textId="77777777" w:rsidR="002961DC" w:rsidRPr="00A95729" w:rsidRDefault="002961DC" w:rsidP="00E56366">
            <w:pPr>
              <w:spacing w:after="0" w:line="240" w:lineRule="auto"/>
              <w:jc w:val="center"/>
              <w:rPr>
                <w:rFonts w:eastAsia="Times New Roman"/>
                <w:sz w:val="18"/>
                <w:szCs w:val="18"/>
              </w:rPr>
            </w:pPr>
            <w:r w:rsidRPr="00A95729">
              <w:rPr>
                <w:rFonts w:eastAsia="Times New Roman"/>
                <w:sz w:val="18"/>
                <w:szCs w:val="18"/>
              </w:rPr>
              <w:t> </w:t>
            </w:r>
          </w:p>
        </w:tc>
        <w:tc>
          <w:tcPr>
            <w:tcW w:w="540" w:type="dxa"/>
            <w:tcBorders>
              <w:top w:val="nil"/>
              <w:left w:val="nil"/>
              <w:bottom w:val="nil"/>
              <w:right w:val="nil"/>
            </w:tcBorders>
            <w:shd w:val="clear" w:color="000000" w:fill="FFFFFF"/>
            <w:vAlign w:val="center"/>
          </w:tcPr>
          <w:p w14:paraId="4A2A7F75" w14:textId="77777777" w:rsidR="002961DC" w:rsidRPr="00A95729" w:rsidRDefault="002961DC" w:rsidP="00E56366">
            <w:pPr>
              <w:spacing w:after="0" w:line="240" w:lineRule="auto"/>
              <w:jc w:val="center"/>
              <w:rPr>
                <w:rFonts w:eastAsia="Times New Roman"/>
                <w:sz w:val="18"/>
                <w:szCs w:val="18"/>
              </w:rPr>
            </w:pPr>
            <w:r w:rsidRPr="00A95729">
              <w:rPr>
                <w:rFonts w:eastAsia="Times New Roman"/>
                <w:color w:val="000000"/>
                <w:sz w:val="18"/>
                <w:szCs w:val="18"/>
              </w:rPr>
              <w:t>--</w:t>
            </w:r>
          </w:p>
        </w:tc>
        <w:tc>
          <w:tcPr>
            <w:tcW w:w="540" w:type="dxa"/>
            <w:tcBorders>
              <w:top w:val="nil"/>
              <w:left w:val="nil"/>
              <w:bottom w:val="nil"/>
              <w:right w:val="single" w:sz="12" w:space="0" w:color="auto"/>
            </w:tcBorders>
            <w:shd w:val="clear" w:color="000000" w:fill="FFFFFF"/>
            <w:vAlign w:val="center"/>
          </w:tcPr>
          <w:p w14:paraId="5B687C5A" w14:textId="77777777" w:rsidR="002961DC" w:rsidRPr="00A95729" w:rsidRDefault="002961DC" w:rsidP="00E56366">
            <w:pPr>
              <w:spacing w:after="0" w:line="240" w:lineRule="auto"/>
              <w:jc w:val="center"/>
              <w:rPr>
                <w:rFonts w:eastAsia="Times New Roman"/>
                <w:sz w:val="18"/>
                <w:szCs w:val="18"/>
              </w:rPr>
            </w:pPr>
            <w:r w:rsidRPr="00A95729">
              <w:rPr>
                <w:rFonts w:eastAsia="Times New Roman"/>
                <w:color w:val="000000"/>
                <w:sz w:val="18"/>
                <w:szCs w:val="18"/>
              </w:rPr>
              <w:t> </w:t>
            </w:r>
          </w:p>
        </w:tc>
        <w:tc>
          <w:tcPr>
            <w:tcW w:w="630" w:type="dxa"/>
            <w:tcBorders>
              <w:top w:val="nil"/>
              <w:left w:val="single" w:sz="12" w:space="0" w:color="auto"/>
              <w:bottom w:val="nil"/>
              <w:right w:val="nil"/>
            </w:tcBorders>
            <w:shd w:val="clear" w:color="000000" w:fill="FFFFFF"/>
            <w:vAlign w:val="bottom"/>
          </w:tcPr>
          <w:p w14:paraId="52776229" w14:textId="77777777" w:rsidR="002961DC" w:rsidRPr="00A95729" w:rsidRDefault="002961DC" w:rsidP="00E56366">
            <w:pPr>
              <w:spacing w:after="0" w:line="240" w:lineRule="auto"/>
              <w:jc w:val="center"/>
              <w:rPr>
                <w:rFonts w:eastAsia="Times New Roman"/>
                <w:sz w:val="18"/>
                <w:szCs w:val="18"/>
              </w:rPr>
            </w:pPr>
            <w:r w:rsidRPr="00A95729">
              <w:rPr>
                <w:color w:val="000000"/>
                <w:sz w:val="18"/>
                <w:szCs w:val="18"/>
              </w:rPr>
              <w:t>-0.29</w:t>
            </w:r>
          </w:p>
        </w:tc>
        <w:tc>
          <w:tcPr>
            <w:tcW w:w="542" w:type="dxa"/>
            <w:tcBorders>
              <w:top w:val="nil"/>
              <w:left w:val="nil"/>
              <w:bottom w:val="nil"/>
              <w:right w:val="single" w:sz="12" w:space="0" w:color="auto"/>
            </w:tcBorders>
            <w:shd w:val="clear" w:color="000000" w:fill="FFFFFF"/>
            <w:vAlign w:val="bottom"/>
          </w:tcPr>
          <w:p w14:paraId="48FD9416" w14:textId="77777777" w:rsidR="002961DC" w:rsidRPr="00A95729" w:rsidRDefault="002961DC" w:rsidP="00E56366">
            <w:pPr>
              <w:spacing w:after="0" w:line="240" w:lineRule="auto"/>
              <w:jc w:val="center"/>
              <w:rPr>
                <w:rFonts w:eastAsia="Times New Roman"/>
                <w:sz w:val="18"/>
                <w:szCs w:val="18"/>
              </w:rPr>
            </w:pPr>
            <w:r w:rsidRPr="00A95729">
              <w:rPr>
                <w:color w:val="000000"/>
                <w:sz w:val="18"/>
                <w:szCs w:val="18"/>
              </w:rPr>
              <w:t>-7.05</w:t>
            </w:r>
          </w:p>
        </w:tc>
      </w:tr>
      <w:tr w:rsidR="002961DC" w:rsidRPr="00A95729" w14:paraId="7008C61B" w14:textId="77777777" w:rsidTr="00E56366">
        <w:trPr>
          <w:trHeight w:val="20"/>
          <w:jc w:val="center"/>
        </w:trPr>
        <w:tc>
          <w:tcPr>
            <w:tcW w:w="2595" w:type="dxa"/>
            <w:tcBorders>
              <w:top w:val="nil"/>
              <w:left w:val="single" w:sz="12" w:space="0" w:color="auto"/>
              <w:bottom w:val="nil"/>
              <w:right w:val="single" w:sz="12" w:space="0" w:color="auto"/>
            </w:tcBorders>
            <w:shd w:val="clear" w:color="000000" w:fill="FFFFFF"/>
            <w:noWrap/>
            <w:vAlign w:val="bottom"/>
            <w:hideMark/>
          </w:tcPr>
          <w:p w14:paraId="49EA9F43" w14:textId="77777777" w:rsidR="002961DC" w:rsidRPr="00A95729" w:rsidRDefault="002961DC" w:rsidP="00E56366">
            <w:pPr>
              <w:spacing w:after="0" w:line="240" w:lineRule="auto"/>
              <w:rPr>
                <w:rFonts w:eastAsia="Times New Roman"/>
                <w:color w:val="000000"/>
                <w:sz w:val="18"/>
                <w:szCs w:val="18"/>
              </w:rPr>
            </w:pPr>
            <w:r w:rsidRPr="00A95729">
              <w:rPr>
                <w:rFonts w:eastAsia="Times New Roman"/>
                <w:color w:val="000000"/>
                <w:sz w:val="18"/>
                <w:szCs w:val="18"/>
              </w:rPr>
              <w:t xml:space="preserve">     3+ workers</w:t>
            </w:r>
          </w:p>
        </w:tc>
        <w:tc>
          <w:tcPr>
            <w:tcW w:w="537" w:type="dxa"/>
            <w:tcBorders>
              <w:top w:val="nil"/>
              <w:left w:val="single" w:sz="12" w:space="0" w:color="auto"/>
              <w:bottom w:val="nil"/>
            </w:tcBorders>
            <w:shd w:val="clear" w:color="000000" w:fill="FFFFFF"/>
            <w:vAlign w:val="center"/>
          </w:tcPr>
          <w:p w14:paraId="48ECAAB3" w14:textId="77777777" w:rsidR="002961DC" w:rsidRPr="00A95729" w:rsidRDefault="002961DC" w:rsidP="00E56366">
            <w:pPr>
              <w:spacing w:after="0" w:line="240" w:lineRule="auto"/>
              <w:jc w:val="center"/>
              <w:rPr>
                <w:rFonts w:eastAsia="Times New Roman"/>
                <w:sz w:val="18"/>
                <w:szCs w:val="18"/>
              </w:rPr>
            </w:pPr>
            <w:r w:rsidRPr="00A95729">
              <w:rPr>
                <w:rFonts w:eastAsia="Times New Roman"/>
                <w:sz w:val="18"/>
                <w:szCs w:val="18"/>
              </w:rPr>
              <w:t>--</w:t>
            </w:r>
          </w:p>
        </w:tc>
        <w:tc>
          <w:tcPr>
            <w:tcW w:w="541" w:type="dxa"/>
            <w:tcBorders>
              <w:top w:val="nil"/>
              <w:left w:val="nil"/>
              <w:bottom w:val="nil"/>
              <w:right w:val="single" w:sz="12" w:space="0" w:color="auto"/>
            </w:tcBorders>
            <w:shd w:val="clear" w:color="000000" w:fill="FFFFFF"/>
            <w:vAlign w:val="center"/>
          </w:tcPr>
          <w:p w14:paraId="3A5D7B4E" w14:textId="77777777" w:rsidR="002961DC" w:rsidRPr="00A95729" w:rsidRDefault="002961DC" w:rsidP="00E56366">
            <w:pPr>
              <w:spacing w:after="0" w:line="240" w:lineRule="auto"/>
              <w:jc w:val="center"/>
              <w:rPr>
                <w:rFonts w:eastAsia="Times New Roman"/>
                <w:sz w:val="18"/>
                <w:szCs w:val="18"/>
              </w:rPr>
            </w:pPr>
            <w:r w:rsidRPr="00A95729">
              <w:rPr>
                <w:rFonts w:eastAsia="Times New Roman"/>
                <w:sz w:val="18"/>
                <w:szCs w:val="18"/>
              </w:rPr>
              <w:t> </w:t>
            </w:r>
          </w:p>
        </w:tc>
        <w:tc>
          <w:tcPr>
            <w:tcW w:w="539" w:type="dxa"/>
            <w:tcBorders>
              <w:top w:val="nil"/>
              <w:left w:val="single" w:sz="12" w:space="0" w:color="auto"/>
              <w:bottom w:val="nil"/>
              <w:right w:val="nil"/>
            </w:tcBorders>
            <w:shd w:val="clear" w:color="000000" w:fill="FFFFFF"/>
            <w:noWrap/>
            <w:vAlign w:val="center"/>
            <w:hideMark/>
          </w:tcPr>
          <w:p w14:paraId="2F5036DB" w14:textId="77777777" w:rsidR="002961DC" w:rsidRPr="00A95729" w:rsidRDefault="002961DC" w:rsidP="00E56366">
            <w:pPr>
              <w:spacing w:after="0" w:line="240" w:lineRule="auto"/>
              <w:jc w:val="center"/>
              <w:rPr>
                <w:rFonts w:eastAsia="Times New Roman"/>
                <w:sz w:val="18"/>
                <w:szCs w:val="18"/>
              </w:rPr>
            </w:pPr>
            <w:r w:rsidRPr="00A95729">
              <w:rPr>
                <w:rFonts w:eastAsia="Times New Roman"/>
                <w:sz w:val="18"/>
                <w:szCs w:val="18"/>
              </w:rPr>
              <w:t>--</w:t>
            </w:r>
          </w:p>
        </w:tc>
        <w:tc>
          <w:tcPr>
            <w:tcW w:w="449" w:type="dxa"/>
            <w:tcBorders>
              <w:top w:val="nil"/>
              <w:left w:val="nil"/>
              <w:bottom w:val="nil"/>
              <w:right w:val="single" w:sz="4" w:space="0" w:color="auto"/>
            </w:tcBorders>
            <w:shd w:val="clear" w:color="000000" w:fill="FFFFFF"/>
            <w:noWrap/>
            <w:vAlign w:val="center"/>
            <w:hideMark/>
          </w:tcPr>
          <w:p w14:paraId="33552908" w14:textId="77777777" w:rsidR="002961DC" w:rsidRPr="00A95729" w:rsidRDefault="002961DC" w:rsidP="00E56366">
            <w:pPr>
              <w:spacing w:after="0" w:line="240" w:lineRule="auto"/>
              <w:jc w:val="center"/>
              <w:rPr>
                <w:rFonts w:eastAsia="Times New Roman"/>
                <w:sz w:val="18"/>
                <w:szCs w:val="18"/>
              </w:rPr>
            </w:pPr>
            <w:r w:rsidRPr="00A95729">
              <w:rPr>
                <w:rFonts w:eastAsia="Times New Roman"/>
                <w:sz w:val="18"/>
                <w:szCs w:val="18"/>
              </w:rPr>
              <w:t> </w:t>
            </w:r>
          </w:p>
        </w:tc>
        <w:tc>
          <w:tcPr>
            <w:tcW w:w="540" w:type="dxa"/>
            <w:tcBorders>
              <w:top w:val="nil"/>
              <w:left w:val="nil"/>
              <w:bottom w:val="nil"/>
              <w:right w:val="nil"/>
            </w:tcBorders>
            <w:shd w:val="clear" w:color="000000" w:fill="FFFFFF"/>
            <w:noWrap/>
            <w:vAlign w:val="center"/>
            <w:hideMark/>
          </w:tcPr>
          <w:p w14:paraId="6513D798" w14:textId="77777777" w:rsidR="002961DC" w:rsidRPr="00A95729" w:rsidRDefault="002961DC" w:rsidP="00E56366">
            <w:pPr>
              <w:spacing w:after="0" w:line="240" w:lineRule="auto"/>
              <w:jc w:val="center"/>
              <w:rPr>
                <w:rFonts w:eastAsia="Times New Roman"/>
                <w:sz w:val="18"/>
                <w:szCs w:val="18"/>
              </w:rPr>
            </w:pPr>
            <w:r w:rsidRPr="00A95729">
              <w:rPr>
                <w:rFonts w:eastAsia="Times New Roman"/>
                <w:sz w:val="18"/>
                <w:szCs w:val="18"/>
              </w:rPr>
              <w:t>--</w:t>
            </w:r>
          </w:p>
        </w:tc>
        <w:tc>
          <w:tcPr>
            <w:tcW w:w="450" w:type="dxa"/>
            <w:tcBorders>
              <w:top w:val="nil"/>
              <w:left w:val="nil"/>
              <w:bottom w:val="nil"/>
              <w:right w:val="single" w:sz="4" w:space="0" w:color="auto"/>
            </w:tcBorders>
            <w:shd w:val="clear" w:color="000000" w:fill="FFFFFF"/>
            <w:noWrap/>
            <w:vAlign w:val="center"/>
            <w:hideMark/>
          </w:tcPr>
          <w:p w14:paraId="4542CB31" w14:textId="77777777" w:rsidR="002961DC" w:rsidRPr="00A95729" w:rsidRDefault="002961DC" w:rsidP="00E56366">
            <w:pPr>
              <w:spacing w:after="0" w:line="240" w:lineRule="auto"/>
              <w:jc w:val="center"/>
              <w:rPr>
                <w:rFonts w:eastAsia="Times New Roman"/>
                <w:sz w:val="18"/>
                <w:szCs w:val="18"/>
              </w:rPr>
            </w:pPr>
            <w:r w:rsidRPr="00A95729">
              <w:rPr>
                <w:rFonts w:eastAsia="Times New Roman"/>
                <w:sz w:val="18"/>
                <w:szCs w:val="18"/>
              </w:rPr>
              <w:t> </w:t>
            </w:r>
          </w:p>
        </w:tc>
        <w:tc>
          <w:tcPr>
            <w:tcW w:w="540" w:type="dxa"/>
            <w:tcBorders>
              <w:top w:val="nil"/>
              <w:left w:val="nil"/>
              <w:bottom w:val="nil"/>
              <w:right w:val="nil"/>
            </w:tcBorders>
            <w:shd w:val="clear" w:color="000000" w:fill="FFFFFF"/>
            <w:noWrap/>
            <w:vAlign w:val="bottom"/>
            <w:hideMark/>
          </w:tcPr>
          <w:p w14:paraId="2E7A0300" w14:textId="77777777" w:rsidR="002961DC" w:rsidRPr="00A95729" w:rsidRDefault="002961DC" w:rsidP="00E56366">
            <w:pPr>
              <w:spacing w:after="0" w:line="240" w:lineRule="auto"/>
              <w:jc w:val="center"/>
              <w:rPr>
                <w:rFonts w:eastAsia="Times New Roman"/>
                <w:sz w:val="18"/>
                <w:szCs w:val="18"/>
              </w:rPr>
            </w:pPr>
            <w:r w:rsidRPr="00A95729">
              <w:rPr>
                <w:color w:val="000000"/>
                <w:sz w:val="18"/>
                <w:szCs w:val="18"/>
              </w:rPr>
              <w:t>0.23</w:t>
            </w:r>
          </w:p>
        </w:tc>
        <w:tc>
          <w:tcPr>
            <w:tcW w:w="450" w:type="dxa"/>
            <w:tcBorders>
              <w:top w:val="nil"/>
              <w:left w:val="nil"/>
              <w:bottom w:val="nil"/>
              <w:right w:val="single" w:sz="4" w:space="0" w:color="auto"/>
            </w:tcBorders>
            <w:shd w:val="clear" w:color="000000" w:fill="FFFFFF"/>
            <w:noWrap/>
            <w:vAlign w:val="bottom"/>
            <w:hideMark/>
          </w:tcPr>
          <w:p w14:paraId="19D1D591" w14:textId="77777777" w:rsidR="002961DC" w:rsidRPr="00A95729" w:rsidRDefault="002961DC" w:rsidP="00E56366">
            <w:pPr>
              <w:spacing w:after="0" w:line="240" w:lineRule="auto"/>
              <w:jc w:val="center"/>
              <w:rPr>
                <w:rFonts w:eastAsia="Times New Roman"/>
                <w:sz w:val="18"/>
                <w:szCs w:val="18"/>
              </w:rPr>
            </w:pPr>
            <w:r w:rsidRPr="00A95729">
              <w:rPr>
                <w:color w:val="000000"/>
                <w:sz w:val="18"/>
                <w:szCs w:val="18"/>
              </w:rPr>
              <w:t>1.57</w:t>
            </w:r>
          </w:p>
        </w:tc>
        <w:tc>
          <w:tcPr>
            <w:tcW w:w="544" w:type="dxa"/>
            <w:tcBorders>
              <w:top w:val="nil"/>
              <w:left w:val="nil"/>
              <w:bottom w:val="nil"/>
              <w:right w:val="nil"/>
            </w:tcBorders>
            <w:shd w:val="clear" w:color="000000" w:fill="FFFFFF"/>
            <w:noWrap/>
            <w:vAlign w:val="bottom"/>
            <w:hideMark/>
          </w:tcPr>
          <w:p w14:paraId="21FAE8DB" w14:textId="77777777" w:rsidR="002961DC" w:rsidRPr="00A95729" w:rsidRDefault="002961DC" w:rsidP="00E56366">
            <w:pPr>
              <w:spacing w:after="0" w:line="240" w:lineRule="auto"/>
              <w:jc w:val="center"/>
              <w:rPr>
                <w:rFonts w:eastAsia="Times New Roman"/>
                <w:sz w:val="18"/>
                <w:szCs w:val="18"/>
              </w:rPr>
            </w:pPr>
            <w:r w:rsidRPr="00A95729">
              <w:rPr>
                <w:color w:val="000000"/>
                <w:sz w:val="18"/>
                <w:szCs w:val="18"/>
              </w:rPr>
              <w:t>0.31</w:t>
            </w:r>
          </w:p>
        </w:tc>
        <w:tc>
          <w:tcPr>
            <w:tcW w:w="540" w:type="dxa"/>
            <w:tcBorders>
              <w:top w:val="nil"/>
              <w:left w:val="nil"/>
              <w:bottom w:val="nil"/>
              <w:right w:val="single" w:sz="4" w:space="0" w:color="auto"/>
            </w:tcBorders>
            <w:shd w:val="clear" w:color="000000" w:fill="FFFFFF"/>
            <w:noWrap/>
            <w:vAlign w:val="bottom"/>
            <w:hideMark/>
          </w:tcPr>
          <w:p w14:paraId="31C3D07B" w14:textId="77777777" w:rsidR="002961DC" w:rsidRPr="00A95729" w:rsidRDefault="002961DC" w:rsidP="00E56366">
            <w:pPr>
              <w:spacing w:after="0" w:line="240" w:lineRule="auto"/>
              <w:jc w:val="center"/>
              <w:rPr>
                <w:rFonts w:eastAsia="Times New Roman"/>
                <w:sz w:val="18"/>
                <w:szCs w:val="18"/>
              </w:rPr>
            </w:pPr>
            <w:r w:rsidRPr="00A95729">
              <w:rPr>
                <w:color w:val="000000"/>
                <w:sz w:val="18"/>
                <w:szCs w:val="18"/>
              </w:rPr>
              <w:t>2.95</w:t>
            </w:r>
          </w:p>
        </w:tc>
        <w:tc>
          <w:tcPr>
            <w:tcW w:w="540" w:type="dxa"/>
            <w:tcBorders>
              <w:top w:val="nil"/>
              <w:left w:val="nil"/>
              <w:bottom w:val="nil"/>
              <w:right w:val="nil"/>
            </w:tcBorders>
            <w:shd w:val="clear" w:color="000000" w:fill="FFFFFF"/>
            <w:noWrap/>
            <w:vAlign w:val="center"/>
            <w:hideMark/>
          </w:tcPr>
          <w:p w14:paraId="4021DDFE" w14:textId="77777777" w:rsidR="002961DC" w:rsidRPr="00A95729" w:rsidRDefault="002961DC" w:rsidP="00E56366">
            <w:pPr>
              <w:spacing w:after="0" w:line="240" w:lineRule="auto"/>
              <w:jc w:val="center"/>
              <w:rPr>
                <w:rFonts w:eastAsia="Times New Roman"/>
                <w:sz w:val="18"/>
                <w:szCs w:val="18"/>
              </w:rPr>
            </w:pPr>
            <w:r w:rsidRPr="00A95729">
              <w:rPr>
                <w:rFonts w:eastAsia="Times New Roman"/>
                <w:sz w:val="18"/>
                <w:szCs w:val="18"/>
              </w:rPr>
              <w:t>--</w:t>
            </w:r>
          </w:p>
        </w:tc>
        <w:tc>
          <w:tcPr>
            <w:tcW w:w="450" w:type="dxa"/>
            <w:tcBorders>
              <w:top w:val="nil"/>
              <w:left w:val="nil"/>
              <w:bottom w:val="nil"/>
              <w:right w:val="single" w:sz="4" w:space="0" w:color="auto"/>
            </w:tcBorders>
            <w:shd w:val="clear" w:color="000000" w:fill="FFFFFF"/>
            <w:noWrap/>
            <w:vAlign w:val="center"/>
            <w:hideMark/>
          </w:tcPr>
          <w:p w14:paraId="6E4E34E9" w14:textId="77777777" w:rsidR="002961DC" w:rsidRPr="00A95729" w:rsidRDefault="002961DC" w:rsidP="00E56366">
            <w:pPr>
              <w:spacing w:after="0" w:line="240" w:lineRule="auto"/>
              <w:jc w:val="center"/>
              <w:rPr>
                <w:rFonts w:eastAsia="Times New Roman"/>
                <w:sz w:val="18"/>
                <w:szCs w:val="18"/>
              </w:rPr>
            </w:pPr>
            <w:r w:rsidRPr="00A95729">
              <w:rPr>
                <w:rFonts w:eastAsia="Times New Roman"/>
                <w:sz w:val="18"/>
                <w:szCs w:val="18"/>
              </w:rPr>
              <w:t> </w:t>
            </w:r>
          </w:p>
        </w:tc>
        <w:tc>
          <w:tcPr>
            <w:tcW w:w="540" w:type="dxa"/>
            <w:tcBorders>
              <w:top w:val="nil"/>
              <w:left w:val="nil"/>
              <w:bottom w:val="nil"/>
              <w:right w:val="nil"/>
            </w:tcBorders>
            <w:shd w:val="clear" w:color="000000" w:fill="FFFFFF"/>
            <w:noWrap/>
            <w:vAlign w:val="center"/>
            <w:hideMark/>
          </w:tcPr>
          <w:p w14:paraId="4950AE1A" w14:textId="77777777" w:rsidR="002961DC" w:rsidRPr="00A95729" w:rsidRDefault="002961DC" w:rsidP="00E56366">
            <w:pPr>
              <w:spacing w:after="0" w:line="240" w:lineRule="auto"/>
              <w:jc w:val="center"/>
              <w:rPr>
                <w:rFonts w:eastAsia="Times New Roman"/>
                <w:sz w:val="18"/>
                <w:szCs w:val="18"/>
              </w:rPr>
            </w:pPr>
            <w:r w:rsidRPr="00A95729">
              <w:rPr>
                <w:rFonts w:eastAsia="Times New Roman"/>
                <w:sz w:val="18"/>
                <w:szCs w:val="18"/>
              </w:rPr>
              <w:t>--</w:t>
            </w:r>
          </w:p>
        </w:tc>
        <w:tc>
          <w:tcPr>
            <w:tcW w:w="450" w:type="dxa"/>
            <w:tcBorders>
              <w:top w:val="nil"/>
              <w:left w:val="nil"/>
              <w:bottom w:val="nil"/>
              <w:right w:val="single" w:sz="4" w:space="0" w:color="auto"/>
            </w:tcBorders>
            <w:shd w:val="clear" w:color="000000" w:fill="FFFFFF"/>
            <w:noWrap/>
            <w:vAlign w:val="center"/>
            <w:hideMark/>
          </w:tcPr>
          <w:p w14:paraId="3734052C" w14:textId="77777777" w:rsidR="002961DC" w:rsidRPr="00A95729" w:rsidRDefault="002961DC" w:rsidP="00E56366">
            <w:pPr>
              <w:spacing w:after="0" w:line="240" w:lineRule="auto"/>
              <w:jc w:val="center"/>
              <w:rPr>
                <w:rFonts w:eastAsia="Times New Roman"/>
                <w:sz w:val="18"/>
                <w:szCs w:val="18"/>
              </w:rPr>
            </w:pPr>
            <w:r w:rsidRPr="00A95729">
              <w:rPr>
                <w:rFonts w:eastAsia="Times New Roman"/>
                <w:sz w:val="18"/>
                <w:szCs w:val="18"/>
              </w:rPr>
              <w:t> </w:t>
            </w:r>
          </w:p>
        </w:tc>
        <w:tc>
          <w:tcPr>
            <w:tcW w:w="540" w:type="dxa"/>
            <w:tcBorders>
              <w:top w:val="nil"/>
              <w:left w:val="nil"/>
              <w:bottom w:val="nil"/>
              <w:right w:val="nil"/>
            </w:tcBorders>
            <w:shd w:val="clear" w:color="000000" w:fill="FFFFFF"/>
            <w:noWrap/>
            <w:vAlign w:val="center"/>
            <w:hideMark/>
          </w:tcPr>
          <w:p w14:paraId="61B727C6" w14:textId="77777777" w:rsidR="002961DC" w:rsidRPr="00A95729" w:rsidRDefault="002961DC" w:rsidP="00E56366">
            <w:pPr>
              <w:spacing w:after="0" w:line="240" w:lineRule="auto"/>
              <w:jc w:val="center"/>
              <w:rPr>
                <w:rFonts w:eastAsia="Times New Roman"/>
                <w:sz w:val="18"/>
                <w:szCs w:val="18"/>
              </w:rPr>
            </w:pPr>
            <w:r w:rsidRPr="00A95729">
              <w:rPr>
                <w:rFonts w:eastAsia="Times New Roman"/>
                <w:color w:val="000000"/>
                <w:sz w:val="18"/>
                <w:szCs w:val="18"/>
              </w:rPr>
              <w:t>--</w:t>
            </w:r>
          </w:p>
        </w:tc>
        <w:tc>
          <w:tcPr>
            <w:tcW w:w="454" w:type="dxa"/>
            <w:tcBorders>
              <w:top w:val="nil"/>
              <w:left w:val="nil"/>
              <w:bottom w:val="nil"/>
              <w:right w:val="single" w:sz="4" w:space="0" w:color="auto"/>
            </w:tcBorders>
            <w:shd w:val="clear" w:color="000000" w:fill="FFFFFF"/>
            <w:noWrap/>
            <w:vAlign w:val="center"/>
            <w:hideMark/>
          </w:tcPr>
          <w:p w14:paraId="4A7DB903" w14:textId="77777777" w:rsidR="002961DC" w:rsidRPr="00A95729" w:rsidRDefault="002961DC" w:rsidP="00E56366">
            <w:pPr>
              <w:spacing w:after="0" w:line="240" w:lineRule="auto"/>
              <w:jc w:val="center"/>
              <w:rPr>
                <w:rFonts w:eastAsia="Times New Roman"/>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hideMark/>
          </w:tcPr>
          <w:p w14:paraId="542F7903" w14:textId="77777777" w:rsidR="002961DC" w:rsidRPr="00A95729" w:rsidRDefault="002961DC" w:rsidP="00E56366">
            <w:pPr>
              <w:spacing w:after="0" w:line="240" w:lineRule="auto"/>
              <w:jc w:val="center"/>
              <w:rPr>
                <w:rFonts w:eastAsia="Times New Roman"/>
                <w:sz w:val="18"/>
                <w:szCs w:val="18"/>
              </w:rPr>
            </w:pPr>
            <w:r w:rsidRPr="00A95729">
              <w:rPr>
                <w:rFonts w:eastAsia="Times New Roman"/>
                <w:sz w:val="18"/>
                <w:szCs w:val="18"/>
              </w:rPr>
              <w:t>--</w:t>
            </w:r>
          </w:p>
        </w:tc>
        <w:tc>
          <w:tcPr>
            <w:tcW w:w="456" w:type="dxa"/>
            <w:tcBorders>
              <w:top w:val="nil"/>
              <w:left w:val="nil"/>
              <w:bottom w:val="nil"/>
              <w:right w:val="single" w:sz="12" w:space="0" w:color="auto"/>
            </w:tcBorders>
            <w:shd w:val="clear" w:color="000000" w:fill="FFFFFF"/>
            <w:noWrap/>
            <w:vAlign w:val="center"/>
            <w:hideMark/>
          </w:tcPr>
          <w:p w14:paraId="3C424886" w14:textId="77777777" w:rsidR="002961DC" w:rsidRPr="00A95729" w:rsidRDefault="002961DC" w:rsidP="00E56366">
            <w:pPr>
              <w:spacing w:after="0" w:line="240" w:lineRule="auto"/>
              <w:jc w:val="center"/>
              <w:rPr>
                <w:rFonts w:eastAsia="Times New Roman"/>
                <w:sz w:val="18"/>
                <w:szCs w:val="18"/>
              </w:rPr>
            </w:pPr>
            <w:r w:rsidRPr="00A95729">
              <w:rPr>
                <w:rFonts w:eastAsia="Times New Roman"/>
                <w:sz w:val="18"/>
                <w:szCs w:val="18"/>
              </w:rPr>
              <w:t> </w:t>
            </w:r>
          </w:p>
        </w:tc>
        <w:tc>
          <w:tcPr>
            <w:tcW w:w="540" w:type="dxa"/>
            <w:tcBorders>
              <w:top w:val="nil"/>
              <w:left w:val="nil"/>
              <w:bottom w:val="nil"/>
              <w:right w:val="nil"/>
            </w:tcBorders>
            <w:shd w:val="clear" w:color="000000" w:fill="FFFFFF"/>
            <w:vAlign w:val="center"/>
          </w:tcPr>
          <w:p w14:paraId="55E50DC0" w14:textId="77777777" w:rsidR="002961DC" w:rsidRPr="00A95729" w:rsidRDefault="002961DC" w:rsidP="00E56366">
            <w:pPr>
              <w:spacing w:after="0" w:line="240" w:lineRule="auto"/>
              <w:jc w:val="center"/>
              <w:rPr>
                <w:rFonts w:eastAsia="Times New Roman"/>
                <w:sz w:val="18"/>
                <w:szCs w:val="18"/>
              </w:rPr>
            </w:pPr>
            <w:r w:rsidRPr="00A95729">
              <w:rPr>
                <w:rFonts w:eastAsia="Times New Roman"/>
                <w:color w:val="000000"/>
                <w:sz w:val="18"/>
                <w:szCs w:val="18"/>
              </w:rPr>
              <w:t>--</w:t>
            </w:r>
          </w:p>
        </w:tc>
        <w:tc>
          <w:tcPr>
            <w:tcW w:w="540" w:type="dxa"/>
            <w:tcBorders>
              <w:top w:val="nil"/>
              <w:left w:val="nil"/>
              <w:bottom w:val="nil"/>
              <w:right w:val="single" w:sz="12" w:space="0" w:color="auto"/>
            </w:tcBorders>
            <w:shd w:val="clear" w:color="000000" w:fill="FFFFFF"/>
            <w:vAlign w:val="center"/>
          </w:tcPr>
          <w:p w14:paraId="4F4D6D1E" w14:textId="77777777" w:rsidR="002961DC" w:rsidRPr="00A95729" w:rsidRDefault="002961DC" w:rsidP="00E56366">
            <w:pPr>
              <w:spacing w:after="0" w:line="240" w:lineRule="auto"/>
              <w:jc w:val="center"/>
              <w:rPr>
                <w:rFonts w:eastAsia="Times New Roman"/>
                <w:sz w:val="18"/>
                <w:szCs w:val="18"/>
              </w:rPr>
            </w:pPr>
            <w:r w:rsidRPr="00A95729">
              <w:rPr>
                <w:rFonts w:eastAsia="Times New Roman"/>
                <w:color w:val="000000"/>
                <w:sz w:val="18"/>
                <w:szCs w:val="18"/>
              </w:rPr>
              <w:t> </w:t>
            </w:r>
          </w:p>
        </w:tc>
        <w:tc>
          <w:tcPr>
            <w:tcW w:w="630" w:type="dxa"/>
            <w:tcBorders>
              <w:top w:val="nil"/>
              <w:left w:val="single" w:sz="12" w:space="0" w:color="auto"/>
              <w:bottom w:val="nil"/>
              <w:right w:val="nil"/>
            </w:tcBorders>
            <w:shd w:val="clear" w:color="000000" w:fill="FFFFFF"/>
            <w:vAlign w:val="bottom"/>
          </w:tcPr>
          <w:p w14:paraId="68600717" w14:textId="77777777" w:rsidR="002961DC" w:rsidRPr="00A95729" w:rsidRDefault="002961DC" w:rsidP="00E56366">
            <w:pPr>
              <w:spacing w:after="0" w:line="240" w:lineRule="auto"/>
              <w:jc w:val="center"/>
              <w:rPr>
                <w:rFonts w:eastAsia="Times New Roman"/>
                <w:sz w:val="18"/>
                <w:szCs w:val="18"/>
              </w:rPr>
            </w:pPr>
            <w:r w:rsidRPr="00A95729">
              <w:rPr>
                <w:color w:val="000000"/>
                <w:sz w:val="18"/>
                <w:szCs w:val="18"/>
              </w:rPr>
              <w:t>-0.47</w:t>
            </w:r>
          </w:p>
        </w:tc>
        <w:tc>
          <w:tcPr>
            <w:tcW w:w="542" w:type="dxa"/>
            <w:tcBorders>
              <w:top w:val="nil"/>
              <w:left w:val="nil"/>
              <w:bottom w:val="nil"/>
              <w:right w:val="single" w:sz="12" w:space="0" w:color="auto"/>
            </w:tcBorders>
            <w:shd w:val="clear" w:color="000000" w:fill="FFFFFF"/>
            <w:vAlign w:val="bottom"/>
          </w:tcPr>
          <w:p w14:paraId="46FCEC79" w14:textId="77777777" w:rsidR="002961DC" w:rsidRPr="00A95729" w:rsidRDefault="002961DC" w:rsidP="00E56366">
            <w:pPr>
              <w:spacing w:after="0" w:line="240" w:lineRule="auto"/>
              <w:jc w:val="center"/>
              <w:rPr>
                <w:rFonts w:eastAsia="Times New Roman"/>
                <w:sz w:val="18"/>
                <w:szCs w:val="18"/>
              </w:rPr>
            </w:pPr>
            <w:r w:rsidRPr="00A95729">
              <w:rPr>
                <w:color w:val="000000"/>
                <w:sz w:val="18"/>
                <w:szCs w:val="18"/>
              </w:rPr>
              <w:t>-9.19</w:t>
            </w:r>
          </w:p>
        </w:tc>
      </w:tr>
      <w:tr w:rsidR="002961DC" w:rsidRPr="00A95729" w14:paraId="6FEF7D0B" w14:textId="77777777" w:rsidTr="00E56366">
        <w:trPr>
          <w:trHeight w:val="20"/>
          <w:jc w:val="center"/>
        </w:trPr>
        <w:tc>
          <w:tcPr>
            <w:tcW w:w="2595" w:type="dxa"/>
            <w:tcBorders>
              <w:top w:val="nil"/>
              <w:left w:val="single" w:sz="12" w:space="0" w:color="auto"/>
              <w:bottom w:val="nil"/>
              <w:right w:val="single" w:sz="12" w:space="0" w:color="auto"/>
            </w:tcBorders>
            <w:shd w:val="clear" w:color="000000" w:fill="FFFFFF"/>
            <w:noWrap/>
            <w:vAlign w:val="bottom"/>
            <w:hideMark/>
          </w:tcPr>
          <w:p w14:paraId="1BA4E615" w14:textId="77777777" w:rsidR="002961DC" w:rsidRPr="00A95729" w:rsidRDefault="002961DC" w:rsidP="00E56366">
            <w:pPr>
              <w:spacing w:after="0" w:line="240" w:lineRule="auto"/>
              <w:rPr>
                <w:rFonts w:eastAsia="Times New Roman"/>
                <w:color w:val="000000"/>
                <w:sz w:val="18"/>
                <w:szCs w:val="18"/>
              </w:rPr>
            </w:pPr>
            <w:r w:rsidRPr="00A95729">
              <w:rPr>
                <w:rFonts w:eastAsia="Times New Roman"/>
                <w:color w:val="000000"/>
                <w:sz w:val="18"/>
                <w:szCs w:val="18"/>
              </w:rPr>
              <w:t>Vehicles per Driver (Fewer)</w:t>
            </w:r>
          </w:p>
        </w:tc>
        <w:tc>
          <w:tcPr>
            <w:tcW w:w="537" w:type="dxa"/>
            <w:tcBorders>
              <w:top w:val="nil"/>
              <w:left w:val="single" w:sz="12" w:space="0" w:color="auto"/>
              <w:bottom w:val="nil"/>
            </w:tcBorders>
            <w:shd w:val="clear" w:color="000000" w:fill="FFFFFF"/>
          </w:tcPr>
          <w:p w14:paraId="201B793D" w14:textId="77777777" w:rsidR="002961DC" w:rsidRPr="00A95729" w:rsidRDefault="002961DC" w:rsidP="00E56366">
            <w:pPr>
              <w:spacing w:after="0" w:line="240" w:lineRule="auto"/>
              <w:jc w:val="center"/>
              <w:rPr>
                <w:rFonts w:eastAsia="Times New Roman"/>
                <w:sz w:val="18"/>
                <w:szCs w:val="18"/>
              </w:rPr>
            </w:pPr>
          </w:p>
        </w:tc>
        <w:tc>
          <w:tcPr>
            <w:tcW w:w="541" w:type="dxa"/>
            <w:tcBorders>
              <w:top w:val="nil"/>
              <w:left w:val="nil"/>
              <w:bottom w:val="nil"/>
              <w:right w:val="single" w:sz="12" w:space="0" w:color="auto"/>
            </w:tcBorders>
            <w:shd w:val="clear" w:color="000000" w:fill="FFFFFF"/>
          </w:tcPr>
          <w:p w14:paraId="5906E92F" w14:textId="77777777" w:rsidR="002961DC" w:rsidRPr="00A95729" w:rsidRDefault="002961DC" w:rsidP="00E56366">
            <w:pPr>
              <w:spacing w:after="0" w:line="240" w:lineRule="auto"/>
              <w:jc w:val="center"/>
              <w:rPr>
                <w:rFonts w:eastAsia="Times New Roman"/>
                <w:sz w:val="18"/>
                <w:szCs w:val="18"/>
              </w:rPr>
            </w:pPr>
          </w:p>
        </w:tc>
        <w:tc>
          <w:tcPr>
            <w:tcW w:w="539" w:type="dxa"/>
            <w:tcBorders>
              <w:top w:val="nil"/>
              <w:left w:val="single" w:sz="12" w:space="0" w:color="auto"/>
              <w:bottom w:val="nil"/>
              <w:right w:val="nil"/>
            </w:tcBorders>
            <w:shd w:val="clear" w:color="000000" w:fill="FFFFFF"/>
            <w:noWrap/>
            <w:vAlign w:val="center"/>
            <w:hideMark/>
          </w:tcPr>
          <w:p w14:paraId="792C899C" w14:textId="77777777" w:rsidR="002961DC" w:rsidRPr="00A95729" w:rsidRDefault="002961DC" w:rsidP="00E56366">
            <w:pPr>
              <w:spacing w:after="0" w:line="240" w:lineRule="auto"/>
              <w:jc w:val="center"/>
              <w:rPr>
                <w:rFonts w:eastAsia="Times New Roman"/>
                <w:sz w:val="18"/>
                <w:szCs w:val="18"/>
              </w:rPr>
            </w:pPr>
            <w:r w:rsidRPr="00A95729">
              <w:rPr>
                <w:rFonts w:eastAsia="Times New Roman"/>
                <w:sz w:val="18"/>
                <w:szCs w:val="18"/>
              </w:rPr>
              <w:t> </w:t>
            </w:r>
          </w:p>
        </w:tc>
        <w:tc>
          <w:tcPr>
            <w:tcW w:w="449" w:type="dxa"/>
            <w:tcBorders>
              <w:top w:val="nil"/>
              <w:left w:val="nil"/>
              <w:bottom w:val="nil"/>
              <w:right w:val="single" w:sz="4" w:space="0" w:color="auto"/>
            </w:tcBorders>
            <w:shd w:val="clear" w:color="000000" w:fill="FFFFFF"/>
            <w:noWrap/>
            <w:vAlign w:val="center"/>
            <w:hideMark/>
          </w:tcPr>
          <w:p w14:paraId="3CA82833" w14:textId="77777777" w:rsidR="002961DC" w:rsidRPr="00A95729" w:rsidRDefault="002961DC" w:rsidP="00E56366">
            <w:pPr>
              <w:spacing w:after="0" w:line="240" w:lineRule="auto"/>
              <w:jc w:val="center"/>
              <w:rPr>
                <w:rFonts w:eastAsia="Times New Roman"/>
                <w:sz w:val="18"/>
                <w:szCs w:val="18"/>
              </w:rPr>
            </w:pPr>
            <w:r w:rsidRPr="00A95729">
              <w:rPr>
                <w:rFonts w:eastAsia="Times New Roman"/>
                <w:sz w:val="18"/>
                <w:szCs w:val="18"/>
              </w:rPr>
              <w:t> </w:t>
            </w:r>
          </w:p>
        </w:tc>
        <w:tc>
          <w:tcPr>
            <w:tcW w:w="540" w:type="dxa"/>
            <w:tcBorders>
              <w:top w:val="nil"/>
              <w:left w:val="nil"/>
              <w:bottom w:val="nil"/>
              <w:right w:val="nil"/>
            </w:tcBorders>
            <w:shd w:val="clear" w:color="000000" w:fill="FFFFFF"/>
            <w:noWrap/>
            <w:vAlign w:val="center"/>
            <w:hideMark/>
          </w:tcPr>
          <w:p w14:paraId="1A1AF031" w14:textId="77777777" w:rsidR="002961DC" w:rsidRPr="00A95729" w:rsidRDefault="002961DC" w:rsidP="00E56366">
            <w:pPr>
              <w:spacing w:after="0" w:line="240" w:lineRule="auto"/>
              <w:jc w:val="center"/>
              <w:rPr>
                <w:rFonts w:eastAsia="Times New Roman"/>
                <w:sz w:val="18"/>
                <w:szCs w:val="18"/>
              </w:rPr>
            </w:pPr>
            <w:r w:rsidRPr="00A95729">
              <w:rPr>
                <w:rFonts w:eastAsia="Times New Roman"/>
                <w:sz w:val="18"/>
                <w:szCs w:val="18"/>
              </w:rPr>
              <w:t> </w:t>
            </w:r>
          </w:p>
        </w:tc>
        <w:tc>
          <w:tcPr>
            <w:tcW w:w="450" w:type="dxa"/>
            <w:tcBorders>
              <w:top w:val="nil"/>
              <w:left w:val="nil"/>
              <w:bottom w:val="nil"/>
              <w:right w:val="single" w:sz="4" w:space="0" w:color="auto"/>
            </w:tcBorders>
            <w:shd w:val="clear" w:color="000000" w:fill="FFFFFF"/>
            <w:noWrap/>
            <w:vAlign w:val="center"/>
            <w:hideMark/>
          </w:tcPr>
          <w:p w14:paraId="167D3C1B" w14:textId="77777777" w:rsidR="002961DC" w:rsidRPr="00A95729" w:rsidRDefault="002961DC" w:rsidP="00E56366">
            <w:pPr>
              <w:spacing w:after="0" w:line="240" w:lineRule="auto"/>
              <w:jc w:val="center"/>
              <w:rPr>
                <w:rFonts w:eastAsia="Times New Roman"/>
                <w:sz w:val="18"/>
                <w:szCs w:val="18"/>
              </w:rPr>
            </w:pPr>
            <w:r w:rsidRPr="00A95729">
              <w:rPr>
                <w:rFonts w:eastAsia="Times New Roman"/>
                <w:sz w:val="18"/>
                <w:szCs w:val="18"/>
              </w:rPr>
              <w:t> </w:t>
            </w:r>
          </w:p>
        </w:tc>
        <w:tc>
          <w:tcPr>
            <w:tcW w:w="540" w:type="dxa"/>
            <w:tcBorders>
              <w:top w:val="nil"/>
              <w:left w:val="nil"/>
              <w:bottom w:val="nil"/>
              <w:right w:val="nil"/>
            </w:tcBorders>
            <w:shd w:val="clear" w:color="000000" w:fill="FFFFFF"/>
            <w:noWrap/>
            <w:vAlign w:val="center"/>
            <w:hideMark/>
          </w:tcPr>
          <w:p w14:paraId="5D77830A" w14:textId="77777777" w:rsidR="002961DC" w:rsidRPr="00A95729" w:rsidRDefault="002961DC" w:rsidP="00E56366">
            <w:pPr>
              <w:spacing w:after="0" w:line="240" w:lineRule="auto"/>
              <w:jc w:val="center"/>
              <w:rPr>
                <w:rFonts w:eastAsia="Times New Roman"/>
                <w:sz w:val="18"/>
                <w:szCs w:val="18"/>
              </w:rPr>
            </w:pPr>
            <w:r w:rsidRPr="00A95729">
              <w:rPr>
                <w:rFonts w:eastAsia="Times New Roman"/>
                <w:sz w:val="18"/>
                <w:szCs w:val="18"/>
              </w:rPr>
              <w:t> </w:t>
            </w:r>
          </w:p>
        </w:tc>
        <w:tc>
          <w:tcPr>
            <w:tcW w:w="450" w:type="dxa"/>
            <w:tcBorders>
              <w:top w:val="nil"/>
              <w:left w:val="nil"/>
              <w:bottom w:val="nil"/>
              <w:right w:val="single" w:sz="4" w:space="0" w:color="auto"/>
            </w:tcBorders>
            <w:shd w:val="clear" w:color="000000" w:fill="FFFFFF"/>
            <w:noWrap/>
            <w:vAlign w:val="center"/>
            <w:hideMark/>
          </w:tcPr>
          <w:p w14:paraId="4CEB0F6B" w14:textId="77777777" w:rsidR="002961DC" w:rsidRPr="00A95729" w:rsidRDefault="002961DC" w:rsidP="00E56366">
            <w:pPr>
              <w:spacing w:after="0" w:line="240" w:lineRule="auto"/>
              <w:jc w:val="center"/>
              <w:rPr>
                <w:rFonts w:eastAsia="Times New Roman"/>
                <w:sz w:val="18"/>
                <w:szCs w:val="18"/>
              </w:rPr>
            </w:pPr>
            <w:r w:rsidRPr="00A95729">
              <w:rPr>
                <w:rFonts w:eastAsia="Times New Roman"/>
                <w:sz w:val="18"/>
                <w:szCs w:val="18"/>
              </w:rPr>
              <w:t> </w:t>
            </w:r>
          </w:p>
        </w:tc>
        <w:tc>
          <w:tcPr>
            <w:tcW w:w="544" w:type="dxa"/>
            <w:tcBorders>
              <w:top w:val="nil"/>
              <w:left w:val="nil"/>
              <w:bottom w:val="nil"/>
              <w:right w:val="nil"/>
            </w:tcBorders>
            <w:shd w:val="clear" w:color="000000" w:fill="FFFFFF"/>
            <w:noWrap/>
            <w:vAlign w:val="center"/>
            <w:hideMark/>
          </w:tcPr>
          <w:p w14:paraId="70BB4E37" w14:textId="77777777" w:rsidR="002961DC" w:rsidRPr="00A95729" w:rsidRDefault="002961DC" w:rsidP="00E56366">
            <w:pPr>
              <w:spacing w:after="0" w:line="240" w:lineRule="auto"/>
              <w:jc w:val="center"/>
              <w:rPr>
                <w:rFonts w:eastAsia="Times New Roman"/>
                <w:sz w:val="18"/>
                <w:szCs w:val="18"/>
              </w:rPr>
            </w:pPr>
            <w:r w:rsidRPr="00A95729">
              <w:rPr>
                <w:rFonts w:eastAsia="Times New Roman"/>
                <w:sz w:val="18"/>
                <w:szCs w:val="18"/>
              </w:rPr>
              <w:t> </w:t>
            </w:r>
          </w:p>
        </w:tc>
        <w:tc>
          <w:tcPr>
            <w:tcW w:w="540" w:type="dxa"/>
            <w:tcBorders>
              <w:top w:val="nil"/>
              <w:left w:val="nil"/>
              <w:bottom w:val="nil"/>
              <w:right w:val="single" w:sz="4" w:space="0" w:color="auto"/>
            </w:tcBorders>
            <w:shd w:val="clear" w:color="000000" w:fill="FFFFFF"/>
            <w:noWrap/>
            <w:vAlign w:val="center"/>
            <w:hideMark/>
          </w:tcPr>
          <w:p w14:paraId="5CB485B8" w14:textId="77777777" w:rsidR="002961DC" w:rsidRPr="00A95729" w:rsidRDefault="002961DC" w:rsidP="00E56366">
            <w:pPr>
              <w:spacing w:after="0" w:line="240" w:lineRule="auto"/>
              <w:jc w:val="center"/>
              <w:rPr>
                <w:rFonts w:eastAsia="Times New Roman"/>
                <w:sz w:val="18"/>
                <w:szCs w:val="18"/>
              </w:rPr>
            </w:pPr>
            <w:r w:rsidRPr="00A95729">
              <w:rPr>
                <w:rFonts w:eastAsia="Times New Roman"/>
                <w:sz w:val="18"/>
                <w:szCs w:val="18"/>
              </w:rPr>
              <w:t> </w:t>
            </w:r>
          </w:p>
        </w:tc>
        <w:tc>
          <w:tcPr>
            <w:tcW w:w="540" w:type="dxa"/>
            <w:tcBorders>
              <w:top w:val="nil"/>
              <w:left w:val="nil"/>
              <w:bottom w:val="nil"/>
              <w:right w:val="nil"/>
            </w:tcBorders>
            <w:shd w:val="clear" w:color="000000" w:fill="FFFFFF"/>
            <w:noWrap/>
            <w:vAlign w:val="center"/>
            <w:hideMark/>
          </w:tcPr>
          <w:p w14:paraId="147AD9DC" w14:textId="77777777" w:rsidR="002961DC" w:rsidRPr="00A95729" w:rsidRDefault="002961DC" w:rsidP="00E56366">
            <w:pPr>
              <w:spacing w:after="0" w:line="240" w:lineRule="auto"/>
              <w:jc w:val="center"/>
              <w:rPr>
                <w:rFonts w:eastAsia="Times New Roman"/>
                <w:sz w:val="18"/>
                <w:szCs w:val="18"/>
              </w:rPr>
            </w:pPr>
            <w:r w:rsidRPr="00A95729">
              <w:rPr>
                <w:rFonts w:eastAsia="Times New Roman"/>
                <w:sz w:val="18"/>
                <w:szCs w:val="18"/>
              </w:rPr>
              <w:t> </w:t>
            </w:r>
          </w:p>
        </w:tc>
        <w:tc>
          <w:tcPr>
            <w:tcW w:w="450" w:type="dxa"/>
            <w:tcBorders>
              <w:top w:val="nil"/>
              <w:left w:val="nil"/>
              <w:bottom w:val="nil"/>
              <w:right w:val="single" w:sz="4" w:space="0" w:color="auto"/>
            </w:tcBorders>
            <w:shd w:val="clear" w:color="000000" w:fill="FFFFFF"/>
            <w:noWrap/>
            <w:vAlign w:val="center"/>
            <w:hideMark/>
          </w:tcPr>
          <w:p w14:paraId="4804839F" w14:textId="77777777" w:rsidR="002961DC" w:rsidRPr="00A95729" w:rsidRDefault="002961DC" w:rsidP="00E56366">
            <w:pPr>
              <w:spacing w:after="0" w:line="240" w:lineRule="auto"/>
              <w:jc w:val="center"/>
              <w:rPr>
                <w:rFonts w:eastAsia="Times New Roman"/>
                <w:sz w:val="18"/>
                <w:szCs w:val="18"/>
              </w:rPr>
            </w:pPr>
            <w:r w:rsidRPr="00A95729">
              <w:rPr>
                <w:rFonts w:eastAsia="Times New Roman"/>
                <w:sz w:val="18"/>
                <w:szCs w:val="18"/>
              </w:rPr>
              <w:t> </w:t>
            </w:r>
          </w:p>
        </w:tc>
        <w:tc>
          <w:tcPr>
            <w:tcW w:w="540" w:type="dxa"/>
            <w:tcBorders>
              <w:top w:val="nil"/>
              <w:left w:val="nil"/>
              <w:bottom w:val="nil"/>
              <w:right w:val="nil"/>
            </w:tcBorders>
            <w:shd w:val="clear" w:color="000000" w:fill="FFFFFF"/>
            <w:noWrap/>
            <w:vAlign w:val="center"/>
            <w:hideMark/>
          </w:tcPr>
          <w:p w14:paraId="703A352A" w14:textId="77777777" w:rsidR="002961DC" w:rsidRPr="00A95729" w:rsidRDefault="002961DC" w:rsidP="00E56366">
            <w:pPr>
              <w:spacing w:after="0" w:line="240" w:lineRule="auto"/>
              <w:jc w:val="center"/>
              <w:rPr>
                <w:rFonts w:eastAsia="Times New Roman"/>
                <w:sz w:val="18"/>
                <w:szCs w:val="18"/>
              </w:rPr>
            </w:pPr>
            <w:r w:rsidRPr="00A95729">
              <w:rPr>
                <w:rFonts w:eastAsia="Times New Roman"/>
                <w:sz w:val="18"/>
                <w:szCs w:val="18"/>
              </w:rPr>
              <w:t> </w:t>
            </w:r>
          </w:p>
        </w:tc>
        <w:tc>
          <w:tcPr>
            <w:tcW w:w="450" w:type="dxa"/>
            <w:tcBorders>
              <w:top w:val="nil"/>
              <w:left w:val="nil"/>
              <w:bottom w:val="nil"/>
              <w:right w:val="single" w:sz="4" w:space="0" w:color="auto"/>
            </w:tcBorders>
            <w:shd w:val="clear" w:color="000000" w:fill="FFFFFF"/>
            <w:noWrap/>
            <w:vAlign w:val="center"/>
            <w:hideMark/>
          </w:tcPr>
          <w:p w14:paraId="04167443" w14:textId="77777777" w:rsidR="002961DC" w:rsidRPr="00A95729" w:rsidRDefault="002961DC" w:rsidP="00E56366">
            <w:pPr>
              <w:spacing w:after="0" w:line="240" w:lineRule="auto"/>
              <w:jc w:val="center"/>
              <w:rPr>
                <w:rFonts w:eastAsia="Times New Roman"/>
                <w:sz w:val="18"/>
                <w:szCs w:val="18"/>
              </w:rPr>
            </w:pPr>
            <w:r w:rsidRPr="00A95729">
              <w:rPr>
                <w:rFonts w:eastAsia="Times New Roman"/>
                <w:sz w:val="18"/>
                <w:szCs w:val="18"/>
              </w:rPr>
              <w:t> </w:t>
            </w:r>
          </w:p>
        </w:tc>
        <w:tc>
          <w:tcPr>
            <w:tcW w:w="540" w:type="dxa"/>
            <w:tcBorders>
              <w:top w:val="nil"/>
              <w:left w:val="nil"/>
              <w:bottom w:val="nil"/>
              <w:right w:val="nil"/>
            </w:tcBorders>
            <w:shd w:val="clear" w:color="000000" w:fill="FFFFFF"/>
            <w:noWrap/>
            <w:vAlign w:val="center"/>
            <w:hideMark/>
          </w:tcPr>
          <w:p w14:paraId="6C76E64F" w14:textId="77777777" w:rsidR="002961DC" w:rsidRPr="00A95729" w:rsidRDefault="002961DC" w:rsidP="00E56366">
            <w:pPr>
              <w:spacing w:after="0" w:line="240" w:lineRule="auto"/>
              <w:jc w:val="center"/>
              <w:rPr>
                <w:rFonts w:eastAsia="Times New Roman"/>
                <w:sz w:val="18"/>
                <w:szCs w:val="18"/>
              </w:rPr>
            </w:pPr>
            <w:r w:rsidRPr="00A95729">
              <w:rPr>
                <w:rFonts w:eastAsia="Times New Roman"/>
                <w:sz w:val="18"/>
                <w:szCs w:val="18"/>
              </w:rPr>
              <w:t> </w:t>
            </w:r>
          </w:p>
        </w:tc>
        <w:tc>
          <w:tcPr>
            <w:tcW w:w="454" w:type="dxa"/>
            <w:tcBorders>
              <w:top w:val="nil"/>
              <w:left w:val="nil"/>
              <w:bottom w:val="nil"/>
              <w:right w:val="single" w:sz="4" w:space="0" w:color="auto"/>
            </w:tcBorders>
            <w:shd w:val="clear" w:color="000000" w:fill="FFFFFF"/>
            <w:noWrap/>
            <w:vAlign w:val="center"/>
            <w:hideMark/>
          </w:tcPr>
          <w:p w14:paraId="286E58D7" w14:textId="77777777" w:rsidR="002961DC" w:rsidRPr="00A95729" w:rsidRDefault="002961DC" w:rsidP="00E56366">
            <w:pPr>
              <w:spacing w:after="0" w:line="240" w:lineRule="auto"/>
              <w:jc w:val="center"/>
              <w:rPr>
                <w:rFonts w:eastAsia="Times New Roman"/>
                <w:sz w:val="18"/>
                <w:szCs w:val="18"/>
              </w:rPr>
            </w:pPr>
            <w:r w:rsidRPr="00A95729">
              <w:rPr>
                <w:rFonts w:eastAsia="Times New Roman"/>
                <w:sz w:val="18"/>
                <w:szCs w:val="18"/>
              </w:rPr>
              <w:t> </w:t>
            </w:r>
          </w:p>
        </w:tc>
        <w:tc>
          <w:tcPr>
            <w:tcW w:w="540" w:type="dxa"/>
            <w:tcBorders>
              <w:top w:val="nil"/>
              <w:left w:val="nil"/>
              <w:bottom w:val="nil"/>
              <w:right w:val="nil"/>
            </w:tcBorders>
            <w:shd w:val="clear" w:color="000000" w:fill="FFFFFF"/>
            <w:noWrap/>
            <w:vAlign w:val="center"/>
            <w:hideMark/>
          </w:tcPr>
          <w:p w14:paraId="2C52F890" w14:textId="77777777" w:rsidR="002961DC" w:rsidRPr="00A95729" w:rsidRDefault="002961DC" w:rsidP="00E56366">
            <w:pPr>
              <w:spacing w:after="0" w:line="240" w:lineRule="auto"/>
              <w:jc w:val="center"/>
              <w:rPr>
                <w:rFonts w:eastAsia="Times New Roman"/>
                <w:sz w:val="18"/>
                <w:szCs w:val="18"/>
              </w:rPr>
            </w:pPr>
            <w:r w:rsidRPr="00A95729">
              <w:rPr>
                <w:rFonts w:eastAsia="Times New Roman"/>
                <w:sz w:val="18"/>
                <w:szCs w:val="18"/>
              </w:rPr>
              <w:t> </w:t>
            </w:r>
          </w:p>
        </w:tc>
        <w:tc>
          <w:tcPr>
            <w:tcW w:w="456" w:type="dxa"/>
            <w:tcBorders>
              <w:top w:val="nil"/>
              <w:left w:val="nil"/>
              <w:bottom w:val="nil"/>
              <w:right w:val="single" w:sz="12" w:space="0" w:color="auto"/>
            </w:tcBorders>
            <w:shd w:val="clear" w:color="000000" w:fill="FFFFFF"/>
            <w:noWrap/>
            <w:vAlign w:val="center"/>
            <w:hideMark/>
          </w:tcPr>
          <w:p w14:paraId="06167898" w14:textId="77777777" w:rsidR="002961DC" w:rsidRPr="00A95729" w:rsidRDefault="002961DC" w:rsidP="00E56366">
            <w:pPr>
              <w:spacing w:after="0" w:line="240" w:lineRule="auto"/>
              <w:jc w:val="center"/>
              <w:rPr>
                <w:rFonts w:eastAsia="Times New Roman"/>
                <w:sz w:val="18"/>
                <w:szCs w:val="18"/>
              </w:rPr>
            </w:pPr>
            <w:r w:rsidRPr="00A95729">
              <w:rPr>
                <w:rFonts w:eastAsia="Times New Roman"/>
                <w:sz w:val="18"/>
                <w:szCs w:val="18"/>
              </w:rPr>
              <w:t> </w:t>
            </w:r>
          </w:p>
        </w:tc>
        <w:tc>
          <w:tcPr>
            <w:tcW w:w="540" w:type="dxa"/>
            <w:tcBorders>
              <w:top w:val="nil"/>
              <w:left w:val="nil"/>
              <w:bottom w:val="nil"/>
              <w:right w:val="nil"/>
            </w:tcBorders>
            <w:shd w:val="clear" w:color="000000" w:fill="FFFFFF"/>
          </w:tcPr>
          <w:p w14:paraId="271D0F40" w14:textId="77777777" w:rsidR="002961DC" w:rsidRPr="00A95729" w:rsidRDefault="002961DC" w:rsidP="00E56366">
            <w:pPr>
              <w:spacing w:after="0" w:line="240" w:lineRule="auto"/>
              <w:jc w:val="center"/>
              <w:rPr>
                <w:rFonts w:eastAsia="Times New Roman"/>
                <w:sz w:val="18"/>
                <w:szCs w:val="18"/>
              </w:rPr>
            </w:pPr>
          </w:p>
        </w:tc>
        <w:tc>
          <w:tcPr>
            <w:tcW w:w="540" w:type="dxa"/>
            <w:tcBorders>
              <w:top w:val="nil"/>
              <w:left w:val="nil"/>
              <w:bottom w:val="nil"/>
              <w:right w:val="single" w:sz="12" w:space="0" w:color="auto"/>
            </w:tcBorders>
            <w:shd w:val="clear" w:color="000000" w:fill="FFFFFF"/>
          </w:tcPr>
          <w:p w14:paraId="20DECE4A" w14:textId="77777777" w:rsidR="002961DC" w:rsidRPr="00A95729" w:rsidRDefault="002961DC" w:rsidP="00E56366">
            <w:pPr>
              <w:spacing w:after="0" w:line="240" w:lineRule="auto"/>
              <w:jc w:val="center"/>
              <w:rPr>
                <w:rFonts w:eastAsia="Times New Roman"/>
                <w:sz w:val="18"/>
                <w:szCs w:val="18"/>
              </w:rPr>
            </w:pPr>
          </w:p>
        </w:tc>
        <w:tc>
          <w:tcPr>
            <w:tcW w:w="630" w:type="dxa"/>
            <w:tcBorders>
              <w:top w:val="nil"/>
              <w:left w:val="single" w:sz="12" w:space="0" w:color="auto"/>
              <w:bottom w:val="nil"/>
              <w:right w:val="nil"/>
            </w:tcBorders>
            <w:shd w:val="clear" w:color="000000" w:fill="FFFFFF"/>
          </w:tcPr>
          <w:p w14:paraId="1E9C9DAA" w14:textId="77777777" w:rsidR="002961DC" w:rsidRPr="00A95729" w:rsidRDefault="002961DC" w:rsidP="00E56366">
            <w:pPr>
              <w:spacing w:after="0" w:line="240" w:lineRule="auto"/>
              <w:jc w:val="center"/>
              <w:rPr>
                <w:rFonts w:eastAsia="Times New Roman"/>
                <w:sz w:val="18"/>
                <w:szCs w:val="18"/>
              </w:rPr>
            </w:pPr>
          </w:p>
        </w:tc>
        <w:tc>
          <w:tcPr>
            <w:tcW w:w="542" w:type="dxa"/>
            <w:tcBorders>
              <w:top w:val="nil"/>
              <w:left w:val="nil"/>
              <w:bottom w:val="nil"/>
              <w:right w:val="single" w:sz="12" w:space="0" w:color="auto"/>
            </w:tcBorders>
            <w:shd w:val="clear" w:color="000000" w:fill="FFFFFF"/>
          </w:tcPr>
          <w:p w14:paraId="79593FBF" w14:textId="77777777" w:rsidR="002961DC" w:rsidRPr="00A95729" w:rsidRDefault="002961DC" w:rsidP="00E56366">
            <w:pPr>
              <w:spacing w:after="0" w:line="240" w:lineRule="auto"/>
              <w:jc w:val="center"/>
              <w:rPr>
                <w:rFonts w:eastAsia="Times New Roman"/>
                <w:sz w:val="18"/>
                <w:szCs w:val="18"/>
              </w:rPr>
            </w:pPr>
          </w:p>
        </w:tc>
      </w:tr>
      <w:tr w:rsidR="002961DC" w:rsidRPr="00A95729" w14:paraId="6D96FE72" w14:textId="77777777" w:rsidTr="00E56366">
        <w:trPr>
          <w:trHeight w:val="20"/>
          <w:jc w:val="center"/>
        </w:trPr>
        <w:tc>
          <w:tcPr>
            <w:tcW w:w="2595" w:type="dxa"/>
            <w:tcBorders>
              <w:top w:val="nil"/>
              <w:left w:val="single" w:sz="12" w:space="0" w:color="auto"/>
              <w:bottom w:val="nil"/>
              <w:right w:val="single" w:sz="12" w:space="0" w:color="auto"/>
            </w:tcBorders>
            <w:shd w:val="clear" w:color="000000" w:fill="FFFFFF"/>
            <w:noWrap/>
            <w:vAlign w:val="bottom"/>
          </w:tcPr>
          <w:p w14:paraId="519CF62C" w14:textId="77777777" w:rsidR="002961DC" w:rsidRPr="00A95729" w:rsidRDefault="002961DC" w:rsidP="00E56366">
            <w:pPr>
              <w:spacing w:after="0" w:line="240" w:lineRule="auto"/>
              <w:rPr>
                <w:rFonts w:eastAsia="Times New Roman"/>
                <w:color w:val="000000"/>
                <w:sz w:val="18"/>
                <w:szCs w:val="18"/>
              </w:rPr>
            </w:pPr>
            <w:r w:rsidRPr="00A95729">
              <w:rPr>
                <w:rFonts w:eastAsia="Times New Roman"/>
                <w:color w:val="000000"/>
                <w:sz w:val="18"/>
                <w:szCs w:val="18"/>
              </w:rPr>
              <w:t xml:space="preserve">     Equal vehicles and drivers</w:t>
            </w:r>
          </w:p>
        </w:tc>
        <w:tc>
          <w:tcPr>
            <w:tcW w:w="537" w:type="dxa"/>
            <w:tcBorders>
              <w:top w:val="nil"/>
              <w:left w:val="single" w:sz="12" w:space="0" w:color="auto"/>
              <w:bottom w:val="nil"/>
            </w:tcBorders>
            <w:shd w:val="clear" w:color="000000" w:fill="FFFFFF"/>
            <w:vAlign w:val="bottom"/>
          </w:tcPr>
          <w:p w14:paraId="0D9CD479" w14:textId="77777777" w:rsidR="002961DC" w:rsidRPr="00A95729" w:rsidRDefault="002961DC" w:rsidP="00E56366">
            <w:pPr>
              <w:spacing w:after="0" w:line="240" w:lineRule="auto"/>
              <w:jc w:val="center"/>
              <w:rPr>
                <w:rFonts w:eastAsia="Times New Roman"/>
                <w:sz w:val="18"/>
                <w:szCs w:val="18"/>
              </w:rPr>
            </w:pPr>
            <w:r w:rsidRPr="00A95729">
              <w:rPr>
                <w:color w:val="000000"/>
                <w:sz w:val="18"/>
                <w:szCs w:val="18"/>
              </w:rPr>
              <w:t>-0.07</w:t>
            </w:r>
          </w:p>
        </w:tc>
        <w:tc>
          <w:tcPr>
            <w:tcW w:w="541" w:type="dxa"/>
            <w:tcBorders>
              <w:top w:val="nil"/>
              <w:left w:val="nil"/>
              <w:bottom w:val="nil"/>
              <w:right w:val="single" w:sz="12" w:space="0" w:color="auto"/>
            </w:tcBorders>
            <w:shd w:val="clear" w:color="000000" w:fill="FFFFFF"/>
            <w:vAlign w:val="bottom"/>
          </w:tcPr>
          <w:p w14:paraId="548FDB4E" w14:textId="77777777" w:rsidR="002961DC" w:rsidRPr="00A95729" w:rsidRDefault="002961DC" w:rsidP="00E56366">
            <w:pPr>
              <w:spacing w:after="0" w:line="240" w:lineRule="auto"/>
              <w:jc w:val="center"/>
              <w:rPr>
                <w:rFonts w:eastAsia="Times New Roman"/>
                <w:sz w:val="18"/>
                <w:szCs w:val="18"/>
              </w:rPr>
            </w:pPr>
            <w:r w:rsidRPr="00A95729">
              <w:rPr>
                <w:color w:val="000000"/>
                <w:sz w:val="18"/>
                <w:szCs w:val="18"/>
              </w:rPr>
              <w:t>-1.72</w:t>
            </w:r>
          </w:p>
        </w:tc>
        <w:tc>
          <w:tcPr>
            <w:tcW w:w="539" w:type="dxa"/>
            <w:tcBorders>
              <w:top w:val="nil"/>
              <w:left w:val="single" w:sz="12" w:space="0" w:color="auto"/>
              <w:bottom w:val="nil"/>
              <w:right w:val="nil"/>
            </w:tcBorders>
            <w:shd w:val="clear" w:color="000000" w:fill="FFFFFF"/>
            <w:noWrap/>
            <w:vAlign w:val="center"/>
          </w:tcPr>
          <w:p w14:paraId="2DDD25C4" w14:textId="77777777" w:rsidR="002961DC" w:rsidRPr="00A95729" w:rsidRDefault="002961DC" w:rsidP="00E56366">
            <w:pPr>
              <w:spacing w:after="0" w:line="240" w:lineRule="auto"/>
              <w:jc w:val="center"/>
              <w:rPr>
                <w:rFonts w:eastAsia="Times New Roman"/>
                <w:sz w:val="18"/>
                <w:szCs w:val="18"/>
              </w:rPr>
            </w:pPr>
            <w:r w:rsidRPr="00A95729">
              <w:rPr>
                <w:rFonts w:eastAsia="Times New Roman"/>
                <w:sz w:val="18"/>
                <w:szCs w:val="18"/>
              </w:rPr>
              <w:t>--</w:t>
            </w:r>
          </w:p>
        </w:tc>
        <w:tc>
          <w:tcPr>
            <w:tcW w:w="449" w:type="dxa"/>
            <w:tcBorders>
              <w:top w:val="nil"/>
              <w:left w:val="nil"/>
              <w:bottom w:val="nil"/>
              <w:right w:val="single" w:sz="4" w:space="0" w:color="auto"/>
            </w:tcBorders>
            <w:shd w:val="clear" w:color="000000" w:fill="FFFFFF"/>
            <w:noWrap/>
            <w:vAlign w:val="center"/>
          </w:tcPr>
          <w:p w14:paraId="17FE8F4C" w14:textId="77777777" w:rsidR="002961DC" w:rsidRPr="00A95729" w:rsidRDefault="002961DC" w:rsidP="00E56366">
            <w:pPr>
              <w:spacing w:after="0" w:line="240" w:lineRule="auto"/>
              <w:jc w:val="center"/>
              <w:rPr>
                <w:rFonts w:eastAsia="Times New Roman"/>
                <w:sz w:val="18"/>
                <w:szCs w:val="18"/>
              </w:rPr>
            </w:pPr>
          </w:p>
        </w:tc>
        <w:tc>
          <w:tcPr>
            <w:tcW w:w="540" w:type="dxa"/>
            <w:tcBorders>
              <w:top w:val="nil"/>
              <w:left w:val="nil"/>
              <w:bottom w:val="nil"/>
              <w:right w:val="nil"/>
            </w:tcBorders>
            <w:shd w:val="clear" w:color="000000" w:fill="FFFFFF"/>
            <w:noWrap/>
            <w:vAlign w:val="center"/>
          </w:tcPr>
          <w:p w14:paraId="1BCC07D7" w14:textId="77777777" w:rsidR="002961DC" w:rsidRPr="00A95729" w:rsidRDefault="002961DC" w:rsidP="00E56366">
            <w:pPr>
              <w:spacing w:after="0" w:line="240" w:lineRule="auto"/>
              <w:jc w:val="center"/>
              <w:rPr>
                <w:rFonts w:eastAsia="Times New Roman"/>
                <w:sz w:val="18"/>
                <w:szCs w:val="18"/>
              </w:rPr>
            </w:pPr>
            <w:r w:rsidRPr="00A95729">
              <w:rPr>
                <w:rFonts w:eastAsia="Times New Roman"/>
                <w:sz w:val="18"/>
                <w:szCs w:val="18"/>
              </w:rPr>
              <w:t>--</w:t>
            </w:r>
          </w:p>
        </w:tc>
        <w:tc>
          <w:tcPr>
            <w:tcW w:w="450" w:type="dxa"/>
            <w:tcBorders>
              <w:top w:val="nil"/>
              <w:left w:val="nil"/>
              <w:bottom w:val="nil"/>
              <w:right w:val="single" w:sz="4" w:space="0" w:color="auto"/>
            </w:tcBorders>
            <w:shd w:val="clear" w:color="000000" w:fill="FFFFFF"/>
            <w:noWrap/>
            <w:vAlign w:val="center"/>
          </w:tcPr>
          <w:p w14:paraId="7D55838A" w14:textId="77777777" w:rsidR="002961DC" w:rsidRPr="00A95729" w:rsidRDefault="002961DC" w:rsidP="00E56366">
            <w:pPr>
              <w:spacing w:after="0" w:line="240" w:lineRule="auto"/>
              <w:jc w:val="center"/>
              <w:rPr>
                <w:rFonts w:eastAsia="Times New Roman"/>
                <w:sz w:val="18"/>
                <w:szCs w:val="18"/>
              </w:rPr>
            </w:pPr>
          </w:p>
        </w:tc>
        <w:tc>
          <w:tcPr>
            <w:tcW w:w="540" w:type="dxa"/>
            <w:tcBorders>
              <w:top w:val="nil"/>
              <w:left w:val="nil"/>
              <w:bottom w:val="nil"/>
              <w:right w:val="nil"/>
            </w:tcBorders>
            <w:shd w:val="clear" w:color="000000" w:fill="FFFFFF"/>
            <w:noWrap/>
            <w:vAlign w:val="center"/>
          </w:tcPr>
          <w:p w14:paraId="54A44D6D" w14:textId="77777777" w:rsidR="002961DC" w:rsidRPr="00A95729" w:rsidRDefault="002961DC" w:rsidP="00E56366">
            <w:pPr>
              <w:spacing w:after="0" w:line="240" w:lineRule="auto"/>
              <w:jc w:val="center"/>
              <w:rPr>
                <w:rFonts w:eastAsia="Times New Roman"/>
                <w:sz w:val="18"/>
                <w:szCs w:val="18"/>
              </w:rPr>
            </w:pPr>
            <w:r w:rsidRPr="00A95729">
              <w:rPr>
                <w:rFonts w:eastAsia="Times New Roman"/>
                <w:sz w:val="18"/>
                <w:szCs w:val="18"/>
              </w:rPr>
              <w:t>--</w:t>
            </w:r>
          </w:p>
        </w:tc>
        <w:tc>
          <w:tcPr>
            <w:tcW w:w="450" w:type="dxa"/>
            <w:tcBorders>
              <w:top w:val="nil"/>
              <w:left w:val="nil"/>
              <w:bottom w:val="nil"/>
              <w:right w:val="single" w:sz="4" w:space="0" w:color="auto"/>
            </w:tcBorders>
            <w:shd w:val="clear" w:color="000000" w:fill="FFFFFF"/>
            <w:noWrap/>
            <w:vAlign w:val="center"/>
          </w:tcPr>
          <w:p w14:paraId="3E3B3806" w14:textId="77777777" w:rsidR="002961DC" w:rsidRPr="00A95729" w:rsidRDefault="002961DC" w:rsidP="00E56366">
            <w:pPr>
              <w:spacing w:after="0" w:line="240" w:lineRule="auto"/>
              <w:jc w:val="center"/>
              <w:rPr>
                <w:rFonts w:eastAsia="Times New Roman"/>
                <w:sz w:val="18"/>
                <w:szCs w:val="18"/>
              </w:rPr>
            </w:pPr>
          </w:p>
        </w:tc>
        <w:tc>
          <w:tcPr>
            <w:tcW w:w="544" w:type="dxa"/>
            <w:tcBorders>
              <w:top w:val="nil"/>
              <w:left w:val="nil"/>
              <w:bottom w:val="nil"/>
              <w:right w:val="nil"/>
            </w:tcBorders>
            <w:shd w:val="clear" w:color="000000" w:fill="FFFFFF"/>
            <w:noWrap/>
            <w:vAlign w:val="bottom"/>
          </w:tcPr>
          <w:p w14:paraId="00E10777" w14:textId="77777777" w:rsidR="002961DC" w:rsidRPr="00A95729" w:rsidRDefault="002961DC" w:rsidP="00E56366">
            <w:pPr>
              <w:spacing w:after="0" w:line="240" w:lineRule="auto"/>
              <w:jc w:val="center"/>
              <w:rPr>
                <w:rFonts w:eastAsia="Times New Roman"/>
                <w:sz w:val="18"/>
                <w:szCs w:val="18"/>
              </w:rPr>
            </w:pPr>
            <w:r w:rsidRPr="00A95729">
              <w:rPr>
                <w:color w:val="000000"/>
                <w:sz w:val="18"/>
                <w:szCs w:val="18"/>
              </w:rPr>
              <w:t>-0.16</w:t>
            </w:r>
          </w:p>
        </w:tc>
        <w:tc>
          <w:tcPr>
            <w:tcW w:w="540" w:type="dxa"/>
            <w:tcBorders>
              <w:top w:val="nil"/>
              <w:left w:val="nil"/>
              <w:bottom w:val="nil"/>
              <w:right w:val="single" w:sz="4" w:space="0" w:color="auto"/>
            </w:tcBorders>
            <w:shd w:val="clear" w:color="000000" w:fill="FFFFFF"/>
            <w:noWrap/>
            <w:vAlign w:val="bottom"/>
          </w:tcPr>
          <w:p w14:paraId="53E80612" w14:textId="77777777" w:rsidR="002961DC" w:rsidRPr="00A95729" w:rsidRDefault="002961DC" w:rsidP="00E56366">
            <w:pPr>
              <w:spacing w:after="0" w:line="240" w:lineRule="auto"/>
              <w:jc w:val="center"/>
              <w:rPr>
                <w:rFonts w:eastAsia="Times New Roman"/>
                <w:sz w:val="18"/>
                <w:szCs w:val="18"/>
              </w:rPr>
            </w:pPr>
            <w:r w:rsidRPr="00A95729">
              <w:rPr>
                <w:color w:val="000000"/>
                <w:sz w:val="18"/>
                <w:szCs w:val="18"/>
              </w:rPr>
              <w:t>-1.60</w:t>
            </w:r>
          </w:p>
        </w:tc>
        <w:tc>
          <w:tcPr>
            <w:tcW w:w="540" w:type="dxa"/>
            <w:tcBorders>
              <w:top w:val="nil"/>
              <w:left w:val="nil"/>
              <w:bottom w:val="nil"/>
              <w:right w:val="nil"/>
            </w:tcBorders>
            <w:shd w:val="clear" w:color="000000" w:fill="FFFFFF"/>
            <w:noWrap/>
            <w:vAlign w:val="center"/>
          </w:tcPr>
          <w:p w14:paraId="073DAFF8" w14:textId="77777777" w:rsidR="002961DC" w:rsidRPr="00A95729" w:rsidRDefault="002961DC" w:rsidP="00E56366">
            <w:pPr>
              <w:spacing w:after="0" w:line="240" w:lineRule="auto"/>
              <w:jc w:val="center"/>
              <w:rPr>
                <w:rFonts w:eastAsia="Times New Roman"/>
                <w:sz w:val="18"/>
                <w:szCs w:val="18"/>
              </w:rPr>
            </w:pPr>
            <w:r w:rsidRPr="00A95729">
              <w:rPr>
                <w:rFonts w:eastAsia="Times New Roman"/>
                <w:sz w:val="18"/>
                <w:szCs w:val="18"/>
              </w:rPr>
              <w:t>--</w:t>
            </w:r>
          </w:p>
        </w:tc>
        <w:tc>
          <w:tcPr>
            <w:tcW w:w="450" w:type="dxa"/>
            <w:tcBorders>
              <w:top w:val="nil"/>
              <w:left w:val="nil"/>
              <w:bottom w:val="nil"/>
              <w:right w:val="single" w:sz="4" w:space="0" w:color="auto"/>
            </w:tcBorders>
            <w:shd w:val="clear" w:color="000000" w:fill="FFFFFF"/>
            <w:noWrap/>
            <w:vAlign w:val="center"/>
          </w:tcPr>
          <w:p w14:paraId="64946A59" w14:textId="77777777" w:rsidR="002961DC" w:rsidRPr="00A95729" w:rsidRDefault="002961DC" w:rsidP="00E56366">
            <w:pPr>
              <w:spacing w:after="0" w:line="240" w:lineRule="auto"/>
              <w:jc w:val="center"/>
              <w:rPr>
                <w:rFonts w:eastAsia="Times New Roman"/>
                <w:sz w:val="18"/>
                <w:szCs w:val="18"/>
              </w:rPr>
            </w:pPr>
          </w:p>
        </w:tc>
        <w:tc>
          <w:tcPr>
            <w:tcW w:w="540" w:type="dxa"/>
            <w:tcBorders>
              <w:top w:val="nil"/>
              <w:left w:val="nil"/>
              <w:bottom w:val="nil"/>
              <w:right w:val="nil"/>
            </w:tcBorders>
            <w:shd w:val="clear" w:color="000000" w:fill="FFFFFF"/>
            <w:noWrap/>
            <w:vAlign w:val="center"/>
          </w:tcPr>
          <w:p w14:paraId="2CC0CD72" w14:textId="77777777" w:rsidR="002961DC" w:rsidRPr="00A95729" w:rsidRDefault="002961DC" w:rsidP="00E56366">
            <w:pPr>
              <w:spacing w:after="0" w:line="240" w:lineRule="auto"/>
              <w:jc w:val="center"/>
              <w:rPr>
                <w:rFonts w:eastAsia="Times New Roman"/>
                <w:sz w:val="18"/>
                <w:szCs w:val="18"/>
              </w:rPr>
            </w:pPr>
            <w:r w:rsidRPr="00A95729">
              <w:rPr>
                <w:rFonts w:eastAsia="Times New Roman"/>
                <w:sz w:val="18"/>
                <w:szCs w:val="18"/>
              </w:rPr>
              <w:t>--</w:t>
            </w:r>
          </w:p>
        </w:tc>
        <w:tc>
          <w:tcPr>
            <w:tcW w:w="450" w:type="dxa"/>
            <w:tcBorders>
              <w:top w:val="nil"/>
              <w:left w:val="nil"/>
              <w:bottom w:val="nil"/>
              <w:right w:val="single" w:sz="4" w:space="0" w:color="auto"/>
            </w:tcBorders>
            <w:shd w:val="clear" w:color="000000" w:fill="FFFFFF"/>
            <w:noWrap/>
            <w:vAlign w:val="center"/>
          </w:tcPr>
          <w:p w14:paraId="7B966494" w14:textId="77777777" w:rsidR="002961DC" w:rsidRPr="00A95729" w:rsidRDefault="002961DC" w:rsidP="00E56366">
            <w:pPr>
              <w:spacing w:after="0" w:line="240" w:lineRule="auto"/>
              <w:jc w:val="center"/>
              <w:rPr>
                <w:rFonts w:eastAsia="Times New Roman"/>
                <w:sz w:val="18"/>
                <w:szCs w:val="18"/>
              </w:rPr>
            </w:pPr>
          </w:p>
        </w:tc>
        <w:tc>
          <w:tcPr>
            <w:tcW w:w="540" w:type="dxa"/>
            <w:tcBorders>
              <w:top w:val="nil"/>
              <w:left w:val="nil"/>
              <w:bottom w:val="nil"/>
              <w:right w:val="nil"/>
            </w:tcBorders>
            <w:shd w:val="clear" w:color="000000" w:fill="FFFFFF"/>
            <w:noWrap/>
            <w:vAlign w:val="center"/>
          </w:tcPr>
          <w:p w14:paraId="539D7D9F" w14:textId="77777777" w:rsidR="002961DC" w:rsidRPr="00A95729" w:rsidRDefault="002961DC" w:rsidP="00E56366">
            <w:pPr>
              <w:spacing w:after="0" w:line="240" w:lineRule="auto"/>
              <w:jc w:val="center"/>
              <w:rPr>
                <w:rFonts w:eastAsia="Times New Roman"/>
                <w:sz w:val="18"/>
                <w:szCs w:val="18"/>
              </w:rPr>
            </w:pPr>
            <w:r w:rsidRPr="00A95729">
              <w:rPr>
                <w:rFonts w:eastAsia="Times New Roman"/>
                <w:sz w:val="18"/>
                <w:szCs w:val="18"/>
              </w:rPr>
              <w:t>--</w:t>
            </w:r>
          </w:p>
        </w:tc>
        <w:tc>
          <w:tcPr>
            <w:tcW w:w="454" w:type="dxa"/>
            <w:tcBorders>
              <w:top w:val="nil"/>
              <w:left w:val="nil"/>
              <w:bottom w:val="nil"/>
              <w:right w:val="single" w:sz="4" w:space="0" w:color="auto"/>
            </w:tcBorders>
            <w:shd w:val="clear" w:color="000000" w:fill="FFFFFF"/>
            <w:noWrap/>
            <w:vAlign w:val="center"/>
          </w:tcPr>
          <w:p w14:paraId="5BE92057" w14:textId="77777777" w:rsidR="002961DC" w:rsidRPr="00A95729" w:rsidRDefault="002961DC" w:rsidP="00E56366">
            <w:pPr>
              <w:spacing w:after="0" w:line="240" w:lineRule="auto"/>
              <w:jc w:val="center"/>
              <w:rPr>
                <w:rFonts w:eastAsia="Times New Roman"/>
                <w:sz w:val="18"/>
                <w:szCs w:val="18"/>
              </w:rPr>
            </w:pPr>
          </w:p>
        </w:tc>
        <w:tc>
          <w:tcPr>
            <w:tcW w:w="540" w:type="dxa"/>
            <w:tcBorders>
              <w:top w:val="nil"/>
              <w:left w:val="nil"/>
              <w:bottom w:val="nil"/>
              <w:right w:val="nil"/>
            </w:tcBorders>
            <w:shd w:val="clear" w:color="000000" w:fill="FFFFFF"/>
            <w:noWrap/>
            <w:vAlign w:val="center"/>
          </w:tcPr>
          <w:p w14:paraId="198A92CF" w14:textId="77777777" w:rsidR="002961DC" w:rsidRPr="00A95729" w:rsidRDefault="002961DC" w:rsidP="00E56366">
            <w:pPr>
              <w:spacing w:after="0" w:line="240" w:lineRule="auto"/>
              <w:jc w:val="center"/>
              <w:rPr>
                <w:rFonts w:eastAsia="Times New Roman"/>
                <w:sz w:val="18"/>
                <w:szCs w:val="18"/>
              </w:rPr>
            </w:pPr>
            <w:r w:rsidRPr="00A95729">
              <w:rPr>
                <w:rFonts w:eastAsia="Times New Roman"/>
                <w:sz w:val="18"/>
                <w:szCs w:val="18"/>
              </w:rPr>
              <w:t>--</w:t>
            </w:r>
          </w:p>
        </w:tc>
        <w:tc>
          <w:tcPr>
            <w:tcW w:w="456" w:type="dxa"/>
            <w:tcBorders>
              <w:top w:val="nil"/>
              <w:left w:val="nil"/>
              <w:bottom w:val="nil"/>
              <w:right w:val="single" w:sz="12" w:space="0" w:color="auto"/>
            </w:tcBorders>
            <w:shd w:val="clear" w:color="000000" w:fill="FFFFFF"/>
            <w:noWrap/>
            <w:vAlign w:val="center"/>
          </w:tcPr>
          <w:p w14:paraId="742EC392" w14:textId="77777777" w:rsidR="002961DC" w:rsidRPr="00A95729" w:rsidRDefault="002961DC" w:rsidP="00E56366">
            <w:pPr>
              <w:spacing w:after="0" w:line="240" w:lineRule="auto"/>
              <w:jc w:val="center"/>
              <w:rPr>
                <w:rFonts w:eastAsia="Times New Roman"/>
                <w:sz w:val="18"/>
                <w:szCs w:val="18"/>
              </w:rPr>
            </w:pPr>
          </w:p>
        </w:tc>
        <w:tc>
          <w:tcPr>
            <w:tcW w:w="540" w:type="dxa"/>
            <w:tcBorders>
              <w:top w:val="nil"/>
              <w:left w:val="nil"/>
              <w:bottom w:val="nil"/>
              <w:right w:val="nil"/>
            </w:tcBorders>
            <w:shd w:val="clear" w:color="000000" w:fill="FFFFFF"/>
            <w:vAlign w:val="bottom"/>
          </w:tcPr>
          <w:p w14:paraId="4111B6F8" w14:textId="77777777" w:rsidR="002961DC" w:rsidRPr="00A95729" w:rsidRDefault="002961DC" w:rsidP="00E56366">
            <w:pPr>
              <w:spacing w:after="0" w:line="240" w:lineRule="auto"/>
              <w:jc w:val="center"/>
              <w:rPr>
                <w:rFonts w:eastAsia="Times New Roman"/>
                <w:sz w:val="18"/>
                <w:szCs w:val="18"/>
              </w:rPr>
            </w:pPr>
            <w:r w:rsidRPr="00A95729">
              <w:rPr>
                <w:color w:val="000000"/>
                <w:sz w:val="18"/>
                <w:szCs w:val="18"/>
              </w:rPr>
              <w:t>-0.34</w:t>
            </w:r>
          </w:p>
        </w:tc>
        <w:tc>
          <w:tcPr>
            <w:tcW w:w="540" w:type="dxa"/>
            <w:tcBorders>
              <w:top w:val="nil"/>
              <w:left w:val="nil"/>
              <w:bottom w:val="nil"/>
              <w:right w:val="single" w:sz="12" w:space="0" w:color="auto"/>
            </w:tcBorders>
            <w:shd w:val="clear" w:color="000000" w:fill="FFFFFF"/>
            <w:vAlign w:val="bottom"/>
          </w:tcPr>
          <w:p w14:paraId="5FA5168B" w14:textId="77777777" w:rsidR="002961DC" w:rsidRPr="00A95729" w:rsidRDefault="002961DC" w:rsidP="00E56366">
            <w:pPr>
              <w:spacing w:after="0" w:line="240" w:lineRule="auto"/>
              <w:jc w:val="center"/>
              <w:rPr>
                <w:rFonts w:eastAsia="Times New Roman"/>
                <w:sz w:val="18"/>
                <w:szCs w:val="18"/>
              </w:rPr>
            </w:pPr>
            <w:r w:rsidRPr="00A95729">
              <w:rPr>
                <w:color w:val="000000"/>
                <w:sz w:val="18"/>
                <w:szCs w:val="18"/>
              </w:rPr>
              <w:t>-7.72</w:t>
            </w:r>
          </w:p>
        </w:tc>
        <w:tc>
          <w:tcPr>
            <w:tcW w:w="630" w:type="dxa"/>
            <w:tcBorders>
              <w:top w:val="nil"/>
              <w:left w:val="single" w:sz="12" w:space="0" w:color="auto"/>
              <w:bottom w:val="nil"/>
              <w:right w:val="nil"/>
            </w:tcBorders>
            <w:shd w:val="clear" w:color="000000" w:fill="FFFFFF"/>
            <w:vAlign w:val="bottom"/>
          </w:tcPr>
          <w:p w14:paraId="5B5EB327" w14:textId="77777777" w:rsidR="002961DC" w:rsidRPr="00A95729" w:rsidRDefault="002961DC" w:rsidP="00E56366">
            <w:pPr>
              <w:spacing w:after="0" w:line="240" w:lineRule="auto"/>
              <w:jc w:val="center"/>
              <w:rPr>
                <w:rFonts w:eastAsia="Times New Roman"/>
                <w:sz w:val="18"/>
                <w:szCs w:val="18"/>
              </w:rPr>
            </w:pPr>
            <w:r w:rsidRPr="00A95729">
              <w:rPr>
                <w:color w:val="000000"/>
                <w:sz w:val="18"/>
                <w:szCs w:val="18"/>
              </w:rPr>
              <w:t>0.09</w:t>
            </w:r>
          </w:p>
        </w:tc>
        <w:tc>
          <w:tcPr>
            <w:tcW w:w="542" w:type="dxa"/>
            <w:tcBorders>
              <w:top w:val="nil"/>
              <w:left w:val="nil"/>
              <w:bottom w:val="nil"/>
              <w:right w:val="single" w:sz="12" w:space="0" w:color="auto"/>
            </w:tcBorders>
            <w:shd w:val="clear" w:color="000000" w:fill="FFFFFF"/>
            <w:vAlign w:val="bottom"/>
          </w:tcPr>
          <w:p w14:paraId="5B0BC525" w14:textId="77777777" w:rsidR="002961DC" w:rsidRPr="00A95729" w:rsidRDefault="002961DC" w:rsidP="00E56366">
            <w:pPr>
              <w:spacing w:after="0" w:line="240" w:lineRule="auto"/>
              <w:jc w:val="center"/>
              <w:rPr>
                <w:rFonts w:eastAsia="Times New Roman"/>
                <w:sz w:val="18"/>
                <w:szCs w:val="18"/>
              </w:rPr>
            </w:pPr>
            <w:r w:rsidRPr="00A95729">
              <w:rPr>
                <w:color w:val="000000"/>
                <w:sz w:val="18"/>
                <w:szCs w:val="18"/>
              </w:rPr>
              <w:t>3.24</w:t>
            </w:r>
          </w:p>
        </w:tc>
      </w:tr>
      <w:tr w:rsidR="002961DC" w:rsidRPr="00A95729" w14:paraId="00092B82" w14:textId="77777777" w:rsidTr="00E56366">
        <w:trPr>
          <w:trHeight w:val="20"/>
          <w:jc w:val="center"/>
        </w:trPr>
        <w:tc>
          <w:tcPr>
            <w:tcW w:w="2595" w:type="dxa"/>
            <w:tcBorders>
              <w:top w:val="nil"/>
              <w:left w:val="single" w:sz="12" w:space="0" w:color="auto"/>
              <w:bottom w:val="nil"/>
              <w:right w:val="single" w:sz="12" w:space="0" w:color="auto"/>
            </w:tcBorders>
            <w:shd w:val="clear" w:color="000000" w:fill="FFFFFF"/>
            <w:noWrap/>
            <w:vAlign w:val="bottom"/>
            <w:hideMark/>
          </w:tcPr>
          <w:p w14:paraId="54AC4BBB" w14:textId="77777777" w:rsidR="002961DC" w:rsidRPr="00A95729" w:rsidRDefault="002961DC" w:rsidP="00E56366">
            <w:pPr>
              <w:spacing w:after="0" w:line="240" w:lineRule="auto"/>
              <w:rPr>
                <w:rFonts w:eastAsia="Times New Roman"/>
                <w:color w:val="000000"/>
                <w:sz w:val="18"/>
                <w:szCs w:val="18"/>
              </w:rPr>
            </w:pPr>
            <w:r w:rsidRPr="00A95729">
              <w:rPr>
                <w:rFonts w:eastAsia="Times New Roman"/>
                <w:color w:val="000000"/>
                <w:sz w:val="18"/>
                <w:szCs w:val="18"/>
              </w:rPr>
              <w:t xml:space="preserve">     More vehicles than drivers</w:t>
            </w:r>
          </w:p>
        </w:tc>
        <w:tc>
          <w:tcPr>
            <w:tcW w:w="537" w:type="dxa"/>
            <w:tcBorders>
              <w:top w:val="nil"/>
              <w:left w:val="single" w:sz="12" w:space="0" w:color="auto"/>
              <w:bottom w:val="nil"/>
            </w:tcBorders>
            <w:shd w:val="clear" w:color="000000" w:fill="FFFFFF"/>
            <w:vAlign w:val="bottom"/>
          </w:tcPr>
          <w:p w14:paraId="70E2298F" w14:textId="77777777" w:rsidR="002961DC" w:rsidRPr="00A95729" w:rsidRDefault="002961DC" w:rsidP="00E56366">
            <w:pPr>
              <w:spacing w:after="0" w:line="240" w:lineRule="auto"/>
              <w:jc w:val="center"/>
              <w:rPr>
                <w:color w:val="000000"/>
                <w:sz w:val="18"/>
                <w:szCs w:val="18"/>
              </w:rPr>
            </w:pPr>
            <w:r w:rsidRPr="00A95729">
              <w:rPr>
                <w:color w:val="000000"/>
                <w:sz w:val="18"/>
                <w:szCs w:val="18"/>
              </w:rPr>
              <w:t>-0.11</w:t>
            </w:r>
          </w:p>
        </w:tc>
        <w:tc>
          <w:tcPr>
            <w:tcW w:w="541" w:type="dxa"/>
            <w:tcBorders>
              <w:top w:val="nil"/>
              <w:left w:val="nil"/>
              <w:bottom w:val="nil"/>
              <w:right w:val="single" w:sz="12" w:space="0" w:color="auto"/>
            </w:tcBorders>
            <w:shd w:val="clear" w:color="000000" w:fill="FFFFFF"/>
            <w:vAlign w:val="bottom"/>
          </w:tcPr>
          <w:p w14:paraId="2F6150FB" w14:textId="77777777" w:rsidR="002961DC" w:rsidRPr="00A95729" w:rsidRDefault="002961DC" w:rsidP="00E56366">
            <w:pPr>
              <w:spacing w:after="0" w:line="240" w:lineRule="auto"/>
              <w:jc w:val="center"/>
              <w:rPr>
                <w:color w:val="000000"/>
                <w:sz w:val="18"/>
                <w:szCs w:val="18"/>
              </w:rPr>
            </w:pPr>
            <w:r w:rsidRPr="00A95729">
              <w:rPr>
                <w:color w:val="000000"/>
                <w:sz w:val="18"/>
                <w:szCs w:val="18"/>
              </w:rPr>
              <w:t>-2.30</w:t>
            </w:r>
          </w:p>
        </w:tc>
        <w:tc>
          <w:tcPr>
            <w:tcW w:w="539" w:type="dxa"/>
            <w:tcBorders>
              <w:top w:val="nil"/>
              <w:left w:val="single" w:sz="12" w:space="0" w:color="auto"/>
              <w:bottom w:val="nil"/>
              <w:right w:val="nil"/>
            </w:tcBorders>
            <w:shd w:val="clear" w:color="000000" w:fill="FFFFFF"/>
            <w:noWrap/>
            <w:vAlign w:val="bottom"/>
            <w:hideMark/>
          </w:tcPr>
          <w:p w14:paraId="436C74BD"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-0.17</w:t>
            </w:r>
          </w:p>
        </w:tc>
        <w:tc>
          <w:tcPr>
            <w:tcW w:w="449" w:type="dxa"/>
            <w:tcBorders>
              <w:top w:val="nil"/>
              <w:left w:val="nil"/>
              <w:bottom w:val="nil"/>
              <w:right w:val="single" w:sz="4" w:space="0" w:color="auto"/>
            </w:tcBorders>
            <w:shd w:val="clear" w:color="000000" w:fill="FFFFFF"/>
            <w:noWrap/>
            <w:vAlign w:val="bottom"/>
            <w:hideMark/>
          </w:tcPr>
          <w:p w14:paraId="32C76268"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-1.40</w:t>
            </w:r>
          </w:p>
        </w:tc>
        <w:tc>
          <w:tcPr>
            <w:tcW w:w="540" w:type="dxa"/>
            <w:tcBorders>
              <w:top w:val="nil"/>
              <w:left w:val="nil"/>
              <w:bottom w:val="nil"/>
              <w:right w:val="nil"/>
            </w:tcBorders>
            <w:shd w:val="clear" w:color="000000" w:fill="FFFFFF"/>
            <w:noWrap/>
            <w:vAlign w:val="center"/>
            <w:hideMark/>
          </w:tcPr>
          <w:p w14:paraId="26171144"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hideMark/>
          </w:tcPr>
          <w:p w14:paraId="5DFE1D3E"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hideMark/>
          </w:tcPr>
          <w:p w14:paraId="78B4AE8F"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hideMark/>
          </w:tcPr>
          <w:p w14:paraId="46999863"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4" w:type="dxa"/>
            <w:tcBorders>
              <w:top w:val="nil"/>
              <w:left w:val="nil"/>
              <w:bottom w:val="nil"/>
              <w:right w:val="nil"/>
            </w:tcBorders>
            <w:shd w:val="clear" w:color="000000" w:fill="FFFFFF"/>
            <w:noWrap/>
            <w:vAlign w:val="bottom"/>
            <w:hideMark/>
          </w:tcPr>
          <w:p w14:paraId="0D77F24C"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-0.18</w:t>
            </w:r>
          </w:p>
        </w:tc>
        <w:tc>
          <w:tcPr>
            <w:tcW w:w="540" w:type="dxa"/>
            <w:tcBorders>
              <w:top w:val="nil"/>
              <w:left w:val="nil"/>
              <w:bottom w:val="nil"/>
              <w:right w:val="single" w:sz="4" w:space="0" w:color="auto"/>
            </w:tcBorders>
            <w:shd w:val="clear" w:color="000000" w:fill="FFFFFF"/>
            <w:noWrap/>
            <w:vAlign w:val="bottom"/>
            <w:hideMark/>
          </w:tcPr>
          <w:p w14:paraId="4D970967"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-1.38</w:t>
            </w:r>
          </w:p>
        </w:tc>
        <w:tc>
          <w:tcPr>
            <w:tcW w:w="540" w:type="dxa"/>
            <w:tcBorders>
              <w:top w:val="nil"/>
              <w:left w:val="nil"/>
              <w:bottom w:val="nil"/>
              <w:right w:val="nil"/>
            </w:tcBorders>
            <w:shd w:val="clear" w:color="000000" w:fill="FFFFFF"/>
            <w:noWrap/>
            <w:vAlign w:val="center"/>
            <w:hideMark/>
          </w:tcPr>
          <w:p w14:paraId="36508C4F"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hideMark/>
          </w:tcPr>
          <w:p w14:paraId="4B238F03"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hideMark/>
          </w:tcPr>
          <w:p w14:paraId="2E32378A"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hideMark/>
          </w:tcPr>
          <w:p w14:paraId="57896D9E"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hideMark/>
          </w:tcPr>
          <w:p w14:paraId="4E3F20FC"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4" w:type="dxa"/>
            <w:tcBorders>
              <w:top w:val="nil"/>
              <w:left w:val="nil"/>
              <w:bottom w:val="nil"/>
              <w:right w:val="single" w:sz="4" w:space="0" w:color="auto"/>
            </w:tcBorders>
            <w:shd w:val="clear" w:color="000000" w:fill="FFFFFF"/>
            <w:noWrap/>
            <w:vAlign w:val="center"/>
            <w:hideMark/>
          </w:tcPr>
          <w:p w14:paraId="66E15489"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bottom"/>
            <w:hideMark/>
          </w:tcPr>
          <w:p w14:paraId="6D7508AC"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-0.09</w:t>
            </w:r>
          </w:p>
        </w:tc>
        <w:tc>
          <w:tcPr>
            <w:tcW w:w="456" w:type="dxa"/>
            <w:tcBorders>
              <w:top w:val="nil"/>
              <w:left w:val="nil"/>
              <w:bottom w:val="nil"/>
              <w:right w:val="single" w:sz="12" w:space="0" w:color="auto"/>
            </w:tcBorders>
            <w:shd w:val="clear" w:color="000000" w:fill="FFFFFF"/>
            <w:noWrap/>
            <w:vAlign w:val="bottom"/>
            <w:hideMark/>
          </w:tcPr>
          <w:p w14:paraId="3DDAA6D2"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-1.30</w:t>
            </w:r>
          </w:p>
        </w:tc>
        <w:tc>
          <w:tcPr>
            <w:tcW w:w="540" w:type="dxa"/>
            <w:tcBorders>
              <w:top w:val="nil"/>
              <w:left w:val="nil"/>
              <w:bottom w:val="nil"/>
              <w:right w:val="nil"/>
            </w:tcBorders>
            <w:shd w:val="clear" w:color="000000" w:fill="FFFFFF"/>
            <w:vAlign w:val="bottom"/>
          </w:tcPr>
          <w:p w14:paraId="083E9558" w14:textId="77777777" w:rsidR="002961DC" w:rsidRPr="00A95729" w:rsidRDefault="002961DC" w:rsidP="00E56366">
            <w:pPr>
              <w:spacing w:after="0" w:line="240" w:lineRule="auto"/>
              <w:jc w:val="center"/>
              <w:rPr>
                <w:color w:val="000000"/>
                <w:sz w:val="18"/>
                <w:szCs w:val="18"/>
              </w:rPr>
            </w:pPr>
            <w:r w:rsidRPr="00A95729">
              <w:rPr>
                <w:color w:val="000000"/>
                <w:sz w:val="18"/>
                <w:szCs w:val="18"/>
              </w:rPr>
              <w:t>-0.46</w:t>
            </w:r>
          </w:p>
        </w:tc>
        <w:tc>
          <w:tcPr>
            <w:tcW w:w="540" w:type="dxa"/>
            <w:tcBorders>
              <w:top w:val="nil"/>
              <w:left w:val="nil"/>
              <w:bottom w:val="nil"/>
              <w:right w:val="single" w:sz="12" w:space="0" w:color="auto"/>
            </w:tcBorders>
            <w:shd w:val="clear" w:color="000000" w:fill="FFFFFF"/>
            <w:vAlign w:val="bottom"/>
          </w:tcPr>
          <w:p w14:paraId="63F3F648" w14:textId="77777777" w:rsidR="002961DC" w:rsidRPr="00A95729" w:rsidRDefault="002961DC" w:rsidP="00E56366">
            <w:pPr>
              <w:spacing w:after="0" w:line="240" w:lineRule="auto"/>
              <w:jc w:val="center"/>
              <w:rPr>
                <w:color w:val="000000"/>
                <w:sz w:val="18"/>
                <w:szCs w:val="18"/>
              </w:rPr>
            </w:pPr>
            <w:r w:rsidRPr="00A95729">
              <w:rPr>
                <w:color w:val="000000"/>
                <w:sz w:val="18"/>
                <w:szCs w:val="18"/>
              </w:rPr>
              <w:t>-8.45</w:t>
            </w:r>
          </w:p>
        </w:tc>
        <w:tc>
          <w:tcPr>
            <w:tcW w:w="630" w:type="dxa"/>
            <w:tcBorders>
              <w:top w:val="nil"/>
              <w:left w:val="single" w:sz="12" w:space="0" w:color="auto"/>
              <w:bottom w:val="nil"/>
              <w:right w:val="nil"/>
            </w:tcBorders>
            <w:shd w:val="clear" w:color="000000" w:fill="FFFFFF"/>
            <w:vAlign w:val="bottom"/>
          </w:tcPr>
          <w:p w14:paraId="213C1388" w14:textId="77777777" w:rsidR="002961DC" w:rsidRPr="00A95729" w:rsidRDefault="002961DC" w:rsidP="00E56366">
            <w:pPr>
              <w:spacing w:after="0" w:line="240" w:lineRule="auto"/>
              <w:jc w:val="center"/>
              <w:rPr>
                <w:color w:val="000000"/>
                <w:sz w:val="18"/>
                <w:szCs w:val="18"/>
              </w:rPr>
            </w:pPr>
            <w:r w:rsidRPr="00A95729">
              <w:rPr>
                <w:color w:val="000000"/>
                <w:sz w:val="18"/>
                <w:szCs w:val="18"/>
              </w:rPr>
              <w:t>0.18</w:t>
            </w:r>
          </w:p>
        </w:tc>
        <w:tc>
          <w:tcPr>
            <w:tcW w:w="542" w:type="dxa"/>
            <w:tcBorders>
              <w:top w:val="nil"/>
              <w:left w:val="nil"/>
              <w:bottom w:val="nil"/>
              <w:right w:val="single" w:sz="12" w:space="0" w:color="auto"/>
            </w:tcBorders>
            <w:shd w:val="clear" w:color="000000" w:fill="FFFFFF"/>
            <w:vAlign w:val="bottom"/>
          </w:tcPr>
          <w:p w14:paraId="18C6070D" w14:textId="77777777" w:rsidR="002961DC" w:rsidRPr="00A95729" w:rsidRDefault="002961DC" w:rsidP="00E56366">
            <w:pPr>
              <w:spacing w:after="0" w:line="240" w:lineRule="auto"/>
              <w:jc w:val="center"/>
              <w:rPr>
                <w:color w:val="000000"/>
                <w:sz w:val="18"/>
                <w:szCs w:val="18"/>
              </w:rPr>
            </w:pPr>
            <w:r w:rsidRPr="00A95729">
              <w:rPr>
                <w:color w:val="000000"/>
                <w:sz w:val="18"/>
                <w:szCs w:val="18"/>
              </w:rPr>
              <w:t>5.40</w:t>
            </w:r>
          </w:p>
        </w:tc>
      </w:tr>
      <w:tr w:rsidR="002961DC" w:rsidRPr="00A95729" w14:paraId="65B62E04" w14:textId="77777777" w:rsidTr="00E56366">
        <w:trPr>
          <w:trHeight w:val="20"/>
          <w:jc w:val="center"/>
        </w:trPr>
        <w:tc>
          <w:tcPr>
            <w:tcW w:w="2595" w:type="dxa"/>
            <w:tcBorders>
              <w:top w:val="nil"/>
              <w:left w:val="single" w:sz="12" w:space="0" w:color="auto"/>
              <w:bottom w:val="nil"/>
              <w:right w:val="single" w:sz="12" w:space="0" w:color="auto"/>
            </w:tcBorders>
            <w:shd w:val="clear" w:color="000000" w:fill="FFFFFF"/>
            <w:noWrap/>
            <w:vAlign w:val="bottom"/>
            <w:hideMark/>
          </w:tcPr>
          <w:p w14:paraId="7AD6CD06" w14:textId="77777777" w:rsidR="002961DC" w:rsidRPr="00A95729" w:rsidRDefault="002961DC" w:rsidP="00E56366">
            <w:pPr>
              <w:spacing w:after="0" w:line="240" w:lineRule="auto"/>
              <w:rPr>
                <w:rFonts w:eastAsia="Times New Roman"/>
                <w:color w:val="000000"/>
                <w:sz w:val="18"/>
                <w:szCs w:val="18"/>
              </w:rPr>
            </w:pPr>
            <w:r w:rsidRPr="00A95729">
              <w:rPr>
                <w:rFonts w:eastAsia="Times New Roman"/>
                <w:color w:val="000000"/>
                <w:sz w:val="18"/>
                <w:szCs w:val="18"/>
              </w:rPr>
              <w:t>Household Income (&lt; $50,000)</w:t>
            </w:r>
          </w:p>
        </w:tc>
        <w:tc>
          <w:tcPr>
            <w:tcW w:w="537" w:type="dxa"/>
            <w:tcBorders>
              <w:top w:val="nil"/>
              <w:left w:val="single" w:sz="12" w:space="0" w:color="auto"/>
              <w:bottom w:val="nil"/>
            </w:tcBorders>
            <w:shd w:val="clear" w:color="000000" w:fill="FFFFFF"/>
          </w:tcPr>
          <w:p w14:paraId="1D84653B" w14:textId="77777777" w:rsidR="002961DC" w:rsidRPr="00A95729" w:rsidRDefault="002961DC" w:rsidP="00E56366">
            <w:pPr>
              <w:spacing w:after="0" w:line="240" w:lineRule="auto"/>
              <w:jc w:val="center"/>
              <w:rPr>
                <w:rFonts w:eastAsia="Times New Roman"/>
                <w:color w:val="000000"/>
                <w:sz w:val="18"/>
                <w:szCs w:val="18"/>
              </w:rPr>
            </w:pPr>
          </w:p>
        </w:tc>
        <w:tc>
          <w:tcPr>
            <w:tcW w:w="541" w:type="dxa"/>
            <w:tcBorders>
              <w:top w:val="nil"/>
              <w:left w:val="nil"/>
              <w:bottom w:val="nil"/>
              <w:right w:val="single" w:sz="12" w:space="0" w:color="auto"/>
            </w:tcBorders>
            <w:shd w:val="clear" w:color="000000" w:fill="FFFFFF"/>
          </w:tcPr>
          <w:p w14:paraId="7B2C47E5" w14:textId="77777777" w:rsidR="002961DC" w:rsidRPr="00A95729" w:rsidRDefault="002961DC" w:rsidP="00E56366">
            <w:pPr>
              <w:spacing w:after="0" w:line="240" w:lineRule="auto"/>
              <w:jc w:val="center"/>
              <w:rPr>
                <w:rFonts w:eastAsia="Times New Roman"/>
                <w:color w:val="000000"/>
                <w:sz w:val="18"/>
                <w:szCs w:val="18"/>
              </w:rPr>
            </w:pPr>
          </w:p>
        </w:tc>
        <w:tc>
          <w:tcPr>
            <w:tcW w:w="539" w:type="dxa"/>
            <w:tcBorders>
              <w:top w:val="nil"/>
              <w:left w:val="single" w:sz="12" w:space="0" w:color="auto"/>
              <w:bottom w:val="nil"/>
              <w:right w:val="nil"/>
            </w:tcBorders>
            <w:shd w:val="clear" w:color="000000" w:fill="FFFFFF"/>
            <w:noWrap/>
            <w:vAlign w:val="center"/>
            <w:hideMark/>
          </w:tcPr>
          <w:p w14:paraId="6CCF169F"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449" w:type="dxa"/>
            <w:tcBorders>
              <w:top w:val="nil"/>
              <w:left w:val="nil"/>
              <w:bottom w:val="nil"/>
              <w:right w:val="single" w:sz="4" w:space="0" w:color="auto"/>
            </w:tcBorders>
            <w:shd w:val="clear" w:color="000000" w:fill="FFFFFF"/>
            <w:noWrap/>
            <w:vAlign w:val="center"/>
            <w:hideMark/>
          </w:tcPr>
          <w:p w14:paraId="5FA3CA78"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hideMark/>
          </w:tcPr>
          <w:p w14:paraId="299B4F69"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450" w:type="dxa"/>
            <w:tcBorders>
              <w:top w:val="nil"/>
              <w:left w:val="nil"/>
              <w:bottom w:val="nil"/>
              <w:right w:val="single" w:sz="4" w:space="0" w:color="auto"/>
            </w:tcBorders>
            <w:shd w:val="clear" w:color="000000" w:fill="FFFFFF"/>
            <w:noWrap/>
            <w:vAlign w:val="center"/>
            <w:hideMark/>
          </w:tcPr>
          <w:p w14:paraId="4642459D"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hideMark/>
          </w:tcPr>
          <w:p w14:paraId="77756309"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450" w:type="dxa"/>
            <w:tcBorders>
              <w:top w:val="nil"/>
              <w:left w:val="nil"/>
              <w:bottom w:val="nil"/>
              <w:right w:val="single" w:sz="4" w:space="0" w:color="auto"/>
            </w:tcBorders>
            <w:shd w:val="clear" w:color="000000" w:fill="FFFFFF"/>
            <w:noWrap/>
            <w:vAlign w:val="center"/>
            <w:hideMark/>
          </w:tcPr>
          <w:p w14:paraId="6D6549A7"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4" w:type="dxa"/>
            <w:tcBorders>
              <w:top w:val="nil"/>
              <w:left w:val="nil"/>
              <w:bottom w:val="nil"/>
              <w:right w:val="nil"/>
            </w:tcBorders>
            <w:shd w:val="clear" w:color="000000" w:fill="FFFFFF"/>
            <w:noWrap/>
            <w:vAlign w:val="center"/>
            <w:hideMark/>
          </w:tcPr>
          <w:p w14:paraId="61C76F65"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single" w:sz="4" w:space="0" w:color="auto"/>
            </w:tcBorders>
            <w:shd w:val="clear" w:color="000000" w:fill="FFFFFF"/>
            <w:noWrap/>
            <w:vAlign w:val="center"/>
            <w:hideMark/>
          </w:tcPr>
          <w:p w14:paraId="3B096CE7"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hideMark/>
          </w:tcPr>
          <w:p w14:paraId="73A3B361"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450" w:type="dxa"/>
            <w:tcBorders>
              <w:top w:val="nil"/>
              <w:left w:val="nil"/>
              <w:bottom w:val="nil"/>
              <w:right w:val="single" w:sz="4" w:space="0" w:color="auto"/>
            </w:tcBorders>
            <w:shd w:val="clear" w:color="000000" w:fill="FFFFFF"/>
            <w:noWrap/>
            <w:vAlign w:val="center"/>
            <w:hideMark/>
          </w:tcPr>
          <w:p w14:paraId="6A258BCB"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hideMark/>
          </w:tcPr>
          <w:p w14:paraId="3D70D8D1"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450" w:type="dxa"/>
            <w:tcBorders>
              <w:top w:val="nil"/>
              <w:left w:val="nil"/>
              <w:bottom w:val="nil"/>
              <w:right w:val="single" w:sz="4" w:space="0" w:color="auto"/>
            </w:tcBorders>
            <w:shd w:val="clear" w:color="000000" w:fill="FFFFFF"/>
            <w:noWrap/>
            <w:vAlign w:val="center"/>
            <w:hideMark/>
          </w:tcPr>
          <w:p w14:paraId="2D3A9D3F"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hideMark/>
          </w:tcPr>
          <w:p w14:paraId="3CAF5320"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454" w:type="dxa"/>
            <w:tcBorders>
              <w:top w:val="nil"/>
              <w:left w:val="nil"/>
              <w:bottom w:val="nil"/>
              <w:right w:val="single" w:sz="4" w:space="0" w:color="auto"/>
            </w:tcBorders>
            <w:shd w:val="clear" w:color="000000" w:fill="FFFFFF"/>
            <w:noWrap/>
            <w:vAlign w:val="center"/>
            <w:hideMark/>
          </w:tcPr>
          <w:p w14:paraId="2D14D947"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hideMark/>
          </w:tcPr>
          <w:p w14:paraId="13E04CCA"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456" w:type="dxa"/>
            <w:tcBorders>
              <w:top w:val="nil"/>
              <w:left w:val="nil"/>
              <w:bottom w:val="nil"/>
              <w:right w:val="single" w:sz="12" w:space="0" w:color="auto"/>
            </w:tcBorders>
            <w:shd w:val="clear" w:color="000000" w:fill="FFFFFF"/>
            <w:noWrap/>
            <w:vAlign w:val="center"/>
            <w:hideMark/>
          </w:tcPr>
          <w:p w14:paraId="1EEEAC9D"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tcPr>
          <w:p w14:paraId="4560C499" w14:textId="77777777" w:rsidR="002961DC" w:rsidRPr="00A95729" w:rsidRDefault="002961DC" w:rsidP="00E56366">
            <w:pPr>
              <w:spacing w:after="0" w:line="240" w:lineRule="auto"/>
              <w:jc w:val="center"/>
              <w:rPr>
                <w:rFonts w:eastAsia="Times New Roman"/>
                <w:color w:val="000000"/>
                <w:sz w:val="18"/>
                <w:szCs w:val="18"/>
              </w:rPr>
            </w:pPr>
          </w:p>
        </w:tc>
        <w:tc>
          <w:tcPr>
            <w:tcW w:w="540" w:type="dxa"/>
            <w:tcBorders>
              <w:top w:val="nil"/>
              <w:left w:val="nil"/>
              <w:bottom w:val="nil"/>
              <w:right w:val="single" w:sz="12" w:space="0" w:color="auto"/>
            </w:tcBorders>
            <w:shd w:val="clear" w:color="000000" w:fill="FFFFFF"/>
          </w:tcPr>
          <w:p w14:paraId="2C62F8F3" w14:textId="77777777" w:rsidR="002961DC" w:rsidRPr="00A95729" w:rsidRDefault="002961DC" w:rsidP="00E56366">
            <w:pPr>
              <w:spacing w:after="0" w:line="240" w:lineRule="auto"/>
              <w:jc w:val="center"/>
              <w:rPr>
                <w:rFonts w:eastAsia="Times New Roman"/>
                <w:color w:val="000000"/>
                <w:sz w:val="18"/>
                <w:szCs w:val="18"/>
              </w:rPr>
            </w:pPr>
          </w:p>
        </w:tc>
        <w:tc>
          <w:tcPr>
            <w:tcW w:w="630" w:type="dxa"/>
            <w:tcBorders>
              <w:top w:val="nil"/>
              <w:left w:val="single" w:sz="12" w:space="0" w:color="auto"/>
              <w:bottom w:val="nil"/>
              <w:right w:val="nil"/>
            </w:tcBorders>
            <w:shd w:val="clear" w:color="000000" w:fill="FFFFFF"/>
          </w:tcPr>
          <w:p w14:paraId="6BF5542C" w14:textId="77777777" w:rsidR="002961DC" w:rsidRPr="00A95729" w:rsidRDefault="002961DC" w:rsidP="00E56366">
            <w:pPr>
              <w:spacing w:after="0" w:line="240" w:lineRule="auto"/>
              <w:jc w:val="center"/>
              <w:rPr>
                <w:rFonts w:eastAsia="Times New Roman"/>
                <w:color w:val="000000"/>
                <w:sz w:val="18"/>
                <w:szCs w:val="18"/>
              </w:rPr>
            </w:pPr>
          </w:p>
        </w:tc>
        <w:tc>
          <w:tcPr>
            <w:tcW w:w="542" w:type="dxa"/>
            <w:tcBorders>
              <w:top w:val="nil"/>
              <w:left w:val="nil"/>
              <w:bottom w:val="nil"/>
              <w:right w:val="single" w:sz="12" w:space="0" w:color="auto"/>
            </w:tcBorders>
            <w:shd w:val="clear" w:color="000000" w:fill="FFFFFF"/>
          </w:tcPr>
          <w:p w14:paraId="3DAB0A47" w14:textId="77777777" w:rsidR="002961DC" w:rsidRPr="00A95729" w:rsidRDefault="002961DC" w:rsidP="00E56366">
            <w:pPr>
              <w:spacing w:after="0" w:line="240" w:lineRule="auto"/>
              <w:jc w:val="center"/>
              <w:rPr>
                <w:rFonts w:eastAsia="Times New Roman"/>
                <w:color w:val="000000"/>
                <w:sz w:val="18"/>
                <w:szCs w:val="18"/>
              </w:rPr>
            </w:pPr>
          </w:p>
        </w:tc>
      </w:tr>
      <w:tr w:rsidR="002961DC" w:rsidRPr="00A95729" w14:paraId="40B007B0" w14:textId="77777777" w:rsidTr="00E56366">
        <w:trPr>
          <w:trHeight w:val="20"/>
          <w:jc w:val="center"/>
        </w:trPr>
        <w:tc>
          <w:tcPr>
            <w:tcW w:w="2595" w:type="dxa"/>
            <w:tcBorders>
              <w:top w:val="nil"/>
              <w:left w:val="single" w:sz="12" w:space="0" w:color="auto"/>
              <w:bottom w:val="nil"/>
              <w:right w:val="single" w:sz="12" w:space="0" w:color="auto"/>
            </w:tcBorders>
            <w:shd w:val="clear" w:color="000000" w:fill="FFFFFF"/>
            <w:noWrap/>
            <w:vAlign w:val="bottom"/>
            <w:hideMark/>
          </w:tcPr>
          <w:p w14:paraId="191042B2" w14:textId="77777777" w:rsidR="002961DC" w:rsidRPr="00A95729" w:rsidRDefault="002961DC" w:rsidP="00E56366">
            <w:pPr>
              <w:spacing w:after="0" w:line="240" w:lineRule="auto"/>
              <w:rPr>
                <w:rFonts w:eastAsia="Times New Roman"/>
                <w:color w:val="000000"/>
                <w:sz w:val="18"/>
                <w:szCs w:val="18"/>
              </w:rPr>
            </w:pPr>
            <w:r w:rsidRPr="00A95729">
              <w:rPr>
                <w:rFonts w:eastAsia="Times New Roman"/>
                <w:color w:val="000000"/>
                <w:sz w:val="18"/>
                <w:szCs w:val="18"/>
              </w:rPr>
              <w:t xml:space="preserve">     $50,000 - $99,999</w:t>
            </w:r>
          </w:p>
        </w:tc>
        <w:tc>
          <w:tcPr>
            <w:tcW w:w="537" w:type="dxa"/>
            <w:tcBorders>
              <w:top w:val="nil"/>
              <w:left w:val="single" w:sz="12" w:space="0" w:color="auto"/>
              <w:bottom w:val="nil"/>
            </w:tcBorders>
            <w:shd w:val="clear" w:color="000000" w:fill="FFFFFF"/>
            <w:vAlign w:val="bottom"/>
          </w:tcPr>
          <w:p w14:paraId="1FDB6814"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-0.18</w:t>
            </w:r>
          </w:p>
        </w:tc>
        <w:tc>
          <w:tcPr>
            <w:tcW w:w="541" w:type="dxa"/>
            <w:tcBorders>
              <w:top w:val="nil"/>
              <w:left w:val="nil"/>
              <w:bottom w:val="nil"/>
              <w:right w:val="single" w:sz="12" w:space="0" w:color="auto"/>
            </w:tcBorders>
            <w:shd w:val="clear" w:color="000000" w:fill="FFFFFF"/>
            <w:vAlign w:val="bottom"/>
          </w:tcPr>
          <w:p w14:paraId="3F3490B2"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-4.82</w:t>
            </w:r>
          </w:p>
        </w:tc>
        <w:tc>
          <w:tcPr>
            <w:tcW w:w="539" w:type="dxa"/>
            <w:tcBorders>
              <w:top w:val="nil"/>
              <w:left w:val="single" w:sz="12" w:space="0" w:color="auto"/>
              <w:bottom w:val="nil"/>
              <w:right w:val="nil"/>
            </w:tcBorders>
            <w:shd w:val="clear" w:color="000000" w:fill="FFFFFF"/>
            <w:noWrap/>
            <w:vAlign w:val="center"/>
            <w:hideMark/>
          </w:tcPr>
          <w:p w14:paraId="5E9FD6CD"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49" w:type="dxa"/>
            <w:tcBorders>
              <w:top w:val="nil"/>
              <w:left w:val="nil"/>
              <w:bottom w:val="nil"/>
              <w:right w:val="single" w:sz="4" w:space="0" w:color="auto"/>
            </w:tcBorders>
            <w:shd w:val="clear" w:color="000000" w:fill="FFFFFF"/>
            <w:noWrap/>
            <w:vAlign w:val="center"/>
            <w:hideMark/>
          </w:tcPr>
          <w:p w14:paraId="35006405"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hideMark/>
          </w:tcPr>
          <w:p w14:paraId="6B09DCB8"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hideMark/>
          </w:tcPr>
          <w:p w14:paraId="746574EE"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bottom"/>
            <w:hideMark/>
          </w:tcPr>
          <w:p w14:paraId="7343B27D"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-0.31</w:t>
            </w:r>
          </w:p>
        </w:tc>
        <w:tc>
          <w:tcPr>
            <w:tcW w:w="450" w:type="dxa"/>
            <w:tcBorders>
              <w:top w:val="nil"/>
              <w:left w:val="nil"/>
              <w:bottom w:val="nil"/>
              <w:right w:val="single" w:sz="4" w:space="0" w:color="auto"/>
            </w:tcBorders>
            <w:shd w:val="clear" w:color="000000" w:fill="FFFFFF"/>
            <w:noWrap/>
            <w:vAlign w:val="bottom"/>
            <w:hideMark/>
          </w:tcPr>
          <w:p w14:paraId="07235223"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-3.01</w:t>
            </w:r>
          </w:p>
        </w:tc>
        <w:tc>
          <w:tcPr>
            <w:tcW w:w="544" w:type="dxa"/>
            <w:tcBorders>
              <w:top w:val="nil"/>
              <w:left w:val="nil"/>
              <w:bottom w:val="nil"/>
              <w:right w:val="nil"/>
            </w:tcBorders>
            <w:shd w:val="clear" w:color="000000" w:fill="FFFFFF"/>
            <w:noWrap/>
            <w:vAlign w:val="bottom"/>
            <w:hideMark/>
          </w:tcPr>
          <w:p w14:paraId="7112AB67"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-0.26</w:t>
            </w:r>
          </w:p>
        </w:tc>
        <w:tc>
          <w:tcPr>
            <w:tcW w:w="540" w:type="dxa"/>
            <w:tcBorders>
              <w:top w:val="nil"/>
              <w:left w:val="nil"/>
              <w:bottom w:val="nil"/>
              <w:right w:val="single" w:sz="4" w:space="0" w:color="auto"/>
            </w:tcBorders>
            <w:shd w:val="clear" w:color="000000" w:fill="FFFFFF"/>
            <w:noWrap/>
            <w:vAlign w:val="bottom"/>
            <w:hideMark/>
          </w:tcPr>
          <w:p w14:paraId="74469270"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-2.29</w:t>
            </w:r>
          </w:p>
        </w:tc>
        <w:tc>
          <w:tcPr>
            <w:tcW w:w="540" w:type="dxa"/>
            <w:tcBorders>
              <w:top w:val="nil"/>
              <w:left w:val="nil"/>
              <w:bottom w:val="nil"/>
              <w:right w:val="nil"/>
            </w:tcBorders>
            <w:shd w:val="clear" w:color="000000" w:fill="FFFFFF"/>
            <w:noWrap/>
            <w:vAlign w:val="bottom"/>
            <w:hideMark/>
          </w:tcPr>
          <w:p w14:paraId="526CD4FD"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-0.30</w:t>
            </w:r>
          </w:p>
        </w:tc>
        <w:tc>
          <w:tcPr>
            <w:tcW w:w="450" w:type="dxa"/>
            <w:tcBorders>
              <w:top w:val="nil"/>
              <w:left w:val="nil"/>
              <w:bottom w:val="nil"/>
              <w:right w:val="single" w:sz="4" w:space="0" w:color="auto"/>
            </w:tcBorders>
            <w:shd w:val="clear" w:color="000000" w:fill="FFFFFF"/>
            <w:noWrap/>
            <w:vAlign w:val="bottom"/>
            <w:hideMark/>
          </w:tcPr>
          <w:p w14:paraId="3433C2F4"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-3.48</w:t>
            </w:r>
          </w:p>
        </w:tc>
        <w:tc>
          <w:tcPr>
            <w:tcW w:w="540" w:type="dxa"/>
            <w:tcBorders>
              <w:top w:val="nil"/>
              <w:left w:val="nil"/>
              <w:bottom w:val="nil"/>
              <w:right w:val="nil"/>
            </w:tcBorders>
            <w:shd w:val="clear" w:color="000000" w:fill="FFFFFF"/>
            <w:noWrap/>
            <w:vAlign w:val="center"/>
            <w:hideMark/>
          </w:tcPr>
          <w:p w14:paraId="40CAEAB3"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hideMark/>
          </w:tcPr>
          <w:p w14:paraId="439AA99F"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hideMark/>
          </w:tcPr>
          <w:p w14:paraId="1F6A1560"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4" w:type="dxa"/>
            <w:tcBorders>
              <w:top w:val="nil"/>
              <w:left w:val="nil"/>
              <w:bottom w:val="nil"/>
              <w:right w:val="single" w:sz="4" w:space="0" w:color="auto"/>
            </w:tcBorders>
            <w:shd w:val="clear" w:color="000000" w:fill="FFFFFF"/>
            <w:noWrap/>
            <w:vAlign w:val="center"/>
            <w:hideMark/>
          </w:tcPr>
          <w:p w14:paraId="43C2CAD5"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hideMark/>
          </w:tcPr>
          <w:p w14:paraId="22EC27BF"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6" w:type="dxa"/>
            <w:tcBorders>
              <w:top w:val="nil"/>
              <w:left w:val="nil"/>
              <w:bottom w:val="nil"/>
              <w:right w:val="single" w:sz="12" w:space="0" w:color="auto"/>
            </w:tcBorders>
            <w:shd w:val="clear" w:color="000000" w:fill="FFFFFF"/>
            <w:noWrap/>
            <w:vAlign w:val="center"/>
            <w:hideMark/>
          </w:tcPr>
          <w:p w14:paraId="58BD801C"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vAlign w:val="bottom"/>
          </w:tcPr>
          <w:p w14:paraId="78E89513"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0.09</w:t>
            </w:r>
          </w:p>
        </w:tc>
        <w:tc>
          <w:tcPr>
            <w:tcW w:w="540" w:type="dxa"/>
            <w:tcBorders>
              <w:top w:val="nil"/>
              <w:left w:val="nil"/>
              <w:bottom w:val="nil"/>
              <w:right w:val="single" w:sz="12" w:space="0" w:color="auto"/>
            </w:tcBorders>
            <w:shd w:val="clear" w:color="000000" w:fill="FFFFFF"/>
            <w:vAlign w:val="bottom"/>
          </w:tcPr>
          <w:p w14:paraId="0DABF11E"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1.98</w:t>
            </w:r>
          </w:p>
        </w:tc>
        <w:tc>
          <w:tcPr>
            <w:tcW w:w="630" w:type="dxa"/>
            <w:tcBorders>
              <w:top w:val="nil"/>
              <w:left w:val="single" w:sz="12" w:space="0" w:color="auto"/>
              <w:bottom w:val="nil"/>
              <w:right w:val="nil"/>
            </w:tcBorders>
            <w:shd w:val="clear" w:color="000000" w:fill="FFFFFF"/>
            <w:vAlign w:val="bottom"/>
          </w:tcPr>
          <w:p w14:paraId="184DBF14"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0.22</w:t>
            </w:r>
          </w:p>
        </w:tc>
        <w:tc>
          <w:tcPr>
            <w:tcW w:w="542" w:type="dxa"/>
            <w:tcBorders>
              <w:top w:val="nil"/>
              <w:left w:val="nil"/>
              <w:bottom w:val="nil"/>
              <w:right w:val="single" w:sz="12" w:space="0" w:color="auto"/>
            </w:tcBorders>
            <w:shd w:val="clear" w:color="000000" w:fill="FFFFFF"/>
            <w:vAlign w:val="bottom"/>
          </w:tcPr>
          <w:p w14:paraId="79A81810"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7.76</w:t>
            </w:r>
          </w:p>
        </w:tc>
      </w:tr>
      <w:tr w:rsidR="002961DC" w:rsidRPr="00A95729" w14:paraId="6195CAC5" w14:textId="77777777" w:rsidTr="00E56366">
        <w:trPr>
          <w:trHeight w:val="20"/>
          <w:jc w:val="center"/>
        </w:trPr>
        <w:tc>
          <w:tcPr>
            <w:tcW w:w="2595" w:type="dxa"/>
            <w:tcBorders>
              <w:top w:val="nil"/>
              <w:left w:val="single" w:sz="12" w:space="0" w:color="auto"/>
              <w:bottom w:val="nil"/>
              <w:right w:val="single" w:sz="12" w:space="0" w:color="auto"/>
            </w:tcBorders>
            <w:shd w:val="clear" w:color="000000" w:fill="FFFFFF"/>
            <w:noWrap/>
            <w:vAlign w:val="bottom"/>
            <w:hideMark/>
          </w:tcPr>
          <w:p w14:paraId="3C23B7BD" w14:textId="77777777" w:rsidR="002961DC" w:rsidRPr="00A95729" w:rsidRDefault="002961DC" w:rsidP="00E56366">
            <w:pPr>
              <w:spacing w:after="0" w:line="240" w:lineRule="auto"/>
              <w:rPr>
                <w:rFonts w:eastAsia="Times New Roman"/>
                <w:color w:val="000000"/>
                <w:sz w:val="18"/>
                <w:szCs w:val="18"/>
              </w:rPr>
            </w:pPr>
            <w:r w:rsidRPr="00A95729">
              <w:rPr>
                <w:rFonts w:eastAsia="Times New Roman"/>
                <w:color w:val="000000"/>
                <w:sz w:val="18"/>
                <w:szCs w:val="18"/>
              </w:rPr>
              <w:t xml:space="preserve">     $100,000 - $149,999</w:t>
            </w:r>
          </w:p>
        </w:tc>
        <w:tc>
          <w:tcPr>
            <w:tcW w:w="537" w:type="dxa"/>
            <w:tcBorders>
              <w:top w:val="nil"/>
              <w:left w:val="single" w:sz="12" w:space="0" w:color="auto"/>
              <w:bottom w:val="nil"/>
            </w:tcBorders>
            <w:shd w:val="clear" w:color="000000" w:fill="FFFFFF"/>
            <w:vAlign w:val="bottom"/>
          </w:tcPr>
          <w:p w14:paraId="414CAE78"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-0.29</w:t>
            </w:r>
          </w:p>
        </w:tc>
        <w:tc>
          <w:tcPr>
            <w:tcW w:w="541" w:type="dxa"/>
            <w:tcBorders>
              <w:top w:val="nil"/>
              <w:left w:val="nil"/>
              <w:bottom w:val="nil"/>
              <w:right w:val="single" w:sz="12" w:space="0" w:color="auto"/>
            </w:tcBorders>
            <w:shd w:val="clear" w:color="000000" w:fill="FFFFFF"/>
            <w:vAlign w:val="bottom"/>
          </w:tcPr>
          <w:p w14:paraId="35CDFF25"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-6.55</w:t>
            </w:r>
          </w:p>
        </w:tc>
        <w:tc>
          <w:tcPr>
            <w:tcW w:w="539" w:type="dxa"/>
            <w:tcBorders>
              <w:top w:val="nil"/>
              <w:left w:val="single" w:sz="12" w:space="0" w:color="auto"/>
              <w:bottom w:val="nil"/>
              <w:right w:val="nil"/>
            </w:tcBorders>
            <w:shd w:val="clear" w:color="000000" w:fill="FFFFFF"/>
            <w:noWrap/>
            <w:vAlign w:val="center"/>
            <w:hideMark/>
          </w:tcPr>
          <w:p w14:paraId="3AC20835"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49" w:type="dxa"/>
            <w:tcBorders>
              <w:top w:val="nil"/>
              <w:left w:val="nil"/>
              <w:bottom w:val="nil"/>
              <w:right w:val="single" w:sz="4" w:space="0" w:color="auto"/>
            </w:tcBorders>
            <w:shd w:val="clear" w:color="000000" w:fill="FFFFFF"/>
            <w:noWrap/>
            <w:vAlign w:val="center"/>
            <w:hideMark/>
          </w:tcPr>
          <w:p w14:paraId="40C1A3F5"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hideMark/>
          </w:tcPr>
          <w:p w14:paraId="5FBBCB83"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hideMark/>
          </w:tcPr>
          <w:p w14:paraId="427B54CE"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bottom"/>
            <w:hideMark/>
          </w:tcPr>
          <w:p w14:paraId="1071321D"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-0.39</w:t>
            </w:r>
          </w:p>
        </w:tc>
        <w:tc>
          <w:tcPr>
            <w:tcW w:w="450" w:type="dxa"/>
            <w:tcBorders>
              <w:top w:val="nil"/>
              <w:left w:val="nil"/>
              <w:bottom w:val="nil"/>
              <w:right w:val="single" w:sz="4" w:space="0" w:color="auto"/>
            </w:tcBorders>
            <w:shd w:val="clear" w:color="000000" w:fill="FFFFFF"/>
            <w:noWrap/>
            <w:vAlign w:val="bottom"/>
            <w:hideMark/>
          </w:tcPr>
          <w:p w14:paraId="619C3CC1"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-2.88</w:t>
            </w:r>
          </w:p>
        </w:tc>
        <w:tc>
          <w:tcPr>
            <w:tcW w:w="544" w:type="dxa"/>
            <w:tcBorders>
              <w:top w:val="nil"/>
              <w:left w:val="nil"/>
              <w:bottom w:val="nil"/>
              <w:right w:val="nil"/>
            </w:tcBorders>
            <w:shd w:val="clear" w:color="000000" w:fill="FFFFFF"/>
            <w:noWrap/>
            <w:vAlign w:val="bottom"/>
            <w:hideMark/>
          </w:tcPr>
          <w:p w14:paraId="41D3971F"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-0.29</w:t>
            </w:r>
          </w:p>
        </w:tc>
        <w:tc>
          <w:tcPr>
            <w:tcW w:w="540" w:type="dxa"/>
            <w:tcBorders>
              <w:top w:val="nil"/>
              <w:left w:val="nil"/>
              <w:bottom w:val="nil"/>
              <w:right w:val="single" w:sz="4" w:space="0" w:color="auto"/>
            </w:tcBorders>
            <w:shd w:val="clear" w:color="000000" w:fill="FFFFFF"/>
            <w:noWrap/>
            <w:vAlign w:val="bottom"/>
            <w:hideMark/>
          </w:tcPr>
          <w:p w14:paraId="6D596663"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-1.78</w:t>
            </w:r>
          </w:p>
        </w:tc>
        <w:tc>
          <w:tcPr>
            <w:tcW w:w="540" w:type="dxa"/>
            <w:tcBorders>
              <w:top w:val="nil"/>
              <w:left w:val="nil"/>
              <w:bottom w:val="nil"/>
              <w:right w:val="nil"/>
            </w:tcBorders>
            <w:shd w:val="clear" w:color="000000" w:fill="FFFFFF"/>
            <w:noWrap/>
            <w:vAlign w:val="bottom"/>
            <w:hideMark/>
          </w:tcPr>
          <w:p w14:paraId="19B9D3E9"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-0.41</w:t>
            </w:r>
          </w:p>
        </w:tc>
        <w:tc>
          <w:tcPr>
            <w:tcW w:w="450" w:type="dxa"/>
            <w:tcBorders>
              <w:top w:val="nil"/>
              <w:left w:val="nil"/>
              <w:bottom w:val="nil"/>
              <w:right w:val="single" w:sz="4" w:space="0" w:color="auto"/>
            </w:tcBorders>
            <w:shd w:val="clear" w:color="000000" w:fill="FFFFFF"/>
            <w:noWrap/>
            <w:vAlign w:val="bottom"/>
            <w:hideMark/>
          </w:tcPr>
          <w:p w14:paraId="09035383"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-3.72</w:t>
            </w:r>
          </w:p>
        </w:tc>
        <w:tc>
          <w:tcPr>
            <w:tcW w:w="540" w:type="dxa"/>
            <w:tcBorders>
              <w:top w:val="nil"/>
              <w:left w:val="nil"/>
              <w:bottom w:val="nil"/>
              <w:right w:val="nil"/>
            </w:tcBorders>
            <w:shd w:val="clear" w:color="000000" w:fill="FFFFFF"/>
            <w:noWrap/>
            <w:vAlign w:val="bottom"/>
            <w:hideMark/>
          </w:tcPr>
          <w:p w14:paraId="5FA76F1A"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0.14</w:t>
            </w:r>
          </w:p>
        </w:tc>
        <w:tc>
          <w:tcPr>
            <w:tcW w:w="450" w:type="dxa"/>
            <w:tcBorders>
              <w:top w:val="nil"/>
              <w:left w:val="nil"/>
              <w:bottom w:val="nil"/>
              <w:right w:val="single" w:sz="4" w:space="0" w:color="auto"/>
            </w:tcBorders>
            <w:shd w:val="clear" w:color="000000" w:fill="FFFFFF"/>
            <w:noWrap/>
            <w:vAlign w:val="bottom"/>
            <w:hideMark/>
          </w:tcPr>
          <w:p w14:paraId="355E2039"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1.44</w:t>
            </w:r>
          </w:p>
        </w:tc>
        <w:tc>
          <w:tcPr>
            <w:tcW w:w="540" w:type="dxa"/>
            <w:tcBorders>
              <w:top w:val="nil"/>
              <w:left w:val="nil"/>
              <w:bottom w:val="nil"/>
              <w:right w:val="nil"/>
            </w:tcBorders>
            <w:shd w:val="clear" w:color="000000" w:fill="FFFFFF"/>
            <w:noWrap/>
            <w:vAlign w:val="center"/>
            <w:hideMark/>
          </w:tcPr>
          <w:p w14:paraId="7706F422"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4" w:type="dxa"/>
            <w:tcBorders>
              <w:top w:val="nil"/>
              <w:left w:val="nil"/>
              <w:bottom w:val="nil"/>
              <w:right w:val="single" w:sz="4" w:space="0" w:color="auto"/>
            </w:tcBorders>
            <w:shd w:val="clear" w:color="000000" w:fill="FFFFFF"/>
            <w:noWrap/>
            <w:vAlign w:val="center"/>
            <w:hideMark/>
          </w:tcPr>
          <w:p w14:paraId="60D0BCDA"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hideMark/>
          </w:tcPr>
          <w:p w14:paraId="42E9E4D1"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6" w:type="dxa"/>
            <w:tcBorders>
              <w:top w:val="nil"/>
              <w:left w:val="nil"/>
              <w:bottom w:val="nil"/>
              <w:right w:val="single" w:sz="12" w:space="0" w:color="auto"/>
            </w:tcBorders>
            <w:shd w:val="clear" w:color="000000" w:fill="FFFFFF"/>
            <w:noWrap/>
            <w:vAlign w:val="center"/>
            <w:hideMark/>
          </w:tcPr>
          <w:p w14:paraId="21FBF5CD"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vAlign w:val="bottom"/>
          </w:tcPr>
          <w:p w14:paraId="5A118513"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0.26</w:t>
            </w:r>
          </w:p>
        </w:tc>
        <w:tc>
          <w:tcPr>
            <w:tcW w:w="540" w:type="dxa"/>
            <w:tcBorders>
              <w:top w:val="nil"/>
              <w:left w:val="nil"/>
              <w:bottom w:val="nil"/>
              <w:right w:val="single" w:sz="12" w:space="0" w:color="auto"/>
            </w:tcBorders>
            <w:shd w:val="clear" w:color="000000" w:fill="FFFFFF"/>
            <w:vAlign w:val="bottom"/>
          </w:tcPr>
          <w:p w14:paraId="6D2B0E4E"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5.18</w:t>
            </w:r>
          </w:p>
        </w:tc>
        <w:tc>
          <w:tcPr>
            <w:tcW w:w="630" w:type="dxa"/>
            <w:tcBorders>
              <w:top w:val="nil"/>
              <w:left w:val="single" w:sz="12" w:space="0" w:color="auto"/>
              <w:bottom w:val="nil"/>
              <w:right w:val="nil"/>
            </w:tcBorders>
            <w:shd w:val="clear" w:color="000000" w:fill="FFFFFF"/>
            <w:vAlign w:val="bottom"/>
          </w:tcPr>
          <w:p w14:paraId="27D0AF76"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0.31</w:t>
            </w:r>
          </w:p>
        </w:tc>
        <w:tc>
          <w:tcPr>
            <w:tcW w:w="542" w:type="dxa"/>
            <w:tcBorders>
              <w:top w:val="nil"/>
              <w:left w:val="nil"/>
              <w:bottom w:val="nil"/>
              <w:right w:val="single" w:sz="12" w:space="0" w:color="auto"/>
            </w:tcBorders>
            <w:shd w:val="clear" w:color="000000" w:fill="FFFFFF"/>
            <w:vAlign w:val="bottom"/>
          </w:tcPr>
          <w:p w14:paraId="0BE815B7"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9.43</w:t>
            </w:r>
          </w:p>
        </w:tc>
      </w:tr>
      <w:tr w:rsidR="002961DC" w:rsidRPr="00A95729" w14:paraId="24FFB3BF" w14:textId="77777777" w:rsidTr="00E56366">
        <w:trPr>
          <w:trHeight w:val="20"/>
          <w:jc w:val="center"/>
        </w:trPr>
        <w:tc>
          <w:tcPr>
            <w:tcW w:w="2595" w:type="dxa"/>
            <w:tcBorders>
              <w:top w:val="nil"/>
              <w:left w:val="single" w:sz="12" w:space="0" w:color="auto"/>
              <w:bottom w:val="nil"/>
              <w:right w:val="single" w:sz="12" w:space="0" w:color="auto"/>
            </w:tcBorders>
            <w:shd w:val="clear" w:color="000000" w:fill="FFFFFF"/>
            <w:noWrap/>
            <w:vAlign w:val="bottom"/>
            <w:hideMark/>
          </w:tcPr>
          <w:p w14:paraId="4A90D7BC" w14:textId="77777777" w:rsidR="002961DC" w:rsidRPr="00A95729" w:rsidRDefault="002961DC" w:rsidP="00E56366">
            <w:pPr>
              <w:spacing w:after="0" w:line="240" w:lineRule="auto"/>
              <w:rPr>
                <w:rFonts w:eastAsia="Times New Roman"/>
                <w:color w:val="000000"/>
                <w:sz w:val="18"/>
                <w:szCs w:val="18"/>
              </w:rPr>
            </w:pPr>
            <w:r w:rsidRPr="00A95729">
              <w:rPr>
                <w:rFonts w:eastAsia="Times New Roman"/>
                <w:color w:val="000000"/>
                <w:sz w:val="18"/>
                <w:szCs w:val="18"/>
              </w:rPr>
              <w:t xml:space="preserve">     $150,000 - $199,999</w:t>
            </w:r>
          </w:p>
        </w:tc>
        <w:tc>
          <w:tcPr>
            <w:tcW w:w="537" w:type="dxa"/>
            <w:tcBorders>
              <w:top w:val="nil"/>
              <w:left w:val="single" w:sz="12" w:space="0" w:color="auto"/>
              <w:bottom w:val="nil"/>
            </w:tcBorders>
            <w:shd w:val="clear" w:color="000000" w:fill="FFFFFF"/>
            <w:vAlign w:val="bottom"/>
          </w:tcPr>
          <w:p w14:paraId="31B11DEA"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-0.35</w:t>
            </w:r>
          </w:p>
        </w:tc>
        <w:tc>
          <w:tcPr>
            <w:tcW w:w="541" w:type="dxa"/>
            <w:tcBorders>
              <w:top w:val="nil"/>
              <w:left w:val="nil"/>
              <w:bottom w:val="nil"/>
              <w:right w:val="single" w:sz="12" w:space="0" w:color="auto"/>
            </w:tcBorders>
            <w:shd w:val="clear" w:color="000000" w:fill="FFFFFF"/>
            <w:vAlign w:val="bottom"/>
          </w:tcPr>
          <w:p w14:paraId="72D572F2"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-5.75</w:t>
            </w:r>
          </w:p>
        </w:tc>
        <w:tc>
          <w:tcPr>
            <w:tcW w:w="539" w:type="dxa"/>
            <w:tcBorders>
              <w:top w:val="nil"/>
              <w:left w:val="single" w:sz="12" w:space="0" w:color="auto"/>
              <w:bottom w:val="nil"/>
              <w:right w:val="nil"/>
            </w:tcBorders>
            <w:shd w:val="clear" w:color="000000" w:fill="FFFFFF"/>
            <w:noWrap/>
            <w:vAlign w:val="center"/>
            <w:hideMark/>
          </w:tcPr>
          <w:p w14:paraId="01A79F0F"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49" w:type="dxa"/>
            <w:tcBorders>
              <w:top w:val="nil"/>
              <w:left w:val="nil"/>
              <w:bottom w:val="nil"/>
              <w:right w:val="single" w:sz="4" w:space="0" w:color="auto"/>
            </w:tcBorders>
            <w:shd w:val="clear" w:color="000000" w:fill="FFFFFF"/>
            <w:noWrap/>
            <w:vAlign w:val="center"/>
            <w:hideMark/>
          </w:tcPr>
          <w:p w14:paraId="168DC0B8"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hideMark/>
          </w:tcPr>
          <w:p w14:paraId="57270426"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hideMark/>
          </w:tcPr>
          <w:p w14:paraId="0ED6F8B7"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bottom"/>
            <w:hideMark/>
          </w:tcPr>
          <w:p w14:paraId="68104A9C"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-0.48</w:t>
            </w:r>
          </w:p>
        </w:tc>
        <w:tc>
          <w:tcPr>
            <w:tcW w:w="450" w:type="dxa"/>
            <w:tcBorders>
              <w:top w:val="nil"/>
              <w:left w:val="nil"/>
              <w:bottom w:val="nil"/>
              <w:right w:val="single" w:sz="4" w:space="0" w:color="auto"/>
            </w:tcBorders>
            <w:shd w:val="clear" w:color="000000" w:fill="FFFFFF"/>
            <w:noWrap/>
            <w:vAlign w:val="bottom"/>
            <w:hideMark/>
          </w:tcPr>
          <w:p w14:paraId="540B4379"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-3.12</w:t>
            </w:r>
          </w:p>
        </w:tc>
        <w:tc>
          <w:tcPr>
            <w:tcW w:w="544" w:type="dxa"/>
            <w:tcBorders>
              <w:top w:val="nil"/>
              <w:left w:val="nil"/>
              <w:bottom w:val="nil"/>
              <w:right w:val="nil"/>
            </w:tcBorders>
            <w:shd w:val="clear" w:color="000000" w:fill="FFFFFF"/>
            <w:noWrap/>
            <w:vAlign w:val="bottom"/>
            <w:hideMark/>
          </w:tcPr>
          <w:p w14:paraId="4F285C03"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-0.29</w:t>
            </w:r>
          </w:p>
        </w:tc>
        <w:tc>
          <w:tcPr>
            <w:tcW w:w="540" w:type="dxa"/>
            <w:tcBorders>
              <w:top w:val="nil"/>
              <w:left w:val="nil"/>
              <w:bottom w:val="nil"/>
              <w:right w:val="single" w:sz="4" w:space="0" w:color="auto"/>
            </w:tcBorders>
            <w:shd w:val="clear" w:color="000000" w:fill="FFFFFF"/>
            <w:noWrap/>
            <w:vAlign w:val="bottom"/>
            <w:hideMark/>
          </w:tcPr>
          <w:p w14:paraId="5A5EBDDF"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-1.78</w:t>
            </w:r>
          </w:p>
        </w:tc>
        <w:tc>
          <w:tcPr>
            <w:tcW w:w="540" w:type="dxa"/>
            <w:tcBorders>
              <w:top w:val="nil"/>
              <w:left w:val="nil"/>
              <w:bottom w:val="nil"/>
              <w:right w:val="nil"/>
            </w:tcBorders>
            <w:shd w:val="clear" w:color="000000" w:fill="FFFFFF"/>
            <w:noWrap/>
            <w:vAlign w:val="bottom"/>
            <w:hideMark/>
          </w:tcPr>
          <w:p w14:paraId="7FA70B98"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-0.65</w:t>
            </w:r>
          </w:p>
        </w:tc>
        <w:tc>
          <w:tcPr>
            <w:tcW w:w="450" w:type="dxa"/>
            <w:tcBorders>
              <w:top w:val="nil"/>
              <w:left w:val="nil"/>
              <w:bottom w:val="nil"/>
              <w:right w:val="single" w:sz="4" w:space="0" w:color="auto"/>
            </w:tcBorders>
            <w:shd w:val="clear" w:color="000000" w:fill="FFFFFF"/>
            <w:noWrap/>
            <w:vAlign w:val="bottom"/>
            <w:hideMark/>
          </w:tcPr>
          <w:p w14:paraId="4674C286"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-3.64</w:t>
            </w:r>
          </w:p>
        </w:tc>
        <w:tc>
          <w:tcPr>
            <w:tcW w:w="540" w:type="dxa"/>
            <w:tcBorders>
              <w:top w:val="nil"/>
              <w:left w:val="nil"/>
              <w:bottom w:val="nil"/>
              <w:right w:val="nil"/>
            </w:tcBorders>
            <w:shd w:val="clear" w:color="000000" w:fill="FFFFFF"/>
            <w:noWrap/>
            <w:vAlign w:val="bottom"/>
            <w:hideMark/>
          </w:tcPr>
          <w:p w14:paraId="085775B6"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0.17</w:t>
            </w:r>
          </w:p>
        </w:tc>
        <w:tc>
          <w:tcPr>
            <w:tcW w:w="450" w:type="dxa"/>
            <w:tcBorders>
              <w:top w:val="nil"/>
              <w:left w:val="nil"/>
              <w:bottom w:val="nil"/>
              <w:right w:val="single" w:sz="4" w:space="0" w:color="auto"/>
            </w:tcBorders>
            <w:shd w:val="clear" w:color="000000" w:fill="FFFFFF"/>
            <w:noWrap/>
            <w:vAlign w:val="bottom"/>
            <w:hideMark/>
          </w:tcPr>
          <w:p w14:paraId="1E4B713B"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1.42</w:t>
            </w:r>
          </w:p>
        </w:tc>
        <w:tc>
          <w:tcPr>
            <w:tcW w:w="540" w:type="dxa"/>
            <w:tcBorders>
              <w:top w:val="nil"/>
              <w:left w:val="nil"/>
              <w:bottom w:val="nil"/>
              <w:right w:val="nil"/>
            </w:tcBorders>
            <w:shd w:val="clear" w:color="000000" w:fill="FFFFFF"/>
            <w:noWrap/>
            <w:vAlign w:val="center"/>
            <w:hideMark/>
          </w:tcPr>
          <w:p w14:paraId="4F439B0E"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4" w:type="dxa"/>
            <w:tcBorders>
              <w:top w:val="nil"/>
              <w:left w:val="nil"/>
              <w:bottom w:val="nil"/>
              <w:right w:val="single" w:sz="4" w:space="0" w:color="auto"/>
            </w:tcBorders>
            <w:shd w:val="clear" w:color="000000" w:fill="FFFFFF"/>
            <w:noWrap/>
            <w:vAlign w:val="center"/>
            <w:hideMark/>
          </w:tcPr>
          <w:p w14:paraId="6FA051E2"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hideMark/>
          </w:tcPr>
          <w:p w14:paraId="74723738"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6" w:type="dxa"/>
            <w:tcBorders>
              <w:top w:val="nil"/>
              <w:left w:val="nil"/>
              <w:bottom w:val="nil"/>
              <w:right w:val="single" w:sz="12" w:space="0" w:color="auto"/>
            </w:tcBorders>
            <w:shd w:val="clear" w:color="000000" w:fill="FFFFFF"/>
            <w:noWrap/>
            <w:vAlign w:val="center"/>
            <w:hideMark/>
          </w:tcPr>
          <w:p w14:paraId="5CBD63BE"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vAlign w:val="bottom"/>
          </w:tcPr>
          <w:p w14:paraId="68A8485D"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0.43</w:t>
            </w:r>
          </w:p>
        </w:tc>
        <w:tc>
          <w:tcPr>
            <w:tcW w:w="540" w:type="dxa"/>
            <w:tcBorders>
              <w:top w:val="nil"/>
              <w:left w:val="nil"/>
              <w:bottom w:val="nil"/>
              <w:right w:val="single" w:sz="12" w:space="0" w:color="auto"/>
            </w:tcBorders>
            <w:shd w:val="clear" w:color="000000" w:fill="FFFFFF"/>
            <w:vAlign w:val="bottom"/>
          </w:tcPr>
          <w:p w14:paraId="1AECF78C"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7.12</w:t>
            </w:r>
          </w:p>
        </w:tc>
        <w:tc>
          <w:tcPr>
            <w:tcW w:w="630" w:type="dxa"/>
            <w:tcBorders>
              <w:top w:val="nil"/>
              <w:left w:val="single" w:sz="12" w:space="0" w:color="auto"/>
              <w:bottom w:val="nil"/>
              <w:right w:val="nil"/>
            </w:tcBorders>
            <w:shd w:val="clear" w:color="000000" w:fill="FFFFFF"/>
            <w:vAlign w:val="bottom"/>
          </w:tcPr>
          <w:p w14:paraId="0FE16E95"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0.43</w:t>
            </w:r>
          </w:p>
        </w:tc>
        <w:tc>
          <w:tcPr>
            <w:tcW w:w="542" w:type="dxa"/>
            <w:tcBorders>
              <w:top w:val="nil"/>
              <w:left w:val="nil"/>
              <w:bottom w:val="nil"/>
              <w:right w:val="single" w:sz="12" w:space="0" w:color="auto"/>
            </w:tcBorders>
            <w:shd w:val="clear" w:color="000000" w:fill="FFFFFF"/>
            <w:vAlign w:val="bottom"/>
          </w:tcPr>
          <w:p w14:paraId="565C10DC"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10.39</w:t>
            </w:r>
          </w:p>
        </w:tc>
      </w:tr>
      <w:tr w:rsidR="002961DC" w:rsidRPr="00A95729" w14:paraId="18F62A18" w14:textId="77777777" w:rsidTr="00E56366">
        <w:trPr>
          <w:trHeight w:val="20"/>
          <w:jc w:val="center"/>
        </w:trPr>
        <w:tc>
          <w:tcPr>
            <w:tcW w:w="2595" w:type="dxa"/>
            <w:tcBorders>
              <w:top w:val="nil"/>
              <w:left w:val="single" w:sz="12" w:space="0" w:color="auto"/>
              <w:bottom w:val="nil"/>
              <w:right w:val="single" w:sz="12" w:space="0" w:color="auto"/>
            </w:tcBorders>
            <w:shd w:val="clear" w:color="000000" w:fill="FFFFFF"/>
            <w:noWrap/>
            <w:vAlign w:val="bottom"/>
            <w:hideMark/>
          </w:tcPr>
          <w:p w14:paraId="009F687A" w14:textId="77777777" w:rsidR="002961DC" w:rsidRPr="00A95729" w:rsidRDefault="002961DC" w:rsidP="00E56366">
            <w:pPr>
              <w:spacing w:after="0" w:line="240" w:lineRule="auto"/>
              <w:rPr>
                <w:rFonts w:eastAsia="Times New Roman"/>
                <w:color w:val="000000"/>
                <w:sz w:val="18"/>
                <w:szCs w:val="18"/>
              </w:rPr>
            </w:pPr>
            <w:r w:rsidRPr="00A95729">
              <w:rPr>
                <w:rFonts w:eastAsia="Times New Roman"/>
                <w:color w:val="000000"/>
                <w:sz w:val="18"/>
                <w:szCs w:val="18"/>
              </w:rPr>
              <w:t xml:space="preserve">     $200,000+</w:t>
            </w:r>
          </w:p>
        </w:tc>
        <w:tc>
          <w:tcPr>
            <w:tcW w:w="537" w:type="dxa"/>
            <w:tcBorders>
              <w:top w:val="nil"/>
              <w:left w:val="single" w:sz="12" w:space="0" w:color="auto"/>
              <w:bottom w:val="nil"/>
            </w:tcBorders>
            <w:shd w:val="clear" w:color="000000" w:fill="FFFFFF"/>
            <w:vAlign w:val="bottom"/>
          </w:tcPr>
          <w:p w14:paraId="7E77CBBC"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-0.40</w:t>
            </w:r>
          </w:p>
        </w:tc>
        <w:tc>
          <w:tcPr>
            <w:tcW w:w="541" w:type="dxa"/>
            <w:tcBorders>
              <w:top w:val="nil"/>
              <w:left w:val="nil"/>
              <w:bottom w:val="nil"/>
              <w:right w:val="single" w:sz="12" w:space="0" w:color="auto"/>
            </w:tcBorders>
            <w:shd w:val="clear" w:color="000000" w:fill="FFFFFF"/>
            <w:vAlign w:val="bottom"/>
          </w:tcPr>
          <w:p w14:paraId="54CFED13"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-6.93</w:t>
            </w:r>
          </w:p>
        </w:tc>
        <w:tc>
          <w:tcPr>
            <w:tcW w:w="539" w:type="dxa"/>
            <w:tcBorders>
              <w:top w:val="nil"/>
              <w:left w:val="single" w:sz="12" w:space="0" w:color="auto"/>
              <w:bottom w:val="nil"/>
              <w:right w:val="nil"/>
            </w:tcBorders>
            <w:shd w:val="clear" w:color="000000" w:fill="FFFFFF"/>
            <w:noWrap/>
            <w:vAlign w:val="center"/>
            <w:hideMark/>
          </w:tcPr>
          <w:p w14:paraId="47C6C7FF"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49" w:type="dxa"/>
            <w:tcBorders>
              <w:top w:val="nil"/>
              <w:left w:val="nil"/>
              <w:bottom w:val="nil"/>
              <w:right w:val="single" w:sz="4" w:space="0" w:color="auto"/>
            </w:tcBorders>
            <w:shd w:val="clear" w:color="000000" w:fill="FFFFFF"/>
            <w:noWrap/>
            <w:vAlign w:val="center"/>
            <w:hideMark/>
          </w:tcPr>
          <w:p w14:paraId="2FF3502A"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hideMark/>
          </w:tcPr>
          <w:p w14:paraId="24571C86"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hideMark/>
          </w:tcPr>
          <w:p w14:paraId="3CEDFC2C"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bottom"/>
            <w:hideMark/>
          </w:tcPr>
          <w:p w14:paraId="10F0065E"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-0.48</w:t>
            </w:r>
          </w:p>
        </w:tc>
        <w:tc>
          <w:tcPr>
            <w:tcW w:w="450" w:type="dxa"/>
            <w:tcBorders>
              <w:top w:val="nil"/>
              <w:left w:val="nil"/>
              <w:bottom w:val="nil"/>
              <w:right w:val="single" w:sz="4" w:space="0" w:color="auto"/>
            </w:tcBorders>
            <w:shd w:val="clear" w:color="000000" w:fill="FFFFFF"/>
            <w:noWrap/>
            <w:vAlign w:val="bottom"/>
            <w:hideMark/>
          </w:tcPr>
          <w:p w14:paraId="63310A94"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-3.12</w:t>
            </w:r>
          </w:p>
        </w:tc>
        <w:tc>
          <w:tcPr>
            <w:tcW w:w="544" w:type="dxa"/>
            <w:tcBorders>
              <w:top w:val="nil"/>
              <w:left w:val="nil"/>
              <w:bottom w:val="nil"/>
              <w:right w:val="nil"/>
            </w:tcBorders>
            <w:shd w:val="clear" w:color="000000" w:fill="FFFFFF"/>
            <w:noWrap/>
            <w:vAlign w:val="bottom"/>
            <w:hideMark/>
          </w:tcPr>
          <w:p w14:paraId="6B6FC613"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-0.29</w:t>
            </w:r>
          </w:p>
        </w:tc>
        <w:tc>
          <w:tcPr>
            <w:tcW w:w="540" w:type="dxa"/>
            <w:tcBorders>
              <w:top w:val="nil"/>
              <w:left w:val="nil"/>
              <w:bottom w:val="nil"/>
              <w:right w:val="single" w:sz="4" w:space="0" w:color="auto"/>
            </w:tcBorders>
            <w:shd w:val="clear" w:color="000000" w:fill="FFFFFF"/>
            <w:noWrap/>
            <w:vAlign w:val="bottom"/>
            <w:hideMark/>
          </w:tcPr>
          <w:p w14:paraId="3A0EBFD6"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-1.78</w:t>
            </w:r>
          </w:p>
        </w:tc>
        <w:tc>
          <w:tcPr>
            <w:tcW w:w="540" w:type="dxa"/>
            <w:tcBorders>
              <w:top w:val="nil"/>
              <w:left w:val="nil"/>
              <w:bottom w:val="nil"/>
              <w:right w:val="nil"/>
            </w:tcBorders>
            <w:shd w:val="clear" w:color="000000" w:fill="FFFFFF"/>
            <w:noWrap/>
            <w:vAlign w:val="bottom"/>
            <w:hideMark/>
          </w:tcPr>
          <w:p w14:paraId="62E2552C"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-0.76</w:t>
            </w:r>
          </w:p>
        </w:tc>
        <w:tc>
          <w:tcPr>
            <w:tcW w:w="450" w:type="dxa"/>
            <w:tcBorders>
              <w:top w:val="nil"/>
              <w:left w:val="nil"/>
              <w:bottom w:val="nil"/>
              <w:right w:val="single" w:sz="4" w:space="0" w:color="auto"/>
            </w:tcBorders>
            <w:shd w:val="clear" w:color="000000" w:fill="FFFFFF"/>
            <w:noWrap/>
            <w:vAlign w:val="bottom"/>
            <w:hideMark/>
          </w:tcPr>
          <w:p w14:paraId="1FEA706C"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-4.20</w:t>
            </w:r>
          </w:p>
        </w:tc>
        <w:tc>
          <w:tcPr>
            <w:tcW w:w="540" w:type="dxa"/>
            <w:tcBorders>
              <w:top w:val="nil"/>
              <w:left w:val="nil"/>
              <w:bottom w:val="nil"/>
              <w:right w:val="nil"/>
            </w:tcBorders>
            <w:shd w:val="clear" w:color="000000" w:fill="FFFFFF"/>
            <w:noWrap/>
            <w:vAlign w:val="bottom"/>
            <w:hideMark/>
          </w:tcPr>
          <w:p w14:paraId="7FE7A73D"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0.17</w:t>
            </w:r>
          </w:p>
        </w:tc>
        <w:tc>
          <w:tcPr>
            <w:tcW w:w="450" w:type="dxa"/>
            <w:tcBorders>
              <w:top w:val="nil"/>
              <w:left w:val="nil"/>
              <w:bottom w:val="nil"/>
              <w:right w:val="single" w:sz="4" w:space="0" w:color="auto"/>
            </w:tcBorders>
            <w:shd w:val="clear" w:color="000000" w:fill="FFFFFF"/>
            <w:noWrap/>
            <w:vAlign w:val="bottom"/>
            <w:hideMark/>
          </w:tcPr>
          <w:p w14:paraId="7507BE5A"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1.42</w:t>
            </w:r>
          </w:p>
        </w:tc>
        <w:tc>
          <w:tcPr>
            <w:tcW w:w="540" w:type="dxa"/>
            <w:tcBorders>
              <w:top w:val="nil"/>
              <w:left w:val="nil"/>
              <w:bottom w:val="nil"/>
              <w:right w:val="nil"/>
            </w:tcBorders>
            <w:shd w:val="clear" w:color="000000" w:fill="FFFFFF"/>
            <w:noWrap/>
            <w:vAlign w:val="center"/>
            <w:hideMark/>
          </w:tcPr>
          <w:p w14:paraId="451E71D0"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4" w:type="dxa"/>
            <w:tcBorders>
              <w:top w:val="nil"/>
              <w:left w:val="nil"/>
              <w:bottom w:val="nil"/>
              <w:right w:val="single" w:sz="4" w:space="0" w:color="auto"/>
            </w:tcBorders>
            <w:shd w:val="clear" w:color="000000" w:fill="FFFFFF"/>
            <w:noWrap/>
            <w:vAlign w:val="center"/>
            <w:hideMark/>
          </w:tcPr>
          <w:p w14:paraId="3C0120CA"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hideMark/>
          </w:tcPr>
          <w:p w14:paraId="1253B243"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6" w:type="dxa"/>
            <w:tcBorders>
              <w:top w:val="nil"/>
              <w:left w:val="nil"/>
              <w:bottom w:val="nil"/>
              <w:right w:val="single" w:sz="12" w:space="0" w:color="auto"/>
            </w:tcBorders>
            <w:shd w:val="clear" w:color="000000" w:fill="FFFFFF"/>
            <w:noWrap/>
            <w:vAlign w:val="center"/>
            <w:hideMark/>
          </w:tcPr>
          <w:p w14:paraId="2FEA75C1"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vAlign w:val="bottom"/>
          </w:tcPr>
          <w:p w14:paraId="50B4368B"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0.50</w:t>
            </w:r>
          </w:p>
        </w:tc>
        <w:tc>
          <w:tcPr>
            <w:tcW w:w="540" w:type="dxa"/>
            <w:tcBorders>
              <w:top w:val="nil"/>
              <w:left w:val="nil"/>
              <w:bottom w:val="nil"/>
              <w:right w:val="single" w:sz="12" w:space="0" w:color="auto"/>
            </w:tcBorders>
            <w:shd w:val="clear" w:color="000000" w:fill="FFFFFF"/>
            <w:vAlign w:val="bottom"/>
          </w:tcPr>
          <w:p w14:paraId="2C9D4CA3"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8.56</w:t>
            </w:r>
          </w:p>
        </w:tc>
        <w:tc>
          <w:tcPr>
            <w:tcW w:w="630" w:type="dxa"/>
            <w:tcBorders>
              <w:top w:val="nil"/>
              <w:left w:val="single" w:sz="12" w:space="0" w:color="auto"/>
              <w:bottom w:val="nil"/>
              <w:right w:val="nil"/>
            </w:tcBorders>
            <w:shd w:val="clear" w:color="000000" w:fill="FFFFFF"/>
            <w:vAlign w:val="bottom"/>
          </w:tcPr>
          <w:p w14:paraId="2991D066"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0.53</w:t>
            </w:r>
          </w:p>
        </w:tc>
        <w:tc>
          <w:tcPr>
            <w:tcW w:w="542" w:type="dxa"/>
            <w:tcBorders>
              <w:top w:val="nil"/>
              <w:left w:val="nil"/>
              <w:bottom w:val="nil"/>
              <w:right w:val="single" w:sz="12" w:space="0" w:color="auto"/>
            </w:tcBorders>
            <w:shd w:val="clear" w:color="000000" w:fill="FFFFFF"/>
            <w:vAlign w:val="bottom"/>
          </w:tcPr>
          <w:p w14:paraId="59F4A1F5"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13.58</w:t>
            </w:r>
          </w:p>
        </w:tc>
      </w:tr>
      <w:tr w:rsidR="002961DC" w:rsidRPr="00A95729" w14:paraId="6ACFEF05" w14:textId="77777777" w:rsidTr="00E56366">
        <w:trPr>
          <w:trHeight w:val="20"/>
          <w:jc w:val="center"/>
        </w:trPr>
        <w:tc>
          <w:tcPr>
            <w:tcW w:w="2595" w:type="dxa"/>
            <w:tcBorders>
              <w:top w:val="nil"/>
              <w:left w:val="single" w:sz="12" w:space="0" w:color="auto"/>
              <w:right w:val="single" w:sz="12" w:space="0" w:color="auto"/>
            </w:tcBorders>
            <w:shd w:val="clear" w:color="000000" w:fill="FFFFFF"/>
            <w:noWrap/>
            <w:vAlign w:val="bottom"/>
            <w:hideMark/>
          </w:tcPr>
          <w:p w14:paraId="36B99863" w14:textId="77777777" w:rsidR="002961DC" w:rsidRPr="00A95729" w:rsidRDefault="002961DC" w:rsidP="00E56366">
            <w:pPr>
              <w:spacing w:after="0" w:line="240" w:lineRule="auto"/>
              <w:rPr>
                <w:rFonts w:eastAsia="Times New Roman"/>
                <w:color w:val="000000"/>
                <w:sz w:val="18"/>
                <w:szCs w:val="18"/>
              </w:rPr>
            </w:pPr>
            <w:r w:rsidRPr="00A95729">
              <w:rPr>
                <w:rFonts w:eastAsia="Times New Roman"/>
                <w:color w:val="000000"/>
                <w:sz w:val="18"/>
                <w:szCs w:val="18"/>
              </w:rPr>
              <w:t>Home Ownership (Own home)</w:t>
            </w:r>
          </w:p>
        </w:tc>
        <w:tc>
          <w:tcPr>
            <w:tcW w:w="537" w:type="dxa"/>
            <w:tcBorders>
              <w:top w:val="nil"/>
              <w:left w:val="single" w:sz="12" w:space="0" w:color="auto"/>
            </w:tcBorders>
            <w:shd w:val="clear" w:color="000000" w:fill="FFFFFF"/>
          </w:tcPr>
          <w:p w14:paraId="0917D440" w14:textId="77777777" w:rsidR="002961DC" w:rsidRPr="00A95729" w:rsidRDefault="002961DC" w:rsidP="00E56366">
            <w:pPr>
              <w:spacing w:after="0" w:line="240" w:lineRule="auto"/>
              <w:jc w:val="center"/>
              <w:rPr>
                <w:rFonts w:eastAsia="Times New Roman"/>
                <w:color w:val="000000"/>
                <w:sz w:val="18"/>
                <w:szCs w:val="18"/>
              </w:rPr>
            </w:pPr>
          </w:p>
        </w:tc>
        <w:tc>
          <w:tcPr>
            <w:tcW w:w="541" w:type="dxa"/>
            <w:tcBorders>
              <w:top w:val="nil"/>
              <w:left w:val="nil"/>
              <w:right w:val="single" w:sz="12" w:space="0" w:color="auto"/>
            </w:tcBorders>
            <w:shd w:val="clear" w:color="000000" w:fill="FFFFFF"/>
          </w:tcPr>
          <w:p w14:paraId="72365D42" w14:textId="77777777" w:rsidR="002961DC" w:rsidRPr="00A95729" w:rsidRDefault="002961DC" w:rsidP="00E56366">
            <w:pPr>
              <w:spacing w:after="0" w:line="240" w:lineRule="auto"/>
              <w:jc w:val="center"/>
              <w:rPr>
                <w:rFonts w:eastAsia="Times New Roman"/>
                <w:color w:val="000000"/>
                <w:sz w:val="18"/>
                <w:szCs w:val="18"/>
              </w:rPr>
            </w:pPr>
          </w:p>
        </w:tc>
        <w:tc>
          <w:tcPr>
            <w:tcW w:w="539" w:type="dxa"/>
            <w:tcBorders>
              <w:top w:val="nil"/>
              <w:left w:val="single" w:sz="12" w:space="0" w:color="auto"/>
              <w:right w:val="nil"/>
            </w:tcBorders>
            <w:shd w:val="clear" w:color="000000" w:fill="FFFFFF"/>
            <w:noWrap/>
            <w:vAlign w:val="center"/>
            <w:hideMark/>
          </w:tcPr>
          <w:p w14:paraId="2AA4AE28"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449" w:type="dxa"/>
            <w:tcBorders>
              <w:top w:val="nil"/>
              <w:left w:val="nil"/>
              <w:right w:val="single" w:sz="4" w:space="0" w:color="auto"/>
            </w:tcBorders>
            <w:shd w:val="clear" w:color="000000" w:fill="FFFFFF"/>
            <w:noWrap/>
            <w:vAlign w:val="center"/>
            <w:hideMark/>
          </w:tcPr>
          <w:p w14:paraId="0AB9EDB5"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right w:val="nil"/>
            </w:tcBorders>
            <w:shd w:val="clear" w:color="000000" w:fill="FFFFFF"/>
            <w:noWrap/>
            <w:vAlign w:val="center"/>
            <w:hideMark/>
          </w:tcPr>
          <w:p w14:paraId="19E0DC93"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450" w:type="dxa"/>
            <w:tcBorders>
              <w:top w:val="nil"/>
              <w:left w:val="nil"/>
              <w:right w:val="single" w:sz="4" w:space="0" w:color="auto"/>
            </w:tcBorders>
            <w:shd w:val="clear" w:color="000000" w:fill="FFFFFF"/>
            <w:noWrap/>
            <w:vAlign w:val="center"/>
            <w:hideMark/>
          </w:tcPr>
          <w:p w14:paraId="627AA022"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right w:val="nil"/>
            </w:tcBorders>
            <w:shd w:val="clear" w:color="000000" w:fill="FFFFFF"/>
            <w:noWrap/>
            <w:vAlign w:val="center"/>
            <w:hideMark/>
          </w:tcPr>
          <w:p w14:paraId="155E230D"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450" w:type="dxa"/>
            <w:tcBorders>
              <w:top w:val="nil"/>
              <w:left w:val="nil"/>
              <w:right w:val="single" w:sz="4" w:space="0" w:color="auto"/>
            </w:tcBorders>
            <w:shd w:val="clear" w:color="000000" w:fill="FFFFFF"/>
            <w:noWrap/>
            <w:vAlign w:val="center"/>
            <w:hideMark/>
          </w:tcPr>
          <w:p w14:paraId="57737660"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4" w:type="dxa"/>
            <w:tcBorders>
              <w:top w:val="nil"/>
              <w:left w:val="nil"/>
              <w:right w:val="nil"/>
            </w:tcBorders>
            <w:shd w:val="clear" w:color="000000" w:fill="FFFFFF"/>
            <w:noWrap/>
            <w:vAlign w:val="bottom"/>
          </w:tcPr>
          <w:p w14:paraId="039113C0" w14:textId="77777777" w:rsidR="002961DC" w:rsidRPr="00A95729" w:rsidRDefault="002961DC" w:rsidP="00E56366">
            <w:pPr>
              <w:spacing w:after="0" w:line="240" w:lineRule="auto"/>
              <w:jc w:val="center"/>
              <w:rPr>
                <w:rFonts w:eastAsia="Times New Roman"/>
                <w:color w:val="000000"/>
                <w:sz w:val="18"/>
                <w:szCs w:val="18"/>
              </w:rPr>
            </w:pPr>
          </w:p>
        </w:tc>
        <w:tc>
          <w:tcPr>
            <w:tcW w:w="540" w:type="dxa"/>
            <w:tcBorders>
              <w:top w:val="nil"/>
              <w:left w:val="nil"/>
              <w:right w:val="single" w:sz="4" w:space="0" w:color="auto"/>
            </w:tcBorders>
            <w:shd w:val="clear" w:color="000000" w:fill="FFFFFF"/>
            <w:noWrap/>
            <w:vAlign w:val="bottom"/>
          </w:tcPr>
          <w:p w14:paraId="6FAF5C2D" w14:textId="77777777" w:rsidR="002961DC" w:rsidRPr="00A95729" w:rsidRDefault="002961DC" w:rsidP="00E56366">
            <w:pPr>
              <w:spacing w:after="0" w:line="240" w:lineRule="auto"/>
              <w:jc w:val="center"/>
              <w:rPr>
                <w:rFonts w:eastAsia="Times New Roman"/>
                <w:color w:val="000000"/>
                <w:sz w:val="18"/>
                <w:szCs w:val="18"/>
              </w:rPr>
            </w:pPr>
          </w:p>
        </w:tc>
        <w:tc>
          <w:tcPr>
            <w:tcW w:w="540" w:type="dxa"/>
            <w:tcBorders>
              <w:top w:val="nil"/>
              <w:left w:val="nil"/>
              <w:right w:val="nil"/>
            </w:tcBorders>
            <w:shd w:val="clear" w:color="000000" w:fill="FFFFFF"/>
            <w:noWrap/>
            <w:vAlign w:val="center"/>
            <w:hideMark/>
          </w:tcPr>
          <w:p w14:paraId="357029BA"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450" w:type="dxa"/>
            <w:tcBorders>
              <w:top w:val="nil"/>
              <w:left w:val="nil"/>
              <w:right w:val="single" w:sz="4" w:space="0" w:color="auto"/>
            </w:tcBorders>
            <w:shd w:val="clear" w:color="000000" w:fill="FFFFFF"/>
            <w:noWrap/>
            <w:vAlign w:val="center"/>
            <w:hideMark/>
          </w:tcPr>
          <w:p w14:paraId="2AFD9652"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right w:val="nil"/>
            </w:tcBorders>
            <w:shd w:val="clear" w:color="000000" w:fill="FFFFFF"/>
            <w:noWrap/>
            <w:vAlign w:val="center"/>
            <w:hideMark/>
          </w:tcPr>
          <w:p w14:paraId="5D7C81C8"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450" w:type="dxa"/>
            <w:tcBorders>
              <w:top w:val="nil"/>
              <w:left w:val="nil"/>
              <w:right w:val="single" w:sz="4" w:space="0" w:color="auto"/>
            </w:tcBorders>
            <w:shd w:val="clear" w:color="000000" w:fill="FFFFFF"/>
            <w:noWrap/>
            <w:vAlign w:val="center"/>
            <w:hideMark/>
          </w:tcPr>
          <w:p w14:paraId="0C8BC621"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right w:val="nil"/>
            </w:tcBorders>
            <w:shd w:val="clear" w:color="000000" w:fill="FFFFFF"/>
            <w:noWrap/>
            <w:vAlign w:val="center"/>
            <w:hideMark/>
          </w:tcPr>
          <w:p w14:paraId="693C85C0"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454" w:type="dxa"/>
            <w:tcBorders>
              <w:top w:val="nil"/>
              <w:left w:val="nil"/>
              <w:right w:val="single" w:sz="4" w:space="0" w:color="auto"/>
            </w:tcBorders>
            <w:shd w:val="clear" w:color="000000" w:fill="FFFFFF"/>
            <w:noWrap/>
            <w:vAlign w:val="center"/>
            <w:hideMark/>
          </w:tcPr>
          <w:p w14:paraId="51E40591"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right w:val="nil"/>
            </w:tcBorders>
            <w:shd w:val="clear" w:color="000000" w:fill="FFFFFF"/>
            <w:noWrap/>
            <w:vAlign w:val="center"/>
            <w:hideMark/>
          </w:tcPr>
          <w:p w14:paraId="33B67E51"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456" w:type="dxa"/>
            <w:tcBorders>
              <w:top w:val="nil"/>
              <w:left w:val="nil"/>
              <w:right w:val="single" w:sz="12" w:space="0" w:color="auto"/>
            </w:tcBorders>
            <w:shd w:val="clear" w:color="000000" w:fill="FFFFFF"/>
            <w:noWrap/>
            <w:vAlign w:val="center"/>
            <w:hideMark/>
          </w:tcPr>
          <w:p w14:paraId="7B18BFD1"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right w:val="nil"/>
            </w:tcBorders>
            <w:shd w:val="clear" w:color="000000" w:fill="FFFFFF"/>
          </w:tcPr>
          <w:p w14:paraId="7F839F52" w14:textId="77777777" w:rsidR="002961DC" w:rsidRPr="00A95729" w:rsidRDefault="002961DC" w:rsidP="00E56366">
            <w:pPr>
              <w:spacing w:after="0" w:line="240" w:lineRule="auto"/>
              <w:jc w:val="center"/>
              <w:rPr>
                <w:rFonts w:eastAsia="Times New Roman"/>
                <w:color w:val="000000"/>
                <w:sz w:val="18"/>
                <w:szCs w:val="18"/>
              </w:rPr>
            </w:pPr>
          </w:p>
        </w:tc>
        <w:tc>
          <w:tcPr>
            <w:tcW w:w="540" w:type="dxa"/>
            <w:tcBorders>
              <w:top w:val="nil"/>
              <w:left w:val="nil"/>
              <w:right w:val="single" w:sz="12" w:space="0" w:color="auto"/>
            </w:tcBorders>
            <w:shd w:val="clear" w:color="000000" w:fill="FFFFFF"/>
          </w:tcPr>
          <w:p w14:paraId="77840A4A" w14:textId="77777777" w:rsidR="002961DC" w:rsidRPr="00A95729" w:rsidRDefault="002961DC" w:rsidP="00E56366">
            <w:pPr>
              <w:spacing w:after="0" w:line="240" w:lineRule="auto"/>
              <w:jc w:val="center"/>
              <w:rPr>
                <w:rFonts w:eastAsia="Times New Roman"/>
                <w:color w:val="000000"/>
                <w:sz w:val="18"/>
                <w:szCs w:val="18"/>
              </w:rPr>
            </w:pPr>
          </w:p>
        </w:tc>
        <w:tc>
          <w:tcPr>
            <w:tcW w:w="630" w:type="dxa"/>
            <w:tcBorders>
              <w:top w:val="nil"/>
              <w:left w:val="single" w:sz="12" w:space="0" w:color="auto"/>
              <w:right w:val="nil"/>
            </w:tcBorders>
            <w:shd w:val="clear" w:color="000000" w:fill="FFFFFF"/>
          </w:tcPr>
          <w:p w14:paraId="1F8BC2AE" w14:textId="77777777" w:rsidR="002961DC" w:rsidRPr="00A95729" w:rsidRDefault="002961DC" w:rsidP="00E56366">
            <w:pPr>
              <w:spacing w:after="0" w:line="240" w:lineRule="auto"/>
              <w:jc w:val="center"/>
              <w:rPr>
                <w:rFonts w:eastAsia="Times New Roman"/>
                <w:color w:val="000000"/>
                <w:sz w:val="18"/>
                <w:szCs w:val="18"/>
              </w:rPr>
            </w:pPr>
          </w:p>
        </w:tc>
        <w:tc>
          <w:tcPr>
            <w:tcW w:w="542" w:type="dxa"/>
            <w:tcBorders>
              <w:top w:val="nil"/>
              <w:left w:val="nil"/>
              <w:right w:val="single" w:sz="12" w:space="0" w:color="auto"/>
            </w:tcBorders>
            <w:shd w:val="clear" w:color="000000" w:fill="FFFFFF"/>
          </w:tcPr>
          <w:p w14:paraId="4FB8422F" w14:textId="77777777" w:rsidR="002961DC" w:rsidRPr="00A95729" w:rsidRDefault="002961DC" w:rsidP="00E56366">
            <w:pPr>
              <w:spacing w:after="0" w:line="240" w:lineRule="auto"/>
              <w:jc w:val="center"/>
              <w:rPr>
                <w:rFonts w:eastAsia="Times New Roman"/>
                <w:color w:val="000000"/>
                <w:sz w:val="18"/>
                <w:szCs w:val="18"/>
              </w:rPr>
            </w:pPr>
          </w:p>
        </w:tc>
      </w:tr>
      <w:tr w:rsidR="002961DC" w:rsidRPr="00A95729" w14:paraId="46B31045" w14:textId="77777777" w:rsidTr="00E56366">
        <w:trPr>
          <w:trHeight w:val="20"/>
          <w:jc w:val="center"/>
        </w:trPr>
        <w:tc>
          <w:tcPr>
            <w:tcW w:w="2595" w:type="dxa"/>
            <w:tcBorders>
              <w:top w:val="nil"/>
              <w:left w:val="single" w:sz="12" w:space="0" w:color="auto"/>
              <w:right w:val="single" w:sz="12" w:space="0" w:color="auto"/>
            </w:tcBorders>
            <w:shd w:val="clear" w:color="000000" w:fill="FFFFFF"/>
            <w:noWrap/>
            <w:vAlign w:val="bottom"/>
            <w:hideMark/>
          </w:tcPr>
          <w:p w14:paraId="46118CE0" w14:textId="77777777" w:rsidR="002961DC" w:rsidRPr="00BD6554" w:rsidRDefault="002961DC" w:rsidP="00E56366">
            <w:pPr>
              <w:spacing w:after="0" w:line="240" w:lineRule="auto"/>
              <w:rPr>
                <w:rFonts w:eastAsia="Times New Roman"/>
                <w:color w:val="000000"/>
                <w:sz w:val="18"/>
                <w:szCs w:val="18"/>
              </w:rPr>
            </w:pPr>
            <w:r w:rsidRPr="00BD6554">
              <w:rPr>
                <w:rFonts w:eastAsia="Times New Roman"/>
                <w:color w:val="000000"/>
                <w:sz w:val="18"/>
                <w:szCs w:val="18"/>
              </w:rPr>
              <w:t xml:space="preserve">     Rent</w:t>
            </w:r>
          </w:p>
        </w:tc>
        <w:tc>
          <w:tcPr>
            <w:tcW w:w="537" w:type="dxa"/>
            <w:tcBorders>
              <w:top w:val="nil"/>
              <w:left w:val="single" w:sz="12" w:space="0" w:color="auto"/>
            </w:tcBorders>
            <w:shd w:val="clear" w:color="000000" w:fill="FFFFFF"/>
            <w:vAlign w:val="bottom"/>
          </w:tcPr>
          <w:p w14:paraId="2A56432B" w14:textId="77777777" w:rsidR="002961DC" w:rsidRPr="00A95729" w:rsidRDefault="002961DC" w:rsidP="00E56366">
            <w:pPr>
              <w:spacing w:after="0" w:line="240" w:lineRule="auto"/>
              <w:jc w:val="center"/>
              <w:rPr>
                <w:color w:val="000000"/>
                <w:sz w:val="18"/>
                <w:szCs w:val="18"/>
              </w:rPr>
            </w:pPr>
            <w:r w:rsidRPr="00A95729">
              <w:rPr>
                <w:color w:val="000000"/>
                <w:sz w:val="18"/>
                <w:szCs w:val="18"/>
              </w:rPr>
              <w:t>0.10</w:t>
            </w:r>
          </w:p>
        </w:tc>
        <w:tc>
          <w:tcPr>
            <w:tcW w:w="541" w:type="dxa"/>
            <w:tcBorders>
              <w:top w:val="nil"/>
              <w:left w:val="nil"/>
              <w:right w:val="single" w:sz="12" w:space="0" w:color="auto"/>
            </w:tcBorders>
            <w:shd w:val="clear" w:color="000000" w:fill="FFFFFF"/>
            <w:vAlign w:val="bottom"/>
          </w:tcPr>
          <w:p w14:paraId="4A5BA1A3" w14:textId="77777777" w:rsidR="002961DC" w:rsidRPr="00A95729" w:rsidRDefault="002961DC" w:rsidP="00E56366">
            <w:pPr>
              <w:spacing w:after="0" w:line="240" w:lineRule="auto"/>
              <w:jc w:val="center"/>
              <w:rPr>
                <w:color w:val="000000"/>
                <w:sz w:val="18"/>
                <w:szCs w:val="18"/>
              </w:rPr>
            </w:pPr>
            <w:r w:rsidRPr="00A95729">
              <w:rPr>
                <w:color w:val="000000"/>
                <w:sz w:val="18"/>
                <w:szCs w:val="18"/>
              </w:rPr>
              <w:t>2.90</w:t>
            </w:r>
          </w:p>
        </w:tc>
        <w:tc>
          <w:tcPr>
            <w:tcW w:w="539" w:type="dxa"/>
            <w:tcBorders>
              <w:top w:val="nil"/>
              <w:left w:val="single" w:sz="12" w:space="0" w:color="auto"/>
              <w:right w:val="nil"/>
            </w:tcBorders>
            <w:shd w:val="clear" w:color="000000" w:fill="FFFFFF"/>
            <w:noWrap/>
            <w:vAlign w:val="bottom"/>
            <w:hideMark/>
          </w:tcPr>
          <w:p w14:paraId="3854BBF6"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0.25</w:t>
            </w:r>
          </w:p>
        </w:tc>
        <w:tc>
          <w:tcPr>
            <w:tcW w:w="449" w:type="dxa"/>
            <w:tcBorders>
              <w:top w:val="nil"/>
              <w:left w:val="nil"/>
              <w:right w:val="single" w:sz="4" w:space="0" w:color="auto"/>
            </w:tcBorders>
            <w:shd w:val="clear" w:color="000000" w:fill="FFFFFF"/>
            <w:noWrap/>
            <w:vAlign w:val="bottom"/>
            <w:hideMark/>
          </w:tcPr>
          <w:p w14:paraId="25BBACBA"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2.37</w:t>
            </w:r>
          </w:p>
        </w:tc>
        <w:tc>
          <w:tcPr>
            <w:tcW w:w="540" w:type="dxa"/>
            <w:tcBorders>
              <w:top w:val="nil"/>
              <w:left w:val="nil"/>
              <w:right w:val="nil"/>
            </w:tcBorders>
            <w:shd w:val="clear" w:color="000000" w:fill="FFFFFF"/>
            <w:noWrap/>
            <w:vAlign w:val="center"/>
            <w:hideMark/>
          </w:tcPr>
          <w:p w14:paraId="2BDE25AD"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right w:val="single" w:sz="4" w:space="0" w:color="auto"/>
            </w:tcBorders>
            <w:shd w:val="clear" w:color="000000" w:fill="FFFFFF"/>
            <w:noWrap/>
            <w:vAlign w:val="center"/>
            <w:hideMark/>
          </w:tcPr>
          <w:p w14:paraId="045829FB"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right w:val="nil"/>
            </w:tcBorders>
            <w:shd w:val="clear" w:color="000000" w:fill="FFFFFF"/>
            <w:noWrap/>
            <w:vAlign w:val="bottom"/>
            <w:hideMark/>
          </w:tcPr>
          <w:p w14:paraId="454F2447"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0.25</w:t>
            </w:r>
          </w:p>
        </w:tc>
        <w:tc>
          <w:tcPr>
            <w:tcW w:w="450" w:type="dxa"/>
            <w:tcBorders>
              <w:top w:val="nil"/>
              <w:left w:val="nil"/>
              <w:right w:val="single" w:sz="4" w:space="0" w:color="auto"/>
            </w:tcBorders>
            <w:shd w:val="clear" w:color="000000" w:fill="FFFFFF"/>
            <w:noWrap/>
            <w:vAlign w:val="bottom"/>
            <w:hideMark/>
          </w:tcPr>
          <w:p w14:paraId="082F8413"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2.75</w:t>
            </w:r>
          </w:p>
        </w:tc>
        <w:tc>
          <w:tcPr>
            <w:tcW w:w="544" w:type="dxa"/>
            <w:tcBorders>
              <w:top w:val="nil"/>
              <w:left w:val="nil"/>
              <w:right w:val="nil"/>
            </w:tcBorders>
            <w:shd w:val="clear" w:color="000000" w:fill="FFFFFF"/>
            <w:noWrap/>
            <w:vAlign w:val="bottom"/>
            <w:hideMark/>
          </w:tcPr>
          <w:p w14:paraId="21EA7CEF"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0.29</w:t>
            </w:r>
          </w:p>
        </w:tc>
        <w:tc>
          <w:tcPr>
            <w:tcW w:w="540" w:type="dxa"/>
            <w:tcBorders>
              <w:top w:val="nil"/>
              <w:left w:val="nil"/>
              <w:right w:val="single" w:sz="4" w:space="0" w:color="auto"/>
            </w:tcBorders>
            <w:shd w:val="clear" w:color="000000" w:fill="FFFFFF"/>
            <w:noWrap/>
            <w:vAlign w:val="bottom"/>
            <w:hideMark/>
          </w:tcPr>
          <w:p w14:paraId="3BC7A0DC"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3.22</w:t>
            </w:r>
          </w:p>
        </w:tc>
        <w:tc>
          <w:tcPr>
            <w:tcW w:w="540" w:type="dxa"/>
            <w:tcBorders>
              <w:top w:val="nil"/>
              <w:left w:val="nil"/>
              <w:right w:val="nil"/>
            </w:tcBorders>
            <w:shd w:val="clear" w:color="000000" w:fill="FFFFFF"/>
            <w:noWrap/>
            <w:vAlign w:val="bottom"/>
            <w:hideMark/>
          </w:tcPr>
          <w:p w14:paraId="7472EF10"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0.17</w:t>
            </w:r>
          </w:p>
        </w:tc>
        <w:tc>
          <w:tcPr>
            <w:tcW w:w="450" w:type="dxa"/>
            <w:tcBorders>
              <w:top w:val="nil"/>
              <w:left w:val="nil"/>
              <w:right w:val="single" w:sz="4" w:space="0" w:color="auto"/>
            </w:tcBorders>
            <w:shd w:val="clear" w:color="000000" w:fill="FFFFFF"/>
            <w:noWrap/>
            <w:vAlign w:val="bottom"/>
            <w:hideMark/>
          </w:tcPr>
          <w:p w14:paraId="784A1C2A"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2.16</w:t>
            </w:r>
          </w:p>
        </w:tc>
        <w:tc>
          <w:tcPr>
            <w:tcW w:w="540" w:type="dxa"/>
            <w:tcBorders>
              <w:top w:val="nil"/>
              <w:left w:val="nil"/>
              <w:right w:val="nil"/>
            </w:tcBorders>
            <w:shd w:val="clear" w:color="000000" w:fill="FFFFFF"/>
            <w:noWrap/>
            <w:vAlign w:val="center"/>
            <w:hideMark/>
          </w:tcPr>
          <w:p w14:paraId="4E277211"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right w:val="single" w:sz="4" w:space="0" w:color="auto"/>
            </w:tcBorders>
            <w:shd w:val="clear" w:color="000000" w:fill="FFFFFF"/>
            <w:noWrap/>
            <w:vAlign w:val="center"/>
            <w:hideMark/>
          </w:tcPr>
          <w:p w14:paraId="5A4FC4ED"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right w:val="nil"/>
            </w:tcBorders>
            <w:shd w:val="clear" w:color="000000" w:fill="FFFFFF"/>
            <w:noWrap/>
            <w:vAlign w:val="bottom"/>
            <w:hideMark/>
          </w:tcPr>
          <w:p w14:paraId="41428E44"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-0.11</w:t>
            </w:r>
          </w:p>
        </w:tc>
        <w:tc>
          <w:tcPr>
            <w:tcW w:w="454" w:type="dxa"/>
            <w:tcBorders>
              <w:top w:val="nil"/>
              <w:left w:val="nil"/>
              <w:right w:val="single" w:sz="4" w:space="0" w:color="auto"/>
            </w:tcBorders>
            <w:shd w:val="clear" w:color="000000" w:fill="FFFFFF"/>
            <w:noWrap/>
            <w:vAlign w:val="bottom"/>
            <w:hideMark/>
          </w:tcPr>
          <w:p w14:paraId="31589C33"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-1.32</w:t>
            </w:r>
          </w:p>
        </w:tc>
        <w:tc>
          <w:tcPr>
            <w:tcW w:w="540" w:type="dxa"/>
            <w:tcBorders>
              <w:top w:val="nil"/>
              <w:left w:val="nil"/>
              <w:right w:val="nil"/>
            </w:tcBorders>
            <w:shd w:val="clear" w:color="000000" w:fill="FFFFFF"/>
            <w:noWrap/>
            <w:vAlign w:val="center"/>
            <w:hideMark/>
          </w:tcPr>
          <w:p w14:paraId="2F6D0DAC"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6" w:type="dxa"/>
            <w:tcBorders>
              <w:top w:val="nil"/>
              <w:left w:val="nil"/>
              <w:right w:val="single" w:sz="12" w:space="0" w:color="auto"/>
            </w:tcBorders>
            <w:shd w:val="clear" w:color="000000" w:fill="FFFFFF"/>
            <w:noWrap/>
            <w:vAlign w:val="center"/>
            <w:hideMark/>
          </w:tcPr>
          <w:p w14:paraId="05B23B5B"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right w:val="nil"/>
            </w:tcBorders>
            <w:shd w:val="clear" w:color="000000" w:fill="FFFFFF"/>
            <w:vAlign w:val="center"/>
          </w:tcPr>
          <w:p w14:paraId="219BCA8F"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540" w:type="dxa"/>
            <w:tcBorders>
              <w:top w:val="nil"/>
              <w:left w:val="nil"/>
              <w:right w:val="single" w:sz="12" w:space="0" w:color="auto"/>
            </w:tcBorders>
            <w:shd w:val="clear" w:color="000000" w:fill="FFFFFF"/>
            <w:vAlign w:val="center"/>
          </w:tcPr>
          <w:p w14:paraId="70B681C6"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630" w:type="dxa"/>
            <w:tcBorders>
              <w:top w:val="nil"/>
              <w:left w:val="single" w:sz="12" w:space="0" w:color="auto"/>
              <w:right w:val="nil"/>
            </w:tcBorders>
            <w:shd w:val="clear" w:color="000000" w:fill="FFFFFF"/>
            <w:vAlign w:val="center"/>
          </w:tcPr>
          <w:p w14:paraId="249D811E"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542" w:type="dxa"/>
            <w:tcBorders>
              <w:top w:val="nil"/>
              <w:left w:val="nil"/>
              <w:right w:val="single" w:sz="12" w:space="0" w:color="auto"/>
            </w:tcBorders>
            <w:shd w:val="clear" w:color="000000" w:fill="FFFFFF"/>
            <w:vAlign w:val="center"/>
          </w:tcPr>
          <w:p w14:paraId="496F1CDC"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r>
      <w:tr w:rsidR="002961DC" w:rsidRPr="00A95729" w14:paraId="5CC243DE" w14:textId="77777777" w:rsidTr="00E56366">
        <w:trPr>
          <w:trHeight w:val="20"/>
          <w:jc w:val="center"/>
        </w:trPr>
        <w:tc>
          <w:tcPr>
            <w:tcW w:w="2595" w:type="dxa"/>
            <w:tcBorders>
              <w:left w:val="single" w:sz="12" w:space="0" w:color="auto"/>
              <w:right w:val="single" w:sz="12" w:space="0" w:color="auto"/>
            </w:tcBorders>
            <w:shd w:val="clear" w:color="000000" w:fill="FFFFFF"/>
            <w:noWrap/>
            <w:vAlign w:val="bottom"/>
            <w:hideMark/>
          </w:tcPr>
          <w:p w14:paraId="5E83F391" w14:textId="77777777" w:rsidR="002961DC" w:rsidRPr="00BD6554" w:rsidRDefault="002961DC" w:rsidP="00E56366">
            <w:pPr>
              <w:spacing w:after="0" w:line="240" w:lineRule="auto"/>
              <w:rPr>
                <w:rFonts w:eastAsia="Times New Roman"/>
                <w:color w:val="000000"/>
                <w:sz w:val="18"/>
                <w:szCs w:val="18"/>
              </w:rPr>
            </w:pPr>
            <w:r w:rsidRPr="00BD6554">
              <w:rPr>
                <w:rFonts w:eastAsia="Times New Roman"/>
                <w:color w:val="000000"/>
                <w:sz w:val="18"/>
                <w:szCs w:val="18"/>
              </w:rPr>
              <w:t>Household Location Type (Urban)</w:t>
            </w:r>
          </w:p>
        </w:tc>
        <w:tc>
          <w:tcPr>
            <w:tcW w:w="537" w:type="dxa"/>
            <w:tcBorders>
              <w:left w:val="single" w:sz="12" w:space="0" w:color="auto"/>
            </w:tcBorders>
            <w:shd w:val="clear" w:color="000000" w:fill="FFFFFF"/>
          </w:tcPr>
          <w:p w14:paraId="0723ECFA" w14:textId="77777777" w:rsidR="002961DC" w:rsidRPr="00A95729" w:rsidRDefault="002961DC" w:rsidP="00E56366">
            <w:pPr>
              <w:spacing w:after="0" w:line="240" w:lineRule="auto"/>
              <w:jc w:val="center"/>
              <w:rPr>
                <w:rFonts w:eastAsia="Times New Roman"/>
                <w:color w:val="000000"/>
                <w:sz w:val="18"/>
                <w:szCs w:val="18"/>
              </w:rPr>
            </w:pPr>
          </w:p>
        </w:tc>
        <w:tc>
          <w:tcPr>
            <w:tcW w:w="541" w:type="dxa"/>
            <w:tcBorders>
              <w:left w:val="nil"/>
              <w:right w:val="single" w:sz="12" w:space="0" w:color="auto"/>
            </w:tcBorders>
            <w:shd w:val="clear" w:color="000000" w:fill="FFFFFF"/>
          </w:tcPr>
          <w:p w14:paraId="0846EA7F" w14:textId="77777777" w:rsidR="002961DC" w:rsidRPr="00A95729" w:rsidRDefault="002961DC" w:rsidP="00E56366">
            <w:pPr>
              <w:spacing w:after="0" w:line="240" w:lineRule="auto"/>
              <w:jc w:val="center"/>
              <w:rPr>
                <w:rFonts w:eastAsia="Times New Roman"/>
                <w:color w:val="000000"/>
                <w:sz w:val="18"/>
                <w:szCs w:val="18"/>
              </w:rPr>
            </w:pPr>
          </w:p>
        </w:tc>
        <w:tc>
          <w:tcPr>
            <w:tcW w:w="539" w:type="dxa"/>
            <w:tcBorders>
              <w:left w:val="single" w:sz="12" w:space="0" w:color="auto"/>
              <w:right w:val="nil"/>
            </w:tcBorders>
            <w:shd w:val="clear" w:color="000000" w:fill="FFFFFF"/>
            <w:noWrap/>
            <w:vAlign w:val="center"/>
            <w:hideMark/>
          </w:tcPr>
          <w:p w14:paraId="239EBC0B"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449" w:type="dxa"/>
            <w:tcBorders>
              <w:left w:val="nil"/>
              <w:right w:val="single" w:sz="4" w:space="0" w:color="auto"/>
            </w:tcBorders>
            <w:shd w:val="clear" w:color="000000" w:fill="FFFFFF"/>
            <w:noWrap/>
            <w:vAlign w:val="center"/>
            <w:hideMark/>
          </w:tcPr>
          <w:p w14:paraId="1BA0A46D"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left w:val="nil"/>
              <w:right w:val="nil"/>
            </w:tcBorders>
            <w:shd w:val="clear" w:color="000000" w:fill="FFFFFF"/>
            <w:noWrap/>
            <w:vAlign w:val="center"/>
            <w:hideMark/>
          </w:tcPr>
          <w:p w14:paraId="7CD0A670"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450" w:type="dxa"/>
            <w:tcBorders>
              <w:left w:val="nil"/>
              <w:right w:val="single" w:sz="4" w:space="0" w:color="auto"/>
            </w:tcBorders>
            <w:shd w:val="clear" w:color="000000" w:fill="FFFFFF"/>
            <w:noWrap/>
            <w:vAlign w:val="center"/>
            <w:hideMark/>
          </w:tcPr>
          <w:p w14:paraId="6B8E0368"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left w:val="nil"/>
              <w:right w:val="nil"/>
            </w:tcBorders>
            <w:shd w:val="clear" w:color="000000" w:fill="FFFFFF"/>
            <w:noWrap/>
            <w:vAlign w:val="center"/>
            <w:hideMark/>
          </w:tcPr>
          <w:p w14:paraId="42259C33"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450" w:type="dxa"/>
            <w:tcBorders>
              <w:left w:val="nil"/>
              <w:right w:val="single" w:sz="4" w:space="0" w:color="auto"/>
            </w:tcBorders>
            <w:shd w:val="clear" w:color="000000" w:fill="FFFFFF"/>
            <w:noWrap/>
            <w:vAlign w:val="center"/>
            <w:hideMark/>
          </w:tcPr>
          <w:p w14:paraId="37E62E43"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4" w:type="dxa"/>
            <w:tcBorders>
              <w:left w:val="nil"/>
              <w:right w:val="nil"/>
            </w:tcBorders>
            <w:shd w:val="clear" w:color="000000" w:fill="FFFFFF"/>
            <w:noWrap/>
            <w:vAlign w:val="center"/>
            <w:hideMark/>
          </w:tcPr>
          <w:p w14:paraId="1489A319"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left w:val="nil"/>
              <w:right w:val="single" w:sz="4" w:space="0" w:color="auto"/>
            </w:tcBorders>
            <w:shd w:val="clear" w:color="000000" w:fill="FFFFFF"/>
            <w:noWrap/>
            <w:vAlign w:val="center"/>
            <w:hideMark/>
          </w:tcPr>
          <w:p w14:paraId="7F42B8FD"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left w:val="nil"/>
              <w:right w:val="nil"/>
            </w:tcBorders>
            <w:shd w:val="clear" w:color="000000" w:fill="FFFFFF"/>
            <w:noWrap/>
            <w:vAlign w:val="center"/>
            <w:hideMark/>
          </w:tcPr>
          <w:p w14:paraId="3DBFC9FB"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450" w:type="dxa"/>
            <w:tcBorders>
              <w:left w:val="nil"/>
              <w:right w:val="single" w:sz="4" w:space="0" w:color="auto"/>
            </w:tcBorders>
            <w:shd w:val="clear" w:color="000000" w:fill="FFFFFF"/>
            <w:noWrap/>
            <w:vAlign w:val="center"/>
            <w:hideMark/>
          </w:tcPr>
          <w:p w14:paraId="01B476A2"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left w:val="nil"/>
              <w:right w:val="nil"/>
            </w:tcBorders>
            <w:shd w:val="clear" w:color="000000" w:fill="FFFFFF"/>
            <w:noWrap/>
            <w:vAlign w:val="center"/>
            <w:hideMark/>
          </w:tcPr>
          <w:p w14:paraId="0337CD2B"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450" w:type="dxa"/>
            <w:tcBorders>
              <w:left w:val="nil"/>
              <w:right w:val="single" w:sz="4" w:space="0" w:color="auto"/>
            </w:tcBorders>
            <w:shd w:val="clear" w:color="000000" w:fill="FFFFFF"/>
            <w:noWrap/>
            <w:vAlign w:val="center"/>
            <w:hideMark/>
          </w:tcPr>
          <w:p w14:paraId="0EC69376"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left w:val="nil"/>
              <w:right w:val="nil"/>
            </w:tcBorders>
            <w:shd w:val="clear" w:color="000000" w:fill="FFFFFF"/>
            <w:noWrap/>
            <w:vAlign w:val="center"/>
            <w:hideMark/>
          </w:tcPr>
          <w:p w14:paraId="7313E01D"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454" w:type="dxa"/>
            <w:tcBorders>
              <w:left w:val="nil"/>
              <w:right w:val="single" w:sz="4" w:space="0" w:color="auto"/>
            </w:tcBorders>
            <w:shd w:val="clear" w:color="000000" w:fill="FFFFFF"/>
            <w:noWrap/>
            <w:vAlign w:val="center"/>
            <w:hideMark/>
          </w:tcPr>
          <w:p w14:paraId="5C89B156"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left w:val="nil"/>
              <w:right w:val="nil"/>
            </w:tcBorders>
            <w:shd w:val="clear" w:color="000000" w:fill="FFFFFF"/>
            <w:noWrap/>
            <w:vAlign w:val="center"/>
            <w:hideMark/>
          </w:tcPr>
          <w:p w14:paraId="29652129"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456" w:type="dxa"/>
            <w:tcBorders>
              <w:left w:val="nil"/>
              <w:right w:val="single" w:sz="12" w:space="0" w:color="auto"/>
            </w:tcBorders>
            <w:shd w:val="clear" w:color="000000" w:fill="FFFFFF"/>
            <w:noWrap/>
            <w:vAlign w:val="center"/>
            <w:hideMark/>
          </w:tcPr>
          <w:p w14:paraId="27B5F178"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left w:val="nil"/>
              <w:right w:val="nil"/>
            </w:tcBorders>
            <w:shd w:val="clear" w:color="000000" w:fill="FFFFFF"/>
          </w:tcPr>
          <w:p w14:paraId="09FD5EB1" w14:textId="77777777" w:rsidR="002961DC" w:rsidRPr="00A95729" w:rsidRDefault="002961DC" w:rsidP="00E56366">
            <w:pPr>
              <w:spacing w:after="0" w:line="240" w:lineRule="auto"/>
              <w:jc w:val="center"/>
              <w:rPr>
                <w:rFonts w:eastAsia="Times New Roman"/>
                <w:color w:val="000000"/>
                <w:sz w:val="18"/>
                <w:szCs w:val="18"/>
              </w:rPr>
            </w:pPr>
          </w:p>
        </w:tc>
        <w:tc>
          <w:tcPr>
            <w:tcW w:w="540" w:type="dxa"/>
            <w:tcBorders>
              <w:left w:val="nil"/>
              <w:right w:val="single" w:sz="12" w:space="0" w:color="auto"/>
            </w:tcBorders>
            <w:shd w:val="clear" w:color="000000" w:fill="FFFFFF"/>
          </w:tcPr>
          <w:p w14:paraId="58265476" w14:textId="77777777" w:rsidR="002961DC" w:rsidRPr="00A95729" w:rsidRDefault="002961DC" w:rsidP="00E56366">
            <w:pPr>
              <w:spacing w:after="0" w:line="240" w:lineRule="auto"/>
              <w:jc w:val="center"/>
              <w:rPr>
                <w:rFonts w:eastAsia="Times New Roman"/>
                <w:color w:val="000000"/>
                <w:sz w:val="18"/>
                <w:szCs w:val="18"/>
              </w:rPr>
            </w:pPr>
          </w:p>
        </w:tc>
        <w:tc>
          <w:tcPr>
            <w:tcW w:w="630" w:type="dxa"/>
            <w:tcBorders>
              <w:left w:val="single" w:sz="12" w:space="0" w:color="auto"/>
              <w:right w:val="nil"/>
            </w:tcBorders>
            <w:shd w:val="clear" w:color="000000" w:fill="FFFFFF"/>
          </w:tcPr>
          <w:p w14:paraId="51831A7E" w14:textId="77777777" w:rsidR="002961DC" w:rsidRPr="00A95729" w:rsidRDefault="002961DC" w:rsidP="00E56366">
            <w:pPr>
              <w:spacing w:after="0" w:line="240" w:lineRule="auto"/>
              <w:jc w:val="center"/>
              <w:rPr>
                <w:rFonts w:eastAsia="Times New Roman"/>
                <w:color w:val="000000"/>
                <w:sz w:val="18"/>
                <w:szCs w:val="18"/>
              </w:rPr>
            </w:pPr>
          </w:p>
        </w:tc>
        <w:tc>
          <w:tcPr>
            <w:tcW w:w="542" w:type="dxa"/>
            <w:tcBorders>
              <w:left w:val="nil"/>
              <w:right w:val="single" w:sz="12" w:space="0" w:color="auto"/>
            </w:tcBorders>
            <w:shd w:val="clear" w:color="000000" w:fill="FFFFFF"/>
          </w:tcPr>
          <w:p w14:paraId="2D9C35A2" w14:textId="77777777" w:rsidR="002961DC" w:rsidRPr="00A95729" w:rsidRDefault="002961DC" w:rsidP="00E56366">
            <w:pPr>
              <w:spacing w:after="0" w:line="240" w:lineRule="auto"/>
              <w:jc w:val="center"/>
              <w:rPr>
                <w:rFonts w:eastAsia="Times New Roman"/>
                <w:color w:val="000000"/>
                <w:sz w:val="18"/>
                <w:szCs w:val="18"/>
              </w:rPr>
            </w:pPr>
          </w:p>
        </w:tc>
      </w:tr>
      <w:tr w:rsidR="002961DC" w:rsidRPr="00A95729" w14:paraId="52D88E73" w14:textId="77777777" w:rsidTr="00E56366">
        <w:trPr>
          <w:trHeight w:val="20"/>
          <w:jc w:val="center"/>
        </w:trPr>
        <w:tc>
          <w:tcPr>
            <w:tcW w:w="2595" w:type="dxa"/>
            <w:tcBorders>
              <w:top w:val="nil"/>
              <w:left w:val="single" w:sz="12" w:space="0" w:color="auto"/>
              <w:bottom w:val="single" w:sz="12" w:space="0" w:color="auto"/>
              <w:right w:val="single" w:sz="12" w:space="0" w:color="auto"/>
            </w:tcBorders>
            <w:shd w:val="clear" w:color="000000" w:fill="FFFFFF"/>
            <w:noWrap/>
            <w:vAlign w:val="bottom"/>
            <w:hideMark/>
          </w:tcPr>
          <w:p w14:paraId="23B28872" w14:textId="77777777" w:rsidR="002961DC" w:rsidRPr="00BD6554" w:rsidRDefault="002961DC" w:rsidP="00E56366">
            <w:pPr>
              <w:spacing w:after="0" w:line="240" w:lineRule="auto"/>
              <w:rPr>
                <w:rFonts w:eastAsia="Times New Roman"/>
                <w:color w:val="000000"/>
                <w:sz w:val="18"/>
                <w:szCs w:val="18"/>
              </w:rPr>
            </w:pPr>
            <w:r w:rsidRPr="00BD6554">
              <w:rPr>
                <w:rFonts w:eastAsia="Times New Roman"/>
                <w:color w:val="000000"/>
                <w:sz w:val="18"/>
                <w:szCs w:val="18"/>
              </w:rPr>
              <w:t xml:space="preserve">     Rural</w:t>
            </w:r>
          </w:p>
        </w:tc>
        <w:tc>
          <w:tcPr>
            <w:tcW w:w="537" w:type="dxa"/>
            <w:tcBorders>
              <w:top w:val="nil"/>
              <w:left w:val="single" w:sz="12" w:space="0" w:color="auto"/>
              <w:bottom w:val="single" w:sz="12" w:space="0" w:color="auto"/>
            </w:tcBorders>
            <w:shd w:val="clear" w:color="000000" w:fill="FFFFFF"/>
            <w:vAlign w:val="bottom"/>
          </w:tcPr>
          <w:p w14:paraId="13294D5E" w14:textId="77777777" w:rsidR="002961DC" w:rsidRPr="00A95729" w:rsidRDefault="002961DC" w:rsidP="00E56366">
            <w:pPr>
              <w:spacing w:after="0" w:line="240" w:lineRule="auto"/>
              <w:jc w:val="center"/>
              <w:rPr>
                <w:color w:val="000000"/>
                <w:sz w:val="18"/>
                <w:szCs w:val="18"/>
              </w:rPr>
            </w:pPr>
            <w:r w:rsidRPr="00A95729">
              <w:rPr>
                <w:color w:val="000000"/>
                <w:sz w:val="18"/>
                <w:szCs w:val="18"/>
              </w:rPr>
              <w:t>0.05</w:t>
            </w:r>
          </w:p>
        </w:tc>
        <w:tc>
          <w:tcPr>
            <w:tcW w:w="541" w:type="dxa"/>
            <w:tcBorders>
              <w:top w:val="nil"/>
              <w:left w:val="nil"/>
              <w:bottom w:val="single" w:sz="12" w:space="0" w:color="auto"/>
              <w:right w:val="single" w:sz="12" w:space="0" w:color="auto"/>
            </w:tcBorders>
            <w:shd w:val="clear" w:color="000000" w:fill="FFFFFF"/>
            <w:vAlign w:val="bottom"/>
          </w:tcPr>
          <w:p w14:paraId="3289BB5B" w14:textId="77777777" w:rsidR="002961DC" w:rsidRPr="00A95729" w:rsidRDefault="002961DC" w:rsidP="00E56366">
            <w:pPr>
              <w:spacing w:after="0" w:line="240" w:lineRule="auto"/>
              <w:jc w:val="center"/>
              <w:rPr>
                <w:color w:val="000000"/>
                <w:sz w:val="18"/>
                <w:szCs w:val="18"/>
              </w:rPr>
            </w:pPr>
            <w:r w:rsidRPr="00A95729">
              <w:rPr>
                <w:color w:val="000000"/>
                <w:sz w:val="18"/>
                <w:szCs w:val="18"/>
              </w:rPr>
              <w:t>1.70</w:t>
            </w:r>
          </w:p>
        </w:tc>
        <w:tc>
          <w:tcPr>
            <w:tcW w:w="539" w:type="dxa"/>
            <w:tcBorders>
              <w:top w:val="nil"/>
              <w:left w:val="single" w:sz="12" w:space="0" w:color="auto"/>
              <w:bottom w:val="single" w:sz="12" w:space="0" w:color="auto"/>
              <w:right w:val="nil"/>
            </w:tcBorders>
            <w:shd w:val="clear" w:color="000000" w:fill="FFFFFF"/>
            <w:noWrap/>
            <w:vAlign w:val="bottom"/>
            <w:hideMark/>
          </w:tcPr>
          <w:p w14:paraId="68E57257" w14:textId="77777777" w:rsidR="002961DC" w:rsidRPr="00A95729" w:rsidRDefault="002961DC" w:rsidP="00E56366">
            <w:pPr>
              <w:spacing w:after="0" w:line="240" w:lineRule="auto"/>
              <w:jc w:val="center"/>
              <w:rPr>
                <w:rFonts w:eastAsia="Times New Roman"/>
                <w:color w:val="000000"/>
                <w:sz w:val="18"/>
                <w:szCs w:val="18"/>
              </w:rPr>
            </w:pPr>
            <w:r>
              <w:rPr>
                <w:color w:val="000000"/>
                <w:sz w:val="18"/>
                <w:szCs w:val="18"/>
              </w:rPr>
              <w:t>-</w:t>
            </w:r>
            <w:r w:rsidRPr="00A95729">
              <w:rPr>
                <w:color w:val="000000"/>
                <w:sz w:val="18"/>
                <w:szCs w:val="18"/>
              </w:rPr>
              <w:t>0.24</w:t>
            </w:r>
          </w:p>
        </w:tc>
        <w:tc>
          <w:tcPr>
            <w:tcW w:w="449" w:type="dxa"/>
            <w:tcBorders>
              <w:top w:val="nil"/>
              <w:left w:val="nil"/>
              <w:bottom w:val="single" w:sz="12" w:space="0" w:color="auto"/>
              <w:right w:val="single" w:sz="4" w:space="0" w:color="auto"/>
            </w:tcBorders>
            <w:shd w:val="clear" w:color="000000" w:fill="FFFFFF"/>
            <w:noWrap/>
            <w:vAlign w:val="bottom"/>
            <w:hideMark/>
          </w:tcPr>
          <w:p w14:paraId="45605D1B" w14:textId="77777777" w:rsidR="002961DC" w:rsidRPr="00A95729" w:rsidRDefault="002961DC" w:rsidP="00E56366">
            <w:pPr>
              <w:spacing w:after="0" w:line="240" w:lineRule="auto"/>
              <w:jc w:val="center"/>
              <w:rPr>
                <w:rFonts w:eastAsia="Times New Roman"/>
                <w:color w:val="000000"/>
                <w:sz w:val="18"/>
                <w:szCs w:val="18"/>
              </w:rPr>
            </w:pPr>
            <w:r>
              <w:rPr>
                <w:color w:val="000000"/>
                <w:sz w:val="18"/>
                <w:szCs w:val="18"/>
              </w:rPr>
              <w:t>-</w:t>
            </w:r>
            <w:r w:rsidRPr="00A95729">
              <w:rPr>
                <w:color w:val="000000"/>
                <w:sz w:val="18"/>
                <w:szCs w:val="18"/>
              </w:rPr>
              <w:t>2.29</w:t>
            </w:r>
          </w:p>
        </w:tc>
        <w:tc>
          <w:tcPr>
            <w:tcW w:w="540" w:type="dxa"/>
            <w:tcBorders>
              <w:top w:val="nil"/>
              <w:left w:val="nil"/>
              <w:bottom w:val="single" w:sz="12" w:space="0" w:color="auto"/>
              <w:right w:val="nil"/>
            </w:tcBorders>
            <w:shd w:val="clear" w:color="000000" w:fill="FFFFFF"/>
            <w:noWrap/>
            <w:vAlign w:val="bottom"/>
            <w:hideMark/>
          </w:tcPr>
          <w:p w14:paraId="1CE0A50F" w14:textId="77777777" w:rsidR="002961DC" w:rsidRPr="00A95729" w:rsidRDefault="002961DC" w:rsidP="00E56366">
            <w:pPr>
              <w:spacing w:after="0" w:line="240" w:lineRule="auto"/>
              <w:jc w:val="center"/>
              <w:rPr>
                <w:rFonts w:eastAsia="Times New Roman"/>
                <w:color w:val="000000"/>
                <w:sz w:val="18"/>
                <w:szCs w:val="18"/>
              </w:rPr>
            </w:pPr>
            <w:r>
              <w:rPr>
                <w:color w:val="000000"/>
                <w:sz w:val="18"/>
                <w:szCs w:val="18"/>
              </w:rPr>
              <w:t>-</w:t>
            </w:r>
            <w:r w:rsidRPr="00A95729">
              <w:rPr>
                <w:color w:val="000000"/>
                <w:sz w:val="18"/>
                <w:szCs w:val="18"/>
              </w:rPr>
              <w:t>0.30</w:t>
            </w:r>
          </w:p>
        </w:tc>
        <w:tc>
          <w:tcPr>
            <w:tcW w:w="450" w:type="dxa"/>
            <w:tcBorders>
              <w:top w:val="nil"/>
              <w:left w:val="nil"/>
              <w:bottom w:val="single" w:sz="12" w:space="0" w:color="auto"/>
              <w:right w:val="single" w:sz="4" w:space="0" w:color="auto"/>
            </w:tcBorders>
            <w:shd w:val="clear" w:color="000000" w:fill="FFFFFF"/>
            <w:noWrap/>
            <w:vAlign w:val="bottom"/>
            <w:hideMark/>
          </w:tcPr>
          <w:p w14:paraId="7128F887" w14:textId="77777777" w:rsidR="002961DC" w:rsidRPr="00A95729" w:rsidRDefault="002961DC" w:rsidP="00E56366">
            <w:pPr>
              <w:spacing w:after="0" w:line="240" w:lineRule="auto"/>
              <w:jc w:val="center"/>
              <w:rPr>
                <w:rFonts w:eastAsia="Times New Roman"/>
                <w:color w:val="000000"/>
                <w:sz w:val="18"/>
                <w:szCs w:val="18"/>
              </w:rPr>
            </w:pPr>
            <w:r>
              <w:rPr>
                <w:color w:val="000000"/>
                <w:sz w:val="18"/>
                <w:szCs w:val="18"/>
              </w:rPr>
              <w:t>-</w:t>
            </w:r>
            <w:r w:rsidRPr="00A95729">
              <w:rPr>
                <w:color w:val="000000"/>
                <w:sz w:val="18"/>
                <w:szCs w:val="18"/>
              </w:rPr>
              <w:t>2.41</w:t>
            </w:r>
          </w:p>
        </w:tc>
        <w:tc>
          <w:tcPr>
            <w:tcW w:w="540" w:type="dxa"/>
            <w:tcBorders>
              <w:top w:val="nil"/>
              <w:left w:val="nil"/>
              <w:bottom w:val="single" w:sz="12" w:space="0" w:color="auto"/>
              <w:right w:val="nil"/>
            </w:tcBorders>
            <w:shd w:val="clear" w:color="000000" w:fill="FFFFFF"/>
            <w:noWrap/>
            <w:vAlign w:val="center"/>
            <w:hideMark/>
          </w:tcPr>
          <w:p w14:paraId="4BD34934"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single" w:sz="12" w:space="0" w:color="auto"/>
              <w:right w:val="single" w:sz="4" w:space="0" w:color="auto"/>
            </w:tcBorders>
            <w:shd w:val="clear" w:color="000000" w:fill="FFFFFF"/>
            <w:noWrap/>
            <w:vAlign w:val="center"/>
            <w:hideMark/>
          </w:tcPr>
          <w:p w14:paraId="03AC3AF8"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4" w:type="dxa"/>
            <w:tcBorders>
              <w:top w:val="nil"/>
              <w:left w:val="nil"/>
              <w:bottom w:val="single" w:sz="12" w:space="0" w:color="auto"/>
              <w:right w:val="nil"/>
            </w:tcBorders>
            <w:shd w:val="clear" w:color="000000" w:fill="FFFFFF"/>
            <w:noWrap/>
            <w:vAlign w:val="center"/>
            <w:hideMark/>
          </w:tcPr>
          <w:p w14:paraId="015EDEDD"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540" w:type="dxa"/>
            <w:tcBorders>
              <w:top w:val="nil"/>
              <w:left w:val="nil"/>
              <w:bottom w:val="single" w:sz="12" w:space="0" w:color="auto"/>
              <w:right w:val="single" w:sz="4" w:space="0" w:color="auto"/>
            </w:tcBorders>
            <w:shd w:val="clear" w:color="000000" w:fill="FFFFFF"/>
            <w:noWrap/>
            <w:vAlign w:val="center"/>
            <w:hideMark/>
          </w:tcPr>
          <w:p w14:paraId="2F98828D"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single" w:sz="12" w:space="0" w:color="auto"/>
              <w:right w:val="nil"/>
            </w:tcBorders>
            <w:shd w:val="clear" w:color="000000" w:fill="FFFFFF"/>
            <w:noWrap/>
            <w:vAlign w:val="bottom"/>
            <w:hideMark/>
          </w:tcPr>
          <w:p w14:paraId="08D532E5"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0.10</w:t>
            </w:r>
          </w:p>
        </w:tc>
        <w:tc>
          <w:tcPr>
            <w:tcW w:w="450" w:type="dxa"/>
            <w:tcBorders>
              <w:top w:val="nil"/>
              <w:left w:val="nil"/>
              <w:bottom w:val="single" w:sz="12" w:space="0" w:color="auto"/>
              <w:right w:val="single" w:sz="4" w:space="0" w:color="auto"/>
            </w:tcBorders>
            <w:shd w:val="clear" w:color="000000" w:fill="FFFFFF"/>
            <w:noWrap/>
            <w:vAlign w:val="bottom"/>
            <w:hideMark/>
          </w:tcPr>
          <w:p w14:paraId="760E27BC"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1.41</w:t>
            </w:r>
          </w:p>
        </w:tc>
        <w:tc>
          <w:tcPr>
            <w:tcW w:w="540" w:type="dxa"/>
            <w:tcBorders>
              <w:top w:val="nil"/>
              <w:left w:val="nil"/>
              <w:bottom w:val="single" w:sz="12" w:space="0" w:color="auto"/>
              <w:right w:val="nil"/>
            </w:tcBorders>
            <w:shd w:val="clear" w:color="000000" w:fill="FFFFFF"/>
            <w:noWrap/>
            <w:vAlign w:val="bottom"/>
            <w:hideMark/>
          </w:tcPr>
          <w:p w14:paraId="181743C2" w14:textId="77777777" w:rsidR="002961DC" w:rsidRPr="00A95729" w:rsidRDefault="002961DC" w:rsidP="00E56366">
            <w:pPr>
              <w:spacing w:after="0" w:line="240" w:lineRule="auto"/>
              <w:jc w:val="center"/>
              <w:rPr>
                <w:rFonts w:eastAsia="Times New Roman"/>
                <w:color w:val="000000"/>
                <w:sz w:val="18"/>
                <w:szCs w:val="18"/>
              </w:rPr>
            </w:pPr>
            <w:r>
              <w:rPr>
                <w:color w:val="000000"/>
                <w:sz w:val="18"/>
                <w:szCs w:val="18"/>
              </w:rPr>
              <w:t>-</w:t>
            </w:r>
            <w:r w:rsidRPr="00A95729">
              <w:rPr>
                <w:color w:val="000000"/>
                <w:sz w:val="18"/>
                <w:szCs w:val="18"/>
              </w:rPr>
              <w:t>0.16</w:t>
            </w:r>
          </w:p>
        </w:tc>
        <w:tc>
          <w:tcPr>
            <w:tcW w:w="450" w:type="dxa"/>
            <w:tcBorders>
              <w:top w:val="nil"/>
              <w:left w:val="nil"/>
              <w:bottom w:val="single" w:sz="12" w:space="0" w:color="auto"/>
              <w:right w:val="single" w:sz="4" w:space="0" w:color="auto"/>
            </w:tcBorders>
            <w:shd w:val="clear" w:color="000000" w:fill="FFFFFF"/>
            <w:noWrap/>
            <w:vAlign w:val="bottom"/>
            <w:hideMark/>
          </w:tcPr>
          <w:p w14:paraId="4F8F2D49" w14:textId="77777777" w:rsidR="002961DC" w:rsidRPr="00A95729" w:rsidRDefault="002961DC" w:rsidP="00E56366">
            <w:pPr>
              <w:spacing w:after="0" w:line="240" w:lineRule="auto"/>
              <w:jc w:val="center"/>
              <w:rPr>
                <w:rFonts w:eastAsia="Times New Roman"/>
                <w:color w:val="000000"/>
                <w:sz w:val="18"/>
                <w:szCs w:val="18"/>
              </w:rPr>
            </w:pPr>
            <w:r>
              <w:rPr>
                <w:color w:val="000000"/>
                <w:sz w:val="18"/>
                <w:szCs w:val="18"/>
              </w:rPr>
              <w:t>-</w:t>
            </w:r>
            <w:r w:rsidRPr="00A95729">
              <w:rPr>
                <w:color w:val="000000"/>
                <w:sz w:val="18"/>
                <w:szCs w:val="18"/>
              </w:rPr>
              <w:t>2.30</w:t>
            </w:r>
          </w:p>
        </w:tc>
        <w:tc>
          <w:tcPr>
            <w:tcW w:w="540" w:type="dxa"/>
            <w:tcBorders>
              <w:top w:val="nil"/>
              <w:left w:val="nil"/>
              <w:bottom w:val="single" w:sz="12" w:space="0" w:color="auto"/>
              <w:right w:val="nil"/>
            </w:tcBorders>
            <w:shd w:val="clear" w:color="000000" w:fill="FFFFFF"/>
            <w:noWrap/>
            <w:vAlign w:val="center"/>
            <w:hideMark/>
          </w:tcPr>
          <w:p w14:paraId="42C9321F"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4" w:type="dxa"/>
            <w:tcBorders>
              <w:top w:val="nil"/>
              <w:left w:val="nil"/>
              <w:bottom w:val="single" w:sz="12" w:space="0" w:color="auto"/>
              <w:right w:val="single" w:sz="4" w:space="0" w:color="auto"/>
            </w:tcBorders>
            <w:shd w:val="clear" w:color="000000" w:fill="FFFFFF"/>
            <w:noWrap/>
            <w:vAlign w:val="center"/>
            <w:hideMark/>
          </w:tcPr>
          <w:p w14:paraId="3B94989E"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single" w:sz="12" w:space="0" w:color="auto"/>
              <w:right w:val="nil"/>
            </w:tcBorders>
            <w:shd w:val="clear" w:color="000000" w:fill="FFFFFF"/>
            <w:noWrap/>
            <w:vAlign w:val="center"/>
            <w:hideMark/>
          </w:tcPr>
          <w:p w14:paraId="4EAFB891"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6" w:type="dxa"/>
            <w:tcBorders>
              <w:top w:val="nil"/>
              <w:left w:val="nil"/>
              <w:bottom w:val="single" w:sz="12" w:space="0" w:color="auto"/>
              <w:right w:val="single" w:sz="12" w:space="0" w:color="auto"/>
            </w:tcBorders>
            <w:shd w:val="clear" w:color="000000" w:fill="FFFFFF"/>
            <w:noWrap/>
            <w:vAlign w:val="center"/>
            <w:hideMark/>
          </w:tcPr>
          <w:p w14:paraId="46488458"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single" w:sz="12" w:space="0" w:color="auto"/>
              <w:right w:val="nil"/>
            </w:tcBorders>
            <w:shd w:val="clear" w:color="000000" w:fill="FFFFFF"/>
            <w:vAlign w:val="bottom"/>
          </w:tcPr>
          <w:p w14:paraId="6709EC7F" w14:textId="77777777" w:rsidR="002961DC" w:rsidRPr="00A95729" w:rsidRDefault="002961DC" w:rsidP="00E56366">
            <w:pPr>
              <w:spacing w:after="0" w:line="240" w:lineRule="auto"/>
              <w:jc w:val="center"/>
              <w:rPr>
                <w:rFonts w:eastAsia="Times New Roman"/>
                <w:color w:val="000000"/>
                <w:sz w:val="18"/>
                <w:szCs w:val="18"/>
              </w:rPr>
            </w:pPr>
            <w:r>
              <w:rPr>
                <w:color w:val="000000"/>
                <w:sz w:val="18"/>
                <w:szCs w:val="18"/>
              </w:rPr>
              <w:t>-</w:t>
            </w:r>
            <w:r w:rsidRPr="00A95729">
              <w:rPr>
                <w:color w:val="000000"/>
                <w:sz w:val="18"/>
                <w:szCs w:val="18"/>
              </w:rPr>
              <w:t>0.19</w:t>
            </w:r>
          </w:p>
        </w:tc>
        <w:tc>
          <w:tcPr>
            <w:tcW w:w="540" w:type="dxa"/>
            <w:tcBorders>
              <w:top w:val="nil"/>
              <w:left w:val="nil"/>
              <w:bottom w:val="single" w:sz="12" w:space="0" w:color="auto"/>
              <w:right w:val="single" w:sz="12" w:space="0" w:color="auto"/>
            </w:tcBorders>
            <w:shd w:val="clear" w:color="000000" w:fill="FFFFFF"/>
            <w:vAlign w:val="bottom"/>
          </w:tcPr>
          <w:p w14:paraId="02C2BDC0" w14:textId="77777777" w:rsidR="002961DC" w:rsidRPr="00A95729" w:rsidRDefault="002961DC" w:rsidP="00E56366">
            <w:pPr>
              <w:spacing w:after="0" w:line="240" w:lineRule="auto"/>
              <w:jc w:val="center"/>
              <w:rPr>
                <w:rFonts w:eastAsia="Times New Roman"/>
                <w:color w:val="000000"/>
                <w:sz w:val="18"/>
                <w:szCs w:val="18"/>
              </w:rPr>
            </w:pPr>
            <w:r>
              <w:rPr>
                <w:color w:val="000000"/>
                <w:sz w:val="18"/>
                <w:szCs w:val="18"/>
              </w:rPr>
              <w:t>-</w:t>
            </w:r>
            <w:r w:rsidRPr="00A95729">
              <w:rPr>
                <w:color w:val="000000"/>
                <w:sz w:val="18"/>
                <w:szCs w:val="18"/>
              </w:rPr>
              <w:t>5.34</w:t>
            </w:r>
          </w:p>
        </w:tc>
        <w:tc>
          <w:tcPr>
            <w:tcW w:w="630" w:type="dxa"/>
            <w:tcBorders>
              <w:top w:val="nil"/>
              <w:left w:val="single" w:sz="12" w:space="0" w:color="auto"/>
              <w:bottom w:val="single" w:sz="12" w:space="0" w:color="auto"/>
              <w:right w:val="nil"/>
            </w:tcBorders>
            <w:shd w:val="clear" w:color="000000" w:fill="FFFFFF"/>
            <w:vAlign w:val="bottom"/>
          </w:tcPr>
          <w:p w14:paraId="03F61AA9" w14:textId="77777777" w:rsidR="002961DC" w:rsidRPr="00A95729" w:rsidRDefault="002961DC" w:rsidP="00E56366">
            <w:pPr>
              <w:spacing w:after="0" w:line="240" w:lineRule="auto"/>
              <w:jc w:val="center"/>
              <w:rPr>
                <w:rFonts w:eastAsia="Times New Roman"/>
                <w:color w:val="000000"/>
                <w:sz w:val="18"/>
                <w:szCs w:val="18"/>
              </w:rPr>
            </w:pPr>
            <w:r>
              <w:rPr>
                <w:color w:val="000000"/>
                <w:sz w:val="18"/>
                <w:szCs w:val="18"/>
              </w:rPr>
              <w:t>-</w:t>
            </w:r>
            <w:r w:rsidRPr="00A95729">
              <w:rPr>
                <w:color w:val="000000"/>
                <w:sz w:val="18"/>
                <w:szCs w:val="18"/>
              </w:rPr>
              <w:t>0.09</w:t>
            </w:r>
          </w:p>
        </w:tc>
        <w:tc>
          <w:tcPr>
            <w:tcW w:w="542" w:type="dxa"/>
            <w:tcBorders>
              <w:top w:val="nil"/>
              <w:left w:val="nil"/>
              <w:bottom w:val="single" w:sz="12" w:space="0" w:color="auto"/>
              <w:right w:val="single" w:sz="12" w:space="0" w:color="auto"/>
            </w:tcBorders>
            <w:shd w:val="clear" w:color="000000" w:fill="FFFFFF"/>
            <w:vAlign w:val="bottom"/>
          </w:tcPr>
          <w:p w14:paraId="136989CF" w14:textId="77777777" w:rsidR="002961DC" w:rsidRPr="00A95729" w:rsidRDefault="002961DC" w:rsidP="00E56366">
            <w:pPr>
              <w:spacing w:after="0" w:line="240" w:lineRule="auto"/>
              <w:jc w:val="center"/>
              <w:rPr>
                <w:rFonts w:eastAsia="Times New Roman"/>
                <w:color w:val="000000"/>
                <w:sz w:val="18"/>
                <w:szCs w:val="18"/>
              </w:rPr>
            </w:pPr>
            <w:r>
              <w:rPr>
                <w:color w:val="000000"/>
                <w:sz w:val="18"/>
                <w:szCs w:val="18"/>
              </w:rPr>
              <w:t>-</w:t>
            </w:r>
            <w:r w:rsidRPr="00A95729">
              <w:rPr>
                <w:color w:val="000000"/>
                <w:sz w:val="18"/>
                <w:szCs w:val="18"/>
              </w:rPr>
              <w:t>3.80</w:t>
            </w:r>
          </w:p>
        </w:tc>
      </w:tr>
    </w:tbl>
    <w:p w14:paraId="58DDAE93" w14:textId="77777777" w:rsidR="002961DC" w:rsidRDefault="002961DC" w:rsidP="002961DC">
      <w:pPr>
        <w:spacing w:after="0" w:line="240" w:lineRule="auto"/>
        <w:jc w:val="both"/>
        <w:rPr>
          <w:b/>
          <w:bCs/>
        </w:rPr>
      </w:pPr>
    </w:p>
    <w:p w14:paraId="4B7F2900" w14:textId="77777777" w:rsidR="002961DC" w:rsidRDefault="002961DC" w:rsidP="002961DC">
      <w:pPr>
        <w:spacing w:after="0" w:line="240" w:lineRule="auto"/>
        <w:jc w:val="both"/>
        <w:rPr>
          <w:b/>
          <w:bCs/>
        </w:rPr>
        <w:sectPr w:rsidR="002961DC" w:rsidSect="002961DC">
          <w:footerReference w:type="default" r:id="rId99"/>
          <w:pgSz w:w="15840" w:h="12240" w:orient="landscape" w:code="1"/>
          <w:pgMar w:top="1440" w:right="1440" w:bottom="1440" w:left="1440" w:header="720" w:footer="720" w:gutter="0"/>
          <w:cols w:space="720"/>
          <w:docGrid w:linePitch="360"/>
        </w:sectPr>
      </w:pPr>
    </w:p>
    <w:p w14:paraId="6854B88B" w14:textId="15D2A464" w:rsidR="002961DC" w:rsidRDefault="002961DC" w:rsidP="002961DC">
      <w:pPr>
        <w:spacing w:after="0" w:line="240" w:lineRule="auto"/>
        <w:jc w:val="both"/>
        <w:rPr>
          <w:b/>
          <w:bCs/>
        </w:rPr>
      </w:pPr>
      <w:r w:rsidRPr="002F3E1C">
        <w:rPr>
          <w:b/>
          <w:bCs/>
        </w:rPr>
        <w:lastRenderedPageBreak/>
        <w:t>Table 3 Main Estimation Results (cont.</w:t>
      </w:r>
      <w:r>
        <w:rPr>
          <w:b/>
          <w:bCs/>
        </w:rPr>
        <w:t xml:space="preserve"> 2/3</w:t>
      </w:r>
      <w:r w:rsidRPr="002F3E1C">
        <w:rPr>
          <w:b/>
          <w:bCs/>
        </w:rPr>
        <w:t>)</w:t>
      </w:r>
    </w:p>
    <w:p w14:paraId="15389AA5" w14:textId="77777777" w:rsidR="002961DC" w:rsidRPr="00176D54" w:rsidRDefault="002961DC" w:rsidP="002961DC">
      <w:pPr>
        <w:spacing w:after="0" w:line="240" w:lineRule="auto"/>
        <w:jc w:val="both"/>
        <w:rPr>
          <w:b/>
          <w:bCs/>
        </w:rPr>
      </w:pPr>
    </w:p>
    <w:tbl>
      <w:tblPr>
        <w:tblW w:w="13677" w:type="dxa"/>
        <w:jc w:val="center"/>
        <w:tblLayout w:type="fixed"/>
        <w:tblCellMar>
          <w:left w:w="0" w:type="dxa"/>
          <w:right w:w="0" w:type="dxa"/>
        </w:tblCellMar>
        <w:tblLook w:val="04A0" w:firstRow="1" w:lastRow="0" w:firstColumn="1" w:lastColumn="0" w:noHBand="0" w:noVBand="1"/>
      </w:tblPr>
      <w:tblGrid>
        <w:gridCol w:w="2411"/>
        <w:gridCol w:w="537"/>
        <w:gridCol w:w="541"/>
        <w:gridCol w:w="539"/>
        <w:gridCol w:w="449"/>
        <w:gridCol w:w="540"/>
        <w:gridCol w:w="450"/>
        <w:gridCol w:w="540"/>
        <w:gridCol w:w="450"/>
        <w:gridCol w:w="548"/>
        <w:gridCol w:w="450"/>
        <w:gridCol w:w="540"/>
        <w:gridCol w:w="450"/>
        <w:gridCol w:w="540"/>
        <w:gridCol w:w="450"/>
        <w:gridCol w:w="540"/>
        <w:gridCol w:w="454"/>
        <w:gridCol w:w="540"/>
        <w:gridCol w:w="456"/>
        <w:gridCol w:w="540"/>
        <w:gridCol w:w="540"/>
        <w:gridCol w:w="630"/>
        <w:gridCol w:w="542"/>
      </w:tblGrid>
      <w:tr w:rsidR="002961DC" w:rsidRPr="00A95729" w14:paraId="68677DB7" w14:textId="77777777" w:rsidTr="00E56366">
        <w:trPr>
          <w:trHeight w:val="20"/>
          <w:jc w:val="center"/>
        </w:trPr>
        <w:tc>
          <w:tcPr>
            <w:tcW w:w="2411" w:type="dxa"/>
            <w:vMerge w:val="restart"/>
            <w:tcBorders>
              <w:top w:val="single" w:sz="12" w:space="0" w:color="auto"/>
              <w:left w:val="single" w:sz="12" w:space="0" w:color="auto"/>
              <w:right w:val="single" w:sz="12" w:space="0" w:color="auto"/>
            </w:tcBorders>
            <w:shd w:val="clear" w:color="000000" w:fill="FFFFFF"/>
            <w:noWrap/>
            <w:vAlign w:val="center"/>
          </w:tcPr>
          <w:p w14:paraId="37915FDE" w14:textId="77777777" w:rsidR="002961DC" w:rsidRPr="00A95729" w:rsidRDefault="002961DC" w:rsidP="00E56366">
            <w:pPr>
              <w:spacing w:after="0" w:line="240" w:lineRule="auto"/>
              <w:jc w:val="center"/>
              <w:rPr>
                <w:rFonts w:eastAsia="Times New Roman"/>
                <w:color w:val="000000"/>
                <w:sz w:val="18"/>
                <w:szCs w:val="18"/>
              </w:rPr>
            </w:pPr>
            <w:r>
              <w:rPr>
                <w:rFonts w:eastAsia="Times New Roman"/>
                <w:color w:val="000000"/>
                <w:sz w:val="18"/>
                <w:szCs w:val="18"/>
              </w:rPr>
              <w:t>Thresholds/</w:t>
            </w:r>
            <w:r w:rsidRPr="00A95729">
              <w:rPr>
                <w:rFonts w:eastAsia="Times New Roman"/>
                <w:color w:val="000000"/>
                <w:sz w:val="18"/>
                <w:szCs w:val="18"/>
              </w:rPr>
              <w:t>Variables (base)</w:t>
            </w:r>
          </w:p>
        </w:tc>
        <w:tc>
          <w:tcPr>
            <w:tcW w:w="1078" w:type="dxa"/>
            <w:gridSpan w:val="2"/>
            <w:vMerge w:val="restart"/>
            <w:tcBorders>
              <w:top w:val="single" w:sz="12" w:space="0" w:color="auto"/>
              <w:left w:val="single" w:sz="12" w:space="0" w:color="auto"/>
              <w:right w:val="single" w:sz="12" w:space="0" w:color="auto"/>
            </w:tcBorders>
            <w:shd w:val="clear" w:color="000000" w:fill="FFFFFF"/>
            <w:vAlign w:val="center"/>
          </w:tcPr>
          <w:p w14:paraId="5F179CC4" w14:textId="77777777" w:rsidR="002961DC" w:rsidRPr="00A95729" w:rsidRDefault="002961DC" w:rsidP="00E56366">
            <w:pPr>
              <w:spacing w:after="0" w:line="240" w:lineRule="auto"/>
              <w:jc w:val="center"/>
              <w:rPr>
                <w:rFonts w:eastAsia="Times New Roman"/>
                <w:b/>
                <w:bCs/>
                <w:color w:val="000000"/>
                <w:sz w:val="18"/>
                <w:szCs w:val="18"/>
              </w:rPr>
            </w:pPr>
            <w:r>
              <w:rPr>
                <w:rFonts w:eastAsia="Times New Roman"/>
                <w:b/>
                <w:bCs/>
                <w:color w:val="000000"/>
                <w:sz w:val="18"/>
                <w:szCs w:val="18"/>
              </w:rPr>
              <w:t>PPD</w:t>
            </w:r>
          </w:p>
        </w:tc>
        <w:tc>
          <w:tcPr>
            <w:tcW w:w="7936" w:type="dxa"/>
            <w:gridSpan w:val="16"/>
            <w:tcBorders>
              <w:top w:val="single" w:sz="12" w:space="0" w:color="auto"/>
              <w:left w:val="single" w:sz="12" w:space="0" w:color="auto"/>
              <w:bottom w:val="single" w:sz="12" w:space="0" w:color="auto"/>
              <w:right w:val="single" w:sz="12" w:space="0" w:color="auto"/>
            </w:tcBorders>
            <w:shd w:val="clear" w:color="000000" w:fill="FFFFFF"/>
            <w:noWrap/>
            <w:vAlign w:val="bottom"/>
          </w:tcPr>
          <w:p w14:paraId="27E5F23B" w14:textId="77777777" w:rsidR="002961DC" w:rsidRPr="00A95729" w:rsidRDefault="002961DC" w:rsidP="00E56366">
            <w:pPr>
              <w:spacing w:after="0" w:line="240" w:lineRule="auto"/>
              <w:jc w:val="center"/>
              <w:rPr>
                <w:rFonts w:eastAsia="Times New Roman"/>
                <w:b/>
                <w:bCs/>
                <w:color w:val="000000"/>
                <w:sz w:val="18"/>
                <w:szCs w:val="18"/>
              </w:rPr>
            </w:pPr>
            <w:r>
              <w:rPr>
                <w:rFonts w:eastAsia="Times New Roman"/>
                <w:b/>
                <w:bCs/>
                <w:color w:val="000000"/>
                <w:sz w:val="18"/>
                <w:szCs w:val="18"/>
              </w:rPr>
              <w:t>PPD Reasons</w:t>
            </w:r>
          </w:p>
        </w:tc>
        <w:tc>
          <w:tcPr>
            <w:tcW w:w="2252" w:type="dxa"/>
            <w:gridSpan w:val="4"/>
            <w:tcBorders>
              <w:top w:val="single" w:sz="12" w:space="0" w:color="auto"/>
              <w:left w:val="single" w:sz="12" w:space="0" w:color="auto"/>
              <w:bottom w:val="single" w:sz="12" w:space="0" w:color="auto"/>
              <w:right w:val="single" w:sz="12" w:space="0" w:color="auto"/>
            </w:tcBorders>
            <w:shd w:val="clear" w:color="000000" w:fill="FFFFFF"/>
          </w:tcPr>
          <w:p w14:paraId="3B8A91E8" w14:textId="77777777" w:rsidR="002961DC" w:rsidRPr="00A95729" w:rsidRDefault="002961DC" w:rsidP="00E56366">
            <w:pPr>
              <w:spacing w:after="0" w:line="240" w:lineRule="auto"/>
              <w:jc w:val="center"/>
              <w:rPr>
                <w:rFonts w:eastAsia="Times New Roman"/>
                <w:b/>
                <w:bCs/>
                <w:color w:val="000000"/>
                <w:sz w:val="18"/>
                <w:szCs w:val="18"/>
              </w:rPr>
            </w:pPr>
            <w:r>
              <w:rPr>
                <w:rFonts w:eastAsia="Times New Roman"/>
                <w:b/>
                <w:bCs/>
                <w:color w:val="000000"/>
                <w:sz w:val="18"/>
                <w:szCs w:val="18"/>
              </w:rPr>
              <w:t xml:space="preserve">Virtual Participation </w:t>
            </w:r>
          </w:p>
        </w:tc>
      </w:tr>
      <w:tr w:rsidR="002961DC" w:rsidRPr="00A95729" w14:paraId="79BF2B39" w14:textId="77777777" w:rsidTr="00E56366">
        <w:trPr>
          <w:trHeight w:val="20"/>
          <w:jc w:val="center"/>
        </w:trPr>
        <w:tc>
          <w:tcPr>
            <w:tcW w:w="2411" w:type="dxa"/>
            <w:vMerge/>
            <w:tcBorders>
              <w:left w:val="single" w:sz="12" w:space="0" w:color="auto"/>
              <w:right w:val="single" w:sz="12" w:space="0" w:color="auto"/>
            </w:tcBorders>
            <w:shd w:val="clear" w:color="000000" w:fill="FFFFFF"/>
            <w:noWrap/>
            <w:vAlign w:val="center"/>
            <w:hideMark/>
          </w:tcPr>
          <w:p w14:paraId="49237080" w14:textId="77777777" w:rsidR="002961DC" w:rsidRPr="00A95729" w:rsidRDefault="002961DC" w:rsidP="00E56366">
            <w:pPr>
              <w:spacing w:after="0" w:line="240" w:lineRule="auto"/>
              <w:jc w:val="center"/>
              <w:rPr>
                <w:rFonts w:eastAsia="Times New Roman"/>
                <w:color w:val="000000"/>
                <w:sz w:val="18"/>
                <w:szCs w:val="18"/>
              </w:rPr>
            </w:pPr>
          </w:p>
        </w:tc>
        <w:tc>
          <w:tcPr>
            <w:tcW w:w="1078" w:type="dxa"/>
            <w:gridSpan w:val="2"/>
            <w:vMerge/>
            <w:tcBorders>
              <w:left w:val="single" w:sz="12" w:space="0" w:color="auto"/>
              <w:bottom w:val="single" w:sz="12" w:space="0" w:color="auto"/>
              <w:right w:val="single" w:sz="12" w:space="0" w:color="auto"/>
            </w:tcBorders>
            <w:shd w:val="clear" w:color="000000" w:fill="FFFFFF"/>
          </w:tcPr>
          <w:p w14:paraId="6F9FCA9E" w14:textId="77777777" w:rsidR="002961DC" w:rsidRPr="00A95729" w:rsidRDefault="002961DC" w:rsidP="00E56366">
            <w:pPr>
              <w:spacing w:after="0" w:line="240" w:lineRule="auto"/>
              <w:jc w:val="center"/>
              <w:rPr>
                <w:rFonts w:eastAsia="Times New Roman"/>
                <w:color w:val="000000"/>
                <w:sz w:val="18"/>
                <w:szCs w:val="18"/>
              </w:rPr>
            </w:pPr>
          </w:p>
        </w:tc>
        <w:tc>
          <w:tcPr>
            <w:tcW w:w="988" w:type="dxa"/>
            <w:gridSpan w:val="2"/>
            <w:tcBorders>
              <w:top w:val="single" w:sz="12" w:space="0" w:color="auto"/>
              <w:left w:val="single" w:sz="12" w:space="0" w:color="auto"/>
              <w:bottom w:val="single" w:sz="12" w:space="0" w:color="auto"/>
              <w:right w:val="single" w:sz="4" w:space="0" w:color="000000"/>
            </w:tcBorders>
            <w:shd w:val="clear" w:color="000000" w:fill="FFFFFF"/>
            <w:noWrap/>
            <w:vAlign w:val="bottom"/>
            <w:hideMark/>
          </w:tcPr>
          <w:p w14:paraId="602D13B8" w14:textId="77777777" w:rsidR="002961DC" w:rsidRPr="00A95729" w:rsidRDefault="002961DC" w:rsidP="00E56366">
            <w:pPr>
              <w:spacing w:after="0" w:line="240" w:lineRule="auto"/>
              <w:jc w:val="center"/>
              <w:rPr>
                <w:rFonts w:eastAsia="Times New Roman"/>
                <w:color w:val="000000"/>
                <w:sz w:val="18"/>
                <w:szCs w:val="18"/>
              </w:rPr>
            </w:pPr>
            <w:r>
              <w:rPr>
                <w:rFonts w:eastAsia="Times New Roman"/>
                <w:color w:val="000000"/>
                <w:sz w:val="18"/>
                <w:szCs w:val="18"/>
              </w:rPr>
              <w:t>Not Safe</w:t>
            </w:r>
          </w:p>
        </w:tc>
        <w:tc>
          <w:tcPr>
            <w:tcW w:w="990" w:type="dxa"/>
            <w:gridSpan w:val="2"/>
            <w:tcBorders>
              <w:top w:val="single" w:sz="12" w:space="0" w:color="auto"/>
              <w:left w:val="nil"/>
              <w:bottom w:val="single" w:sz="12" w:space="0" w:color="auto"/>
              <w:right w:val="single" w:sz="4" w:space="0" w:color="000000"/>
            </w:tcBorders>
            <w:shd w:val="clear" w:color="000000" w:fill="FFFFFF"/>
            <w:noWrap/>
            <w:vAlign w:val="bottom"/>
            <w:hideMark/>
          </w:tcPr>
          <w:p w14:paraId="3C5A71A8" w14:textId="77777777" w:rsidR="002961DC" w:rsidRPr="00A95729" w:rsidRDefault="002961DC" w:rsidP="00E56366">
            <w:pPr>
              <w:spacing w:after="0" w:line="240" w:lineRule="auto"/>
              <w:jc w:val="center"/>
              <w:rPr>
                <w:rFonts w:eastAsia="Times New Roman"/>
                <w:color w:val="000000"/>
                <w:sz w:val="18"/>
                <w:szCs w:val="18"/>
              </w:rPr>
            </w:pPr>
            <w:r>
              <w:rPr>
                <w:rFonts w:eastAsia="Times New Roman"/>
                <w:color w:val="000000"/>
                <w:sz w:val="18"/>
                <w:szCs w:val="18"/>
              </w:rPr>
              <w:t>Not Clean</w:t>
            </w:r>
          </w:p>
        </w:tc>
        <w:tc>
          <w:tcPr>
            <w:tcW w:w="990" w:type="dxa"/>
            <w:gridSpan w:val="2"/>
            <w:tcBorders>
              <w:top w:val="single" w:sz="12" w:space="0" w:color="auto"/>
              <w:left w:val="nil"/>
              <w:bottom w:val="single" w:sz="12" w:space="0" w:color="auto"/>
              <w:right w:val="single" w:sz="4" w:space="0" w:color="000000"/>
            </w:tcBorders>
            <w:shd w:val="clear" w:color="000000" w:fill="FFFFFF"/>
            <w:noWrap/>
            <w:vAlign w:val="bottom"/>
            <w:hideMark/>
          </w:tcPr>
          <w:p w14:paraId="74C6FE83" w14:textId="77777777" w:rsidR="002961DC" w:rsidRPr="00A95729" w:rsidRDefault="002961DC" w:rsidP="00E56366">
            <w:pPr>
              <w:spacing w:after="0" w:line="240" w:lineRule="auto"/>
              <w:jc w:val="center"/>
              <w:rPr>
                <w:rFonts w:eastAsia="Times New Roman"/>
                <w:color w:val="000000"/>
                <w:sz w:val="18"/>
                <w:szCs w:val="18"/>
              </w:rPr>
            </w:pPr>
            <w:r>
              <w:rPr>
                <w:rFonts w:eastAsia="Times New Roman"/>
                <w:color w:val="000000"/>
                <w:sz w:val="18"/>
                <w:szCs w:val="18"/>
              </w:rPr>
              <w:t>Not Reliable</w:t>
            </w:r>
          </w:p>
        </w:tc>
        <w:tc>
          <w:tcPr>
            <w:tcW w:w="998" w:type="dxa"/>
            <w:gridSpan w:val="2"/>
            <w:tcBorders>
              <w:top w:val="single" w:sz="12" w:space="0" w:color="auto"/>
              <w:left w:val="nil"/>
              <w:bottom w:val="single" w:sz="12" w:space="0" w:color="auto"/>
              <w:right w:val="single" w:sz="4" w:space="0" w:color="000000"/>
            </w:tcBorders>
            <w:shd w:val="clear" w:color="000000" w:fill="FFFFFF"/>
            <w:vAlign w:val="bottom"/>
            <w:hideMark/>
          </w:tcPr>
          <w:p w14:paraId="111EE88B" w14:textId="77777777" w:rsidR="002961DC" w:rsidRPr="00A95729" w:rsidRDefault="002961DC" w:rsidP="00E56366">
            <w:pPr>
              <w:spacing w:after="0" w:line="240" w:lineRule="auto"/>
              <w:jc w:val="center"/>
              <w:rPr>
                <w:rFonts w:eastAsia="Times New Roman"/>
                <w:color w:val="000000"/>
                <w:sz w:val="18"/>
                <w:szCs w:val="18"/>
              </w:rPr>
            </w:pPr>
            <w:r>
              <w:rPr>
                <w:rFonts w:eastAsia="Times New Roman"/>
                <w:color w:val="000000"/>
                <w:sz w:val="18"/>
                <w:szCs w:val="18"/>
              </w:rPr>
              <w:t xml:space="preserve">Poor </w:t>
            </w:r>
            <w:r w:rsidRPr="00A95729">
              <w:rPr>
                <w:rFonts w:eastAsia="Times New Roman"/>
                <w:color w:val="000000"/>
                <w:sz w:val="18"/>
                <w:szCs w:val="18"/>
              </w:rPr>
              <w:t>Destination Access</w:t>
            </w:r>
          </w:p>
        </w:tc>
        <w:tc>
          <w:tcPr>
            <w:tcW w:w="990" w:type="dxa"/>
            <w:gridSpan w:val="2"/>
            <w:tcBorders>
              <w:top w:val="single" w:sz="12" w:space="0" w:color="auto"/>
              <w:left w:val="nil"/>
              <w:bottom w:val="single" w:sz="12" w:space="0" w:color="auto"/>
              <w:right w:val="single" w:sz="4" w:space="0" w:color="000000"/>
            </w:tcBorders>
            <w:shd w:val="clear" w:color="000000" w:fill="FFFFFF"/>
            <w:noWrap/>
            <w:vAlign w:val="bottom"/>
            <w:hideMark/>
          </w:tcPr>
          <w:p w14:paraId="69CBE733" w14:textId="77777777" w:rsidR="002961DC" w:rsidRPr="00A95729" w:rsidRDefault="002961DC" w:rsidP="00E56366">
            <w:pPr>
              <w:spacing w:after="0" w:line="240" w:lineRule="auto"/>
              <w:jc w:val="center"/>
              <w:rPr>
                <w:rFonts w:eastAsia="Times New Roman"/>
                <w:color w:val="000000"/>
                <w:sz w:val="18"/>
                <w:szCs w:val="18"/>
              </w:rPr>
            </w:pPr>
            <w:r>
              <w:rPr>
                <w:rFonts w:eastAsia="Times New Roman"/>
                <w:color w:val="000000"/>
                <w:sz w:val="18"/>
                <w:szCs w:val="18"/>
              </w:rPr>
              <w:t>Not Affordable</w:t>
            </w:r>
          </w:p>
        </w:tc>
        <w:tc>
          <w:tcPr>
            <w:tcW w:w="990" w:type="dxa"/>
            <w:gridSpan w:val="2"/>
            <w:tcBorders>
              <w:top w:val="single" w:sz="12" w:space="0" w:color="auto"/>
              <w:left w:val="nil"/>
              <w:bottom w:val="single" w:sz="12" w:space="0" w:color="auto"/>
              <w:right w:val="single" w:sz="4" w:space="0" w:color="000000"/>
            </w:tcBorders>
            <w:shd w:val="clear" w:color="000000" w:fill="FFFFFF"/>
            <w:noWrap/>
            <w:vAlign w:val="bottom"/>
            <w:hideMark/>
          </w:tcPr>
          <w:p w14:paraId="4E716D0A"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Health Problems</w:t>
            </w:r>
          </w:p>
        </w:tc>
        <w:tc>
          <w:tcPr>
            <w:tcW w:w="994" w:type="dxa"/>
            <w:gridSpan w:val="2"/>
            <w:tcBorders>
              <w:top w:val="single" w:sz="12" w:space="0" w:color="auto"/>
              <w:left w:val="nil"/>
              <w:bottom w:val="single" w:sz="12" w:space="0" w:color="auto"/>
              <w:right w:val="single" w:sz="4" w:space="0" w:color="000000"/>
            </w:tcBorders>
            <w:shd w:val="clear" w:color="000000" w:fill="FFFFFF"/>
            <w:noWrap/>
            <w:vAlign w:val="bottom"/>
            <w:hideMark/>
          </w:tcPr>
          <w:p w14:paraId="7070E67B" w14:textId="77777777" w:rsidR="002961DC" w:rsidRPr="00A95729" w:rsidRDefault="002961DC" w:rsidP="00E56366">
            <w:pPr>
              <w:spacing w:after="0" w:line="240" w:lineRule="auto"/>
              <w:jc w:val="center"/>
              <w:rPr>
                <w:rFonts w:eastAsia="Times New Roman"/>
                <w:color w:val="000000"/>
                <w:sz w:val="18"/>
                <w:szCs w:val="18"/>
              </w:rPr>
            </w:pPr>
            <w:r>
              <w:rPr>
                <w:rFonts w:eastAsia="Times New Roman"/>
                <w:color w:val="000000"/>
                <w:sz w:val="18"/>
                <w:szCs w:val="18"/>
              </w:rPr>
              <w:t xml:space="preserve">No </w:t>
            </w:r>
            <w:r w:rsidRPr="00A95729">
              <w:rPr>
                <w:rFonts w:eastAsia="Times New Roman"/>
                <w:color w:val="000000"/>
                <w:sz w:val="18"/>
                <w:szCs w:val="18"/>
              </w:rPr>
              <w:t>Time</w:t>
            </w:r>
          </w:p>
        </w:tc>
        <w:tc>
          <w:tcPr>
            <w:tcW w:w="996" w:type="dxa"/>
            <w:gridSpan w:val="2"/>
            <w:tcBorders>
              <w:top w:val="single" w:sz="12" w:space="0" w:color="auto"/>
              <w:left w:val="nil"/>
              <w:bottom w:val="single" w:sz="12" w:space="0" w:color="auto"/>
              <w:right w:val="single" w:sz="12" w:space="0" w:color="auto"/>
            </w:tcBorders>
            <w:shd w:val="clear" w:color="000000" w:fill="FFFFFF"/>
            <w:noWrap/>
            <w:vAlign w:val="bottom"/>
            <w:hideMark/>
          </w:tcPr>
          <w:p w14:paraId="3646F252"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COVID</w:t>
            </w:r>
            <w:r>
              <w:rPr>
                <w:rFonts w:eastAsia="Times New Roman"/>
                <w:color w:val="000000"/>
                <w:sz w:val="18"/>
                <w:szCs w:val="18"/>
              </w:rPr>
              <w:t xml:space="preserve"> Concerns</w:t>
            </w:r>
          </w:p>
        </w:tc>
        <w:tc>
          <w:tcPr>
            <w:tcW w:w="1080" w:type="dxa"/>
            <w:gridSpan w:val="2"/>
            <w:tcBorders>
              <w:top w:val="single" w:sz="12" w:space="0" w:color="auto"/>
              <w:left w:val="nil"/>
              <w:bottom w:val="single" w:sz="12" w:space="0" w:color="auto"/>
              <w:right w:val="single" w:sz="12" w:space="0" w:color="auto"/>
            </w:tcBorders>
            <w:shd w:val="clear" w:color="000000" w:fill="FFFFFF"/>
            <w:vAlign w:val="bottom"/>
          </w:tcPr>
          <w:p w14:paraId="5ACB1485"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Telework</w:t>
            </w:r>
          </w:p>
        </w:tc>
        <w:tc>
          <w:tcPr>
            <w:tcW w:w="1172" w:type="dxa"/>
            <w:gridSpan w:val="2"/>
            <w:tcBorders>
              <w:top w:val="single" w:sz="12" w:space="0" w:color="auto"/>
              <w:left w:val="single" w:sz="12" w:space="0" w:color="auto"/>
              <w:bottom w:val="single" w:sz="12" w:space="0" w:color="auto"/>
              <w:right w:val="single" w:sz="12" w:space="0" w:color="auto"/>
            </w:tcBorders>
            <w:shd w:val="clear" w:color="000000" w:fill="FFFFFF"/>
            <w:vAlign w:val="bottom"/>
          </w:tcPr>
          <w:p w14:paraId="3BDF1F43"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Deliveries</w:t>
            </w:r>
          </w:p>
        </w:tc>
      </w:tr>
      <w:tr w:rsidR="002961DC" w:rsidRPr="00A95729" w14:paraId="420EE5CE" w14:textId="77777777" w:rsidTr="00E56366">
        <w:trPr>
          <w:trHeight w:val="20"/>
          <w:jc w:val="center"/>
        </w:trPr>
        <w:tc>
          <w:tcPr>
            <w:tcW w:w="2411" w:type="dxa"/>
            <w:vMerge/>
            <w:tcBorders>
              <w:left w:val="single" w:sz="12" w:space="0" w:color="auto"/>
              <w:bottom w:val="single" w:sz="12" w:space="0" w:color="auto"/>
              <w:right w:val="single" w:sz="12" w:space="0" w:color="auto"/>
            </w:tcBorders>
            <w:vAlign w:val="center"/>
            <w:hideMark/>
          </w:tcPr>
          <w:p w14:paraId="35EA1A66" w14:textId="77777777" w:rsidR="002961DC" w:rsidRPr="00A95729" w:rsidRDefault="002961DC" w:rsidP="00E56366">
            <w:pPr>
              <w:spacing w:after="0" w:line="240" w:lineRule="auto"/>
              <w:rPr>
                <w:rFonts w:eastAsia="Times New Roman"/>
                <w:color w:val="000000"/>
                <w:sz w:val="18"/>
                <w:szCs w:val="18"/>
              </w:rPr>
            </w:pPr>
          </w:p>
        </w:tc>
        <w:tc>
          <w:tcPr>
            <w:tcW w:w="537" w:type="dxa"/>
            <w:tcBorders>
              <w:top w:val="single" w:sz="12" w:space="0" w:color="auto"/>
              <w:left w:val="single" w:sz="12" w:space="0" w:color="auto"/>
              <w:bottom w:val="single" w:sz="12" w:space="0" w:color="auto"/>
            </w:tcBorders>
            <w:shd w:val="clear" w:color="000000" w:fill="FFFFFF"/>
            <w:vAlign w:val="center"/>
          </w:tcPr>
          <w:p w14:paraId="71039C16"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Coeff.</w:t>
            </w:r>
          </w:p>
        </w:tc>
        <w:tc>
          <w:tcPr>
            <w:tcW w:w="541" w:type="dxa"/>
            <w:tcBorders>
              <w:top w:val="single" w:sz="12" w:space="0" w:color="auto"/>
              <w:left w:val="nil"/>
              <w:bottom w:val="single" w:sz="12" w:space="0" w:color="auto"/>
              <w:right w:val="single" w:sz="12" w:space="0" w:color="auto"/>
            </w:tcBorders>
            <w:shd w:val="clear" w:color="000000" w:fill="FFFFFF"/>
            <w:vAlign w:val="center"/>
          </w:tcPr>
          <w:p w14:paraId="3287DA73"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t-stat</w:t>
            </w:r>
          </w:p>
        </w:tc>
        <w:tc>
          <w:tcPr>
            <w:tcW w:w="539" w:type="dxa"/>
            <w:tcBorders>
              <w:top w:val="single" w:sz="12" w:space="0" w:color="auto"/>
              <w:left w:val="single" w:sz="12" w:space="0" w:color="auto"/>
              <w:bottom w:val="single" w:sz="12" w:space="0" w:color="auto"/>
              <w:right w:val="nil"/>
            </w:tcBorders>
            <w:shd w:val="clear" w:color="000000" w:fill="FFFFFF"/>
            <w:noWrap/>
            <w:vAlign w:val="center"/>
            <w:hideMark/>
          </w:tcPr>
          <w:p w14:paraId="20D43B55"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Coeff.</w:t>
            </w:r>
          </w:p>
        </w:tc>
        <w:tc>
          <w:tcPr>
            <w:tcW w:w="449" w:type="dxa"/>
            <w:tcBorders>
              <w:top w:val="single" w:sz="12" w:space="0" w:color="auto"/>
              <w:left w:val="nil"/>
              <w:bottom w:val="single" w:sz="12" w:space="0" w:color="auto"/>
              <w:right w:val="single" w:sz="4" w:space="0" w:color="auto"/>
            </w:tcBorders>
            <w:shd w:val="clear" w:color="000000" w:fill="FFFFFF"/>
            <w:noWrap/>
            <w:vAlign w:val="center"/>
            <w:hideMark/>
          </w:tcPr>
          <w:p w14:paraId="08F4DF49"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t-stat</w:t>
            </w:r>
          </w:p>
        </w:tc>
        <w:tc>
          <w:tcPr>
            <w:tcW w:w="540" w:type="dxa"/>
            <w:tcBorders>
              <w:top w:val="single" w:sz="12" w:space="0" w:color="auto"/>
              <w:left w:val="nil"/>
              <w:bottom w:val="single" w:sz="12" w:space="0" w:color="auto"/>
              <w:right w:val="nil"/>
            </w:tcBorders>
            <w:shd w:val="clear" w:color="000000" w:fill="FFFFFF"/>
            <w:noWrap/>
            <w:vAlign w:val="center"/>
            <w:hideMark/>
          </w:tcPr>
          <w:p w14:paraId="352697DC"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Coeff.</w:t>
            </w:r>
          </w:p>
        </w:tc>
        <w:tc>
          <w:tcPr>
            <w:tcW w:w="450" w:type="dxa"/>
            <w:tcBorders>
              <w:top w:val="single" w:sz="12" w:space="0" w:color="auto"/>
              <w:left w:val="nil"/>
              <w:bottom w:val="single" w:sz="12" w:space="0" w:color="auto"/>
              <w:right w:val="single" w:sz="4" w:space="0" w:color="auto"/>
            </w:tcBorders>
            <w:shd w:val="clear" w:color="000000" w:fill="FFFFFF"/>
            <w:noWrap/>
            <w:vAlign w:val="center"/>
            <w:hideMark/>
          </w:tcPr>
          <w:p w14:paraId="249CB06F"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t-stat</w:t>
            </w:r>
          </w:p>
        </w:tc>
        <w:tc>
          <w:tcPr>
            <w:tcW w:w="540" w:type="dxa"/>
            <w:tcBorders>
              <w:top w:val="single" w:sz="12" w:space="0" w:color="auto"/>
              <w:left w:val="nil"/>
              <w:bottom w:val="single" w:sz="12" w:space="0" w:color="auto"/>
              <w:right w:val="nil"/>
            </w:tcBorders>
            <w:shd w:val="clear" w:color="000000" w:fill="FFFFFF"/>
            <w:noWrap/>
            <w:vAlign w:val="center"/>
            <w:hideMark/>
          </w:tcPr>
          <w:p w14:paraId="2A29602D"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Coeff.</w:t>
            </w:r>
          </w:p>
        </w:tc>
        <w:tc>
          <w:tcPr>
            <w:tcW w:w="450" w:type="dxa"/>
            <w:tcBorders>
              <w:top w:val="single" w:sz="12" w:space="0" w:color="auto"/>
              <w:left w:val="nil"/>
              <w:bottom w:val="single" w:sz="12" w:space="0" w:color="auto"/>
              <w:right w:val="single" w:sz="4" w:space="0" w:color="auto"/>
            </w:tcBorders>
            <w:shd w:val="clear" w:color="000000" w:fill="FFFFFF"/>
            <w:noWrap/>
            <w:vAlign w:val="center"/>
            <w:hideMark/>
          </w:tcPr>
          <w:p w14:paraId="105B6DA0"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t-stat</w:t>
            </w:r>
          </w:p>
        </w:tc>
        <w:tc>
          <w:tcPr>
            <w:tcW w:w="548" w:type="dxa"/>
            <w:tcBorders>
              <w:top w:val="single" w:sz="12" w:space="0" w:color="auto"/>
              <w:left w:val="nil"/>
              <w:bottom w:val="single" w:sz="12" w:space="0" w:color="auto"/>
              <w:right w:val="nil"/>
            </w:tcBorders>
            <w:shd w:val="clear" w:color="000000" w:fill="FFFFFF"/>
            <w:noWrap/>
            <w:vAlign w:val="center"/>
            <w:hideMark/>
          </w:tcPr>
          <w:p w14:paraId="1E894D59"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Coeff.</w:t>
            </w:r>
          </w:p>
        </w:tc>
        <w:tc>
          <w:tcPr>
            <w:tcW w:w="450" w:type="dxa"/>
            <w:tcBorders>
              <w:top w:val="single" w:sz="12" w:space="0" w:color="auto"/>
              <w:left w:val="nil"/>
              <w:bottom w:val="single" w:sz="12" w:space="0" w:color="auto"/>
              <w:right w:val="single" w:sz="4" w:space="0" w:color="auto"/>
            </w:tcBorders>
            <w:shd w:val="clear" w:color="000000" w:fill="FFFFFF"/>
            <w:noWrap/>
            <w:vAlign w:val="center"/>
            <w:hideMark/>
          </w:tcPr>
          <w:p w14:paraId="146907FB"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t-stat</w:t>
            </w:r>
          </w:p>
        </w:tc>
        <w:tc>
          <w:tcPr>
            <w:tcW w:w="540" w:type="dxa"/>
            <w:tcBorders>
              <w:top w:val="single" w:sz="12" w:space="0" w:color="auto"/>
              <w:left w:val="nil"/>
              <w:bottom w:val="single" w:sz="12" w:space="0" w:color="auto"/>
              <w:right w:val="nil"/>
            </w:tcBorders>
            <w:shd w:val="clear" w:color="000000" w:fill="FFFFFF"/>
            <w:noWrap/>
            <w:vAlign w:val="center"/>
            <w:hideMark/>
          </w:tcPr>
          <w:p w14:paraId="1C63E7F3"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Coeff.</w:t>
            </w:r>
          </w:p>
        </w:tc>
        <w:tc>
          <w:tcPr>
            <w:tcW w:w="450" w:type="dxa"/>
            <w:tcBorders>
              <w:top w:val="single" w:sz="12" w:space="0" w:color="auto"/>
              <w:left w:val="nil"/>
              <w:bottom w:val="single" w:sz="12" w:space="0" w:color="auto"/>
              <w:right w:val="single" w:sz="4" w:space="0" w:color="auto"/>
            </w:tcBorders>
            <w:shd w:val="clear" w:color="000000" w:fill="FFFFFF"/>
            <w:noWrap/>
            <w:vAlign w:val="center"/>
            <w:hideMark/>
          </w:tcPr>
          <w:p w14:paraId="3FC61EDB"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t-stat</w:t>
            </w:r>
          </w:p>
        </w:tc>
        <w:tc>
          <w:tcPr>
            <w:tcW w:w="540" w:type="dxa"/>
            <w:tcBorders>
              <w:top w:val="single" w:sz="12" w:space="0" w:color="auto"/>
              <w:left w:val="nil"/>
              <w:bottom w:val="single" w:sz="12" w:space="0" w:color="auto"/>
              <w:right w:val="nil"/>
            </w:tcBorders>
            <w:shd w:val="clear" w:color="000000" w:fill="FFFFFF"/>
            <w:noWrap/>
            <w:vAlign w:val="center"/>
            <w:hideMark/>
          </w:tcPr>
          <w:p w14:paraId="2E9A9FA3"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Coeff.</w:t>
            </w:r>
          </w:p>
        </w:tc>
        <w:tc>
          <w:tcPr>
            <w:tcW w:w="450" w:type="dxa"/>
            <w:tcBorders>
              <w:top w:val="single" w:sz="12" w:space="0" w:color="auto"/>
              <w:left w:val="nil"/>
              <w:bottom w:val="single" w:sz="12" w:space="0" w:color="auto"/>
              <w:right w:val="single" w:sz="4" w:space="0" w:color="auto"/>
            </w:tcBorders>
            <w:shd w:val="clear" w:color="000000" w:fill="FFFFFF"/>
            <w:noWrap/>
            <w:vAlign w:val="center"/>
            <w:hideMark/>
          </w:tcPr>
          <w:p w14:paraId="7CEAEF27"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t-stat</w:t>
            </w:r>
          </w:p>
        </w:tc>
        <w:tc>
          <w:tcPr>
            <w:tcW w:w="540" w:type="dxa"/>
            <w:tcBorders>
              <w:top w:val="single" w:sz="12" w:space="0" w:color="auto"/>
              <w:left w:val="nil"/>
              <w:bottom w:val="single" w:sz="12" w:space="0" w:color="auto"/>
              <w:right w:val="nil"/>
            </w:tcBorders>
            <w:shd w:val="clear" w:color="000000" w:fill="FFFFFF"/>
            <w:noWrap/>
            <w:vAlign w:val="center"/>
            <w:hideMark/>
          </w:tcPr>
          <w:p w14:paraId="5BE59B2F"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Coeff.</w:t>
            </w:r>
          </w:p>
        </w:tc>
        <w:tc>
          <w:tcPr>
            <w:tcW w:w="454" w:type="dxa"/>
            <w:tcBorders>
              <w:top w:val="single" w:sz="12" w:space="0" w:color="auto"/>
              <w:left w:val="nil"/>
              <w:bottom w:val="single" w:sz="12" w:space="0" w:color="auto"/>
              <w:right w:val="single" w:sz="4" w:space="0" w:color="auto"/>
            </w:tcBorders>
            <w:shd w:val="clear" w:color="000000" w:fill="FFFFFF"/>
            <w:noWrap/>
            <w:vAlign w:val="center"/>
            <w:hideMark/>
          </w:tcPr>
          <w:p w14:paraId="127F4932"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t-stat</w:t>
            </w:r>
          </w:p>
        </w:tc>
        <w:tc>
          <w:tcPr>
            <w:tcW w:w="540" w:type="dxa"/>
            <w:tcBorders>
              <w:top w:val="single" w:sz="12" w:space="0" w:color="auto"/>
              <w:left w:val="nil"/>
              <w:bottom w:val="single" w:sz="12" w:space="0" w:color="auto"/>
              <w:right w:val="nil"/>
            </w:tcBorders>
            <w:shd w:val="clear" w:color="000000" w:fill="FFFFFF"/>
            <w:noWrap/>
            <w:vAlign w:val="center"/>
            <w:hideMark/>
          </w:tcPr>
          <w:p w14:paraId="3827C4F4"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Coeff.</w:t>
            </w:r>
          </w:p>
        </w:tc>
        <w:tc>
          <w:tcPr>
            <w:tcW w:w="456" w:type="dxa"/>
            <w:tcBorders>
              <w:top w:val="single" w:sz="12" w:space="0" w:color="auto"/>
              <w:left w:val="nil"/>
              <w:bottom w:val="single" w:sz="12" w:space="0" w:color="auto"/>
              <w:right w:val="single" w:sz="12" w:space="0" w:color="auto"/>
            </w:tcBorders>
            <w:shd w:val="clear" w:color="000000" w:fill="FFFFFF"/>
            <w:noWrap/>
            <w:vAlign w:val="center"/>
            <w:hideMark/>
          </w:tcPr>
          <w:p w14:paraId="68BB8A8C"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t-stat</w:t>
            </w:r>
          </w:p>
        </w:tc>
        <w:tc>
          <w:tcPr>
            <w:tcW w:w="540" w:type="dxa"/>
            <w:tcBorders>
              <w:top w:val="single" w:sz="12" w:space="0" w:color="auto"/>
              <w:left w:val="nil"/>
              <w:bottom w:val="single" w:sz="12" w:space="0" w:color="auto"/>
              <w:right w:val="nil"/>
            </w:tcBorders>
            <w:shd w:val="clear" w:color="000000" w:fill="FFFFFF"/>
            <w:vAlign w:val="center"/>
          </w:tcPr>
          <w:p w14:paraId="7DBF08C1"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Coeff.</w:t>
            </w:r>
          </w:p>
        </w:tc>
        <w:tc>
          <w:tcPr>
            <w:tcW w:w="540" w:type="dxa"/>
            <w:tcBorders>
              <w:top w:val="single" w:sz="12" w:space="0" w:color="auto"/>
              <w:left w:val="nil"/>
              <w:bottom w:val="single" w:sz="12" w:space="0" w:color="auto"/>
              <w:right w:val="single" w:sz="12" w:space="0" w:color="auto"/>
            </w:tcBorders>
            <w:shd w:val="clear" w:color="000000" w:fill="FFFFFF"/>
            <w:vAlign w:val="center"/>
          </w:tcPr>
          <w:p w14:paraId="24BFC389"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t-stat</w:t>
            </w:r>
          </w:p>
        </w:tc>
        <w:tc>
          <w:tcPr>
            <w:tcW w:w="630" w:type="dxa"/>
            <w:tcBorders>
              <w:top w:val="single" w:sz="12" w:space="0" w:color="auto"/>
              <w:left w:val="single" w:sz="12" w:space="0" w:color="auto"/>
              <w:bottom w:val="single" w:sz="12" w:space="0" w:color="auto"/>
              <w:right w:val="nil"/>
            </w:tcBorders>
            <w:shd w:val="clear" w:color="000000" w:fill="FFFFFF"/>
            <w:vAlign w:val="center"/>
          </w:tcPr>
          <w:p w14:paraId="6BBD1624"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Coeff.</w:t>
            </w:r>
          </w:p>
        </w:tc>
        <w:tc>
          <w:tcPr>
            <w:tcW w:w="542" w:type="dxa"/>
            <w:tcBorders>
              <w:top w:val="single" w:sz="12" w:space="0" w:color="auto"/>
              <w:left w:val="nil"/>
              <w:bottom w:val="single" w:sz="12" w:space="0" w:color="auto"/>
              <w:right w:val="single" w:sz="12" w:space="0" w:color="auto"/>
            </w:tcBorders>
            <w:shd w:val="clear" w:color="000000" w:fill="FFFFFF"/>
            <w:vAlign w:val="center"/>
          </w:tcPr>
          <w:p w14:paraId="500745D5"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t-stat</w:t>
            </w:r>
          </w:p>
        </w:tc>
      </w:tr>
      <w:tr w:rsidR="002961DC" w:rsidRPr="00A95729" w14:paraId="6B83EC29" w14:textId="77777777" w:rsidTr="00E56366">
        <w:trPr>
          <w:trHeight w:val="20"/>
          <w:jc w:val="center"/>
        </w:trPr>
        <w:tc>
          <w:tcPr>
            <w:tcW w:w="2411" w:type="dxa"/>
            <w:tcBorders>
              <w:top w:val="nil"/>
              <w:left w:val="single" w:sz="12" w:space="0" w:color="auto"/>
              <w:bottom w:val="nil"/>
              <w:right w:val="single" w:sz="12" w:space="0" w:color="auto"/>
            </w:tcBorders>
            <w:shd w:val="clear" w:color="000000" w:fill="FFFFFF"/>
            <w:noWrap/>
            <w:vAlign w:val="bottom"/>
            <w:hideMark/>
          </w:tcPr>
          <w:p w14:paraId="5092D91D" w14:textId="77777777" w:rsidR="002961DC" w:rsidRPr="00A95729" w:rsidRDefault="002961DC" w:rsidP="00E56366">
            <w:pPr>
              <w:spacing w:after="0" w:line="240" w:lineRule="auto"/>
              <w:rPr>
                <w:rFonts w:eastAsia="Times New Roman"/>
                <w:b/>
                <w:bCs/>
                <w:color w:val="000000"/>
                <w:sz w:val="18"/>
                <w:szCs w:val="18"/>
              </w:rPr>
            </w:pPr>
            <w:r w:rsidRPr="00A95729">
              <w:rPr>
                <w:rFonts w:eastAsia="Times New Roman"/>
                <w:b/>
                <w:bCs/>
                <w:color w:val="000000"/>
                <w:sz w:val="18"/>
                <w:szCs w:val="18"/>
              </w:rPr>
              <w:t>Individual Characteristics</w:t>
            </w:r>
          </w:p>
        </w:tc>
        <w:tc>
          <w:tcPr>
            <w:tcW w:w="537" w:type="dxa"/>
            <w:tcBorders>
              <w:top w:val="nil"/>
              <w:left w:val="single" w:sz="12" w:space="0" w:color="auto"/>
              <w:bottom w:val="nil"/>
            </w:tcBorders>
            <w:shd w:val="clear" w:color="000000" w:fill="FFFFFF"/>
            <w:vAlign w:val="bottom"/>
          </w:tcPr>
          <w:p w14:paraId="2CA0201A" w14:textId="77777777" w:rsidR="002961DC" w:rsidRPr="00A95729" w:rsidRDefault="002961DC" w:rsidP="00E56366">
            <w:pPr>
              <w:spacing w:after="0" w:line="240" w:lineRule="auto"/>
              <w:jc w:val="center"/>
              <w:rPr>
                <w:rFonts w:eastAsia="Times New Roman"/>
                <w:color w:val="000000"/>
                <w:sz w:val="18"/>
                <w:szCs w:val="18"/>
              </w:rPr>
            </w:pPr>
          </w:p>
        </w:tc>
        <w:tc>
          <w:tcPr>
            <w:tcW w:w="541" w:type="dxa"/>
            <w:tcBorders>
              <w:top w:val="nil"/>
              <w:left w:val="nil"/>
              <w:bottom w:val="nil"/>
              <w:right w:val="single" w:sz="12" w:space="0" w:color="auto"/>
            </w:tcBorders>
            <w:shd w:val="clear" w:color="000000" w:fill="FFFFFF"/>
            <w:vAlign w:val="bottom"/>
          </w:tcPr>
          <w:p w14:paraId="15FC54DF" w14:textId="77777777" w:rsidR="002961DC" w:rsidRPr="00A95729" w:rsidRDefault="002961DC" w:rsidP="00E56366">
            <w:pPr>
              <w:spacing w:after="0" w:line="240" w:lineRule="auto"/>
              <w:jc w:val="center"/>
              <w:rPr>
                <w:rFonts w:eastAsia="Times New Roman"/>
                <w:color w:val="000000"/>
                <w:sz w:val="18"/>
                <w:szCs w:val="18"/>
              </w:rPr>
            </w:pPr>
          </w:p>
        </w:tc>
        <w:tc>
          <w:tcPr>
            <w:tcW w:w="539" w:type="dxa"/>
            <w:tcBorders>
              <w:top w:val="nil"/>
              <w:left w:val="single" w:sz="12" w:space="0" w:color="auto"/>
              <w:bottom w:val="nil"/>
              <w:right w:val="nil"/>
            </w:tcBorders>
            <w:shd w:val="clear" w:color="000000" w:fill="FFFFFF"/>
            <w:noWrap/>
            <w:vAlign w:val="center"/>
          </w:tcPr>
          <w:p w14:paraId="0C50B72C" w14:textId="77777777" w:rsidR="002961DC" w:rsidRPr="00A95729" w:rsidRDefault="002961DC" w:rsidP="00E56366">
            <w:pPr>
              <w:spacing w:after="0" w:line="240" w:lineRule="auto"/>
              <w:jc w:val="center"/>
              <w:rPr>
                <w:rFonts w:eastAsia="Times New Roman"/>
                <w:color w:val="000000"/>
                <w:sz w:val="18"/>
                <w:szCs w:val="18"/>
              </w:rPr>
            </w:pPr>
          </w:p>
        </w:tc>
        <w:tc>
          <w:tcPr>
            <w:tcW w:w="449" w:type="dxa"/>
            <w:tcBorders>
              <w:top w:val="nil"/>
              <w:left w:val="nil"/>
              <w:bottom w:val="nil"/>
              <w:right w:val="single" w:sz="4" w:space="0" w:color="auto"/>
            </w:tcBorders>
            <w:shd w:val="clear" w:color="000000" w:fill="FFFFFF"/>
            <w:noWrap/>
            <w:vAlign w:val="center"/>
          </w:tcPr>
          <w:p w14:paraId="0F8FC364" w14:textId="77777777" w:rsidR="002961DC" w:rsidRPr="00A95729" w:rsidRDefault="002961DC" w:rsidP="00E56366">
            <w:pPr>
              <w:spacing w:after="0" w:line="240" w:lineRule="auto"/>
              <w:jc w:val="center"/>
              <w:rPr>
                <w:rFonts w:eastAsia="Times New Roman"/>
                <w:color w:val="000000"/>
                <w:sz w:val="18"/>
                <w:szCs w:val="18"/>
              </w:rPr>
            </w:pPr>
          </w:p>
        </w:tc>
        <w:tc>
          <w:tcPr>
            <w:tcW w:w="540" w:type="dxa"/>
            <w:tcBorders>
              <w:top w:val="nil"/>
              <w:left w:val="nil"/>
              <w:bottom w:val="nil"/>
              <w:right w:val="nil"/>
            </w:tcBorders>
            <w:shd w:val="clear" w:color="000000" w:fill="FFFFFF"/>
            <w:noWrap/>
            <w:vAlign w:val="center"/>
          </w:tcPr>
          <w:p w14:paraId="194793D8" w14:textId="77777777" w:rsidR="002961DC" w:rsidRPr="00A95729" w:rsidRDefault="002961DC" w:rsidP="00E56366">
            <w:pPr>
              <w:spacing w:after="0" w:line="240" w:lineRule="auto"/>
              <w:jc w:val="center"/>
              <w:rPr>
                <w:rFonts w:eastAsia="Times New Roman"/>
                <w:color w:val="000000"/>
                <w:sz w:val="18"/>
                <w:szCs w:val="18"/>
              </w:rPr>
            </w:pPr>
          </w:p>
        </w:tc>
        <w:tc>
          <w:tcPr>
            <w:tcW w:w="450" w:type="dxa"/>
            <w:tcBorders>
              <w:top w:val="nil"/>
              <w:left w:val="nil"/>
              <w:bottom w:val="nil"/>
              <w:right w:val="single" w:sz="4" w:space="0" w:color="auto"/>
            </w:tcBorders>
            <w:shd w:val="clear" w:color="000000" w:fill="FFFFFF"/>
            <w:noWrap/>
            <w:vAlign w:val="center"/>
          </w:tcPr>
          <w:p w14:paraId="69FF8801" w14:textId="77777777" w:rsidR="002961DC" w:rsidRPr="00A95729" w:rsidRDefault="002961DC" w:rsidP="00E56366">
            <w:pPr>
              <w:spacing w:after="0" w:line="240" w:lineRule="auto"/>
              <w:jc w:val="center"/>
              <w:rPr>
                <w:rFonts w:eastAsia="Times New Roman"/>
                <w:color w:val="000000"/>
                <w:sz w:val="18"/>
                <w:szCs w:val="18"/>
              </w:rPr>
            </w:pPr>
          </w:p>
        </w:tc>
        <w:tc>
          <w:tcPr>
            <w:tcW w:w="540" w:type="dxa"/>
            <w:tcBorders>
              <w:top w:val="nil"/>
              <w:left w:val="nil"/>
              <w:bottom w:val="nil"/>
              <w:right w:val="nil"/>
            </w:tcBorders>
            <w:shd w:val="clear" w:color="000000" w:fill="FFFFFF"/>
            <w:noWrap/>
            <w:vAlign w:val="bottom"/>
          </w:tcPr>
          <w:p w14:paraId="0B117398" w14:textId="77777777" w:rsidR="002961DC" w:rsidRPr="00A95729" w:rsidRDefault="002961DC" w:rsidP="00E56366">
            <w:pPr>
              <w:spacing w:after="0" w:line="240" w:lineRule="auto"/>
              <w:jc w:val="center"/>
              <w:rPr>
                <w:rFonts w:eastAsia="Times New Roman"/>
                <w:color w:val="000000"/>
                <w:sz w:val="18"/>
                <w:szCs w:val="18"/>
              </w:rPr>
            </w:pPr>
          </w:p>
        </w:tc>
        <w:tc>
          <w:tcPr>
            <w:tcW w:w="450" w:type="dxa"/>
            <w:tcBorders>
              <w:top w:val="nil"/>
              <w:left w:val="nil"/>
              <w:bottom w:val="nil"/>
              <w:right w:val="single" w:sz="4" w:space="0" w:color="auto"/>
            </w:tcBorders>
            <w:shd w:val="clear" w:color="000000" w:fill="FFFFFF"/>
            <w:noWrap/>
            <w:vAlign w:val="bottom"/>
          </w:tcPr>
          <w:p w14:paraId="378C50E8" w14:textId="77777777" w:rsidR="002961DC" w:rsidRPr="00A95729" w:rsidRDefault="002961DC" w:rsidP="00E56366">
            <w:pPr>
              <w:spacing w:after="0" w:line="240" w:lineRule="auto"/>
              <w:jc w:val="center"/>
              <w:rPr>
                <w:rFonts w:eastAsia="Times New Roman"/>
                <w:color w:val="000000"/>
                <w:sz w:val="18"/>
                <w:szCs w:val="18"/>
              </w:rPr>
            </w:pPr>
          </w:p>
        </w:tc>
        <w:tc>
          <w:tcPr>
            <w:tcW w:w="548" w:type="dxa"/>
            <w:tcBorders>
              <w:top w:val="nil"/>
              <w:left w:val="nil"/>
              <w:bottom w:val="nil"/>
              <w:right w:val="nil"/>
            </w:tcBorders>
            <w:shd w:val="clear" w:color="000000" w:fill="FFFFFF"/>
            <w:noWrap/>
            <w:vAlign w:val="center"/>
          </w:tcPr>
          <w:p w14:paraId="1D08A116" w14:textId="77777777" w:rsidR="002961DC" w:rsidRPr="00A95729" w:rsidRDefault="002961DC" w:rsidP="00E56366">
            <w:pPr>
              <w:spacing w:after="0" w:line="240" w:lineRule="auto"/>
              <w:jc w:val="center"/>
              <w:rPr>
                <w:rFonts w:eastAsia="Times New Roman"/>
                <w:color w:val="000000"/>
                <w:sz w:val="18"/>
                <w:szCs w:val="18"/>
              </w:rPr>
            </w:pPr>
          </w:p>
        </w:tc>
        <w:tc>
          <w:tcPr>
            <w:tcW w:w="450" w:type="dxa"/>
            <w:tcBorders>
              <w:top w:val="nil"/>
              <w:left w:val="nil"/>
              <w:bottom w:val="nil"/>
              <w:right w:val="single" w:sz="4" w:space="0" w:color="auto"/>
            </w:tcBorders>
            <w:shd w:val="clear" w:color="000000" w:fill="FFFFFF"/>
            <w:noWrap/>
            <w:vAlign w:val="center"/>
          </w:tcPr>
          <w:p w14:paraId="6F18836F" w14:textId="77777777" w:rsidR="002961DC" w:rsidRPr="00A95729" w:rsidRDefault="002961DC" w:rsidP="00E56366">
            <w:pPr>
              <w:spacing w:after="0" w:line="240" w:lineRule="auto"/>
              <w:jc w:val="center"/>
              <w:rPr>
                <w:rFonts w:eastAsia="Times New Roman"/>
                <w:color w:val="000000"/>
                <w:sz w:val="18"/>
                <w:szCs w:val="18"/>
              </w:rPr>
            </w:pPr>
          </w:p>
        </w:tc>
        <w:tc>
          <w:tcPr>
            <w:tcW w:w="540" w:type="dxa"/>
            <w:tcBorders>
              <w:top w:val="nil"/>
              <w:left w:val="nil"/>
              <w:bottom w:val="nil"/>
              <w:right w:val="nil"/>
            </w:tcBorders>
            <w:shd w:val="clear" w:color="000000" w:fill="FFFFFF"/>
            <w:noWrap/>
            <w:vAlign w:val="center"/>
          </w:tcPr>
          <w:p w14:paraId="1A772D3E" w14:textId="77777777" w:rsidR="002961DC" w:rsidRPr="00A95729" w:rsidRDefault="002961DC" w:rsidP="00E56366">
            <w:pPr>
              <w:spacing w:after="0" w:line="240" w:lineRule="auto"/>
              <w:jc w:val="center"/>
              <w:rPr>
                <w:rFonts w:eastAsia="Times New Roman"/>
                <w:color w:val="000000"/>
                <w:sz w:val="18"/>
                <w:szCs w:val="18"/>
              </w:rPr>
            </w:pPr>
          </w:p>
        </w:tc>
        <w:tc>
          <w:tcPr>
            <w:tcW w:w="450" w:type="dxa"/>
            <w:tcBorders>
              <w:top w:val="nil"/>
              <w:left w:val="nil"/>
              <w:bottom w:val="nil"/>
              <w:right w:val="single" w:sz="4" w:space="0" w:color="auto"/>
            </w:tcBorders>
            <w:shd w:val="clear" w:color="000000" w:fill="FFFFFF"/>
            <w:noWrap/>
            <w:vAlign w:val="center"/>
          </w:tcPr>
          <w:p w14:paraId="690F56FF" w14:textId="77777777" w:rsidR="002961DC" w:rsidRPr="00A95729" w:rsidRDefault="002961DC" w:rsidP="00E56366">
            <w:pPr>
              <w:spacing w:after="0" w:line="240" w:lineRule="auto"/>
              <w:jc w:val="center"/>
              <w:rPr>
                <w:rFonts w:eastAsia="Times New Roman"/>
                <w:color w:val="000000"/>
                <w:sz w:val="18"/>
                <w:szCs w:val="18"/>
              </w:rPr>
            </w:pPr>
          </w:p>
        </w:tc>
        <w:tc>
          <w:tcPr>
            <w:tcW w:w="540" w:type="dxa"/>
            <w:tcBorders>
              <w:top w:val="nil"/>
              <w:left w:val="nil"/>
              <w:bottom w:val="nil"/>
              <w:right w:val="nil"/>
            </w:tcBorders>
            <w:shd w:val="clear" w:color="000000" w:fill="FFFFFF"/>
            <w:noWrap/>
            <w:vAlign w:val="bottom"/>
          </w:tcPr>
          <w:p w14:paraId="0C896CAD" w14:textId="77777777" w:rsidR="002961DC" w:rsidRPr="00A95729" w:rsidRDefault="002961DC" w:rsidP="00E56366">
            <w:pPr>
              <w:spacing w:after="0" w:line="240" w:lineRule="auto"/>
              <w:jc w:val="center"/>
              <w:rPr>
                <w:rFonts w:eastAsia="Times New Roman"/>
                <w:color w:val="000000"/>
                <w:sz w:val="18"/>
                <w:szCs w:val="18"/>
              </w:rPr>
            </w:pPr>
          </w:p>
        </w:tc>
        <w:tc>
          <w:tcPr>
            <w:tcW w:w="450" w:type="dxa"/>
            <w:tcBorders>
              <w:top w:val="nil"/>
              <w:left w:val="nil"/>
              <w:bottom w:val="nil"/>
              <w:right w:val="single" w:sz="4" w:space="0" w:color="auto"/>
            </w:tcBorders>
            <w:shd w:val="clear" w:color="000000" w:fill="FFFFFF"/>
            <w:noWrap/>
            <w:vAlign w:val="bottom"/>
          </w:tcPr>
          <w:p w14:paraId="0F1ADBE1" w14:textId="77777777" w:rsidR="002961DC" w:rsidRPr="00A95729" w:rsidRDefault="002961DC" w:rsidP="00E56366">
            <w:pPr>
              <w:spacing w:after="0" w:line="240" w:lineRule="auto"/>
              <w:jc w:val="center"/>
              <w:rPr>
                <w:rFonts w:eastAsia="Times New Roman"/>
                <w:color w:val="000000"/>
                <w:sz w:val="18"/>
                <w:szCs w:val="18"/>
              </w:rPr>
            </w:pPr>
          </w:p>
        </w:tc>
        <w:tc>
          <w:tcPr>
            <w:tcW w:w="540" w:type="dxa"/>
            <w:tcBorders>
              <w:top w:val="nil"/>
              <w:left w:val="nil"/>
              <w:bottom w:val="nil"/>
              <w:right w:val="nil"/>
            </w:tcBorders>
            <w:shd w:val="clear" w:color="000000" w:fill="FFFFFF"/>
            <w:noWrap/>
            <w:vAlign w:val="bottom"/>
          </w:tcPr>
          <w:p w14:paraId="1471EE9A" w14:textId="77777777" w:rsidR="002961DC" w:rsidRPr="00A95729" w:rsidRDefault="002961DC" w:rsidP="00E56366">
            <w:pPr>
              <w:spacing w:after="0" w:line="240" w:lineRule="auto"/>
              <w:jc w:val="center"/>
              <w:rPr>
                <w:rFonts w:eastAsia="Times New Roman"/>
                <w:color w:val="000000"/>
                <w:sz w:val="18"/>
                <w:szCs w:val="18"/>
              </w:rPr>
            </w:pPr>
          </w:p>
        </w:tc>
        <w:tc>
          <w:tcPr>
            <w:tcW w:w="454" w:type="dxa"/>
            <w:tcBorders>
              <w:top w:val="nil"/>
              <w:left w:val="nil"/>
              <w:bottom w:val="nil"/>
              <w:right w:val="single" w:sz="4" w:space="0" w:color="auto"/>
            </w:tcBorders>
            <w:shd w:val="clear" w:color="000000" w:fill="FFFFFF"/>
            <w:noWrap/>
            <w:vAlign w:val="bottom"/>
          </w:tcPr>
          <w:p w14:paraId="71DB55B2" w14:textId="77777777" w:rsidR="002961DC" w:rsidRPr="00A95729" w:rsidRDefault="002961DC" w:rsidP="00E56366">
            <w:pPr>
              <w:spacing w:after="0" w:line="240" w:lineRule="auto"/>
              <w:jc w:val="center"/>
              <w:rPr>
                <w:rFonts w:eastAsia="Times New Roman"/>
                <w:color w:val="000000"/>
                <w:sz w:val="18"/>
                <w:szCs w:val="18"/>
              </w:rPr>
            </w:pPr>
          </w:p>
        </w:tc>
        <w:tc>
          <w:tcPr>
            <w:tcW w:w="540" w:type="dxa"/>
            <w:tcBorders>
              <w:top w:val="nil"/>
              <w:left w:val="nil"/>
              <w:bottom w:val="nil"/>
              <w:right w:val="nil"/>
            </w:tcBorders>
            <w:shd w:val="clear" w:color="000000" w:fill="FFFFFF"/>
            <w:noWrap/>
            <w:vAlign w:val="bottom"/>
          </w:tcPr>
          <w:p w14:paraId="06738002" w14:textId="77777777" w:rsidR="002961DC" w:rsidRPr="00A95729" w:rsidRDefault="002961DC" w:rsidP="00E56366">
            <w:pPr>
              <w:spacing w:after="0" w:line="240" w:lineRule="auto"/>
              <w:jc w:val="center"/>
              <w:rPr>
                <w:rFonts w:eastAsia="Times New Roman"/>
                <w:color w:val="000000"/>
                <w:sz w:val="18"/>
                <w:szCs w:val="18"/>
              </w:rPr>
            </w:pPr>
          </w:p>
        </w:tc>
        <w:tc>
          <w:tcPr>
            <w:tcW w:w="456" w:type="dxa"/>
            <w:tcBorders>
              <w:top w:val="nil"/>
              <w:left w:val="nil"/>
              <w:bottom w:val="nil"/>
              <w:right w:val="single" w:sz="12" w:space="0" w:color="auto"/>
            </w:tcBorders>
            <w:shd w:val="clear" w:color="000000" w:fill="FFFFFF"/>
            <w:noWrap/>
            <w:vAlign w:val="bottom"/>
          </w:tcPr>
          <w:p w14:paraId="18028766" w14:textId="77777777" w:rsidR="002961DC" w:rsidRPr="00A95729" w:rsidRDefault="002961DC" w:rsidP="00E56366">
            <w:pPr>
              <w:spacing w:after="0" w:line="240" w:lineRule="auto"/>
              <w:jc w:val="center"/>
              <w:rPr>
                <w:rFonts w:eastAsia="Times New Roman"/>
                <w:color w:val="000000"/>
                <w:sz w:val="18"/>
                <w:szCs w:val="18"/>
              </w:rPr>
            </w:pPr>
          </w:p>
        </w:tc>
        <w:tc>
          <w:tcPr>
            <w:tcW w:w="540" w:type="dxa"/>
            <w:tcBorders>
              <w:top w:val="nil"/>
              <w:left w:val="nil"/>
              <w:bottom w:val="nil"/>
              <w:right w:val="nil"/>
            </w:tcBorders>
            <w:shd w:val="clear" w:color="000000" w:fill="FFFFFF"/>
            <w:vAlign w:val="bottom"/>
          </w:tcPr>
          <w:p w14:paraId="34111026" w14:textId="77777777" w:rsidR="002961DC" w:rsidRPr="00A95729" w:rsidRDefault="002961DC" w:rsidP="00E56366">
            <w:pPr>
              <w:spacing w:after="0" w:line="240" w:lineRule="auto"/>
              <w:jc w:val="center"/>
              <w:rPr>
                <w:color w:val="000000"/>
                <w:sz w:val="18"/>
                <w:szCs w:val="18"/>
              </w:rPr>
            </w:pPr>
          </w:p>
        </w:tc>
        <w:tc>
          <w:tcPr>
            <w:tcW w:w="540" w:type="dxa"/>
            <w:tcBorders>
              <w:top w:val="nil"/>
              <w:left w:val="nil"/>
              <w:bottom w:val="nil"/>
              <w:right w:val="single" w:sz="12" w:space="0" w:color="auto"/>
            </w:tcBorders>
            <w:shd w:val="clear" w:color="000000" w:fill="FFFFFF"/>
            <w:vAlign w:val="bottom"/>
          </w:tcPr>
          <w:p w14:paraId="0DA54F36" w14:textId="77777777" w:rsidR="002961DC" w:rsidRPr="00A95729" w:rsidRDefault="002961DC" w:rsidP="00E56366">
            <w:pPr>
              <w:spacing w:after="0" w:line="240" w:lineRule="auto"/>
              <w:jc w:val="center"/>
              <w:rPr>
                <w:color w:val="000000"/>
                <w:sz w:val="18"/>
                <w:szCs w:val="18"/>
              </w:rPr>
            </w:pPr>
          </w:p>
        </w:tc>
        <w:tc>
          <w:tcPr>
            <w:tcW w:w="630" w:type="dxa"/>
            <w:tcBorders>
              <w:top w:val="nil"/>
              <w:left w:val="single" w:sz="12" w:space="0" w:color="auto"/>
              <w:bottom w:val="nil"/>
              <w:right w:val="nil"/>
            </w:tcBorders>
            <w:shd w:val="clear" w:color="000000" w:fill="FFFFFF"/>
            <w:vAlign w:val="bottom"/>
          </w:tcPr>
          <w:p w14:paraId="19DC7016" w14:textId="77777777" w:rsidR="002961DC" w:rsidRPr="00A95729" w:rsidRDefault="002961DC" w:rsidP="00E56366">
            <w:pPr>
              <w:spacing w:after="0" w:line="240" w:lineRule="auto"/>
              <w:jc w:val="center"/>
              <w:rPr>
                <w:color w:val="000000"/>
                <w:sz w:val="18"/>
                <w:szCs w:val="18"/>
              </w:rPr>
            </w:pPr>
          </w:p>
        </w:tc>
        <w:tc>
          <w:tcPr>
            <w:tcW w:w="542" w:type="dxa"/>
            <w:tcBorders>
              <w:top w:val="nil"/>
              <w:left w:val="nil"/>
              <w:bottom w:val="nil"/>
              <w:right w:val="single" w:sz="12" w:space="0" w:color="auto"/>
            </w:tcBorders>
            <w:shd w:val="clear" w:color="000000" w:fill="FFFFFF"/>
            <w:vAlign w:val="bottom"/>
          </w:tcPr>
          <w:p w14:paraId="38C4A893" w14:textId="77777777" w:rsidR="002961DC" w:rsidRPr="00A95729" w:rsidRDefault="002961DC" w:rsidP="00E56366">
            <w:pPr>
              <w:spacing w:after="0" w:line="240" w:lineRule="auto"/>
              <w:jc w:val="center"/>
              <w:rPr>
                <w:color w:val="000000"/>
                <w:sz w:val="18"/>
                <w:szCs w:val="18"/>
              </w:rPr>
            </w:pPr>
          </w:p>
        </w:tc>
      </w:tr>
      <w:tr w:rsidR="002961DC" w:rsidRPr="00A95729" w14:paraId="7E12FFF2" w14:textId="77777777" w:rsidTr="00E56366">
        <w:trPr>
          <w:trHeight w:val="20"/>
          <w:jc w:val="center"/>
        </w:trPr>
        <w:tc>
          <w:tcPr>
            <w:tcW w:w="2411" w:type="dxa"/>
            <w:tcBorders>
              <w:top w:val="nil"/>
              <w:left w:val="single" w:sz="12" w:space="0" w:color="auto"/>
              <w:bottom w:val="nil"/>
              <w:right w:val="single" w:sz="12" w:space="0" w:color="auto"/>
            </w:tcBorders>
            <w:shd w:val="clear" w:color="000000" w:fill="FFFFFF"/>
            <w:noWrap/>
            <w:vAlign w:val="bottom"/>
          </w:tcPr>
          <w:p w14:paraId="3F07DC27" w14:textId="77777777" w:rsidR="002961DC" w:rsidRPr="00A95729" w:rsidRDefault="002961DC" w:rsidP="00E56366">
            <w:pPr>
              <w:spacing w:after="0" w:line="240" w:lineRule="auto"/>
              <w:rPr>
                <w:rFonts w:eastAsia="Times New Roman"/>
                <w:b/>
                <w:bCs/>
                <w:color w:val="000000"/>
                <w:sz w:val="18"/>
                <w:szCs w:val="18"/>
              </w:rPr>
            </w:pPr>
            <w:r w:rsidRPr="00A95729">
              <w:rPr>
                <w:rFonts w:eastAsia="Times New Roman"/>
                <w:color w:val="000000"/>
                <w:sz w:val="18"/>
                <w:szCs w:val="18"/>
              </w:rPr>
              <w:t>Gender (Male)</w:t>
            </w:r>
          </w:p>
        </w:tc>
        <w:tc>
          <w:tcPr>
            <w:tcW w:w="537" w:type="dxa"/>
            <w:tcBorders>
              <w:top w:val="nil"/>
              <w:left w:val="single" w:sz="12" w:space="0" w:color="auto"/>
              <w:bottom w:val="nil"/>
            </w:tcBorders>
            <w:shd w:val="clear" w:color="000000" w:fill="FFFFFF"/>
          </w:tcPr>
          <w:p w14:paraId="2B95965E" w14:textId="77777777" w:rsidR="002961DC" w:rsidRPr="00A95729" w:rsidRDefault="002961DC" w:rsidP="00E56366">
            <w:pPr>
              <w:spacing w:after="0" w:line="240" w:lineRule="auto"/>
              <w:jc w:val="center"/>
              <w:rPr>
                <w:rFonts w:eastAsia="Times New Roman"/>
                <w:color w:val="000000"/>
                <w:sz w:val="18"/>
                <w:szCs w:val="18"/>
              </w:rPr>
            </w:pPr>
          </w:p>
        </w:tc>
        <w:tc>
          <w:tcPr>
            <w:tcW w:w="541" w:type="dxa"/>
            <w:tcBorders>
              <w:top w:val="nil"/>
              <w:left w:val="nil"/>
              <w:bottom w:val="nil"/>
              <w:right w:val="single" w:sz="12" w:space="0" w:color="auto"/>
            </w:tcBorders>
            <w:shd w:val="clear" w:color="000000" w:fill="FFFFFF"/>
          </w:tcPr>
          <w:p w14:paraId="24B65197" w14:textId="77777777" w:rsidR="002961DC" w:rsidRPr="00A95729" w:rsidRDefault="002961DC" w:rsidP="00E56366">
            <w:pPr>
              <w:spacing w:after="0" w:line="240" w:lineRule="auto"/>
              <w:jc w:val="center"/>
              <w:rPr>
                <w:rFonts w:eastAsia="Times New Roman"/>
                <w:color w:val="000000"/>
                <w:sz w:val="18"/>
                <w:szCs w:val="18"/>
              </w:rPr>
            </w:pPr>
          </w:p>
        </w:tc>
        <w:tc>
          <w:tcPr>
            <w:tcW w:w="539" w:type="dxa"/>
            <w:tcBorders>
              <w:top w:val="nil"/>
              <w:left w:val="single" w:sz="12" w:space="0" w:color="auto"/>
              <w:bottom w:val="nil"/>
              <w:right w:val="nil"/>
            </w:tcBorders>
            <w:shd w:val="clear" w:color="000000" w:fill="FFFFFF"/>
            <w:noWrap/>
            <w:vAlign w:val="center"/>
          </w:tcPr>
          <w:p w14:paraId="0164E59A"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449" w:type="dxa"/>
            <w:tcBorders>
              <w:top w:val="nil"/>
              <w:left w:val="nil"/>
              <w:bottom w:val="nil"/>
              <w:right w:val="single" w:sz="4" w:space="0" w:color="auto"/>
            </w:tcBorders>
            <w:shd w:val="clear" w:color="000000" w:fill="FFFFFF"/>
            <w:noWrap/>
            <w:vAlign w:val="center"/>
          </w:tcPr>
          <w:p w14:paraId="16C8ECF6"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35374CB2"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450" w:type="dxa"/>
            <w:tcBorders>
              <w:top w:val="nil"/>
              <w:left w:val="nil"/>
              <w:bottom w:val="nil"/>
              <w:right w:val="single" w:sz="4" w:space="0" w:color="auto"/>
            </w:tcBorders>
            <w:shd w:val="clear" w:color="000000" w:fill="FFFFFF"/>
            <w:noWrap/>
            <w:vAlign w:val="center"/>
          </w:tcPr>
          <w:p w14:paraId="258617E7"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244FC2D6"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450" w:type="dxa"/>
            <w:tcBorders>
              <w:top w:val="nil"/>
              <w:left w:val="nil"/>
              <w:bottom w:val="nil"/>
              <w:right w:val="single" w:sz="4" w:space="0" w:color="auto"/>
            </w:tcBorders>
            <w:shd w:val="clear" w:color="000000" w:fill="FFFFFF"/>
            <w:noWrap/>
            <w:vAlign w:val="center"/>
          </w:tcPr>
          <w:p w14:paraId="22F259A2"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8" w:type="dxa"/>
            <w:tcBorders>
              <w:top w:val="nil"/>
              <w:left w:val="nil"/>
              <w:bottom w:val="nil"/>
              <w:right w:val="nil"/>
            </w:tcBorders>
            <w:shd w:val="clear" w:color="000000" w:fill="FFFFFF"/>
            <w:noWrap/>
            <w:vAlign w:val="center"/>
          </w:tcPr>
          <w:p w14:paraId="46655B6E"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450" w:type="dxa"/>
            <w:tcBorders>
              <w:top w:val="nil"/>
              <w:left w:val="nil"/>
              <w:bottom w:val="nil"/>
              <w:right w:val="single" w:sz="4" w:space="0" w:color="auto"/>
            </w:tcBorders>
            <w:shd w:val="clear" w:color="000000" w:fill="FFFFFF"/>
            <w:noWrap/>
            <w:vAlign w:val="center"/>
          </w:tcPr>
          <w:p w14:paraId="3971564D"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4C08A722"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450" w:type="dxa"/>
            <w:tcBorders>
              <w:top w:val="nil"/>
              <w:left w:val="nil"/>
              <w:bottom w:val="nil"/>
              <w:right w:val="single" w:sz="4" w:space="0" w:color="auto"/>
            </w:tcBorders>
            <w:shd w:val="clear" w:color="000000" w:fill="FFFFFF"/>
            <w:noWrap/>
            <w:vAlign w:val="center"/>
          </w:tcPr>
          <w:p w14:paraId="0300910E"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47C9876C"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450" w:type="dxa"/>
            <w:tcBorders>
              <w:top w:val="nil"/>
              <w:left w:val="nil"/>
              <w:bottom w:val="nil"/>
              <w:right w:val="single" w:sz="4" w:space="0" w:color="auto"/>
            </w:tcBorders>
            <w:shd w:val="clear" w:color="000000" w:fill="FFFFFF"/>
            <w:noWrap/>
            <w:vAlign w:val="center"/>
          </w:tcPr>
          <w:p w14:paraId="195D2310"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2516EBB7"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454" w:type="dxa"/>
            <w:tcBorders>
              <w:top w:val="nil"/>
              <w:left w:val="nil"/>
              <w:bottom w:val="nil"/>
              <w:right w:val="single" w:sz="4" w:space="0" w:color="auto"/>
            </w:tcBorders>
            <w:shd w:val="clear" w:color="000000" w:fill="FFFFFF"/>
            <w:noWrap/>
            <w:vAlign w:val="center"/>
          </w:tcPr>
          <w:p w14:paraId="7B5D8938"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4E661CF5"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456" w:type="dxa"/>
            <w:tcBorders>
              <w:top w:val="nil"/>
              <w:left w:val="nil"/>
              <w:bottom w:val="nil"/>
              <w:right w:val="single" w:sz="12" w:space="0" w:color="auto"/>
            </w:tcBorders>
            <w:shd w:val="clear" w:color="000000" w:fill="FFFFFF"/>
            <w:noWrap/>
            <w:vAlign w:val="center"/>
          </w:tcPr>
          <w:p w14:paraId="3E71C755"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tcPr>
          <w:p w14:paraId="2DF8EA09" w14:textId="77777777" w:rsidR="002961DC" w:rsidRPr="00A95729" w:rsidRDefault="002961DC" w:rsidP="00E56366">
            <w:pPr>
              <w:spacing w:after="0" w:line="240" w:lineRule="auto"/>
              <w:jc w:val="center"/>
              <w:rPr>
                <w:color w:val="000000"/>
                <w:sz w:val="18"/>
                <w:szCs w:val="18"/>
              </w:rPr>
            </w:pPr>
          </w:p>
        </w:tc>
        <w:tc>
          <w:tcPr>
            <w:tcW w:w="540" w:type="dxa"/>
            <w:tcBorders>
              <w:top w:val="nil"/>
              <w:left w:val="nil"/>
              <w:bottom w:val="nil"/>
              <w:right w:val="single" w:sz="12" w:space="0" w:color="auto"/>
            </w:tcBorders>
            <w:shd w:val="clear" w:color="000000" w:fill="FFFFFF"/>
          </w:tcPr>
          <w:p w14:paraId="41373329" w14:textId="77777777" w:rsidR="002961DC" w:rsidRPr="00A95729" w:rsidRDefault="002961DC" w:rsidP="00E56366">
            <w:pPr>
              <w:spacing w:after="0" w:line="240" w:lineRule="auto"/>
              <w:jc w:val="center"/>
              <w:rPr>
                <w:color w:val="000000"/>
                <w:sz w:val="18"/>
                <w:szCs w:val="18"/>
              </w:rPr>
            </w:pPr>
          </w:p>
        </w:tc>
        <w:tc>
          <w:tcPr>
            <w:tcW w:w="630" w:type="dxa"/>
            <w:tcBorders>
              <w:top w:val="nil"/>
              <w:left w:val="single" w:sz="12" w:space="0" w:color="auto"/>
              <w:bottom w:val="nil"/>
              <w:right w:val="nil"/>
            </w:tcBorders>
            <w:shd w:val="clear" w:color="000000" w:fill="FFFFFF"/>
          </w:tcPr>
          <w:p w14:paraId="7DB28834" w14:textId="77777777" w:rsidR="002961DC" w:rsidRPr="00A95729" w:rsidRDefault="002961DC" w:rsidP="00E56366">
            <w:pPr>
              <w:spacing w:after="0" w:line="240" w:lineRule="auto"/>
              <w:jc w:val="center"/>
              <w:rPr>
                <w:color w:val="000000"/>
                <w:sz w:val="18"/>
                <w:szCs w:val="18"/>
              </w:rPr>
            </w:pPr>
          </w:p>
        </w:tc>
        <w:tc>
          <w:tcPr>
            <w:tcW w:w="542" w:type="dxa"/>
            <w:tcBorders>
              <w:top w:val="nil"/>
              <w:left w:val="nil"/>
              <w:bottom w:val="nil"/>
              <w:right w:val="single" w:sz="12" w:space="0" w:color="auto"/>
            </w:tcBorders>
            <w:shd w:val="clear" w:color="000000" w:fill="FFFFFF"/>
          </w:tcPr>
          <w:p w14:paraId="45202AB3" w14:textId="77777777" w:rsidR="002961DC" w:rsidRPr="00A95729" w:rsidRDefault="002961DC" w:rsidP="00E56366">
            <w:pPr>
              <w:spacing w:after="0" w:line="240" w:lineRule="auto"/>
              <w:jc w:val="center"/>
              <w:rPr>
                <w:color w:val="000000"/>
                <w:sz w:val="18"/>
                <w:szCs w:val="18"/>
              </w:rPr>
            </w:pPr>
          </w:p>
        </w:tc>
      </w:tr>
      <w:tr w:rsidR="002961DC" w:rsidRPr="00A95729" w14:paraId="6C1E1BDC" w14:textId="77777777" w:rsidTr="00E56366">
        <w:trPr>
          <w:trHeight w:val="20"/>
          <w:jc w:val="center"/>
        </w:trPr>
        <w:tc>
          <w:tcPr>
            <w:tcW w:w="2411" w:type="dxa"/>
            <w:tcBorders>
              <w:top w:val="nil"/>
              <w:left w:val="single" w:sz="12" w:space="0" w:color="auto"/>
              <w:bottom w:val="nil"/>
              <w:right w:val="single" w:sz="12" w:space="0" w:color="auto"/>
            </w:tcBorders>
            <w:shd w:val="clear" w:color="000000" w:fill="FFFFFF"/>
            <w:noWrap/>
            <w:vAlign w:val="bottom"/>
          </w:tcPr>
          <w:p w14:paraId="39F1EED6" w14:textId="77777777" w:rsidR="002961DC" w:rsidRPr="00A95729" w:rsidRDefault="002961DC" w:rsidP="00E56366">
            <w:pPr>
              <w:spacing w:after="0" w:line="240" w:lineRule="auto"/>
              <w:rPr>
                <w:rFonts w:eastAsia="Times New Roman"/>
                <w:b/>
                <w:bCs/>
                <w:color w:val="000000"/>
                <w:sz w:val="18"/>
                <w:szCs w:val="18"/>
              </w:rPr>
            </w:pPr>
            <w:r w:rsidRPr="00A95729">
              <w:rPr>
                <w:rFonts w:eastAsia="Times New Roman"/>
                <w:color w:val="000000"/>
                <w:sz w:val="18"/>
                <w:szCs w:val="18"/>
              </w:rPr>
              <w:t xml:space="preserve">      Female</w:t>
            </w:r>
          </w:p>
        </w:tc>
        <w:tc>
          <w:tcPr>
            <w:tcW w:w="537" w:type="dxa"/>
            <w:tcBorders>
              <w:top w:val="nil"/>
              <w:left w:val="single" w:sz="12" w:space="0" w:color="auto"/>
              <w:bottom w:val="nil"/>
            </w:tcBorders>
            <w:shd w:val="clear" w:color="000000" w:fill="FFFFFF"/>
            <w:vAlign w:val="bottom"/>
          </w:tcPr>
          <w:p w14:paraId="11644E67"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0.11</w:t>
            </w:r>
          </w:p>
        </w:tc>
        <w:tc>
          <w:tcPr>
            <w:tcW w:w="541" w:type="dxa"/>
            <w:tcBorders>
              <w:top w:val="nil"/>
              <w:left w:val="nil"/>
              <w:bottom w:val="nil"/>
              <w:right w:val="single" w:sz="12" w:space="0" w:color="auto"/>
            </w:tcBorders>
            <w:shd w:val="clear" w:color="000000" w:fill="FFFFFF"/>
            <w:vAlign w:val="bottom"/>
          </w:tcPr>
          <w:p w14:paraId="502083E8"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4.21</w:t>
            </w:r>
          </w:p>
        </w:tc>
        <w:tc>
          <w:tcPr>
            <w:tcW w:w="539" w:type="dxa"/>
            <w:tcBorders>
              <w:top w:val="nil"/>
              <w:left w:val="single" w:sz="12" w:space="0" w:color="auto"/>
              <w:bottom w:val="nil"/>
              <w:right w:val="nil"/>
            </w:tcBorders>
            <w:shd w:val="clear" w:color="000000" w:fill="FFFFFF"/>
            <w:noWrap/>
            <w:vAlign w:val="center"/>
          </w:tcPr>
          <w:p w14:paraId="0A7147DB"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49" w:type="dxa"/>
            <w:tcBorders>
              <w:top w:val="nil"/>
              <w:left w:val="nil"/>
              <w:bottom w:val="nil"/>
              <w:right w:val="single" w:sz="4" w:space="0" w:color="auto"/>
            </w:tcBorders>
            <w:shd w:val="clear" w:color="000000" w:fill="FFFFFF"/>
            <w:noWrap/>
            <w:vAlign w:val="center"/>
          </w:tcPr>
          <w:p w14:paraId="36DE579A"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0AD38DE2"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tcPr>
          <w:p w14:paraId="70F6CFE5"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47927841"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tcPr>
          <w:p w14:paraId="591C3D63"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8" w:type="dxa"/>
            <w:tcBorders>
              <w:top w:val="nil"/>
              <w:left w:val="nil"/>
              <w:bottom w:val="nil"/>
              <w:right w:val="nil"/>
            </w:tcBorders>
            <w:shd w:val="clear" w:color="000000" w:fill="FFFFFF"/>
            <w:noWrap/>
            <w:vAlign w:val="center"/>
          </w:tcPr>
          <w:p w14:paraId="2B6BEEC2"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tcPr>
          <w:p w14:paraId="66B3629D"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bottom"/>
          </w:tcPr>
          <w:p w14:paraId="0ADB0E95"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-0.11</w:t>
            </w:r>
          </w:p>
        </w:tc>
        <w:tc>
          <w:tcPr>
            <w:tcW w:w="450" w:type="dxa"/>
            <w:tcBorders>
              <w:top w:val="nil"/>
              <w:left w:val="nil"/>
              <w:bottom w:val="nil"/>
              <w:right w:val="single" w:sz="4" w:space="0" w:color="auto"/>
            </w:tcBorders>
            <w:shd w:val="clear" w:color="000000" w:fill="FFFFFF"/>
            <w:noWrap/>
            <w:vAlign w:val="bottom"/>
          </w:tcPr>
          <w:p w14:paraId="10CB330A"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-1.74</w:t>
            </w:r>
          </w:p>
        </w:tc>
        <w:tc>
          <w:tcPr>
            <w:tcW w:w="540" w:type="dxa"/>
            <w:tcBorders>
              <w:top w:val="nil"/>
              <w:left w:val="nil"/>
              <w:bottom w:val="nil"/>
              <w:right w:val="nil"/>
            </w:tcBorders>
            <w:shd w:val="clear" w:color="000000" w:fill="FFFFFF"/>
            <w:noWrap/>
            <w:vAlign w:val="bottom"/>
          </w:tcPr>
          <w:p w14:paraId="5E71AFFE"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0.13</w:t>
            </w:r>
          </w:p>
        </w:tc>
        <w:tc>
          <w:tcPr>
            <w:tcW w:w="450" w:type="dxa"/>
            <w:tcBorders>
              <w:top w:val="nil"/>
              <w:left w:val="nil"/>
              <w:bottom w:val="nil"/>
              <w:right w:val="single" w:sz="4" w:space="0" w:color="auto"/>
            </w:tcBorders>
            <w:shd w:val="clear" w:color="000000" w:fill="FFFFFF"/>
            <w:noWrap/>
            <w:vAlign w:val="bottom"/>
          </w:tcPr>
          <w:p w14:paraId="4A79874D"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1.93</w:t>
            </w:r>
          </w:p>
        </w:tc>
        <w:tc>
          <w:tcPr>
            <w:tcW w:w="540" w:type="dxa"/>
            <w:tcBorders>
              <w:top w:val="nil"/>
              <w:left w:val="nil"/>
              <w:bottom w:val="nil"/>
              <w:right w:val="nil"/>
            </w:tcBorders>
            <w:shd w:val="clear" w:color="000000" w:fill="FFFFFF"/>
            <w:noWrap/>
            <w:vAlign w:val="center"/>
          </w:tcPr>
          <w:p w14:paraId="3348819F"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4" w:type="dxa"/>
            <w:tcBorders>
              <w:top w:val="nil"/>
              <w:left w:val="nil"/>
              <w:bottom w:val="nil"/>
              <w:right w:val="single" w:sz="4" w:space="0" w:color="auto"/>
            </w:tcBorders>
            <w:shd w:val="clear" w:color="000000" w:fill="FFFFFF"/>
            <w:noWrap/>
            <w:vAlign w:val="center"/>
          </w:tcPr>
          <w:p w14:paraId="7FA172C5"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bottom"/>
          </w:tcPr>
          <w:p w14:paraId="6FBCF0BD"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0.09</w:t>
            </w:r>
          </w:p>
        </w:tc>
        <w:tc>
          <w:tcPr>
            <w:tcW w:w="456" w:type="dxa"/>
            <w:tcBorders>
              <w:top w:val="nil"/>
              <w:left w:val="nil"/>
              <w:bottom w:val="nil"/>
              <w:right w:val="single" w:sz="12" w:space="0" w:color="auto"/>
            </w:tcBorders>
            <w:shd w:val="clear" w:color="000000" w:fill="FFFFFF"/>
            <w:noWrap/>
            <w:vAlign w:val="bottom"/>
          </w:tcPr>
          <w:p w14:paraId="3E6C888F"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1.70</w:t>
            </w:r>
          </w:p>
        </w:tc>
        <w:tc>
          <w:tcPr>
            <w:tcW w:w="540" w:type="dxa"/>
            <w:tcBorders>
              <w:top w:val="nil"/>
              <w:left w:val="nil"/>
              <w:bottom w:val="nil"/>
              <w:right w:val="nil"/>
            </w:tcBorders>
            <w:shd w:val="clear" w:color="000000" w:fill="FFFFFF"/>
            <w:vAlign w:val="center"/>
          </w:tcPr>
          <w:p w14:paraId="64BFA034" w14:textId="77777777" w:rsidR="002961DC" w:rsidRPr="00A95729" w:rsidRDefault="002961DC" w:rsidP="00E56366">
            <w:pPr>
              <w:spacing w:after="0" w:line="240" w:lineRule="auto"/>
              <w:jc w:val="center"/>
              <w:rPr>
                <w:color w:val="000000"/>
                <w:sz w:val="18"/>
                <w:szCs w:val="18"/>
              </w:rPr>
            </w:pPr>
            <w:r w:rsidRPr="00A95729">
              <w:rPr>
                <w:rFonts w:eastAsia="Times New Roman"/>
                <w:color w:val="000000"/>
                <w:sz w:val="18"/>
                <w:szCs w:val="18"/>
              </w:rPr>
              <w:t>--</w:t>
            </w:r>
          </w:p>
        </w:tc>
        <w:tc>
          <w:tcPr>
            <w:tcW w:w="540" w:type="dxa"/>
            <w:tcBorders>
              <w:top w:val="nil"/>
              <w:left w:val="nil"/>
              <w:bottom w:val="nil"/>
              <w:right w:val="single" w:sz="12" w:space="0" w:color="auto"/>
            </w:tcBorders>
            <w:shd w:val="clear" w:color="000000" w:fill="FFFFFF"/>
            <w:vAlign w:val="center"/>
          </w:tcPr>
          <w:p w14:paraId="2671C4F5" w14:textId="77777777" w:rsidR="002961DC" w:rsidRPr="00A95729" w:rsidRDefault="002961DC" w:rsidP="00E56366">
            <w:pPr>
              <w:spacing w:after="0" w:line="240" w:lineRule="auto"/>
              <w:jc w:val="center"/>
              <w:rPr>
                <w:color w:val="000000"/>
                <w:sz w:val="18"/>
                <w:szCs w:val="18"/>
              </w:rPr>
            </w:pPr>
            <w:r w:rsidRPr="00A95729">
              <w:rPr>
                <w:rFonts w:eastAsia="Times New Roman"/>
                <w:color w:val="000000"/>
                <w:sz w:val="18"/>
                <w:szCs w:val="18"/>
              </w:rPr>
              <w:t> </w:t>
            </w:r>
          </w:p>
        </w:tc>
        <w:tc>
          <w:tcPr>
            <w:tcW w:w="630" w:type="dxa"/>
            <w:tcBorders>
              <w:top w:val="nil"/>
              <w:left w:val="single" w:sz="12" w:space="0" w:color="auto"/>
              <w:bottom w:val="nil"/>
              <w:right w:val="nil"/>
            </w:tcBorders>
            <w:shd w:val="clear" w:color="000000" w:fill="FFFFFF"/>
            <w:vAlign w:val="bottom"/>
          </w:tcPr>
          <w:p w14:paraId="759DAB37" w14:textId="77777777" w:rsidR="002961DC" w:rsidRPr="00A95729" w:rsidRDefault="002961DC" w:rsidP="00E56366">
            <w:pPr>
              <w:spacing w:after="0" w:line="240" w:lineRule="auto"/>
              <w:jc w:val="center"/>
              <w:rPr>
                <w:color w:val="000000"/>
                <w:sz w:val="18"/>
                <w:szCs w:val="18"/>
              </w:rPr>
            </w:pPr>
            <w:r w:rsidRPr="00A95729">
              <w:rPr>
                <w:color w:val="000000"/>
                <w:sz w:val="18"/>
                <w:szCs w:val="18"/>
              </w:rPr>
              <w:t>0.26</w:t>
            </w:r>
          </w:p>
        </w:tc>
        <w:tc>
          <w:tcPr>
            <w:tcW w:w="542" w:type="dxa"/>
            <w:tcBorders>
              <w:top w:val="nil"/>
              <w:left w:val="nil"/>
              <w:bottom w:val="nil"/>
              <w:right w:val="single" w:sz="12" w:space="0" w:color="auto"/>
            </w:tcBorders>
            <w:shd w:val="clear" w:color="000000" w:fill="FFFFFF"/>
            <w:vAlign w:val="bottom"/>
          </w:tcPr>
          <w:p w14:paraId="3CBE505F" w14:textId="77777777" w:rsidR="002961DC" w:rsidRPr="00A95729" w:rsidRDefault="002961DC" w:rsidP="00E56366">
            <w:pPr>
              <w:spacing w:after="0" w:line="240" w:lineRule="auto"/>
              <w:jc w:val="center"/>
              <w:rPr>
                <w:color w:val="000000"/>
                <w:sz w:val="18"/>
                <w:szCs w:val="18"/>
              </w:rPr>
            </w:pPr>
            <w:r w:rsidRPr="00A95729">
              <w:rPr>
                <w:color w:val="000000"/>
                <w:sz w:val="18"/>
                <w:szCs w:val="18"/>
              </w:rPr>
              <w:t>12.98</w:t>
            </w:r>
          </w:p>
        </w:tc>
      </w:tr>
      <w:tr w:rsidR="002961DC" w:rsidRPr="00A95729" w14:paraId="08D4EBD8" w14:textId="77777777" w:rsidTr="00E56366">
        <w:trPr>
          <w:trHeight w:val="20"/>
          <w:jc w:val="center"/>
        </w:trPr>
        <w:tc>
          <w:tcPr>
            <w:tcW w:w="2411" w:type="dxa"/>
            <w:tcBorders>
              <w:top w:val="nil"/>
              <w:left w:val="single" w:sz="12" w:space="0" w:color="auto"/>
              <w:bottom w:val="nil"/>
              <w:right w:val="single" w:sz="12" w:space="0" w:color="auto"/>
            </w:tcBorders>
            <w:shd w:val="clear" w:color="000000" w:fill="FFFFFF"/>
            <w:noWrap/>
            <w:vAlign w:val="bottom"/>
          </w:tcPr>
          <w:p w14:paraId="5A1FAE79" w14:textId="77777777" w:rsidR="002961DC" w:rsidRPr="00A95729" w:rsidRDefault="002961DC" w:rsidP="00E56366">
            <w:pPr>
              <w:spacing w:after="0" w:line="240" w:lineRule="auto"/>
              <w:rPr>
                <w:rFonts w:eastAsia="Times New Roman"/>
                <w:b/>
                <w:bCs/>
                <w:color w:val="000000"/>
                <w:sz w:val="18"/>
                <w:szCs w:val="18"/>
              </w:rPr>
            </w:pPr>
            <w:r w:rsidRPr="00A95729">
              <w:rPr>
                <w:rFonts w:eastAsia="Times New Roman"/>
                <w:color w:val="000000"/>
                <w:sz w:val="18"/>
                <w:szCs w:val="18"/>
              </w:rPr>
              <w:t>Age (18-24)</w:t>
            </w:r>
          </w:p>
        </w:tc>
        <w:tc>
          <w:tcPr>
            <w:tcW w:w="537" w:type="dxa"/>
            <w:tcBorders>
              <w:top w:val="nil"/>
              <w:left w:val="single" w:sz="12" w:space="0" w:color="auto"/>
              <w:bottom w:val="nil"/>
            </w:tcBorders>
            <w:shd w:val="clear" w:color="000000" w:fill="FFFFFF"/>
          </w:tcPr>
          <w:p w14:paraId="0C753300" w14:textId="77777777" w:rsidR="002961DC" w:rsidRPr="00A95729" w:rsidRDefault="002961DC" w:rsidP="00E56366">
            <w:pPr>
              <w:spacing w:after="0" w:line="240" w:lineRule="auto"/>
              <w:jc w:val="center"/>
              <w:rPr>
                <w:rFonts w:eastAsia="Times New Roman"/>
                <w:color w:val="000000"/>
                <w:sz w:val="18"/>
                <w:szCs w:val="18"/>
              </w:rPr>
            </w:pPr>
          </w:p>
        </w:tc>
        <w:tc>
          <w:tcPr>
            <w:tcW w:w="541" w:type="dxa"/>
            <w:tcBorders>
              <w:top w:val="nil"/>
              <w:left w:val="nil"/>
              <w:bottom w:val="nil"/>
              <w:right w:val="single" w:sz="12" w:space="0" w:color="auto"/>
            </w:tcBorders>
            <w:shd w:val="clear" w:color="000000" w:fill="FFFFFF"/>
          </w:tcPr>
          <w:p w14:paraId="07322EB7" w14:textId="77777777" w:rsidR="002961DC" w:rsidRPr="00A95729" w:rsidRDefault="002961DC" w:rsidP="00E56366">
            <w:pPr>
              <w:spacing w:after="0" w:line="240" w:lineRule="auto"/>
              <w:jc w:val="center"/>
              <w:rPr>
                <w:rFonts w:eastAsia="Times New Roman"/>
                <w:color w:val="000000"/>
                <w:sz w:val="18"/>
                <w:szCs w:val="18"/>
              </w:rPr>
            </w:pPr>
          </w:p>
        </w:tc>
        <w:tc>
          <w:tcPr>
            <w:tcW w:w="539" w:type="dxa"/>
            <w:tcBorders>
              <w:top w:val="nil"/>
              <w:left w:val="single" w:sz="12" w:space="0" w:color="auto"/>
              <w:bottom w:val="nil"/>
              <w:right w:val="nil"/>
            </w:tcBorders>
            <w:shd w:val="clear" w:color="000000" w:fill="FFFFFF"/>
            <w:noWrap/>
            <w:vAlign w:val="center"/>
          </w:tcPr>
          <w:p w14:paraId="2B36E04C"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449" w:type="dxa"/>
            <w:tcBorders>
              <w:top w:val="nil"/>
              <w:left w:val="nil"/>
              <w:bottom w:val="nil"/>
              <w:right w:val="single" w:sz="4" w:space="0" w:color="auto"/>
            </w:tcBorders>
            <w:shd w:val="clear" w:color="000000" w:fill="FFFFFF"/>
            <w:noWrap/>
            <w:vAlign w:val="center"/>
          </w:tcPr>
          <w:p w14:paraId="734797D3"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1C988027"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450" w:type="dxa"/>
            <w:tcBorders>
              <w:top w:val="nil"/>
              <w:left w:val="nil"/>
              <w:bottom w:val="nil"/>
              <w:right w:val="single" w:sz="4" w:space="0" w:color="auto"/>
            </w:tcBorders>
            <w:shd w:val="clear" w:color="000000" w:fill="FFFFFF"/>
            <w:noWrap/>
            <w:vAlign w:val="center"/>
          </w:tcPr>
          <w:p w14:paraId="21790D72"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3C058783"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450" w:type="dxa"/>
            <w:tcBorders>
              <w:top w:val="nil"/>
              <w:left w:val="nil"/>
              <w:bottom w:val="nil"/>
              <w:right w:val="single" w:sz="4" w:space="0" w:color="auto"/>
            </w:tcBorders>
            <w:shd w:val="clear" w:color="000000" w:fill="FFFFFF"/>
            <w:noWrap/>
            <w:vAlign w:val="center"/>
          </w:tcPr>
          <w:p w14:paraId="3B2C6FCD"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8" w:type="dxa"/>
            <w:tcBorders>
              <w:top w:val="nil"/>
              <w:left w:val="nil"/>
              <w:bottom w:val="nil"/>
              <w:right w:val="nil"/>
            </w:tcBorders>
            <w:shd w:val="clear" w:color="000000" w:fill="FFFFFF"/>
            <w:noWrap/>
            <w:vAlign w:val="center"/>
          </w:tcPr>
          <w:p w14:paraId="32C9E2B1"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450" w:type="dxa"/>
            <w:tcBorders>
              <w:top w:val="nil"/>
              <w:left w:val="nil"/>
              <w:bottom w:val="nil"/>
              <w:right w:val="single" w:sz="4" w:space="0" w:color="auto"/>
            </w:tcBorders>
            <w:shd w:val="clear" w:color="000000" w:fill="FFFFFF"/>
            <w:noWrap/>
            <w:vAlign w:val="center"/>
          </w:tcPr>
          <w:p w14:paraId="060A6444"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57B52E83"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450" w:type="dxa"/>
            <w:tcBorders>
              <w:top w:val="nil"/>
              <w:left w:val="nil"/>
              <w:bottom w:val="nil"/>
              <w:right w:val="single" w:sz="4" w:space="0" w:color="auto"/>
            </w:tcBorders>
            <w:shd w:val="clear" w:color="000000" w:fill="FFFFFF"/>
            <w:noWrap/>
            <w:vAlign w:val="center"/>
          </w:tcPr>
          <w:p w14:paraId="5CC63F10"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3C6E4319"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450" w:type="dxa"/>
            <w:tcBorders>
              <w:top w:val="nil"/>
              <w:left w:val="nil"/>
              <w:bottom w:val="nil"/>
              <w:right w:val="single" w:sz="4" w:space="0" w:color="auto"/>
            </w:tcBorders>
            <w:shd w:val="clear" w:color="000000" w:fill="FFFFFF"/>
            <w:noWrap/>
            <w:vAlign w:val="center"/>
          </w:tcPr>
          <w:p w14:paraId="6D10DA57"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3A9527A7"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454" w:type="dxa"/>
            <w:tcBorders>
              <w:top w:val="nil"/>
              <w:left w:val="nil"/>
              <w:bottom w:val="nil"/>
              <w:right w:val="single" w:sz="4" w:space="0" w:color="auto"/>
            </w:tcBorders>
            <w:shd w:val="clear" w:color="000000" w:fill="FFFFFF"/>
            <w:noWrap/>
            <w:vAlign w:val="center"/>
          </w:tcPr>
          <w:p w14:paraId="071F08D0"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4CA1D08E"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456" w:type="dxa"/>
            <w:tcBorders>
              <w:top w:val="nil"/>
              <w:left w:val="nil"/>
              <w:bottom w:val="nil"/>
              <w:right w:val="single" w:sz="12" w:space="0" w:color="auto"/>
            </w:tcBorders>
            <w:shd w:val="clear" w:color="000000" w:fill="FFFFFF"/>
            <w:noWrap/>
            <w:vAlign w:val="center"/>
          </w:tcPr>
          <w:p w14:paraId="76CAABE1"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tcPr>
          <w:p w14:paraId="5830BDD7" w14:textId="77777777" w:rsidR="002961DC" w:rsidRPr="00A95729" w:rsidRDefault="002961DC" w:rsidP="00E56366">
            <w:pPr>
              <w:spacing w:after="0" w:line="240" w:lineRule="auto"/>
              <w:jc w:val="center"/>
              <w:rPr>
                <w:color w:val="000000"/>
                <w:sz w:val="18"/>
                <w:szCs w:val="18"/>
              </w:rPr>
            </w:pPr>
          </w:p>
        </w:tc>
        <w:tc>
          <w:tcPr>
            <w:tcW w:w="540" w:type="dxa"/>
            <w:tcBorders>
              <w:top w:val="nil"/>
              <w:left w:val="nil"/>
              <w:bottom w:val="nil"/>
              <w:right w:val="single" w:sz="12" w:space="0" w:color="auto"/>
            </w:tcBorders>
            <w:shd w:val="clear" w:color="000000" w:fill="FFFFFF"/>
          </w:tcPr>
          <w:p w14:paraId="60EFB88C" w14:textId="77777777" w:rsidR="002961DC" w:rsidRPr="00A95729" w:rsidRDefault="002961DC" w:rsidP="00E56366">
            <w:pPr>
              <w:spacing w:after="0" w:line="240" w:lineRule="auto"/>
              <w:jc w:val="center"/>
              <w:rPr>
                <w:color w:val="000000"/>
                <w:sz w:val="18"/>
                <w:szCs w:val="18"/>
              </w:rPr>
            </w:pPr>
          </w:p>
        </w:tc>
        <w:tc>
          <w:tcPr>
            <w:tcW w:w="630" w:type="dxa"/>
            <w:tcBorders>
              <w:top w:val="nil"/>
              <w:left w:val="single" w:sz="12" w:space="0" w:color="auto"/>
              <w:bottom w:val="nil"/>
              <w:right w:val="nil"/>
            </w:tcBorders>
            <w:shd w:val="clear" w:color="000000" w:fill="FFFFFF"/>
          </w:tcPr>
          <w:p w14:paraId="6787ABB9" w14:textId="77777777" w:rsidR="002961DC" w:rsidRPr="00A95729" w:rsidRDefault="002961DC" w:rsidP="00E56366">
            <w:pPr>
              <w:spacing w:after="0" w:line="240" w:lineRule="auto"/>
              <w:jc w:val="center"/>
              <w:rPr>
                <w:color w:val="000000"/>
                <w:sz w:val="18"/>
                <w:szCs w:val="18"/>
              </w:rPr>
            </w:pPr>
          </w:p>
        </w:tc>
        <w:tc>
          <w:tcPr>
            <w:tcW w:w="542" w:type="dxa"/>
            <w:tcBorders>
              <w:top w:val="nil"/>
              <w:left w:val="nil"/>
              <w:bottom w:val="nil"/>
              <w:right w:val="single" w:sz="12" w:space="0" w:color="auto"/>
            </w:tcBorders>
            <w:shd w:val="clear" w:color="000000" w:fill="FFFFFF"/>
          </w:tcPr>
          <w:p w14:paraId="5AD3C261" w14:textId="77777777" w:rsidR="002961DC" w:rsidRPr="00A95729" w:rsidRDefault="002961DC" w:rsidP="00E56366">
            <w:pPr>
              <w:spacing w:after="0" w:line="240" w:lineRule="auto"/>
              <w:jc w:val="center"/>
              <w:rPr>
                <w:color w:val="000000"/>
                <w:sz w:val="18"/>
                <w:szCs w:val="18"/>
              </w:rPr>
            </w:pPr>
          </w:p>
        </w:tc>
      </w:tr>
      <w:tr w:rsidR="002961DC" w:rsidRPr="00A95729" w14:paraId="291BD64F" w14:textId="77777777" w:rsidTr="00E56366">
        <w:trPr>
          <w:trHeight w:val="20"/>
          <w:jc w:val="center"/>
        </w:trPr>
        <w:tc>
          <w:tcPr>
            <w:tcW w:w="2411" w:type="dxa"/>
            <w:tcBorders>
              <w:top w:val="nil"/>
              <w:left w:val="single" w:sz="12" w:space="0" w:color="auto"/>
              <w:bottom w:val="nil"/>
              <w:right w:val="single" w:sz="12" w:space="0" w:color="auto"/>
            </w:tcBorders>
            <w:shd w:val="clear" w:color="000000" w:fill="FFFFFF"/>
            <w:noWrap/>
            <w:vAlign w:val="bottom"/>
          </w:tcPr>
          <w:p w14:paraId="6B686075" w14:textId="77777777" w:rsidR="002961DC" w:rsidRPr="00A95729" w:rsidRDefault="002961DC" w:rsidP="00E56366">
            <w:pPr>
              <w:spacing w:after="0" w:line="240" w:lineRule="auto"/>
              <w:rPr>
                <w:rFonts w:eastAsia="Times New Roman"/>
                <w:b/>
                <w:bCs/>
                <w:color w:val="000000"/>
                <w:sz w:val="18"/>
                <w:szCs w:val="18"/>
              </w:rPr>
            </w:pPr>
            <w:r w:rsidRPr="00A95729">
              <w:rPr>
                <w:rFonts w:eastAsia="Times New Roman"/>
                <w:color w:val="000000"/>
                <w:sz w:val="18"/>
                <w:szCs w:val="18"/>
              </w:rPr>
              <w:t xml:space="preserve">     25-34</w:t>
            </w:r>
          </w:p>
        </w:tc>
        <w:tc>
          <w:tcPr>
            <w:tcW w:w="537" w:type="dxa"/>
            <w:tcBorders>
              <w:top w:val="nil"/>
              <w:left w:val="single" w:sz="12" w:space="0" w:color="auto"/>
              <w:bottom w:val="nil"/>
            </w:tcBorders>
            <w:shd w:val="clear" w:color="000000" w:fill="FFFFFF"/>
            <w:vAlign w:val="bottom"/>
          </w:tcPr>
          <w:p w14:paraId="1E49620A"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0.21</w:t>
            </w:r>
          </w:p>
        </w:tc>
        <w:tc>
          <w:tcPr>
            <w:tcW w:w="541" w:type="dxa"/>
            <w:tcBorders>
              <w:top w:val="nil"/>
              <w:left w:val="nil"/>
              <w:bottom w:val="nil"/>
              <w:right w:val="single" w:sz="12" w:space="0" w:color="auto"/>
            </w:tcBorders>
            <w:shd w:val="clear" w:color="000000" w:fill="FFFFFF"/>
            <w:vAlign w:val="bottom"/>
          </w:tcPr>
          <w:p w14:paraId="0042E517"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3.60</w:t>
            </w:r>
          </w:p>
        </w:tc>
        <w:tc>
          <w:tcPr>
            <w:tcW w:w="539" w:type="dxa"/>
            <w:tcBorders>
              <w:top w:val="nil"/>
              <w:left w:val="single" w:sz="12" w:space="0" w:color="auto"/>
              <w:bottom w:val="nil"/>
              <w:right w:val="nil"/>
            </w:tcBorders>
            <w:shd w:val="clear" w:color="000000" w:fill="FFFFFF"/>
            <w:noWrap/>
            <w:vAlign w:val="center"/>
          </w:tcPr>
          <w:p w14:paraId="215B5376"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49" w:type="dxa"/>
            <w:tcBorders>
              <w:top w:val="nil"/>
              <w:left w:val="nil"/>
              <w:bottom w:val="nil"/>
              <w:right w:val="single" w:sz="4" w:space="0" w:color="auto"/>
            </w:tcBorders>
            <w:shd w:val="clear" w:color="000000" w:fill="FFFFFF"/>
            <w:noWrap/>
            <w:vAlign w:val="center"/>
          </w:tcPr>
          <w:p w14:paraId="479DA0DF"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05316C6C"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tcPr>
          <w:p w14:paraId="541923CE"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637F74FE"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tcPr>
          <w:p w14:paraId="2BB82857"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8" w:type="dxa"/>
            <w:tcBorders>
              <w:top w:val="nil"/>
              <w:left w:val="nil"/>
              <w:bottom w:val="nil"/>
              <w:right w:val="nil"/>
            </w:tcBorders>
            <w:shd w:val="clear" w:color="000000" w:fill="FFFFFF"/>
            <w:noWrap/>
            <w:vAlign w:val="center"/>
          </w:tcPr>
          <w:p w14:paraId="52F052F1"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tcPr>
          <w:p w14:paraId="68AAD060"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7C08D122"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tcPr>
          <w:p w14:paraId="794BF285"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bottom"/>
          </w:tcPr>
          <w:p w14:paraId="71A3CB2E"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0.34</w:t>
            </w:r>
          </w:p>
        </w:tc>
        <w:tc>
          <w:tcPr>
            <w:tcW w:w="450" w:type="dxa"/>
            <w:tcBorders>
              <w:top w:val="nil"/>
              <w:left w:val="nil"/>
              <w:bottom w:val="nil"/>
              <w:right w:val="single" w:sz="4" w:space="0" w:color="auto"/>
            </w:tcBorders>
            <w:shd w:val="clear" w:color="000000" w:fill="FFFFFF"/>
            <w:noWrap/>
            <w:vAlign w:val="bottom"/>
          </w:tcPr>
          <w:p w14:paraId="33B68F16"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1.88</w:t>
            </w:r>
          </w:p>
        </w:tc>
        <w:tc>
          <w:tcPr>
            <w:tcW w:w="540" w:type="dxa"/>
            <w:tcBorders>
              <w:top w:val="nil"/>
              <w:left w:val="nil"/>
              <w:bottom w:val="nil"/>
              <w:right w:val="nil"/>
            </w:tcBorders>
            <w:shd w:val="clear" w:color="000000" w:fill="FFFFFF"/>
            <w:noWrap/>
            <w:vAlign w:val="bottom"/>
          </w:tcPr>
          <w:p w14:paraId="7D9BFDB4"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-0.19</w:t>
            </w:r>
          </w:p>
        </w:tc>
        <w:tc>
          <w:tcPr>
            <w:tcW w:w="454" w:type="dxa"/>
            <w:tcBorders>
              <w:top w:val="nil"/>
              <w:left w:val="nil"/>
              <w:bottom w:val="nil"/>
              <w:right w:val="single" w:sz="4" w:space="0" w:color="auto"/>
            </w:tcBorders>
            <w:shd w:val="clear" w:color="000000" w:fill="FFFFFF"/>
            <w:noWrap/>
            <w:vAlign w:val="bottom"/>
          </w:tcPr>
          <w:p w14:paraId="6460E3DD"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-1.43</w:t>
            </w:r>
          </w:p>
        </w:tc>
        <w:tc>
          <w:tcPr>
            <w:tcW w:w="540" w:type="dxa"/>
            <w:tcBorders>
              <w:top w:val="nil"/>
              <w:left w:val="nil"/>
              <w:bottom w:val="nil"/>
              <w:right w:val="nil"/>
            </w:tcBorders>
            <w:shd w:val="clear" w:color="000000" w:fill="FFFFFF"/>
            <w:noWrap/>
            <w:vAlign w:val="center"/>
          </w:tcPr>
          <w:p w14:paraId="741290B0"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6" w:type="dxa"/>
            <w:tcBorders>
              <w:top w:val="nil"/>
              <w:left w:val="nil"/>
              <w:bottom w:val="nil"/>
              <w:right w:val="single" w:sz="12" w:space="0" w:color="auto"/>
            </w:tcBorders>
            <w:shd w:val="clear" w:color="000000" w:fill="FFFFFF"/>
            <w:noWrap/>
            <w:vAlign w:val="center"/>
          </w:tcPr>
          <w:p w14:paraId="0745B65D"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vAlign w:val="bottom"/>
          </w:tcPr>
          <w:p w14:paraId="1871BC2B" w14:textId="77777777" w:rsidR="002961DC" w:rsidRPr="00A95729" w:rsidRDefault="002961DC" w:rsidP="00E56366">
            <w:pPr>
              <w:spacing w:after="0" w:line="240" w:lineRule="auto"/>
              <w:jc w:val="center"/>
              <w:rPr>
                <w:color w:val="000000"/>
                <w:sz w:val="18"/>
                <w:szCs w:val="18"/>
              </w:rPr>
            </w:pPr>
            <w:r w:rsidRPr="00A95729">
              <w:rPr>
                <w:color w:val="000000"/>
                <w:sz w:val="18"/>
                <w:szCs w:val="18"/>
              </w:rPr>
              <w:t>0.42</w:t>
            </w:r>
          </w:p>
        </w:tc>
        <w:tc>
          <w:tcPr>
            <w:tcW w:w="540" w:type="dxa"/>
            <w:tcBorders>
              <w:top w:val="nil"/>
              <w:left w:val="nil"/>
              <w:bottom w:val="nil"/>
              <w:right w:val="single" w:sz="12" w:space="0" w:color="auto"/>
            </w:tcBorders>
            <w:shd w:val="clear" w:color="000000" w:fill="FFFFFF"/>
            <w:vAlign w:val="bottom"/>
          </w:tcPr>
          <w:p w14:paraId="5E4C81CE" w14:textId="77777777" w:rsidR="002961DC" w:rsidRPr="00A95729" w:rsidRDefault="002961DC" w:rsidP="00E56366">
            <w:pPr>
              <w:spacing w:after="0" w:line="240" w:lineRule="auto"/>
              <w:jc w:val="center"/>
              <w:rPr>
                <w:color w:val="000000"/>
                <w:sz w:val="18"/>
                <w:szCs w:val="18"/>
              </w:rPr>
            </w:pPr>
            <w:r w:rsidRPr="00A95729">
              <w:rPr>
                <w:color w:val="000000"/>
                <w:sz w:val="18"/>
                <w:szCs w:val="18"/>
              </w:rPr>
              <w:t>6.13</w:t>
            </w:r>
          </w:p>
        </w:tc>
        <w:tc>
          <w:tcPr>
            <w:tcW w:w="630" w:type="dxa"/>
            <w:tcBorders>
              <w:top w:val="nil"/>
              <w:left w:val="single" w:sz="12" w:space="0" w:color="auto"/>
              <w:bottom w:val="nil"/>
              <w:right w:val="nil"/>
            </w:tcBorders>
            <w:shd w:val="clear" w:color="000000" w:fill="FFFFFF"/>
            <w:vAlign w:val="center"/>
          </w:tcPr>
          <w:p w14:paraId="381CA0EA" w14:textId="77777777" w:rsidR="002961DC" w:rsidRPr="00A95729" w:rsidRDefault="002961DC" w:rsidP="00E56366">
            <w:pPr>
              <w:spacing w:after="0" w:line="240" w:lineRule="auto"/>
              <w:jc w:val="center"/>
              <w:rPr>
                <w:color w:val="000000"/>
                <w:sz w:val="18"/>
                <w:szCs w:val="18"/>
              </w:rPr>
            </w:pPr>
            <w:r w:rsidRPr="00A95729">
              <w:rPr>
                <w:rFonts w:eastAsia="Times New Roman"/>
                <w:color w:val="000000"/>
                <w:sz w:val="18"/>
                <w:szCs w:val="18"/>
              </w:rPr>
              <w:t>--</w:t>
            </w:r>
          </w:p>
        </w:tc>
        <w:tc>
          <w:tcPr>
            <w:tcW w:w="542" w:type="dxa"/>
            <w:tcBorders>
              <w:top w:val="nil"/>
              <w:left w:val="nil"/>
              <w:bottom w:val="nil"/>
              <w:right w:val="single" w:sz="12" w:space="0" w:color="auto"/>
            </w:tcBorders>
            <w:shd w:val="clear" w:color="000000" w:fill="FFFFFF"/>
            <w:vAlign w:val="center"/>
          </w:tcPr>
          <w:p w14:paraId="3D560C1F" w14:textId="77777777" w:rsidR="002961DC" w:rsidRPr="00A95729" w:rsidRDefault="002961DC" w:rsidP="00E56366">
            <w:pPr>
              <w:spacing w:after="0" w:line="240" w:lineRule="auto"/>
              <w:jc w:val="center"/>
              <w:rPr>
                <w:color w:val="000000"/>
                <w:sz w:val="18"/>
                <w:szCs w:val="18"/>
              </w:rPr>
            </w:pPr>
            <w:r w:rsidRPr="00A95729">
              <w:rPr>
                <w:rFonts w:eastAsia="Times New Roman"/>
                <w:color w:val="000000"/>
                <w:sz w:val="18"/>
                <w:szCs w:val="18"/>
              </w:rPr>
              <w:t> </w:t>
            </w:r>
          </w:p>
        </w:tc>
      </w:tr>
      <w:tr w:rsidR="002961DC" w:rsidRPr="00A95729" w14:paraId="4601DE46" w14:textId="77777777" w:rsidTr="00E56366">
        <w:trPr>
          <w:trHeight w:val="20"/>
          <w:jc w:val="center"/>
        </w:trPr>
        <w:tc>
          <w:tcPr>
            <w:tcW w:w="2411" w:type="dxa"/>
            <w:tcBorders>
              <w:top w:val="nil"/>
              <w:left w:val="single" w:sz="12" w:space="0" w:color="auto"/>
              <w:bottom w:val="nil"/>
              <w:right w:val="single" w:sz="12" w:space="0" w:color="auto"/>
            </w:tcBorders>
            <w:shd w:val="clear" w:color="000000" w:fill="FFFFFF"/>
            <w:noWrap/>
            <w:vAlign w:val="bottom"/>
          </w:tcPr>
          <w:p w14:paraId="2BF94E65" w14:textId="77777777" w:rsidR="002961DC" w:rsidRPr="00A95729" w:rsidRDefault="002961DC" w:rsidP="00E56366">
            <w:pPr>
              <w:spacing w:after="0" w:line="240" w:lineRule="auto"/>
              <w:rPr>
                <w:rFonts w:eastAsia="Times New Roman"/>
                <w:b/>
                <w:bCs/>
                <w:color w:val="000000"/>
                <w:sz w:val="18"/>
                <w:szCs w:val="18"/>
              </w:rPr>
            </w:pPr>
            <w:r w:rsidRPr="00A95729">
              <w:rPr>
                <w:rFonts w:eastAsia="Times New Roman"/>
                <w:color w:val="000000"/>
                <w:sz w:val="18"/>
                <w:szCs w:val="18"/>
              </w:rPr>
              <w:t xml:space="preserve">     35-44</w:t>
            </w:r>
          </w:p>
        </w:tc>
        <w:tc>
          <w:tcPr>
            <w:tcW w:w="537" w:type="dxa"/>
            <w:tcBorders>
              <w:top w:val="nil"/>
              <w:left w:val="single" w:sz="12" w:space="0" w:color="auto"/>
              <w:bottom w:val="nil"/>
            </w:tcBorders>
            <w:shd w:val="clear" w:color="000000" w:fill="FFFFFF"/>
            <w:vAlign w:val="bottom"/>
          </w:tcPr>
          <w:p w14:paraId="16414D4A"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0.24</w:t>
            </w:r>
          </w:p>
        </w:tc>
        <w:tc>
          <w:tcPr>
            <w:tcW w:w="541" w:type="dxa"/>
            <w:tcBorders>
              <w:top w:val="nil"/>
              <w:left w:val="nil"/>
              <w:bottom w:val="nil"/>
              <w:right w:val="single" w:sz="12" w:space="0" w:color="auto"/>
            </w:tcBorders>
            <w:shd w:val="clear" w:color="000000" w:fill="FFFFFF"/>
            <w:vAlign w:val="bottom"/>
          </w:tcPr>
          <w:p w14:paraId="623EC621"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4.60</w:t>
            </w:r>
          </w:p>
        </w:tc>
        <w:tc>
          <w:tcPr>
            <w:tcW w:w="539" w:type="dxa"/>
            <w:tcBorders>
              <w:top w:val="nil"/>
              <w:left w:val="single" w:sz="12" w:space="0" w:color="auto"/>
              <w:bottom w:val="nil"/>
              <w:right w:val="nil"/>
            </w:tcBorders>
            <w:shd w:val="clear" w:color="000000" w:fill="FFFFFF"/>
            <w:noWrap/>
            <w:vAlign w:val="center"/>
          </w:tcPr>
          <w:p w14:paraId="1D43CD50"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49" w:type="dxa"/>
            <w:tcBorders>
              <w:top w:val="nil"/>
              <w:left w:val="nil"/>
              <w:bottom w:val="nil"/>
              <w:right w:val="single" w:sz="4" w:space="0" w:color="auto"/>
            </w:tcBorders>
            <w:shd w:val="clear" w:color="000000" w:fill="FFFFFF"/>
            <w:noWrap/>
            <w:vAlign w:val="center"/>
          </w:tcPr>
          <w:p w14:paraId="4D282A10"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18E283E7"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tcPr>
          <w:p w14:paraId="44EAF176"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043E0CB8"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tcPr>
          <w:p w14:paraId="5B7AA1F2"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8" w:type="dxa"/>
            <w:tcBorders>
              <w:top w:val="nil"/>
              <w:left w:val="nil"/>
              <w:bottom w:val="nil"/>
              <w:right w:val="nil"/>
            </w:tcBorders>
            <w:shd w:val="clear" w:color="000000" w:fill="FFFFFF"/>
            <w:noWrap/>
            <w:vAlign w:val="center"/>
          </w:tcPr>
          <w:p w14:paraId="0AA3961C"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tcPr>
          <w:p w14:paraId="40C277CE"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7F7AE62F"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tcPr>
          <w:p w14:paraId="28DD9CCD"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bottom"/>
          </w:tcPr>
          <w:p w14:paraId="58D52489"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0.41</w:t>
            </w:r>
          </w:p>
        </w:tc>
        <w:tc>
          <w:tcPr>
            <w:tcW w:w="450" w:type="dxa"/>
            <w:tcBorders>
              <w:top w:val="nil"/>
              <w:left w:val="nil"/>
              <w:bottom w:val="nil"/>
              <w:right w:val="single" w:sz="4" w:space="0" w:color="auto"/>
            </w:tcBorders>
            <w:shd w:val="clear" w:color="000000" w:fill="FFFFFF"/>
            <w:noWrap/>
            <w:vAlign w:val="bottom"/>
          </w:tcPr>
          <w:p w14:paraId="03E7813A"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2.41</w:t>
            </w:r>
          </w:p>
        </w:tc>
        <w:tc>
          <w:tcPr>
            <w:tcW w:w="540" w:type="dxa"/>
            <w:tcBorders>
              <w:top w:val="nil"/>
              <w:left w:val="nil"/>
              <w:bottom w:val="nil"/>
              <w:right w:val="nil"/>
            </w:tcBorders>
            <w:shd w:val="clear" w:color="000000" w:fill="FFFFFF"/>
            <w:noWrap/>
            <w:vAlign w:val="bottom"/>
          </w:tcPr>
          <w:p w14:paraId="63553F4C"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-0.19</w:t>
            </w:r>
          </w:p>
        </w:tc>
        <w:tc>
          <w:tcPr>
            <w:tcW w:w="454" w:type="dxa"/>
            <w:tcBorders>
              <w:top w:val="nil"/>
              <w:left w:val="nil"/>
              <w:bottom w:val="nil"/>
              <w:right w:val="single" w:sz="4" w:space="0" w:color="auto"/>
            </w:tcBorders>
            <w:shd w:val="clear" w:color="000000" w:fill="FFFFFF"/>
            <w:noWrap/>
            <w:vAlign w:val="bottom"/>
          </w:tcPr>
          <w:p w14:paraId="586A2D69"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-1.43</w:t>
            </w:r>
          </w:p>
        </w:tc>
        <w:tc>
          <w:tcPr>
            <w:tcW w:w="540" w:type="dxa"/>
            <w:tcBorders>
              <w:top w:val="nil"/>
              <w:left w:val="nil"/>
              <w:bottom w:val="nil"/>
              <w:right w:val="nil"/>
            </w:tcBorders>
            <w:shd w:val="clear" w:color="000000" w:fill="FFFFFF"/>
            <w:noWrap/>
            <w:vAlign w:val="center"/>
          </w:tcPr>
          <w:p w14:paraId="7C5CF713"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6" w:type="dxa"/>
            <w:tcBorders>
              <w:top w:val="nil"/>
              <w:left w:val="nil"/>
              <w:bottom w:val="nil"/>
              <w:right w:val="single" w:sz="12" w:space="0" w:color="auto"/>
            </w:tcBorders>
            <w:shd w:val="clear" w:color="000000" w:fill="FFFFFF"/>
            <w:noWrap/>
            <w:vAlign w:val="center"/>
          </w:tcPr>
          <w:p w14:paraId="157F7D41"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vAlign w:val="bottom"/>
          </w:tcPr>
          <w:p w14:paraId="56F4E913" w14:textId="77777777" w:rsidR="002961DC" w:rsidRPr="00A95729" w:rsidRDefault="002961DC" w:rsidP="00E56366">
            <w:pPr>
              <w:spacing w:after="0" w:line="240" w:lineRule="auto"/>
              <w:jc w:val="center"/>
              <w:rPr>
                <w:color w:val="000000"/>
                <w:sz w:val="18"/>
                <w:szCs w:val="18"/>
              </w:rPr>
            </w:pPr>
            <w:r w:rsidRPr="00A95729">
              <w:rPr>
                <w:color w:val="000000"/>
                <w:sz w:val="18"/>
                <w:szCs w:val="18"/>
              </w:rPr>
              <w:t>0.52</w:t>
            </w:r>
          </w:p>
        </w:tc>
        <w:tc>
          <w:tcPr>
            <w:tcW w:w="540" w:type="dxa"/>
            <w:tcBorders>
              <w:top w:val="nil"/>
              <w:left w:val="nil"/>
              <w:bottom w:val="nil"/>
              <w:right w:val="single" w:sz="12" w:space="0" w:color="auto"/>
            </w:tcBorders>
            <w:shd w:val="clear" w:color="000000" w:fill="FFFFFF"/>
            <w:vAlign w:val="bottom"/>
          </w:tcPr>
          <w:p w14:paraId="0C9E5C2A" w14:textId="77777777" w:rsidR="002961DC" w:rsidRPr="00A95729" w:rsidRDefault="002961DC" w:rsidP="00E56366">
            <w:pPr>
              <w:spacing w:after="0" w:line="240" w:lineRule="auto"/>
              <w:jc w:val="center"/>
              <w:rPr>
                <w:color w:val="000000"/>
                <w:sz w:val="18"/>
                <w:szCs w:val="18"/>
              </w:rPr>
            </w:pPr>
            <w:r w:rsidRPr="00A95729">
              <w:rPr>
                <w:color w:val="000000"/>
                <w:sz w:val="18"/>
                <w:szCs w:val="18"/>
              </w:rPr>
              <w:t>8.20</w:t>
            </w:r>
          </w:p>
        </w:tc>
        <w:tc>
          <w:tcPr>
            <w:tcW w:w="630" w:type="dxa"/>
            <w:tcBorders>
              <w:top w:val="nil"/>
              <w:left w:val="single" w:sz="12" w:space="0" w:color="auto"/>
              <w:bottom w:val="nil"/>
              <w:right w:val="nil"/>
            </w:tcBorders>
            <w:shd w:val="clear" w:color="000000" w:fill="FFFFFF"/>
            <w:vAlign w:val="center"/>
          </w:tcPr>
          <w:p w14:paraId="32427E11" w14:textId="77777777" w:rsidR="002961DC" w:rsidRPr="00A95729" w:rsidRDefault="002961DC" w:rsidP="00E56366">
            <w:pPr>
              <w:spacing w:after="0" w:line="240" w:lineRule="auto"/>
              <w:jc w:val="center"/>
              <w:rPr>
                <w:color w:val="000000"/>
                <w:sz w:val="18"/>
                <w:szCs w:val="18"/>
              </w:rPr>
            </w:pPr>
            <w:r w:rsidRPr="00A95729">
              <w:rPr>
                <w:rFonts w:eastAsia="Times New Roman"/>
                <w:color w:val="000000"/>
                <w:sz w:val="18"/>
                <w:szCs w:val="18"/>
              </w:rPr>
              <w:t>--</w:t>
            </w:r>
          </w:p>
        </w:tc>
        <w:tc>
          <w:tcPr>
            <w:tcW w:w="542" w:type="dxa"/>
            <w:tcBorders>
              <w:top w:val="nil"/>
              <w:left w:val="nil"/>
              <w:bottom w:val="nil"/>
              <w:right w:val="single" w:sz="12" w:space="0" w:color="auto"/>
            </w:tcBorders>
            <w:shd w:val="clear" w:color="000000" w:fill="FFFFFF"/>
            <w:vAlign w:val="center"/>
          </w:tcPr>
          <w:p w14:paraId="3BEB1E9A" w14:textId="77777777" w:rsidR="002961DC" w:rsidRPr="00A95729" w:rsidRDefault="002961DC" w:rsidP="00E56366">
            <w:pPr>
              <w:spacing w:after="0" w:line="240" w:lineRule="auto"/>
              <w:jc w:val="center"/>
              <w:rPr>
                <w:color w:val="000000"/>
                <w:sz w:val="18"/>
                <w:szCs w:val="18"/>
              </w:rPr>
            </w:pPr>
            <w:r w:rsidRPr="00A95729">
              <w:rPr>
                <w:rFonts w:eastAsia="Times New Roman"/>
                <w:color w:val="000000"/>
                <w:sz w:val="18"/>
                <w:szCs w:val="18"/>
              </w:rPr>
              <w:t> </w:t>
            </w:r>
          </w:p>
        </w:tc>
      </w:tr>
      <w:tr w:rsidR="002961DC" w:rsidRPr="00A95729" w14:paraId="475A5ACA" w14:textId="77777777" w:rsidTr="00E56366">
        <w:trPr>
          <w:trHeight w:val="20"/>
          <w:jc w:val="center"/>
        </w:trPr>
        <w:tc>
          <w:tcPr>
            <w:tcW w:w="2411" w:type="dxa"/>
            <w:tcBorders>
              <w:top w:val="nil"/>
              <w:left w:val="single" w:sz="12" w:space="0" w:color="auto"/>
              <w:bottom w:val="nil"/>
              <w:right w:val="single" w:sz="12" w:space="0" w:color="auto"/>
            </w:tcBorders>
            <w:shd w:val="clear" w:color="000000" w:fill="FFFFFF"/>
            <w:noWrap/>
            <w:vAlign w:val="bottom"/>
          </w:tcPr>
          <w:p w14:paraId="50B90596" w14:textId="77777777" w:rsidR="002961DC" w:rsidRPr="00A95729" w:rsidRDefault="002961DC" w:rsidP="00E56366">
            <w:pPr>
              <w:spacing w:after="0" w:line="240" w:lineRule="auto"/>
              <w:rPr>
                <w:rFonts w:eastAsia="Times New Roman"/>
                <w:b/>
                <w:bCs/>
                <w:color w:val="000000"/>
                <w:sz w:val="18"/>
                <w:szCs w:val="18"/>
              </w:rPr>
            </w:pPr>
            <w:r w:rsidRPr="00A95729">
              <w:rPr>
                <w:rFonts w:eastAsia="Times New Roman"/>
                <w:color w:val="000000"/>
                <w:sz w:val="18"/>
                <w:szCs w:val="18"/>
              </w:rPr>
              <w:t xml:space="preserve">     45-54</w:t>
            </w:r>
          </w:p>
        </w:tc>
        <w:tc>
          <w:tcPr>
            <w:tcW w:w="537" w:type="dxa"/>
            <w:tcBorders>
              <w:top w:val="nil"/>
              <w:left w:val="single" w:sz="12" w:space="0" w:color="auto"/>
              <w:bottom w:val="nil"/>
            </w:tcBorders>
            <w:shd w:val="clear" w:color="000000" w:fill="FFFFFF"/>
            <w:vAlign w:val="bottom"/>
          </w:tcPr>
          <w:p w14:paraId="65182362"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0.24</w:t>
            </w:r>
          </w:p>
        </w:tc>
        <w:tc>
          <w:tcPr>
            <w:tcW w:w="541" w:type="dxa"/>
            <w:tcBorders>
              <w:top w:val="nil"/>
              <w:left w:val="nil"/>
              <w:bottom w:val="nil"/>
              <w:right w:val="single" w:sz="12" w:space="0" w:color="auto"/>
            </w:tcBorders>
            <w:shd w:val="clear" w:color="000000" w:fill="FFFFFF"/>
            <w:vAlign w:val="bottom"/>
          </w:tcPr>
          <w:p w14:paraId="6A1242E9"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4.60</w:t>
            </w:r>
          </w:p>
        </w:tc>
        <w:tc>
          <w:tcPr>
            <w:tcW w:w="539" w:type="dxa"/>
            <w:tcBorders>
              <w:top w:val="nil"/>
              <w:left w:val="single" w:sz="12" w:space="0" w:color="auto"/>
              <w:bottom w:val="nil"/>
              <w:right w:val="nil"/>
            </w:tcBorders>
            <w:shd w:val="clear" w:color="000000" w:fill="FFFFFF"/>
            <w:noWrap/>
            <w:vAlign w:val="center"/>
          </w:tcPr>
          <w:p w14:paraId="599DDC74"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49" w:type="dxa"/>
            <w:tcBorders>
              <w:top w:val="nil"/>
              <w:left w:val="nil"/>
              <w:bottom w:val="nil"/>
              <w:right w:val="single" w:sz="4" w:space="0" w:color="auto"/>
            </w:tcBorders>
            <w:shd w:val="clear" w:color="000000" w:fill="FFFFFF"/>
            <w:noWrap/>
            <w:vAlign w:val="center"/>
          </w:tcPr>
          <w:p w14:paraId="181F38FE"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00DA1C81"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tcPr>
          <w:p w14:paraId="4A842521"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4A913988"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tcPr>
          <w:p w14:paraId="4058F3D8"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8" w:type="dxa"/>
            <w:tcBorders>
              <w:top w:val="nil"/>
              <w:left w:val="nil"/>
              <w:bottom w:val="nil"/>
              <w:right w:val="nil"/>
            </w:tcBorders>
            <w:shd w:val="clear" w:color="000000" w:fill="FFFFFF"/>
            <w:noWrap/>
            <w:vAlign w:val="center"/>
          </w:tcPr>
          <w:p w14:paraId="2F8F6C5A"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tcPr>
          <w:p w14:paraId="2C3C8C18"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29D72E91"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tcPr>
          <w:p w14:paraId="3F222CD8"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bottom"/>
          </w:tcPr>
          <w:p w14:paraId="1D1F2ED7"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0.41</w:t>
            </w:r>
          </w:p>
        </w:tc>
        <w:tc>
          <w:tcPr>
            <w:tcW w:w="450" w:type="dxa"/>
            <w:tcBorders>
              <w:top w:val="nil"/>
              <w:left w:val="nil"/>
              <w:bottom w:val="nil"/>
              <w:right w:val="single" w:sz="4" w:space="0" w:color="auto"/>
            </w:tcBorders>
            <w:shd w:val="clear" w:color="000000" w:fill="FFFFFF"/>
            <w:noWrap/>
            <w:vAlign w:val="bottom"/>
          </w:tcPr>
          <w:p w14:paraId="5054B5D0"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2.41</w:t>
            </w:r>
          </w:p>
        </w:tc>
        <w:tc>
          <w:tcPr>
            <w:tcW w:w="540" w:type="dxa"/>
            <w:tcBorders>
              <w:top w:val="nil"/>
              <w:left w:val="nil"/>
              <w:bottom w:val="nil"/>
              <w:right w:val="nil"/>
            </w:tcBorders>
            <w:shd w:val="clear" w:color="000000" w:fill="FFFFFF"/>
            <w:noWrap/>
            <w:vAlign w:val="bottom"/>
          </w:tcPr>
          <w:p w14:paraId="5CCFBFE2"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-0.34</w:t>
            </w:r>
          </w:p>
        </w:tc>
        <w:tc>
          <w:tcPr>
            <w:tcW w:w="454" w:type="dxa"/>
            <w:tcBorders>
              <w:top w:val="nil"/>
              <w:left w:val="nil"/>
              <w:bottom w:val="nil"/>
              <w:right w:val="single" w:sz="4" w:space="0" w:color="auto"/>
            </w:tcBorders>
            <w:shd w:val="clear" w:color="000000" w:fill="FFFFFF"/>
            <w:noWrap/>
            <w:vAlign w:val="bottom"/>
          </w:tcPr>
          <w:p w14:paraId="29011A58"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-2.30</w:t>
            </w:r>
          </w:p>
        </w:tc>
        <w:tc>
          <w:tcPr>
            <w:tcW w:w="540" w:type="dxa"/>
            <w:tcBorders>
              <w:top w:val="nil"/>
              <w:left w:val="nil"/>
              <w:bottom w:val="nil"/>
              <w:right w:val="nil"/>
            </w:tcBorders>
            <w:shd w:val="clear" w:color="000000" w:fill="FFFFFF"/>
            <w:noWrap/>
            <w:vAlign w:val="bottom"/>
          </w:tcPr>
          <w:p w14:paraId="2A5C6242"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0.16</w:t>
            </w:r>
          </w:p>
        </w:tc>
        <w:tc>
          <w:tcPr>
            <w:tcW w:w="456" w:type="dxa"/>
            <w:tcBorders>
              <w:top w:val="nil"/>
              <w:left w:val="nil"/>
              <w:bottom w:val="nil"/>
              <w:right w:val="single" w:sz="12" w:space="0" w:color="auto"/>
            </w:tcBorders>
            <w:shd w:val="clear" w:color="000000" w:fill="FFFFFF"/>
            <w:noWrap/>
            <w:vAlign w:val="bottom"/>
          </w:tcPr>
          <w:p w14:paraId="353251F9"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1.87</w:t>
            </w:r>
          </w:p>
        </w:tc>
        <w:tc>
          <w:tcPr>
            <w:tcW w:w="540" w:type="dxa"/>
            <w:tcBorders>
              <w:top w:val="nil"/>
              <w:left w:val="nil"/>
              <w:bottom w:val="nil"/>
              <w:right w:val="nil"/>
            </w:tcBorders>
            <w:shd w:val="clear" w:color="000000" w:fill="FFFFFF"/>
            <w:vAlign w:val="bottom"/>
          </w:tcPr>
          <w:p w14:paraId="667F88AF" w14:textId="77777777" w:rsidR="002961DC" w:rsidRPr="00A95729" w:rsidRDefault="002961DC" w:rsidP="00E56366">
            <w:pPr>
              <w:spacing w:after="0" w:line="240" w:lineRule="auto"/>
              <w:jc w:val="center"/>
              <w:rPr>
                <w:color w:val="000000"/>
                <w:sz w:val="18"/>
                <w:szCs w:val="18"/>
              </w:rPr>
            </w:pPr>
            <w:r w:rsidRPr="00A95729">
              <w:rPr>
                <w:color w:val="000000"/>
                <w:sz w:val="18"/>
                <w:szCs w:val="18"/>
              </w:rPr>
              <w:t>0.52</w:t>
            </w:r>
          </w:p>
        </w:tc>
        <w:tc>
          <w:tcPr>
            <w:tcW w:w="540" w:type="dxa"/>
            <w:tcBorders>
              <w:top w:val="nil"/>
              <w:left w:val="nil"/>
              <w:bottom w:val="nil"/>
              <w:right w:val="single" w:sz="12" w:space="0" w:color="auto"/>
            </w:tcBorders>
            <w:shd w:val="clear" w:color="000000" w:fill="FFFFFF"/>
            <w:vAlign w:val="bottom"/>
          </w:tcPr>
          <w:p w14:paraId="45AB8980" w14:textId="77777777" w:rsidR="002961DC" w:rsidRPr="00A95729" w:rsidRDefault="002961DC" w:rsidP="00E56366">
            <w:pPr>
              <w:spacing w:after="0" w:line="240" w:lineRule="auto"/>
              <w:jc w:val="center"/>
              <w:rPr>
                <w:color w:val="000000"/>
                <w:sz w:val="18"/>
                <w:szCs w:val="18"/>
              </w:rPr>
            </w:pPr>
            <w:r w:rsidRPr="00A95729">
              <w:rPr>
                <w:color w:val="000000"/>
                <w:sz w:val="18"/>
                <w:szCs w:val="18"/>
              </w:rPr>
              <w:t>8.20</w:t>
            </w:r>
          </w:p>
        </w:tc>
        <w:tc>
          <w:tcPr>
            <w:tcW w:w="630" w:type="dxa"/>
            <w:tcBorders>
              <w:top w:val="nil"/>
              <w:left w:val="single" w:sz="12" w:space="0" w:color="auto"/>
              <w:bottom w:val="nil"/>
              <w:right w:val="nil"/>
            </w:tcBorders>
            <w:shd w:val="clear" w:color="000000" w:fill="FFFFFF"/>
            <w:vAlign w:val="center"/>
          </w:tcPr>
          <w:p w14:paraId="60C6CADD" w14:textId="77777777" w:rsidR="002961DC" w:rsidRPr="00A95729" w:rsidRDefault="002961DC" w:rsidP="00E56366">
            <w:pPr>
              <w:spacing w:after="0" w:line="240" w:lineRule="auto"/>
              <w:jc w:val="center"/>
              <w:rPr>
                <w:color w:val="000000"/>
                <w:sz w:val="18"/>
                <w:szCs w:val="18"/>
              </w:rPr>
            </w:pPr>
            <w:r w:rsidRPr="00A95729">
              <w:rPr>
                <w:rFonts w:eastAsia="Times New Roman"/>
                <w:color w:val="000000"/>
                <w:sz w:val="18"/>
                <w:szCs w:val="18"/>
              </w:rPr>
              <w:t>--</w:t>
            </w:r>
          </w:p>
        </w:tc>
        <w:tc>
          <w:tcPr>
            <w:tcW w:w="542" w:type="dxa"/>
            <w:tcBorders>
              <w:top w:val="nil"/>
              <w:left w:val="nil"/>
              <w:bottom w:val="nil"/>
              <w:right w:val="single" w:sz="12" w:space="0" w:color="auto"/>
            </w:tcBorders>
            <w:shd w:val="clear" w:color="000000" w:fill="FFFFFF"/>
            <w:vAlign w:val="center"/>
          </w:tcPr>
          <w:p w14:paraId="4561788C" w14:textId="77777777" w:rsidR="002961DC" w:rsidRPr="00A95729" w:rsidRDefault="002961DC" w:rsidP="00E56366">
            <w:pPr>
              <w:spacing w:after="0" w:line="240" w:lineRule="auto"/>
              <w:jc w:val="center"/>
              <w:rPr>
                <w:color w:val="000000"/>
                <w:sz w:val="18"/>
                <w:szCs w:val="18"/>
              </w:rPr>
            </w:pPr>
            <w:r w:rsidRPr="00A95729">
              <w:rPr>
                <w:rFonts w:eastAsia="Times New Roman"/>
                <w:color w:val="000000"/>
                <w:sz w:val="18"/>
                <w:szCs w:val="18"/>
              </w:rPr>
              <w:t> </w:t>
            </w:r>
          </w:p>
        </w:tc>
      </w:tr>
      <w:tr w:rsidR="002961DC" w:rsidRPr="00A95729" w14:paraId="47C54A8F" w14:textId="77777777" w:rsidTr="00E56366">
        <w:trPr>
          <w:trHeight w:val="20"/>
          <w:jc w:val="center"/>
        </w:trPr>
        <w:tc>
          <w:tcPr>
            <w:tcW w:w="2411" w:type="dxa"/>
            <w:tcBorders>
              <w:top w:val="nil"/>
              <w:left w:val="single" w:sz="12" w:space="0" w:color="auto"/>
              <w:bottom w:val="nil"/>
              <w:right w:val="single" w:sz="12" w:space="0" w:color="auto"/>
            </w:tcBorders>
            <w:shd w:val="clear" w:color="000000" w:fill="FFFFFF"/>
            <w:noWrap/>
            <w:vAlign w:val="bottom"/>
          </w:tcPr>
          <w:p w14:paraId="7059DF9B" w14:textId="77777777" w:rsidR="002961DC" w:rsidRPr="00A95729" w:rsidRDefault="002961DC" w:rsidP="00E56366">
            <w:pPr>
              <w:spacing w:after="0" w:line="240" w:lineRule="auto"/>
              <w:rPr>
                <w:rFonts w:eastAsia="Times New Roman"/>
                <w:b/>
                <w:bCs/>
                <w:color w:val="000000"/>
                <w:sz w:val="18"/>
                <w:szCs w:val="18"/>
              </w:rPr>
            </w:pPr>
            <w:r w:rsidRPr="00A95729">
              <w:rPr>
                <w:rFonts w:eastAsia="Times New Roman"/>
                <w:color w:val="000000"/>
                <w:sz w:val="18"/>
                <w:szCs w:val="18"/>
              </w:rPr>
              <w:t xml:space="preserve">     55-64</w:t>
            </w:r>
          </w:p>
        </w:tc>
        <w:tc>
          <w:tcPr>
            <w:tcW w:w="537" w:type="dxa"/>
            <w:tcBorders>
              <w:top w:val="nil"/>
              <w:left w:val="single" w:sz="12" w:space="0" w:color="auto"/>
              <w:bottom w:val="nil"/>
            </w:tcBorders>
            <w:shd w:val="clear" w:color="000000" w:fill="FFFFFF"/>
            <w:vAlign w:val="bottom"/>
          </w:tcPr>
          <w:p w14:paraId="42E4308C"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0.24</w:t>
            </w:r>
          </w:p>
        </w:tc>
        <w:tc>
          <w:tcPr>
            <w:tcW w:w="541" w:type="dxa"/>
            <w:tcBorders>
              <w:top w:val="nil"/>
              <w:left w:val="nil"/>
              <w:bottom w:val="nil"/>
              <w:right w:val="single" w:sz="12" w:space="0" w:color="auto"/>
            </w:tcBorders>
            <w:shd w:val="clear" w:color="000000" w:fill="FFFFFF"/>
            <w:vAlign w:val="bottom"/>
          </w:tcPr>
          <w:p w14:paraId="472752C9"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4.60</w:t>
            </w:r>
          </w:p>
        </w:tc>
        <w:tc>
          <w:tcPr>
            <w:tcW w:w="539" w:type="dxa"/>
            <w:tcBorders>
              <w:top w:val="nil"/>
              <w:left w:val="single" w:sz="12" w:space="0" w:color="auto"/>
              <w:bottom w:val="nil"/>
              <w:right w:val="nil"/>
            </w:tcBorders>
            <w:shd w:val="clear" w:color="000000" w:fill="FFFFFF"/>
            <w:noWrap/>
            <w:vAlign w:val="center"/>
          </w:tcPr>
          <w:p w14:paraId="4A9FC063"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49" w:type="dxa"/>
            <w:tcBorders>
              <w:top w:val="nil"/>
              <w:left w:val="nil"/>
              <w:bottom w:val="nil"/>
              <w:right w:val="single" w:sz="4" w:space="0" w:color="auto"/>
            </w:tcBorders>
            <w:shd w:val="clear" w:color="000000" w:fill="FFFFFF"/>
            <w:noWrap/>
            <w:vAlign w:val="center"/>
          </w:tcPr>
          <w:p w14:paraId="6DA467DC"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57315137"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tcPr>
          <w:p w14:paraId="1A059335"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bottom"/>
          </w:tcPr>
          <w:p w14:paraId="62ED2521"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-0.32</w:t>
            </w:r>
          </w:p>
        </w:tc>
        <w:tc>
          <w:tcPr>
            <w:tcW w:w="450" w:type="dxa"/>
            <w:tcBorders>
              <w:top w:val="nil"/>
              <w:left w:val="nil"/>
              <w:bottom w:val="nil"/>
              <w:right w:val="single" w:sz="4" w:space="0" w:color="auto"/>
            </w:tcBorders>
            <w:shd w:val="clear" w:color="000000" w:fill="FFFFFF"/>
            <w:noWrap/>
            <w:vAlign w:val="bottom"/>
          </w:tcPr>
          <w:p w14:paraId="3EB64AC4"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-3.01</w:t>
            </w:r>
          </w:p>
        </w:tc>
        <w:tc>
          <w:tcPr>
            <w:tcW w:w="548" w:type="dxa"/>
            <w:tcBorders>
              <w:top w:val="nil"/>
              <w:left w:val="nil"/>
              <w:bottom w:val="nil"/>
              <w:right w:val="nil"/>
            </w:tcBorders>
            <w:shd w:val="clear" w:color="000000" w:fill="FFFFFF"/>
            <w:noWrap/>
            <w:vAlign w:val="center"/>
          </w:tcPr>
          <w:p w14:paraId="725F0AA1"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tcPr>
          <w:p w14:paraId="4327C2FE"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67705187"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tcPr>
          <w:p w14:paraId="5AF49E47"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bottom"/>
          </w:tcPr>
          <w:p w14:paraId="7568FBC2"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0.41</w:t>
            </w:r>
          </w:p>
        </w:tc>
        <w:tc>
          <w:tcPr>
            <w:tcW w:w="450" w:type="dxa"/>
            <w:tcBorders>
              <w:top w:val="nil"/>
              <w:left w:val="nil"/>
              <w:bottom w:val="nil"/>
              <w:right w:val="single" w:sz="4" w:space="0" w:color="auto"/>
            </w:tcBorders>
            <w:shd w:val="clear" w:color="000000" w:fill="FFFFFF"/>
            <w:noWrap/>
            <w:vAlign w:val="bottom"/>
          </w:tcPr>
          <w:p w14:paraId="578F25E1"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2.41</w:t>
            </w:r>
          </w:p>
        </w:tc>
        <w:tc>
          <w:tcPr>
            <w:tcW w:w="540" w:type="dxa"/>
            <w:tcBorders>
              <w:top w:val="nil"/>
              <w:left w:val="nil"/>
              <w:bottom w:val="nil"/>
              <w:right w:val="nil"/>
            </w:tcBorders>
            <w:shd w:val="clear" w:color="000000" w:fill="FFFFFF"/>
            <w:noWrap/>
            <w:vAlign w:val="bottom"/>
          </w:tcPr>
          <w:p w14:paraId="29AD11DD"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-0.45</w:t>
            </w:r>
          </w:p>
        </w:tc>
        <w:tc>
          <w:tcPr>
            <w:tcW w:w="454" w:type="dxa"/>
            <w:tcBorders>
              <w:top w:val="nil"/>
              <w:left w:val="nil"/>
              <w:bottom w:val="nil"/>
              <w:right w:val="single" w:sz="4" w:space="0" w:color="auto"/>
            </w:tcBorders>
            <w:shd w:val="clear" w:color="000000" w:fill="FFFFFF"/>
            <w:noWrap/>
            <w:vAlign w:val="bottom"/>
          </w:tcPr>
          <w:p w14:paraId="6F931F0D"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-3.18</w:t>
            </w:r>
          </w:p>
        </w:tc>
        <w:tc>
          <w:tcPr>
            <w:tcW w:w="540" w:type="dxa"/>
            <w:tcBorders>
              <w:top w:val="nil"/>
              <w:left w:val="nil"/>
              <w:bottom w:val="nil"/>
              <w:right w:val="nil"/>
            </w:tcBorders>
            <w:shd w:val="clear" w:color="000000" w:fill="FFFFFF"/>
            <w:noWrap/>
            <w:vAlign w:val="bottom"/>
          </w:tcPr>
          <w:p w14:paraId="7A1B38C5"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0.25</w:t>
            </w:r>
          </w:p>
        </w:tc>
        <w:tc>
          <w:tcPr>
            <w:tcW w:w="456" w:type="dxa"/>
            <w:tcBorders>
              <w:top w:val="nil"/>
              <w:left w:val="nil"/>
              <w:bottom w:val="nil"/>
              <w:right w:val="single" w:sz="12" w:space="0" w:color="auto"/>
            </w:tcBorders>
            <w:shd w:val="clear" w:color="000000" w:fill="FFFFFF"/>
            <w:noWrap/>
            <w:vAlign w:val="bottom"/>
          </w:tcPr>
          <w:p w14:paraId="015DD1EF"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3.22</w:t>
            </w:r>
          </w:p>
        </w:tc>
        <w:tc>
          <w:tcPr>
            <w:tcW w:w="540" w:type="dxa"/>
            <w:tcBorders>
              <w:top w:val="nil"/>
              <w:left w:val="nil"/>
              <w:bottom w:val="nil"/>
              <w:right w:val="nil"/>
            </w:tcBorders>
            <w:shd w:val="clear" w:color="000000" w:fill="FFFFFF"/>
            <w:vAlign w:val="bottom"/>
          </w:tcPr>
          <w:p w14:paraId="074B74C0" w14:textId="77777777" w:rsidR="002961DC" w:rsidRPr="00A95729" w:rsidRDefault="002961DC" w:rsidP="00E56366">
            <w:pPr>
              <w:spacing w:after="0" w:line="240" w:lineRule="auto"/>
              <w:jc w:val="center"/>
              <w:rPr>
                <w:color w:val="000000"/>
                <w:sz w:val="18"/>
                <w:szCs w:val="18"/>
              </w:rPr>
            </w:pPr>
            <w:r w:rsidRPr="00A95729">
              <w:rPr>
                <w:color w:val="000000"/>
                <w:sz w:val="18"/>
                <w:szCs w:val="18"/>
              </w:rPr>
              <w:t>0.52</w:t>
            </w:r>
          </w:p>
        </w:tc>
        <w:tc>
          <w:tcPr>
            <w:tcW w:w="540" w:type="dxa"/>
            <w:tcBorders>
              <w:top w:val="nil"/>
              <w:left w:val="nil"/>
              <w:bottom w:val="nil"/>
              <w:right w:val="single" w:sz="12" w:space="0" w:color="auto"/>
            </w:tcBorders>
            <w:shd w:val="clear" w:color="000000" w:fill="FFFFFF"/>
            <w:vAlign w:val="bottom"/>
          </w:tcPr>
          <w:p w14:paraId="74CAA2B2" w14:textId="77777777" w:rsidR="002961DC" w:rsidRPr="00A95729" w:rsidRDefault="002961DC" w:rsidP="00E56366">
            <w:pPr>
              <w:spacing w:after="0" w:line="240" w:lineRule="auto"/>
              <w:jc w:val="center"/>
              <w:rPr>
                <w:color w:val="000000"/>
                <w:sz w:val="18"/>
                <w:szCs w:val="18"/>
              </w:rPr>
            </w:pPr>
            <w:r w:rsidRPr="00A95729">
              <w:rPr>
                <w:color w:val="000000"/>
                <w:sz w:val="18"/>
                <w:szCs w:val="18"/>
              </w:rPr>
              <w:t>8.20</w:t>
            </w:r>
          </w:p>
        </w:tc>
        <w:tc>
          <w:tcPr>
            <w:tcW w:w="630" w:type="dxa"/>
            <w:tcBorders>
              <w:top w:val="nil"/>
              <w:left w:val="single" w:sz="12" w:space="0" w:color="auto"/>
              <w:bottom w:val="nil"/>
              <w:right w:val="nil"/>
            </w:tcBorders>
            <w:shd w:val="clear" w:color="000000" w:fill="FFFFFF"/>
            <w:vAlign w:val="bottom"/>
          </w:tcPr>
          <w:p w14:paraId="1CD06DCE" w14:textId="77777777" w:rsidR="002961DC" w:rsidRPr="00A95729" w:rsidRDefault="002961DC" w:rsidP="00E56366">
            <w:pPr>
              <w:spacing w:after="0" w:line="240" w:lineRule="auto"/>
              <w:jc w:val="center"/>
              <w:rPr>
                <w:color w:val="000000"/>
                <w:sz w:val="18"/>
                <w:szCs w:val="18"/>
              </w:rPr>
            </w:pPr>
            <w:r w:rsidRPr="00A95729">
              <w:rPr>
                <w:color w:val="000000"/>
                <w:sz w:val="18"/>
                <w:szCs w:val="18"/>
              </w:rPr>
              <w:t>-0.11</w:t>
            </w:r>
          </w:p>
        </w:tc>
        <w:tc>
          <w:tcPr>
            <w:tcW w:w="542" w:type="dxa"/>
            <w:tcBorders>
              <w:top w:val="nil"/>
              <w:left w:val="nil"/>
              <w:bottom w:val="nil"/>
              <w:right w:val="single" w:sz="12" w:space="0" w:color="auto"/>
            </w:tcBorders>
            <w:shd w:val="clear" w:color="000000" w:fill="FFFFFF"/>
            <w:vAlign w:val="bottom"/>
          </w:tcPr>
          <w:p w14:paraId="03113FB2" w14:textId="77777777" w:rsidR="002961DC" w:rsidRPr="00A95729" w:rsidRDefault="002961DC" w:rsidP="00E56366">
            <w:pPr>
              <w:spacing w:after="0" w:line="240" w:lineRule="auto"/>
              <w:jc w:val="center"/>
              <w:rPr>
                <w:color w:val="000000"/>
                <w:sz w:val="18"/>
                <w:szCs w:val="18"/>
              </w:rPr>
            </w:pPr>
            <w:r w:rsidRPr="00A95729">
              <w:rPr>
                <w:color w:val="000000"/>
                <w:sz w:val="18"/>
                <w:szCs w:val="18"/>
              </w:rPr>
              <w:t>-3.74</w:t>
            </w:r>
          </w:p>
        </w:tc>
      </w:tr>
      <w:tr w:rsidR="002961DC" w:rsidRPr="00A95729" w14:paraId="7B54F026" w14:textId="77777777" w:rsidTr="00E56366">
        <w:trPr>
          <w:trHeight w:val="20"/>
          <w:jc w:val="center"/>
        </w:trPr>
        <w:tc>
          <w:tcPr>
            <w:tcW w:w="2411" w:type="dxa"/>
            <w:tcBorders>
              <w:top w:val="nil"/>
              <w:left w:val="single" w:sz="12" w:space="0" w:color="auto"/>
              <w:bottom w:val="nil"/>
              <w:right w:val="single" w:sz="12" w:space="0" w:color="auto"/>
            </w:tcBorders>
            <w:shd w:val="clear" w:color="000000" w:fill="FFFFFF"/>
            <w:noWrap/>
            <w:vAlign w:val="bottom"/>
          </w:tcPr>
          <w:p w14:paraId="76CA20F2" w14:textId="77777777" w:rsidR="002961DC" w:rsidRPr="00A95729" w:rsidRDefault="002961DC" w:rsidP="00E56366">
            <w:pPr>
              <w:spacing w:after="0" w:line="240" w:lineRule="auto"/>
              <w:rPr>
                <w:rFonts w:eastAsia="Times New Roman"/>
                <w:b/>
                <w:bCs/>
                <w:color w:val="000000"/>
                <w:sz w:val="18"/>
                <w:szCs w:val="18"/>
              </w:rPr>
            </w:pPr>
            <w:r w:rsidRPr="00A95729">
              <w:rPr>
                <w:rFonts w:eastAsia="Times New Roman"/>
                <w:color w:val="000000"/>
                <w:sz w:val="18"/>
                <w:szCs w:val="18"/>
              </w:rPr>
              <w:t xml:space="preserve">     65+</w:t>
            </w:r>
          </w:p>
        </w:tc>
        <w:tc>
          <w:tcPr>
            <w:tcW w:w="537" w:type="dxa"/>
            <w:tcBorders>
              <w:top w:val="nil"/>
              <w:left w:val="single" w:sz="12" w:space="0" w:color="auto"/>
              <w:bottom w:val="nil"/>
            </w:tcBorders>
            <w:shd w:val="clear" w:color="000000" w:fill="FFFFFF"/>
            <w:vAlign w:val="bottom"/>
          </w:tcPr>
          <w:p w14:paraId="435EE251"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0.24</w:t>
            </w:r>
          </w:p>
        </w:tc>
        <w:tc>
          <w:tcPr>
            <w:tcW w:w="541" w:type="dxa"/>
            <w:tcBorders>
              <w:top w:val="nil"/>
              <w:left w:val="nil"/>
              <w:bottom w:val="nil"/>
              <w:right w:val="single" w:sz="12" w:space="0" w:color="auto"/>
            </w:tcBorders>
            <w:shd w:val="clear" w:color="000000" w:fill="FFFFFF"/>
            <w:vAlign w:val="bottom"/>
          </w:tcPr>
          <w:p w14:paraId="2A1D27C0"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4.60</w:t>
            </w:r>
          </w:p>
        </w:tc>
        <w:tc>
          <w:tcPr>
            <w:tcW w:w="539" w:type="dxa"/>
            <w:tcBorders>
              <w:top w:val="nil"/>
              <w:left w:val="single" w:sz="12" w:space="0" w:color="auto"/>
              <w:bottom w:val="nil"/>
              <w:right w:val="nil"/>
            </w:tcBorders>
            <w:shd w:val="clear" w:color="000000" w:fill="FFFFFF"/>
            <w:noWrap/>
            <w:vAlign w:val="center"/>
          </w:tcPr>
          <w:p w14:paraId="3B8AC0ED"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49" w:type="dxa"/>
            <w:tcBorders>
              <w:top w:val="nil"/>
              <w:left w:val="nil"/>
              <w:bottom w:val="nil"/>
              <w:right w:val="single" w:sz="4" w:space="0" w:color="auto"/>
            </w:tcBorders>
            <w:shd w:val="clear" w:color="000000" w:fill="FFFFFF"/>
            <w:noWrap/>
            <w:vAlign w:val="center"/>
          </w:tcPr>
          <w:p w14:paraId="55180536"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158CBC8A"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tcPr>
          <w:p w14:paraId="5329BE64"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bottom"/>
          </w:tcPr>
          <w:p w14:paraId="0379EE61"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-0.32</w:t>
            </w:r>
          </w:p>
        </w:tc>
        <w:tc>
          <w:tcPr>
            <w:tcW w:w="450" w:type="dxa"/>
            <w:tcBorders>
              <w:top w:val="nil"/>
              <w:left w:val="nil"/>
              <w:bottom w:val="nil"/>
              <w:right w:val="single" w:sz="4" w:space="0" w:color="auto"/>
            </w:tcBorders>
            <w:shd w:val="clear" w:color="000000" w:fill="FFFFFF"/>
            <w:noWrap/>
            <w:vAlign w:val="bottom"/>
          </w:tcPr>
          <w:p w14:paraId="77BAAFDD"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-3.01</w:t>
            </w:r>
          </w:p>
        </w:tc>
        <w:tc>
          <w:tcPr>
            <w:tcW w:w="548" w:type="dxa"/>
            <w:tcBorders>
              <w:top w:val="nil"/>
              <w:left w:val="nil"/>
              <w:bottom w:val="nil"/>
              <w:right w:val="nil"/>
            </w:tcBorders>
            <w:shd w:val="clear" w:color="000000" w:fill="FFFFFF"/>
            <w:noWrap/>
            <w:vAlign w:val="center"/>
          </w:tcPr>
          <w:p w14:paraId="4FF9AD11"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tcPr>
          <w:p w14:paraId="387141B7"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6BF2C978"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tcPr>
          <w:p w14:paraId="5C27DF14"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bottom"/>
          </w:tcPr>
          <w:p w14:paraId="00A5DE0F"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0.50</w:t>
            </w:r>
          </w:p>
        </w:tc>
        <w:tc>
          <w:tcPr>
            <w:tcW w:w="450" w:type="dxa"/>
            <w:tcBorders>
              <w:top w:val="nil"/>
              <w:left w:val="nil"/>
              <w:bottom w:val="nil"/>
              <w:right w:val="single" w:sz="4" w:space="0" w:color="auto"/>
            </w:tcBorders>
            <w:shd w:val="clear" w:color="000000" w:fill="FFFFFF"/>
            <w:noWrap/>
            <w:vAlign w:val="bottom"/>
          </w:tcPr>
          <w:p w14:paraId="7644861D"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2.67</w:t>
            </w:r>
          </w:p>
        </w:tc>
        <w:tc>
          <w:tcPr>
            <w:tcW w:w="540" w:type="dxa"/>
            <w:tcBorders>
              <w:top w:val="nil"/>
              <w:left w:val="nil"/>
              <w:bottom w:val="nil"/>
              <w:right w:val="nil"/>
            </w:tcBorders>
            <w:shd w:val="clear" w:color="000000" w:fill="FFFFFF"/>
            <w:noWrap/>
            <w:vAlign w:val="bottom"/>
          </w:tcPr>
          <w:p w14:paraId="3DDA0E3B"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-0.45</w:t>
            </w:r>
          </w:p>
        </w:tc>
        <w:tc>
          <w:tcPr>
            <w:tcW w:w="454" w:type="dxa"/>
            <w:tcBorders>
              <w:top w:val="nil"/>
              <w:left w:val="nil"/>
              <w:bottom w:val="nil"/>
              <w:right w:val="single" w:sz="4" w:space="0" w:color="auto"/>
            </w:tcBorders>
            <w:shd w:val="clear" w:color="000000" w:fill="FFFFFF"/>
            <w:noWrap/>
            <w:vAlign w:val="bottom"/>
          </w:tcPr>
          <w:p w14:paraId="7160D103"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-3.18</w:t>
            </w:r>
          </w:p>
        </w:tc>
        <w:tc>
          <w:tcPr>
            <w:tcW w:w="540" w:type="dxa"/>
            <w:tcBorders>
              <w:top w:val="nil"/>
              <w:left w:val="nil"/>
              <w:bottom w:val="nil"/>
              <w:right w:val="nil"/>
            </w:tcBorders>
            <w:shd w:val="clear" w:color="000000" w:fill="FFFFFF"/>
            <w:noWrap/>
            <w:vAlign w:val="bottom"/>
          </w:tcPr>
          <w:p w14:paraId="2A3F494A"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0.52</w:t>
            </w:r>
          </w:p>
        </w:tc>
        <w:tc>
          <w:tcPr>
            <w:tcW w:w="456" w:type="dxa"/>
            <w:tcBorders>
              <w:top w:val="nil"/>
              <w:left w:val="nil"/>
              <w:bottom w:val="nil"/>
              <w:right w:val="single" w:sz="12" w:space="0" w:color="auto"/>
            </w:tcBorders>
            <w:shd w:val="clear" w:color="000000" w:fill="FFFFFF"/>
            <w:noWrap/>
            <w:vAlign w:val="bottom"/>
          </w:tcPr>
          <w:p w14:paraId="58EB769F"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7.09</w:t>
            </w:r>
          </w:p>
        </w:tc>
        <w:tc>
          <w:tcPr>
            <w:tcW w:w="540" w:type="dxa"/>
            <w:tcBorders>
              <w:top w:val="nil"/>
              <w:left w:val="nil"/>
              <w:bottom w:val="nil"/>
              <w:right w:val="nil"/>
            </w:tcBorders>
            <w:shd w:val="clear" w:color="000000" w:fill="FFFFFF"/>
            <w:vAlign w:val="bottom"/>
          </w:tcPr>
          <w:p w14:paraId="5C328A53" w14:textId="77777777" w:rsidR="002961DC" w:rsidRPr="00A95729" w:rsidRDefault="002961DC" w:rsidP="00E56366">
            <w:pPr>
              <w:spacing w:after="0" w:line="240" w:lineRule="auto"/>
              <w:jc w:val="center"/>
              <w:rPr>
                <w:color w:val="000000"/>
                <w:sz w:val="18"/>
                <w:szCs w:val="18"/>
              </w:rPr>
            </w:pPr>
            <w:r w:rsidRPr="00A95729">
              <w:rPr>
                <w:color w:val="000000"/>
                <w:sz w:val="18"/>
                <w:szCs w:val="18"/>
              </w:rPr>
              <w:t>0.58</w:t>
            </w:r>
          </w:p>
        </w:tc>
        <w:tc>
          <w:tcPr>
            <w:tcW w:w="540" w:type="dxa"/>
            <w:tcBorders>
              <w:top w:val="nil"/>
              <w:left w:val="nil"/>
              <w:bottom w:val="nil"/>
              <w:right w:val="single" w:sz="12" w:space="0" w:color="auto"/>
            </w:tcBorders>
            <w:shd w:val="clear" w:color="000000" w:fill="FFFFFF"/>
            <w:vAlign w:val="bottom"/>
          </w:tcPr>
          <w:p w14:paraId="19F186D1" w14:textId="77777777" w:rsidR="002961DC" w:rsidRPr="00A95729" w:rsidRDefault="002961DC" w:rsidP="00E56366">
            <w:pPr>
              <w:spacing w:after="0" w:line="240" w:lineRule="auto"/>
              <w:jc w:val="center"/>
              <w:rPr>
                <w:color w:val="000000"/>
                <w:sz w:val="18"/>
                <w:szCs w:val="18"/>
              </w:rPr>
            </w:pPr>
            <w:r w:rsidRPr="00A95729">
              <w:rPr>
                <w:color w:val="000000"/>
                <w:sz w:val="18"/>
                <w:szCs w:val="18"/>
              </w:rPr>
              <w:t>7.56</w:t>
            </w:r>
          </w:p>
        </w:tc>
        <w:tc>
          <w:tcPr>
            <w:tcW w:w="630" w:type="dxa"/>
            <w:tcBorders>
              <w:top w:val="nil"/>
              <w:left w:val="single" w:sz="12" w:space="0" w:color="auto"/>
              <w:bottom w:val="nil"/>
              <w:right w:val="nil"/>
            </w:tcBorders>
            <w:shd w:val="clear" w:color="000000" w:fill="FFFFFF"/>
            <w:vAlign w:val="bottom"/>
          </w:tcPr>
          <w:p w14:paraId="61CDD2A5" w14:textId="77777777" w:rsidR="002961DC" w:rsidRPr="00A95729" w:rsidRDefault="002961DC" w:rsidP="00E56366">
            <w:pPr>
              <w:spacing w:after="0" w:line="240" w:lineRule="auto"/>
              <w:jc w:val="center"/>
              <w:rPr>
                <w:color w:val="000000"/>
                <w:sz w:val="18"/>
                <w:szCs w:val="18"/>
              </w:rPr>
            </w:pPr>
            <w:r w:rsidRPr="00A95729">
              <w:rPr>
                <w:color w:val="000000"/>
                <w:sz w:val="18"/>
                <w:szCs w:val="18"/>
              </w:rPr>
              <w:t>-0.23</w:t>
            </w:r>
          </w:p>
        </w:tc>
        <w:tc>
          <w:tcPr>
            <w:tcW w:w="542" w:type="dxa"/>
            <w:tcBorders>
              <w:top w:val="nil"/>
              <w:left w:val="nil"/>
              <w:bottom w:val="nil"/>
              <w:right w:val="single" w:sz="12" w:space="0" w:color="auto"/>
            </w:tcBorders>
            <w:shd w:val="clear" w:color="000000" w:fill="FFFFFF"/>
            <w:vAlign w:val="bottom"/>
          </w:tcPr>
          <w:p w14:paraId="3016F22A" w14:textId="77777777" w:rsidR="002961DC" w:rsidRPr="00A95729" w:rsidRDefault="002961DC" w:rsidP="00E56366">
            <w:pPr>
              <w:spacing w:after="0" w:line="240" w:lineRule="auto"/>
              <w:jc w:val="center"/>
              <w:rPr>
                <w:color w:val="000000"/>
                <w:sz w:val="18"/>
                <w:szCs w:val="18"/>
              </w:rPr>
            </w:pPr>
            <w:r w:rsidRPr="00A95729">
              <w:rPr>
                <w:color w:val="000000"/>
                <w:sz w:val="18"/>
                <w:szCs w:val="18"/>
              </w:rPr>
              <w:t>-6.39</w:t>
            </w:r>
          </w:p>
        </w:tc>
      </w:tr>
      <w:tr w:rsidR="002961DC" w:rsidRPr="00A95729" w14:paraId="25B967C9" w14:textId="77777777" w:rsidTr="00E56366">
        <w:trPr>
          <w:trHeight w:val="20"/>
          <w:jc w:val="center"/>
        </w:trPr>
        <w:tc>
          <w:tcPr>
            <w:tcW w:w="2411" w:type="dxa"/>
            <w:tcBorders>
              <w:top w:val="nil"/>
              <w:left w:val="single" w:sz="12" w:space="0" w:color="auto"/>
              <w:bottom w:val="nil"/>
              <w:right w:val="single" w:sz="12" w:space="0" w:color="auto"/>
            </w:tcBorders>
            <w:shd w:val="clear" w:color="000000" w:fill="FFFFFF"/>
            <w:noWrap/>
            <w:vAlign w:val="bottom"/>
          </w:tcPr>
          <w:p w14:paraId="048DD92B" w14:textId="77777777" w:rsidR="002961DC" w:rsidRPr="00A95729" w:rsidRDefault="002961DC" w:rsidP="00E56366">
            <w:pPr>
              <w:spacing w:after="0" w:line="240" w:lineRule="auto"/>
              <w:rPr>
                <w:rFonts w:eastAsia="Times New Roman"/>
                <w:b/>
                <w:bCs/>
                <w:color w:val="000000"/>
                <w:sz w:val="18"/>
                <w:szCs w:val="18"/>
              </w:rPr>
            </w:pPr>
            <w:r w:rsidRPr="00A95729">
              <w:rPr>
                <w:rFonts w:eastAsia="Times New Roman"/>
                <w:color w:val="000000"/>
                <w:sz w:val="18"/>
                <w:szCs w:val="18"/>
              </w:rPr>
              <w:t>Employment Status (Employed)</w:t>
            </w:r>
          </w:p>
        </w:tc>
        <w:tc>
          <w:tcPr>
            <w:tcW w:w="537" w:type="dxa"/>
            <w:tcBorders>
              <w:top w:val="nil"/>
              <w:left w:val="single" w:sz="12" w:space="0" w:color="auto"/>
              <w:bottom w:val="nil"/>
            </w:tcBorders>
            <w:shd w:val="clear" w:color="000000" w:fill="FFFFFF"/>
          </w:tcPr>
          <w:p w14:paraId="50D107BC" w14:textId="77777777" w:rsidR="002961DC" w:rsidRPr="00A95729" w:rsidRDefault="002961DC" w:rsidP="00E56366">
            <w:pPr>
              <w:spacing w:after="0" w:line="240" w:lineRule="auto"/>
              <w:jc w:val="center"/>
              <w:rPr>
                <w:rFonts w:eastAsia="Times New Roman"/>
                <w:color w:val="000000"/>
                <w:sz w:val="18"/>
                <w:szCs w:val="18"/>
              </w:rPr>
            </w:pPr>
          </w:p>
        </w:tc>
        <w:tc>
          <w:tcPr>
            <w:tcW w:w="541" w:type="dxa"/>
            <w:tcBorders>
              <w:top w:val="nil"/>
              <w:left w:val="nil"/>
              <w:bottom w:val="nil"/>
              <w:right w:val="single" w:sz="12" w:space="0" w:color="auto"/>
            </w:tcBorders>
            <w:shd w:val="clear" w:color="000000" w:fill="FFFFFF"/>
          </w:tcPr>
          <w:p w14:paraId="7E228B37" w14:textId="77777777" w:rsidR="002961DC" w:rsidRPr="00A95729" w:rsidRDefault="002961DC" w:rsidP="00E56366">
            <w:pPr>
              <w:spacing w:after="0" w:line="240" w:lineRule="auto"/>
              <w:jc w:val="center"/>
              <w:rPr>
                <w:rFonts w:eastAsia="Times New Roman"/>
                <w:color w:val="000000"/>
                <w:sz w:val="18"/>
                <w:szCs w:val="18"/>
              </w:rPr>
            </w:pPr>
          </w:p>
        </w:tc>
        <w:tc>
          <w:tcPr>
            <w:tcW w:w="539" w:type="dxa"/>
            <w:tcBorders>
              <w:top w:val="nil"/>
              <w:left w:val="single" w:sz="12" w:space="0" w:color="auto"/>
              <w:bottom w:val="nil"/>
              <w:right w:val="nil"/>
            </w:tcBorders>
            <w:shd w:val="clear" w:color="000000" w:fill="FFFFFF"/>
            <w:noWrap/>
            <w:vAlign w:val="center"/>
          </w:tcPr>
          <w:p w14:paraId="0E43A79B"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449" w:type="dxa"/>
            <w:tcBorders>
              <w:top w:val="nil"/>
              <w:left w:val="nil"/>
              <w:bottom w:val="nil"/>
              <w:right w:val="single" w:sz="4" w:space="0" w:color="auto"/>
            </w:tcBorders>
            <w:shd w:val="clear" w:color="000000" w:fill="FFFFFF"/>
            <w:noWrap/>
            <w:vAlign w:val="center"/>
          </w:tcPr>
          <w:p w14:paraId="5481AB11"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0D8C8924"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450" w:type="dxa"/>
            <w:tcBorders>
              <w:top w:val="nil"/>
              <w:left w:val="nil"/>
              <w:bottom w:val="nil"/>
              <w:right w:val="single" w:sz="4" w:space="0" w:color="auto"/>
            </w:tcBorders>
            <w:shd w:val="clear" w:color="000000" w:fill="FFFFFF"/>
            <w:noWrap/>
            <w:vAlign w:val="center"/>
          </w:tcPr>
          <w:p w14:paraId="6375D503"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3A79B100"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450" w:type="dxa"/>
            <w:tcBorders>
              <w:top w:val="nil"/>
              <w:left w:val="nil"/>
              <w:bottom w:val="nil"/>
              <w:right w:val="single" w:sz="4" w:space="0" w:color="auto"/>
            </w:tcBorders>
            <w:shd w:val="clear" w:color="000000" w:fill="FFFFFF"/>
            <w:noWrap/>
            <w:vAlign w:val="center"/>
          </w:tcPr>
          <w:p w14:paraId="69882FD4"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8" w:type="dxa"/>
            <w:tcBorders>
              <w:top w:val="nil"/>
              <w:left w:val="nil"/>
              <w:bottom w:val="nil"/>
              <w:right w:val="nil"/>
            </w:tcBorders>
            <w:shd w:val="clear" w:color="000000" w:fill="FFFFFF"/>
            <w:noWrap/>
            <w:vAlign w:val="center"/>
          </w:tcPr>
          <w:p w14:paraId="289FC843"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450" w:type="dxa"/>
            <w:tcBorders>
              <w:top w:val="nil"/>
              <w:left w:val="nil"/>
              <w:bottom w:val="nil"/>
              <w:right w:val="single" w:sz="4" w:space="0" w:color="auto"/>
            </w:tcBorders>
            <w:shd w:val="clear" w:color="000000" w:fill="FFFFFF"/>
            <w:noWrap/>
            <w:vAlign w:val="center"/>
          </w:tcPr>
          <w:p w14:paraId="14D26991"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67288E21"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450" w:type="dxa"/>
            <w:tcBorders>
              <w:top w:val="nil"/>
              <w:left w:val="nil"/>
              <w:bottom w:val="nil"/>
              <w:right w:val="single" w:sz="4" w:space="0" w:color="auto"/>
            </w:tcBorders>
            <w:shd w:val="clear" w:color="000000" w:fill="FFFFFF"/>
            <w:noWrap/>
            <w:vAlign w:val="center"/>
          </w:tcPr>
          <w:p w14:paraId="19E17982"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79FF2AD1"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450" w:type="dxa"/>
            <w:tcBorders>
              <w:top w:val="nil"/>
              <w:left w:val="nil"/>
              <w:bottom w:val="nil"/>
              <w:right w:val="single" w:sz="4" w:space="0" w:color="auto"/>
            </w:tcBorders>
            <w:shd w:val="clear" w:color="000000" w:fill="FFFFFF"/>
            <w:noWrap/>
            <w:vAlign w:val="center"/>
          </w:tcPr>
          <w:p w14:paraId="4D1A95C7"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0FF0C4E5"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454" w:type="dxa"/>
            <w:tcBorders>
              <w:top w:val="nil"/>
              <w:left w:val="nil"/>
              <w:bottom w:val="nil"/>
              <w:right w:val="single" w:sz="4" w:space="0" w:color="auto"/>
            </w:tcBorders>
            <w:shd w:val="clear" w:color="000000" w:fill="FFFFFF"/>
            <w:noWrap/>
            <w:vAlign w:val="center"/>
          </w:tcPr>
          <w:p w14:paraId="22BE3140"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75743698"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456" w:type="dxa"/>
            <w:tcBorders>
              <w:top w:val="nil"/>
              <w:left w:val="nil"/>
              <w:bottom w:val="nil"/>
              <w:right w:val="single" w:sz="12" w:space="0" w:color="auto"/>
            </w:tcBorders>
            <w:shd w:val="clear" w:color="000000" w:fill="FFFFFF"/>
            <w:noWrap/>
            <w:vAlign w:val="center"/>
          </w:tcPr>
          <w:p w14:paraId="065F56F7"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tcPr>
          <w:p w14:paraId="1297EB05" w14:textId="77777777" w:rsidR="002961DC" w:rsidRPr="00A95729" w:rsidRDefault="002961DC" w:rsidP="00E56366">
            <w:pPr>
              <w:spacing w:after="0" w:line="240" w:lineRule="auto"/>
              <w:jc w:val="center"/>
              <w:rPr>
                <w:color w:val="000000"/>
                <w:sz w:val="18"/>
                <w:szCs w:val="18"/>
              </w:rPr>
            </w:pPr>
          </w:p>
        </w:tc>
        <w:tc>
          <w:tcPr>
            <w:tcW w:w="540" w:type="dxa"/>
            <w:tcBorders>
              <w:top w:val="nil"/>
              <w:left w:val="nil"/>
              <w:bottom w:val="nil"/>
              <w:right w:val="single" w:sz="12" w:space="0" w:color="auto"/>
            </w:tcBorders>
            <w:shd w:val="clear" w:color="000000" w:fill="FFFFFF"/>
          </w:tcPr>
          <w:p w14:paraId="691FD583" w14:textId="77777777" w:rsidR="002961DC" w:rsidRPr="00A95729" w:rsidRDefault="002961DC" w:rsidP="00E56366">
            <w:pPr>
              <w:spacing w:after="0" w:line="240" w:lineRule="auto"/>
              <w:jc w:val="center"/>
              <w:rPr>
                <w:color w:val="000000"/>
                <w:sz w:val="18"/>
                <w:szCs w:val="18"/>
              </w:rPr>
            </w:pPr>
          </w:p>
        </w:tc>
        <w:tc>
          <w:tcPr>
            <w:tcW w:w="630" w:type="dxa"/>
            <w:tcBorders>
              <w:top w:val="nil"/>
              <w:left w:val="single" w:sz="12" w:space="0" w:color="auto"/>
              <w:bottom w:val="nil"/>
              <w:right w:val="nil"/>
            </w:tcBorders>
            <w:shd w:val="clear" w:color="000000" w:fill="FFFFFF"/>
          </w:tcPr>
          <w:p w14:paraId="054EF35C" w14:textId="77777777" w:rsidR="002961DC" w:rsidRPr="00A95729" w:rsidRDefault="002961DC" w:rsidP="00E56366">
            <w:pPr>
              <w:spacing w:after="0" w:line="240" w:lineRule="auto"/>
              <w:jc w:val="center"/>
              <w:rPr>
                <w:color w:val="000000"/>
                <w:sz w:val="18"/>
                <w:szCs w:val="18"/>
              </w:rPr>
            </w:pPr>
          </w:p>
        </w:tc>
        <w:tc>
          <w:tcPr>
            <w:tcW w:w="542" w:type="dxa"/>
            <w:tcBorders>
              <w:top w:val="nil"/>
              <w:left w:val="nil"/>
              <w:bottom w:val="nil"/>
              <w:right w:val="single" w:sz="12" w:space="0" w:color="auto"/>
            </w:tcBorders>
            <w:shd w:val="clear" w:color="000000" w:fill="FFFFFF"/>
          </w:tcPr>
          <w:p w14:paraId="40DAD20F" w14:textId="77777777" w:rsidR="002961DC" w:rsidRPr="00A95729" w:rsidRDefault="002961DC" w:rsidP="00E56366">
            <w:pPr>
              <w:spacing w:after="0" w:line="240" w:lineRule="auto"/>
              <w:jc w:val="center"/>
              <w:rPr>
                <w:color w:val="000000"/>
                <w:sz w:val="18"/>
                <w:szCs w:val="18"/>
              </w:rPr>
            </w:pPr>
          </w:p>
        </w:tc>
      </w:tr>
      <w:tr w:rsidR="002961DC" w:rsidRPr="00A95729" w14:paraId="67F2A992" w14:textId="77777777" w:rsidTr="00E56366">
        <w:trPr>
          <w:trHeight w:val="20"/>
          <w:jc w:val="center"/>
        </w:trPr>
        <w:tc>
          <w:tcPr>
            <w:tcW w:w="2411" w:type="dxa"/>
            <w:tcBorders>
              <w:top w:val="nil"/>
              <w:left w:val="single" w:sz="12" w:space="0" w:color="auto"/>
              <w:bottom w:val="nil"/>
              <w:right w:val="single" w:sz="12" w:space="0" w:color="auto"/>
            </w:tcBorders>
            <w:shd w:val="clear" w:color="000000" w:fill="FFFFFF"/>
            <w:noWrap/>
            <w:vAlign w:val="bottom"/>
          </w:tcPr>
          <w:p w14:paraId="54CF57CB" w14:textId="77777777" w:rsidR="002961DC" w:rsidRPr="00A95729" w:rsidRDefault="002961DC" w:rsidP="00E56366">
            <w:pPr>
              <w:spacing w:after="0" w:line="240" w:lineRule="auto"/>
              <w:rPr>
                <w:rFonts w:eastAsia="Times New Roman"/>
                <w:b/>
                <w:bCs/>
                <w:color w:val="000000"/>
                <w:sz w:val="18"/>
                <w:szCs w:val="18"/>
              </w:rPr>
            </w:pPr>
            <w:r w:rsidRPr="00A95729">
              <w:rPr>
                <w:rFonts w:eastAsia="Times New Roman"/>
                <w:color w:val="000000"/>
                <w:sz w:val="18"/>
                <w:szCs w:val="18"/>
              </w:rPr>
              <w:t xml:space="preserve">     Retired</w:t>
            </w:r>
          </w:p>
        </w:tc>
        <w:tc>
          <w:tcPr>
            <w:tcW w:w="537" w:type="dxa"/>
            <w:tcBorders>
              <w:top w:val="nil"/>
              <w:left w:val="single" w:sz="12" w:space="0" w:color="auto"/>
              <w:bottom w:val="nil"/>
            </w:tcBorders>
            <w:shd w:val="clear" w:color="000000" w:fill="FFFFFF"/>
            <w:vAlign w:val="center"/>
          </w:tcPr>
          <w:p w14:paraId="3167F56B"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541" w:type="dxa"/>
            <w:tcBorders>
              <w:top w:val="nil"/>
              <w:left w:val="nil"/>
              <w:bottom w:val="nil"/>
              <w:right w:val="single" w:sz="12" w:space="0" w:color="auto"/>
            </w:tcBorders>
            <w:shd w:val="clear" w:color="000000" w:fill="FFFFFF"/>
            <w:vAlign w:val="center"/>
          </w:tcPr>
          <w:p w14:paraId="7C3EC835"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39" w:type="dxa"/>
            <w:tcBorders>
              <w:top w:val="nil"/>
              <w:left w:val="single" w:sz="12" w:space="0" w:color="auto"/>
              <w:bottom w:val="nil"/>
              <w:right w:val="nil"/>
            </w:tcBorders>
            <w:shd w:val="clear" w:color="000000" w:fill="FFFFFF"/>
            <w:noWrap/>
            <w:vAlign w:val="center"/>
          </w:tcPr>
          <w:p w14:paraId="0F939E41"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49" w:type="dxa"/>
            <w:tcBorders>
              <w:top w:val="nil"/>
              <w:left w:val="nil"/>
              <w:bottom w:val="nil"/>
              <w:right w:val="single" w:sz="4" w:space="0" w:color="auto"/>
            </w:tcBorders>
            <w:shd w:val="clear" w:color="000000" w:fill="FFFFFF"/>
            <w:noWrap/>
            <w:vAlign w:val="center"/>
          </w:tcPr>
          <w:p w14:paraId="2D2AE6FA"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bottom"/>
          </w:tcPr>
          <w:p w14:paraId="61EBC39C"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-0.37</w:t>
            </w:r>
          </w:p>
        </w:tc>
        <w:tc>
          <w:tcPr>
            <w:tcW w:w="450" w:type="dxa"/>
            <w:tcBorders>
              <w:top w:val="nil"/>
              <w:left w:val="nil"/>
              <w:bottom w:val="nil"/>
              <w:right w:val="single" w:sz="4" w:space="0" w:color="auto"/>
            </w:tcBorders>
            <w:shd w:val="clear" w:color="000000" w:fill="FFFFFF"/>
            <w:noWrap/>
            <w:vAlign w:val="bottom"/>
          </w:tcPr>
          <w:p w14:paraId="2CBC19C1"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-3.16</w:t>
            </w:r>
          </w:p>
        </w:tc>
        <w:tc>
          <w:tcPr>
            <w:tcW w:w="540" w:type="dxa"/>
            <w:tcBorders>
              <w:top w:val="nil"/>
              <w:left w:val="nil"/>
              <w:bottom w:val="nil"/>
              <w:right w:val="nil"/>
            </w:tcBorders>
            <w:shd w:val="clear" w:color="000000" w:fill="FFFFFF"/>
            <w:noWrap/>
            <w:vAlign w:val="bottom"/>
          </w:tcPr>
          <w:p w14:paraId="4734D209"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-0.19</w:t>
            </w:r>
          </w:p>
        </w:tc>
        <w:tc>
          <w:tcPr>
            <w:tcW w:w="450" w:type="dxa"/>
            <w:tcBorders>
              <w:top w:val="nil"/>
              <w:left w:val="nil"/>
              <w:bottom w:val="nil"/>
              <w:right w:val="single" w:sz="4" w:space="0" w:color="auto"/>
            </w:tcBorders>
            <w:shd w:val="clear" w:color="000000" w:fill="FFFFFF"/>
            <w:noWrap/>
            <w:vAlign w:val="bottom"/>
          </w:tcPr>
          <w:p w14:paraId="506A83B4"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-1.61</w:t>
            </w:r>
          </w:p>
        </w:tc>
        <w:tc>
          <w:tcPr>
            <w:tcW w:w="548" w:type="dxa"/>
            <w:tcBorders>
              <w:top w:val="nil"/>
              <w:left w:val="nil"/>
              <w:bottom w:val="nil"/>
              <w:right w:val="nil"/>
            </w:tcBorders>
            <w:shd w:val="clear" w:color="000000" w:fill="FFFFFF"/>
            <w:noWrap/>
            <w:vAlign w:val="center"/>
          </w:tcPr>
          <w:p w14:paraId="214B6177"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tcPr>
          <w:p w14:paraId="63E6DA3C"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bottom"/>
          </w:tcPr>
          <w:p w14:paraId="2A4F1EFE"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-0.36</w:t>
            </w:r>
          </w:p>
        </w:tc>
        <w:tc>
          <w:tcPr>
            <w:tcW w:w="450" w:type="dxa"/>
            <w:tcBorders>
              <w:top w:val="nil"/>
              <w:left w:val="nil"/>
              <w:bottom w:val="nil"/>
              <w:right w:val="single" w:sz="4" w:space="0" w:color="auto"/>
            </w:tcBorders>
            <w:shd w:val="clear" w:color="000000" w:fill="FFFFFF"/>
            <w:noWrap/>
            <w:vAlign w:val="bottom"/>
          </w:tcPr>
          <w:p w14:paraId="3864BF08"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-4.51</w:t>
            </w:r>
          </w:p>
        </w:tc>
        <w:tc>
          <w:tcPr>
            <w:tcW w:w="540" w:type="dxa"/>
            <w:tcBorders>
              <w:top w:val="nil"/>
              <w:left w:val="nil"/>
              <w:bottom w:val="nil"/>
              <w:right w:val="nil"/>
            </w:tcBorders>
            <w:shd w:val="clear" w:color="000000" w:fill="FFFFFF"/>
            <w:noWrap/>
            <w:vAlign w:val="bottom"/>
          </w:tcPr>
          <w:p w14:paraId="0C0157B2"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0.32</w:t>
            </w:r>
          </w:p>
        </w:tc>
        <w:tc>
          <w:tcPr>
            <w:tcW w:w="450" w:type="dxa"/>
            <w:tcBorders>
              <w:top w:val="nil"/>
              <w:left w:val="nil"/>
              <w:bottom w:val="nil"/>
              <w:right w:val="single" w:sz="4" w:space="0" w:color="auto"/>
            </w:tcBorders>
            <w:shd w:val="clear" w:color="000000" w:fill="FFFFFF"/>
            <w:noWrap/>
            <w:vAlign w:val="bottom"/>
          </w:tcPr>
          <w:p w14:paraId="2A8E0D93"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3.48</w:t>
            </w:r>
          </w:p>
        </w:tc>
        <w:tc>
          <w:tcPr>
            <w:tcW w:w="540" w:type="dxa"/>
            <w:tcBorders>
              <w:top w:val="nil"/>
              <w:left w:val="nil"/>
              <w:bottom w:val="nil"/>
              <w:right w:val="nil"/>
            </w:tcBorders>
            <w:shd w:val="clear" w:color="000000" w:fill="FFFFFF"/>
            <w:noWrap/>
            <w:vAlign w:val="bottom"/>
          </w:tcPr>
          <w:p w14:paraId="26AB85F0"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-0.50</w:t>
            </w:r>
          </w:p>
        </w:tc>
        <w:tc>
          <w:tcPr>
            <w:tcW w:w="454" w:type="dxa"/>
            <w:tcBorders>
              <w:top w:val="nil"/>
              <w:left w:val="nil"/>
              <w:bottom w:val="nil"/>
              <w:right w:val="single" w:sz="4" w:space="0" w:color="auto"/>
            </w:tcBorders>
            <w:shd w:val="clear" w:color="000000" w:fill="FFFFFF"/>
            <w:noWrap/>
            <w:vAlign w:val="bottom"/>
          </w:tcPr>
          <w:p w14:paraId="1D3E113F"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-3.53</w:t>
            </w:r>
          </w:p>
        </w:tc>
        <w:tc>
          <w:tcPr>
            <w:tcW w:w="540" w:type="dxa"/>
            <w:tcBorders>
              <w:top w:val="nil"/>
              <w:left w:val="nil"/>
              <w:bottom w:val="nil"/>
              <w:right w:val="nil"/>
            </w:tcBorders>
            <w:shd w:val="clear" w:color="000000" w:fill="FFFFFF"/>
            <w:noWrap/>
            <w:vAlign w:val="center"/>
          </w:tcPr>
          <w:p w14:paraId="7128552E"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6" w:type="dxa"/>
            <w:tcBorders>
              <w:top w:val="nil"/>
              <w:left w:val="nil"/>
              <w:bottom w:val="nil"/>
              <w:right w:val="single" w:sz="12" w:space="0" w:color="auto"/>
            </w:tcBorders>
            <w:shd w:val="clear" w:color="000000" w:fill="FFFFFF"/>
            <w:noWrap/>
            <w:vAlign w:val="center"/>
          </w:tcPr>
          <w:p w14:paraId="3358C7DD"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vAlign w:val="center"/>
          </w:tcPr>
          <w:p w14:paraId="6FF83064" w14:textId="77777777" w:rsidR="002961DC" w:rsidRPr="00A95729" w:rsidRDefault="002961DC" w:rsidP="00E56366">
            <w:pPr>
              <w:spacing w:after="0" w:line="240" w:lineRule="auto"/>
              <w:jc w:val="center"/>
              <w:rPr>
                <w:color w:val="000000"/>
                <w:sz w:val="18"/>
                <w:szCs w:val="18"/>
              </w:rPr>
            </w:pPr>
            <w:r w:rsidRPr="00A95729">
              <w:rPr>
                <w:rFonts w:eastAsia="Times New Roman"/>
                <w:color w:val="000000"/>
                <w:sz w:val="18"/>
                <w:szCs w:val="18"/>
              </w:rPr>
              <w:t>--</w:t>
            </w:r>
          </w:p>
        </w:tc>
        <w:tc>
          <w:tcPr>
            <w:tcW w:w="540" w:type="dxa"/>
            <w:tcBorders>
              <w:top w:val="nil"/>
              <w:left w:val="nil"/>
              <w:bottom w:val="nil"/>
              <w:right w:val="single" w:sz="12" w:space="0" w:color="auto"/>
            </w:tcBorders>
            <w:shd w:val="clear" w:color="000000" w:fill="FFFFFF"/>
            <w:vAlign w:val="center"/>
          </w:tcPr>
          <w:p w14:paraId="1F6554A1" w14:textId="77777777" w:rsidR="002961DC" w:rsidRPr="00A95729" w:rsidRDefault="002961DC" w:rsidP="00E56366">
            <w:pPr>
              <w:spacing w:after="0" w:line="240" w:lineRule="auto"/>
              <w:jc w:val="center"/>
              <w:rPr>
                <w:color w:val="000000"/>
                <w:sz w:val="18"/>
                <w:szCs w:val="18"/>
              </w:rPr>
            </w:pPr>
            <w:r w:rsidRPr="00A95729">
              <w:rPr>
                <w:rFonts w:eastAsia="Times New Roman"/>
                <w:color w:val="000000"/>
                <w:sz w:val="18"/>
                <w:szCs w:val="18"/>
              </w:rPr>
              <w:t> </w:t>
            </w:r>
          </w:p>
        </w:tc>
        <w:tc>
          <w:tcPr>
            <w:tcW w:w="630" w:type="dxa"/>
            <w:tcBorders>
              <w:top w:val="nil"/>
              <w:left w:val="single" w:sz="12" w:space="0" w:color="auto"/>
              <w:bottom w:val="nil"/>
              <w:right w:val="nil"/>
            </w:tcBorders>
            <w:shd w:val="clear" w:color="000000" w:fill="FFFFFF"/>
            <w:vAlign w:val="bottom"/>
          </w:tcPr>
          <w:p w14:paraId="0D6C7856" w14:textId="77777777" w:rsidR="002961DC" w:rsidRPr="00A95729" w:rsidRDefault="002961DC" w:rsidP="00E56366">
            <w:pPr>
              <w:spacing w:after="0" w:line="240" w:lineRule="auto"/>
              <w:jc w:val="center"/>
              <w:rPr>
                <w:color w:val="000000"/>
                <w:sz w:val="18"/>
                <w:szCs w:val="18"/>
              </w:rPr>
            </w:pPr>
            <w:r w:rsidRPr="00A95729">
              <w:rPr>
                <w:color w:val="000000"/>
                <w:sz w:val="18"/>
                <w:szCs w:val="18"/>
              </w:rPr>
              <w:t>-0.32</w:t>
            </w:r>
          </w:p>
        </w:tc>
        <w:tc>
          <w:tcPr>
            <w:tcW w:w="542" w:type="dxa"/>
            <w:tcBorders>
              <w:top w:val="nil"/>
              <w:left w:val="nil"/>
              <w:bottom w:val="nil"/>
              <w:right w:val="single" w:sz="12" w:space="0" w:color="auto"/>
            </w:tcBorders>
            <w:shd w:val="clear" w:color="000000" w:fill="FFFFFF"/>
            <w:vAlign w:val="bottom"/>
          </w:tcPr>
          <w:p w14:paraId="15513889" w14:textId="77777777" w:rsidR="002961DC" w:rsidRPr="00A95729" w:rsidRDefault="002961DC" w:rsidP="00E56366">
            <w:pPr>
              <w:spacing w:after="0" w:line="240" w:lineRule="auto"/>
              <w:jc w:val="center"/>
              <w:rPr>
                <w:color w:val="000000"/>
                <w:sz w:val="18"/>
                <w:szCs w:val="18"/>
              </w:rPr>
            </w:pPr>
            <w:r w:rsidRPr="00A95729">
              <w:rPr>
                <w:color w:val="000000"/>
                <w:sz w:val="18"/>
                <w:szCs w:val="18"/>
              </w:rPr>
              <w:t>-7.59</w:t>
            </w:r>
          </w:p>
        </w:tc>
      </w:tr>
      <w:tr w:rsidR="002961DC" w:rsidRPr="00A95729" w14:paraId="2E3B83CC" w14:textId="77777777" w:rsidTr="00E56366">
        <w:trPr>
          <w:trHeight w:val="20"/>
          <w:jc w:val="center"/>
        </w:trPr>
        <w:tc>
          <w:tcPr>
            <w:tcW w:w="2411" w:type="dxa"/>
            <w:tcBorders>
              <w:top w:val="nil"/>
              <w:left w:val="single" w:sz="12" w:space="0" w:color="auto"/>
              <w:bottom w:val="nil"/>
              <w:right w:val="single" w:sz="12" w:space="0" w:color="auto"/>
            </w:tcBorders>
            <w:shd w:val="clear" w:color="000000" w:fill="FFFFFF"/>
            <w:noWrap/>
            <w:vAlign w:val="bottom"/>
          </w:tcPr>
          <w:p w14:paraId="63604305" w14:textId="77777777" w:rsidR="002961DC" w:rsidRPr="00A95729" w:rsidRDefault="002961DC" w:rsidP="00E56366">
            <w:pPr>
              <w:spacing w:after="0" w:line="240" w:lineRule="auto"/>
              <w:rPr>
                <w:rFonts w:eastAsia="Times New Roman"/>
                <w:b/>
                <w:bCs/>
                <w:color w:val="000000"/>
                <w:sz w:val="18"/>
                <w:szCs w:val="18"/>
              </w:rPr>
            </w:pPr>
            <w:r w:rsidRPr="00A95729">
              <w:rPr>
                <w:rFonts w:eastAsia="Times New Roman"/>
                <w:color w:val="000000"/>
                <w:sz w:val="18"/>
                <w:szCs w:val="18"/>
              </w:rPr>
              <w:t xml:space="preserve">     Unemployed</w:t>
            </w:r>
          </w:p>
        </w:tc>
        <w:tc>
          <w:tcPr>
            <w:tcW w:w="537" w:type="dxa"/>
            <w:tcBorders>
              <w:top w:val="nil"/>
              <w:left w:val="single" w:sz="12" w:space="0" w:color="auto"/>
              <w:bottom w:val="nil"/>
            </w:tcBorders>
            <w:shd w:val="clear" w:color="000000" w:fill="FFFFFF"/>
            <w:vAlign w:val="center"/>
          </w:tcPr>
          <w:p w14:paraId="7EF7EFC1"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541" w:type="dxa"/>
            <w:tcBorders>
              <w:top w:val="nil"/>
              <w:left w:val="nil"/>
              <w:bottom w:val="nil"/>
              <w:right w:val="single" w:sz="12" w:space="0" w:color="auto"/>
            </w:tcBorders>
            <w:shd w:val="clear" w:color="000000" w:fill="FFFFFF"/>
            <w:vAlign w:val="center"/>
          </w:tcPr>
          <w:p w14:paraId="08B5B042"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39" w:type="dxa"/>
            <w:tcBorders>
              <w:top w:val="nil"/>
              <w:left w:val="single" w:sz="12" w:space="0" w:color="auto"/>
              <w:bottom w:val="nil"/>
              <w:right w:val="nil"/>
            </w:tcBorders>
            <w:shd w:val="clear" w:color="000000" w:fill="FFFFFF"/>
            <w:noWrap/>
            <w:vAlign w:val="center"/>
          </w:tcPr>
          <w:p w14:paraId="3D37923E"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49" w:type="dxa"/>
            <w:tcBorders>
              <w:top w:val="nil"/>
              <w:left w:val="nil"/>
              <w:bottom w:val="nil"/>
              <w:right w:val="single" w:sz="4" w:space="0" w:color="auto"/>
            </w:tcBorders>
            <w:shd w:val="clear" w:color="000000" w:fill="FFFFFF"/>
            <w:noWrap/>
            <w:vAlign w:val="center"/>
          </w:tcPr>
          <w:p w14:paraId="17F22C31"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40961B35"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tcPr>
          <w:p w14:paraId="599E9E10"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3522B58A"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tcPr>
          <w:p w14:paraId="0F9B2DED"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8" w:type="dxa"/>
            <w:tcBorders>
              <w:top w:val="nil"/>
              <w:left w:val="nil"/>
              <w:bottom w:val="nil"/>
              <w:right w:val="nil"/>
            </w:tcBorders>
            <w:shd w:val="clear" w:color="000000" w:fill="FFFFFF"/>
            <w:noWrap/>
            <w:vAlign w:val="center"/>
          </w:tcPr>
          <w:p w14:paraId="4F3D98D1"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tcPr>
          <w:p w14:paraId="091C5ADA"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1FD61744"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tcPr>
          <w:p w14:paraId="73475CC6"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13BF064D"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tcPr>
          <w:p w14:paraId="226180E1"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bottom"/>
          </w:tcPr>
          <w:p w14:paraId="119A0777"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-0.24</w:t>
            </w:r>
          </w:p>
        </w:tc>
        <w:tc>
          <w:tcPr>
            <w:tcW w:w="454" w:type="dxa"/>
            <w:tcBorders>
              <w:top w:val="nil"/>
              <w:left w:val="nil"/>
              <w:bottom w:val="nil"/>
              <w:right w:val="single" w:sz="4" w:space="0" w:color="auto"/>
            </w:tcBorders>
            <w:shd w:val="clear" w:color="000000" w:fill="FFFFFF"/>
            <w:noWrap/>
            <w:vAlign w:val="bottom"/>
          </w:tcPr>
          <w:p w14:paraId="5D1D1DE5"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-1.80</w:t>
            </w:r>
          </w:p>
        </w:tc>
        <w:tc>
          <w:tcPr>
            <w:tcW w:w="540" w:type="dxa"/>
            <w:tcBorders>
              <w:top w:val="nil"/>
              <w:left w:val="nil"/>
              <w:bottom w:val="nil"/>
              <w:right w:val="nil"/>
            </w:tcBorders>
            <w:shd w:val="clear" w:color="000000" w:fill="FFFFFF"/>
            <w:noWrap/>
            <w:vAlign w:val="center"/>
          </w:tcPr>
          <w:p w14:paraId="4110C6D6"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6" w:type="dxa"/>
            <w:tcBorders>
              <w:top w:val="nil"/>
              <w:left w:val="nil"/>
              <w:bottom w:val="nil"/>
              <w:right w:val="single" w:sz="12" w:space="0" w:color="auto"/>
            </w:tcBorders>
            <w:shd w:val="clear" w:color="000000" w:fill="FFFFFF"/>
            <w:noWrap/>
            <w:vAlign w:val="center"/>
          </w:tcPr>
          <w:p w14:paraId="3BA8E81E"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vAlign w:val="center"/>
          </w:tcPr>
          <w:p w14:paraId="59DDA1B6" w14:textId="77777777" w:rsidR="002961DC" w:rsidRPr="00A95729" w:rsidRDefault="002961DC" w:rsidP="00E56366">
            <w:pPr>
              <w:spacing w:after="0" w:line="240" w:lineRule="auto"/>
              <w:jc w:val="center"/>
              <w:rPr>
                <w:color w:val="000000"/>
                <w:sz w:val="18"/>
                <w:szCs w:val="18"/>
              </w:rPr>
            </w:pPr>
            <w:r w:rsidRPr="00A95729">
              <w:rPr>
                <w:rFonts w:eastAsia="Times New Roman"/>
                <w:color w:val="000000"/>
                <w:sz w:val="18"/>
                <w:szCs w:val="18"/>
              </w:rPr>
              <w:t>--</w:t>
            </w:r>
          </w:p>
        </w:tc>
        <w:tc>
          <w:tcPr>
            <w:tcW w:w="540" w:type="dxa"/>
            <w:tcBorders>
              <w:top w:val="nil"/>
              <w:left w:val="nil"/>
              <w:bottom w:val="nil"/>
              <w:right w:val="single" w:sz="12" w:space="0" w:color="auto"/>
            </w:tcBorders>
            <w:shd w:val="clear" w:color="000000" w:fill="FFFFFF"/>
            <w:vAlign w:val="center"/>
          </w:tcPr>
          <w:p w14:paraId="2691A2A7" w14:textId="77777777" w:rsidR="002961DC" w:rsidRPr="00A95729" w:rsidRDefault="002961DC" w:rsidP="00E56366">
            <w:pPr>
              <w:spacing w:after="0" w:line="240" w:lineRule="auto"/>
              <w:jc w:val="center"/>
              <w:rPr>
                <w:color w:val="000000"/>
                <w:sz w:val="18"/>
                <w:szCs w:val="18"/>
              </w:rPr>
            </w:pPr>
            <w:r w:rsidRPr="00A95729">
              <w:rPr>
                <w:rFonts w:eastAsia="Times New Roman"/>
                <w:color w:val="000000"/>
                <w:sz w:val="18"/>
                <w:szCs w:val="18"/>
              </w:rPr>
              <w:t> </w:t>
            </w:r>
          </w:p>
        </w:tc>
        <w:tc>
          <w:tcPr>
            <w:tcW w:w="630" w:type="dxa"/>
            <w:tcBorders>
              <w:top w:val="nil"/>
              <w:left w:val="single" w:sz="12" w:space="0" w:color="auto"/>
              <w:bottom w:val="nil"/>
              <w:right w:val="nil"/>
            </w:tcBorders>
            <w:shd w:val="clear" w:color="000000" w:fill="FFFFFF"/>
            <w:vAlign w:val="bottom"/>
          </w:tcPr>
          <w:p w14:paraId="3C19AAD9" w14:textId="77777777" w:rsidR="002961DC" w:rsidRPr="00A95729" w:rsidRDefault="002961DC" w:rsidP="00E56366">
            <w:pPr>
              <w:spacing w:after="0" w:line="240" w:lineRule="auto"/>
              <w:jc w:val="center"/>
              <w:rPr>
                <w:color w:val="000000"/>
                <w:sz w:val="18"/>
                <w:szCs w:val="18"/>
              </w:rPr>
            </w:pPr>
            <w:r w:rsidRPr="00A95729">
              <w:rPr>
                <w:color w:val="000000"/>
                <w:sz w:val="18"/>
                <w:szCs w:val="18"/>
              </w:rPr>
              <w:t>-0.46</w:t>
            </w:r>
          </w:p>
        </w:tc>
        <w:tc>
          <w:tcPr>
            <w:tcW w:w="542" w:type="dxa"/>
            <w:tcBorders>
              <w:top w:val="nil"/>
              <w:left w:val="nil"/>
              <w:bottom w:val="nil"/>
              <w:right w:val="single" w:sz="12" w:space="0" w:color="auto"/>
            </w:tcBorders>
            <w:shd w:val="clear" w:color="000000" w:fill="FFFFFF"/>
            <w:vAlign w:val="bottom"/>
          </w:tcPr>
          <w:p w14:paraId="3FBC19EE" w14:textId="77777777" w:rsidR="002961DC" w:rsidRPr="00A95729" w:rsidRDefault="002961DC" w:rsidP="00E56366">
            <w:pPr>
              <w:spacing w:after="0" w:line="240" w:lineRule="auto"/>
              <w:jc w:val="center"/>
              <w:rPr>
                <w:color w:val="000000"/>
                <w:sz w:val="18"/>
                <w:szCs w:val="18"/>
              </w:rPr>
            </w:pPr>
            <w:r w:rsidRPr="00A95729">
              <w:rPr>
                <w:color w:val="000000"/>
                <w:sz w:val="18"/>
                <w:szCs w:val="18"/>
              </w:rPr>
              <w:t>-14.30</w:t>
            </w:r>
          </w:p>
        </w:tc>
      </w:tr>
      <w:tr w:rsidR="002961DC" w:rsidRPr="00A95729" w14:paraId="3FA2A7E3" w14:textId="77777777" w:rsidTr="00E56366">
        <w:trPr>
          <w:trHeight w:val="20"/>
          <w:jc w:val="center"/>
        </w:trPr>
        <w:tc>
          <w:tcPr>
            <w:tcW w:w="2411" w:type="dxa"/>
            <w:tcBorders>
              <w:top w:val="nil"/>
              <w:left w:val="single" w:sz="12" w:space="0" w:color="auto"/>
              <w:bottom w:val="nil"/>
              <w:right w:val="single" w:sz="12" w:space="0" w:color="auto"/>
            </w:tcBorders>
            <w:shd w:val="clear" w:color="000000" w:fill="FFFFFF"/>
            <w:noWrap/>
            <w:vAlign w:val="bottom"/>
          </w:tcPr>
          <w:p w14:paraId="3C3BF5C3" w14:textId="77777777" w:rsidR="002961DC" w:rsidRPr="00A95729" w:rsidRDefault="002961DC" w:rsidP="00E56366">
            <w:pPr>
              <w:spacing w:after="0" w:line="240" w:lineRule="auto"/>
              <w:rPr>
                <w:rFonts w:eastAsia="Times New Roman"/>
                <w:b/>
                <w:bCs/>
                <w:color w:val="000000"/>
                <w:sz w:val="18"/>
                <w:szCs w:val="18"/>
              </w:rPr>
            </w:pPr>
            <w:r w:rsidRPr="00A95729">
              <w:rPr>
                <w:rFonts w:eastAsia="Times New Roman"/>
                <w:color w:val="000000"/>
                <w:sz w:val="18"/>
                <w:szCs w:val="18"/>
              </w:rPr>
              <w:t>Race (White)</w:t>
            </w:r>
          </w:p>
        </w:tc>
        <w:tc>
          <w:tcPr>
            <w:tcW w:w="537" w:type="dxa"/>
            <w:tcBorders>
              <w:top w:val="nil"/>
              <w:left w:val="single" w:sz="12" w:space="0" w:color="auto"/>
              <w:bottom w:val="nil"/>
            </w:tcBorders>
            <w:shd w:val="clear" w:color="000000" w:fill="FFFFFF"/>
          </w:tcPr>
          <w:p w14:paraId="63500CB5" w14:textId="77777777" w:rsidR="002961DC" w:rsidRPr="00A95729" w:rsidRDefault="002961DC" w:rsidP="00E56366">
            <w:pPr>
              <w:spacing w:after="0" w:line="240" w:lineRule="auto"/>
              <w:jc w:val="center"/>
              <w:rPr>
                <w:rFonts w:eastAsia="Times New Roman"/>
                <w:color w:val="000000"/>
                <w:sz w:val="18"/>
                <w:szCs w:val="18"/>
              </w:rPr>
            </w:pPr>
          </w:p>
        </w:tc>
        <w:tc>
          <w:tcPr>
            <w:tcW w:w="541" w:type="dxa"/>
            <w:tcBorders>
              <w:top w:val="nil"/>
              <w:left w:val="nil"/>
              <w:bottom w:val="nil"/>
              <w:right w:val="single" w:sz="12" w:space="0" w:color="auto"/>
            </w:tcBorders>
            <w:shd w:val="clear" w:color="000000" w:fill="FFFFFF"/>
          </w:tcPr>
          <w:p w14:paraId="110477EA" w14:textId="77777777" w:rsidR="002961DC" w:rsidRPr="00A95729" w:rsidRDefault="002961DC" w:rsidP="00E56366">
            <w:pPr>
              <w:spacing w:after="0" w:line="240" w:lineRule="auto"/>
              <w:jc w:val="center"/>
              <w:rPr>
                <w:rFonts w:eastAsia="Times New Roman"/>
                <w:color w:val="000000"/>
                <w:sz w:val="18"/>
                <w:szCs w:val="18"/>
              </w:rPr>
            </w:pPr>
          </w:p>
        </w:tc>
        <w:tc>
          <w:tcPr>
            <w:tcW w:w="539" w:type="dxa"/>
            <w:tcBorders>
              <w:top w:val="nil"/>
              <w:left w:val="single" w:sz="12" w:space="0" w:color="auto"/>
              <w:bottom w:val="nil"/>
              <w:right w:val="nil"/>
            </w:tcBorders>
            <w:shd w:val="clear" w:color="000000" w:fill="FFFFFF"/>
            <w:noWrap/>
            <w:vAlign w:val="center"/>
          </w:tcPr>
          <w:p w14:paraId="7378FEA8"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449" w:type="dxa"/>
            <w:tcBorders>
              <w:top w:val="nil"/>
              <w:left w:val="nil"/>
              <w:bottom w:val="nil"/>
              <w:right w:val="single" w:sz="4" w:space="0" w:color="auto"/>
            </w:tcBorders>
            <w:shd w:val="clear" w:color="000000" w:fill="FFFFFF"/>
            <w:noWrap/>
            <w:vAlign w:val="center"/>
          </w:tcPr>
          <w:p w14:paraId="03CE6B25"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20F12483"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450" w:type="dxa"/>
            <w:tcBorders>
              <w:top w:val="nil"/>
              <w:left w:val="nil"/>
              <w:bottom w:val="nil"/>
              <w:right w:val="single" w:sz="4" w:space="0" w:color="auto"/>
            </w:tcBorders>
            <w:shd w:val="clear" w:color="000000" w:fill="FFFFFF"/>
            <w:noWrap/>
            <w:vAlign w:val="center"/>
          </w:tcPr>
          <w:p w14:paraId="5E1286A9"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07C4EFC5"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450" w:type="dxa"/>
            <w:tcBorders>
              <w:top w:val="nil"/>
              <w:left w:val="nil"/>
              <w:bottom w:val="nil"/>
              <w:right w:val="single" w:sz="4" w:space="0" w:color="auto"/>
            </w:tcBorders>
            <w:shd w:val="clear" w:color="000000" w:fill="FFFFFF"/>
            <w:noWrap/>
            <w:vAlign w:val="center"/>
          </w:tcPr>
          <w:p w14:paraId="292EFB09"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8" w:type="dxa"/>
            <w:tcBorders>
              <w:top w:val="nil"/>
              <w:left w:val="nil"/>
              <w:bottom w:val="nil"/>
              <w:right w:val="nil"/>
            </w:tcBorders>
            <w:shd w:val="clear" w:color="000000" w:fill="FFFFFF"/>
            <w:noWrap/>
            <w:vAlign w:val="center"/>
          </w:tcPr>
          <w:p w14:paraId="0A615107"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450" w:type="dxa"/>
            <w:tcBorders>
              <w:top w:val="nil"/>
              <w:left w:val="nil"/>
              <w:bottom w:val="nil"/>
              <w:right w:val="single" w:sz="4" w:space="0" w:color="auto"/>
            </w:tcBorders>
            <w:shd w:val="clear" w:color="000000" w:fill="FFFFFF"/>
            <w:noWrap/>
            <w:vAlign w:val="center"/>
          </w:tcPr>
          <w:p w14:paraId="526E3B54"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69E6F1C9"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450" w:type="dxa"/>
            <w:tcBorders>
              <w:top w:val="nil"/>
              <w:left w:val="nil"/>
              <w:bottom w:val="nil"/>
              <w:right w:val="single" w:sz="4" w:space="0" w:color="auto"/>
            </w:tcBorders>
            <w:shd w:val="clear" w:color="000000" w:fill="FFFFFF"/>
            <w:noWrap/>
            <w:vAlign w:val="center"/>
          </w:tcPr>
          <w:p w14:paraId="5BD697EA"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528EDB6D"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450" w:type="dxa"/>
            <w:tcBorders>
              <w:top w:val="nil"/>
              <w:left w:val="nil"/>
              <w:bottom w:val="nil"/>
              <w:right w:val="single" w:sz="4" w:space="0" w:color="auto"/>
            </w:tcBorders>
            <w:shd w:val="clear" w:color="000000" w:fill="FFFFFF"/>
            <w:noWrap/>
            <w:vAlign w:val="center"/>
          </w:tcPr>
          <w:p w14:paraId="4D84C242"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791D39C3"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454" w:type="dxa"/>
            <w:tcBorders>
              <w:top w:val="nil"/>
              <w:left w:val="nil"/>
              <w:bottom w:val="nil"/>
              <w:right w:val="single" w:sz="4" w:space="0" w:color="auto"/>
            </w:tcBorders>
            <w:shd w:val="clear" w:color="000000" w:fill="FFFFFF"/>
            <w:noWrap/>
            <w:vAlign w:val="center"/>
          </w:tcPr>
          <w:p w14:paraId="713DDB3C"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6D106E20"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456" w:type="dxa"/>
            <w:tcBorders>
              <w:top w:val="nil"/>
              <w:left w:val="nil"/>
              <w:bottom w:val="nil"/>
              <w:right w:val="single" w:sz="12" w:space="0" w:color="auto"/>
            </w:tcBorders>
            <w:shd w:val="clear" w:color="000000" w:fill="FFFFFF"/>
            <w:noWrap/>
            <w:vAlign w:val="center"/>
          </w:tcPr>
          <w:p w14:paraId="2A5DC008"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tcPr>
          <w:p w14:paraId="699CB6DD" w14:textId="77777777" w:rsidR="002961DC" w:rsidRPr="00A95729" w:rsidRDefault="002961DC" w:rsidP="00E56366">
            <w:pPr>
              <w:spacing w:after="0" w:line="240" w:lineRule="auto"/>
              <w:jc w:val="center"/>
              <w:rPr>
                <w:color w:val="000000"/>
                <w:sz w:val="18"/>
                <w:szCs w:val="18"/>
              </w:rPr>
            </w:pPr>
          </w:p>
        </w:tc>
        <w:tc>
          <w:tcPr>
            <w:tcW w:w="540" w:type="dxa"/>
            <w:tcBorders>
              <w:top w:val="nil"/>
              <w:left w:val="nil"/>
              <w:bottom w:val="nil"/>
              <w:right w:val="single" w:sz="12" w:space="0" w:color="auto"/>
            </w:tcBorders>
            <w:shd w:val="clear" w:color="000000" w:fill="FFFFFF"/>
          </w:tcPr>
          <w:p w14:paraId="3C2032D3" w14:textId="77777777" w:rsidR="002961DC" w:rsidRPr="00A95729" w:rsidRDefault="002961DC" w:rsidP="00E56366">
            <w:pPr>
              <w:spacing w:after="0" w:line="240" w:lineRule="auto"/>
              <w:jc w:val="center"/>
              <w:rPr>
                <w:color w:val="000000"/>
                <w:sz w:val="18"/>
                <w:szCs w:val="18"/>
              </w:rPr>
            </w:pPr>
          </w:p>
        </w:tc>
        <w:tc>
          <w:tcPr>
            <w:tcW w:w="630" w:type="dxa"/>
            <w:tcBorders>
              <w:top w:val="nil"/>
              <w:left w:val="single" w:sz="12" w:space="0" w:color="auto"/>
              <w:bottom w:val="nil"/>
              <w:right w:val="nil"/>
            </w:tcBorders>
            <w:shd w:val="clear" w:color="000000" w:fill="FFFFFF"/>
          </w:tcPr>
          <w:p w14:paraId="3A4A89C4" w14:textId="77777777" w:rsidR="002961DC" w:rsidRPr="00A95729" w:rsidRDefault="002961DC" w:rsidP="00E56366">
            <w:pPr>
              <w:spacing w:after="0" w:line="240" w:lineRule="auto"/>
              <w:jc w:val="center"/>
              <w:rPr>
                <w:color w:val="000000"/>
                <w:sz w:val="18"/>
                <w:szCs w:val="18"/>
              </w:rPr>
            </w:pPr>
          </w:p>
        </w:tc>
        <w:tc>
          <w:tcPr>
            <w:tcW w:w="542" w:type="dxa"/>
            <w:tcBorders>
              <w:top w:val="nil"/>
              <w:left w:val="nil"/>
              <w:bottom w:val="nil"/>
              <w:right w:val="single" w:sz="12" w:space="0" w:color="auto"/>
            </w:tcBorders>
            <w:shd w:val="clear" w:color="000000" w:fill="FFFFFF"/>
          </w:tcPr>
          <w:p w14:paraId="5893F81F" w14:textId="77777777" w:rsidR="002961DC" w:rsidRPr="00A95729" w:rsidRDefault="002961DC" w:rsidP="00E56366">
            <w:pPr>
              <w:spacing w:after="0" w:line="240" w:lineRule="auto"/>
              <w:jc w:val="center"/>
              <w:rPr>
                <w:color w:val="000000"/>
                <w:sz w:val="18"/>
                <w:szCs w:val="18"/>
              </w:rPr>
            </w:pPr>
          </w:p>
        </w:tc>
      </w:tr>
      <w:tr w:rsidR="002961DC" w:rsidRPr="00A95729" w14:paraId="600B6938" w14:textId="77777777" w:rsidTr="00E56366">
        <w:trPr>
          <w:trHeight w:val="20"/>
          <w:jc w:val="center"/>
        </w:trPr>
        <w:tc>
          <w:tcPr>
            <w:tcW w:w="2411" w:type="dxa"/>
            <w:tcBorders>
              <w:top w:val="nil"/>
              <w:left w:val="single" w:sz="12" w:space="0" w:color="auto"/>
              <w:bottom w:val="nil"/>
              <w:right w:val="single" w:sz="12" w:space="0" w:color="auto"/>
            </w:tcBorders>
            <w:shd w:val="clear" w:color="000000" w:fill="FFFFFF"/>
            <w:noWrap/>
            <w:vAlign w:val="bottom"/>
          </w:tcPr>
          <w:p w14:paraId="5E0F7526" w14:textId="77777777" w:rsidR="002961DC" w:rsidRPr="00A95729" w:rsidRDefault="002961DC" w:rsidP="00E56366">
            <w:pPr>
              <w:spacing w:after="0" w:line="240" w:lineRule="auto"/>
              <w:rPr>
                <w:rFonts w:eastAsia="Times New Roman"/>
                <w:b/>
                <w:bCs/>
                <w:color w:val="000000"/>
                <w:sz w:val="18"/>
                <w:szCs w:val="18"/>
              </w:rPr>
            </w:pPr>
            <w:r w:rsidRPr="00A95729">
              <w:rPr>
                <w:rFonts w:eastAsia="Times New Roman"/>
                <w:color w:val="000000"/>
                <w:sz w:val="18"/>
                <w:szCs w:val="18"/>
              </w:rPr>
              <w:t xml:space="preserve">      Black</w:t>
            </w:r>
          </w:p>
        </w:tc>
        <w:tc>
          <w:tcPr>
            <w:tcW w:w="537" w:type="dxa"/>
            <w:tcBorders>
              <w:top w:val="nil"/>
              <w:left w:val="single" w:sz="12" w:space="0" w:color="auto"/>
              <w:bottom w:val="nil"/>
            </w:tcBorders>
            <w:shd w:val="clear" w:color="000000" w:fill="FFFFFF"/>
            <w:vAlign w:val="bottom"/>
          </w:tcPr>
          <w:p w14:paraId="120E09CD"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0.24</w:t>
            </w:r>
          </w:p>
        </w:tc>
        <w:tc>
          <w:tcPr>
            <w:tcW w:w="541" w:type="dxa"/>
            <w:tcBorders>
              <w:top w:val="nil"/>
              <w:left w:val="nil"/>
              <w:bottom w:val="nil"/>
              <w:right w:val="single" w:sz="12" w:space="0" w:color="auto"/>
            </w:tcBorders>
            <w:shd w:val="clear" w:color="000000" w:fill="FFFFFF"/>
            <w:vAlign w:val="bottom"/>
          </w:tcPr>
          <w:p w14:paraId="3F9AAC87"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4.60</w:t>
            </w:r>
          </w:p>
        </w:tc>
        <w:tc>
          <w:tcPr>
            <w:tcW w:w="539" w:type="dxa"/>
            <w:tcBorders>
              <w:top w:val="nil"/>
              <w:left w:val="single" w:sz="12" w:space="0" w:color="auto"/>
              <w:bottom w:val="nil"/>
              <w:right w:val="nil"/>
            </w:tcBorders>
            <w:shd w:val="clear" w:color="000000" w:fill="FFFFFF"/>
            <w:noWrap/>
            <w:vAlign w:val="center"/>
          </w:tcPr>
          <w:p w14:paraId="2BD99395"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49" w:type="dxa"/>
            <w:tcBorders>
              <w:top w:val="nil"/>
              <w:left w:val="nil"/>
              <w:bottom w:val="nil"/>
              <w:right w:val="single" w:sz="4" w:space="0" w:color="auto"/>
            </w:tcBorders>
            <w:shd w:val="clear" w:color="000000" w:fill="FFFFFF"/>
            <w:noWrap/>
            <w:vAlign w:val="center"/>
          </w:tcPr>
          <w:p w14:paraId="54FF7B1E"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68230C62"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tcPr>
          <w:p w14:paraId="239EE751"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bottom"/>
          </w:tcPr>
          <w:p w14:paraId="221CCE7E"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0.37</w:t>
            </w:r>
          </w:p>
        </w:tc>
        <w:tc>
          <w:tcPr>
            <w:tcW w:w="450" w:type="dxa"/>
            <w:tcBorders>
              <w:top w:val="nil"/>
              <w:left w:val="nil"/>
              <w:bottom w:val="nil"/>
              <w:right w:val="single" w:sz="4" w:space="0" w:color="auto"/>
            </w:tcBorders>
            <w:shd w:val="clear" w:color="000000" w:fill="FFFFFF"/>
            <w:noWrap/>
            <w:vAlign w:val="bottom"/>
          </w:tcPr>
          <w:p w14:paraId="462A76DD"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3.23</w:t>
            </w:r>
          </w:p>
        </w:tc>
        <w:tc>
          <w:tcPr>
            <w:tcW w:w="548" w:type="dxa"/>
            <w:tcBorders>
              <w:top w:val="nil"/>
              <w:left w:val="nil"/>
              <w:bottom w:val="nil"/>
              <w:right w:val="nil"/>
            </w:tcBorders>
            <w:shd w:val="clear" w:color="000000" w:fill="FFFFFF"/>
            <w:noWrap/>
            <w:vAlign w:val="bottom"/>
          </w:tcPr>
          <w:p w14:paraId="661ED3E0"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0.28</w:t>
            </w:r>
          </w:p>
        </w:tc>
        <w:tc>
          <w:tcPr>
            <w:tcW w:w="450" w:type="dxa"/>
            <w:tcBorders>
              <w:top w:val="nil"/>
              <w:left w:val="nil"/>
              <w:bottom w:val="nil"/>
              <w:right w:val="single" w:sz="4" w:space="0" w:color="auto"/>
            </w:tcBorders>
            <w:shd w:val="clear" w:color="000000" w:fill="FFFFFF"/>
            <w:noWrap/>
            <w:vAlign w:val="bottom"/>
          </w:tcPr>
          <w:p w14:paraId="47B31F2D"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2.10</w:t>
            </w:r>
          </w:p>
        </w:tc>
        <w:tc>
          <w:tcPr>
            <w:tcW w:w="540" w:type="dxa"/>
            <w:tcBorders>
              <w:top w:val="nil"/>
              <w:left w:val="nil"/>
              <w:bottom w:val="nil"/>
              <w:right w:val="nil"/>
            </w:tcBorders>
            <w:shd w:val="clear" w:color="000000" w:fill="FFFFFF"/>
            <w:noWrap/>
            <w:vAlign w:val="center"/>
          </w:tcPr>
          <w:p w14:paraId="3DBFE348"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tcPr>
          <w:p w14:paraId="057F0425"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bottom"/>
          </w:tcPr>
          <w:p w14:paraId="74CEC1C0"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-0.23</w:t>
            </w:r>
          </w:p>
        </w:tc>
        <w:tc>
          <w:tcPr>
            <w:tcW w:w="450" w:type="dxa"/>
            <w:tcBorders>
              <w:top w:val="nil"/>
              <w:left w:val="nil"/>
              <w:bottom w:val="nil"/>
              <w:right w:val="single" w:sz="4" w:space="0" w:color="auto"/>
            </w:tcBorders>
            <w:shd w:val="clear" w:color="000000" w:fill="FFFFFF"/>
            <w:noWrap/>
            <w:vAlign w:val="bottom"/>
          </w:tcPr>
          <w:p w14:paraId="3AEBD970"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-1.79</w:t>
            </w:r>
          </w:p>
        </w:tc>
        <w:tc>
          <w:tcPr>
            <w:tcW w:w="540" w:type="dxa"/>
            <w:tcBorders>
              <w:top w:val="nil"/>
              <w:left w:val="nil"/>
              <w:bottom w:val="nil"/>
              <w:right w:val="nil"/>
            </w:tcBorders>
            <w:shd w:val="clear" w:color="000000" w:fill="FFFFFF"/>
            <w:noWrap/>
            <w:vAlign w:val="center"/>
          </w:tcPr>
          <w:p w14:paraId="05016CBE"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4" w:type="dxa"/>
            <w:tcBorders>
              <w:top w:val="nil"/>
              <w:left w:val="nil"/>
              <w:bottom w:val="nil"/>
              <w:right w:val="single" w:sz="4" w:space="0" w:color="auto"/>
            </w:tcBorders>
            <w:shd w:val="clear" w:color="000000" w:fill="FFFFFF"/>
            <w:noWrap/>
            <w:vAlign w:val="center"/>
          </w:tcPr>
          <w:p w14:paraId="22B55A57"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bottom"/>
          </w:tcPr>
          <w:p w14:paraId="2257809E"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0.34</w:t>
            </w:r>
          </w:p>
        </w:tc>
        <w:tc>
          <w:tcPr>
            <w:tcW w:w="456" w:type="dxa"/>
            <w:tcBorders>
              <w:top w:val="nil"/>
              <w:left w:val="nil"/>
              <w:bottom w:val="nil"/>
              <w:right w:val="single" w:sz="12" w:space="0" w:color="auto"/>
            </w:tcBorders>
            <w:shd w:val="clear" w:color="000000" w:fill="FFFFFF"/>
            <w:noWrap/>
            <w:vAlign w:val="bottom"/>
          </w:tcPr>
          <w:p w14:paraId="11EDEC0B"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3.68</w:t>
            </w:r>
          </w:p>
        </w:tc>
        <w:tc>
          <w:tcPr>
            <w:tcW w:w="540" w:type="dxa"/>
            <w:tcBorders>
              <w:top w:val="nil"/>
              <w:left w:val="nil"/>
              <w:bottom w:val="nil"/>
              <w:right w:val="nil"/>
            </w:tcBorders>
            <w:shd w:val="clear" w:color="000000" w:fill="FFFFFF"/>
            <w:vAlign w:val="center"/>
          </w:tcPr>
          <w:p w14:paraId="6F850FC6" w14:textId="77777777" w:rsidR="002961DC" w:rsidRPr="00A95729" w:rsidRDefault="002961DC" w:rsidP="00E56366">
            <w:pPr>
              <w:spacing w:after="0" w:line="240" w:lineRule="auto"/>
              <w:jc w:val="center"/>
              <w:rPr>
                <w:color w:val="000000"/>
                <w:sz w:val="18"/>
                <w:szCs w:val="18"/>
              </w:rPr>
            </w:pPr>
            <w:r w:rsidRPr="00A95729">
              <w:rPr>
                <w:rFonts w:eastAsia="Times New Roman"/>
                <w:color w:val="000000"/>
                <w:sz w:val="18"/>
                <w:szCs w:val="18"/>
              </w:rPr>
              <w:t>--</w:t>
            </w:r>
          </w:p>
        </w:tc>
        <w:tc>
          <w:tcPr>
            <w:tcW w:w="540" w:type="dxa"/>
            <w:tcBorders>
              <w:top w:val="nil"/>
              <w:left w:val="nil"/>
              <w:bottom w:val="nil"/>
              <w:right w:val="single" w:sz="12" w:space="0" w:color="auto"/>
            </w:tcBorders>
            <w:shd w:val="clear" w:color="000000" w:fill="FFFFFF"/>
            <w:vAlign w:val="center"/>
          </w:tcPr>
          <w:p w14:paraId="5EBB1E75" w14:textId="77777777" w:rsidR="002961DC" w:rsidRPr="00A95729" w:rsidRDefault="002961DC" w:rsidP="00E56366">
            <w:pPr>
              <w:spacing w:after="0" w:line="240" w:lineRule="auto"/>
              <w:jc w:val="center"/>
              <w:rPr>
                <w:color w:val="000000"/>
                <w:sz w:val="18"/>
                <w:szCs w:val="18"/>
              </w:rPr>
            </w:pPr>
            <w:r w:rsidRPr="00A95729">
              <w:rPr>
                <w:rFonts w:eastAsia="Times New Roman"/>
                <w:color w:val="000000"/>
                <w:sz w:val="18"/>
                <w:szCs w:val="18"/>
              </w:rPr>
              <w:t> </w:t>
            </w:r>
          </w:p>
        </w:tc>
        <w:tc>
          <w:tcPr>
            <w:tcW w:w="630" w:type="dxa"/>
            <w:tcBorders>
              <w:top w:val="nil"/>
              <w:left w:val="single" w:sz="12" w:space="0" w:color="auto"/>
              <w:bottom w:val="nil"/>
              <w:right w:val="nil"/>
            </w:tcBorders>
            <w:shd w:val="clear" w:color="000000" w:fill="FFFFFF"/>
            <w:vAlign w:val="bottom"/>
          </w:tcPr>
          <w:p w14:paraId="4B8C4E56" w14:textId="77777777" w:rsidR="002961DC" w:rsidRPr="00A95729" w:rsidRDefault="002961DC" w:rsidP="00E56366">
            <w:pPr>
              <w:spacing w:after="0" w:line="240" w:lineRule="auto"/>
              <w:jc w:val="center"/>
              <w:rPr>
                <w:color w:val="000000"/>
                <w:sz w:val="18"/>
                <w:szCs w:val="18"/>
              </w:rPr>
            </w:pPr>
            <w:r w:rsidRPr="00A95729">
              <w:rPr>
                <w:color w:val="000000"/>
                <w:sz w:val="18"/>
                <w:szCs w:val="18"/>
              </w:rPr>
              <w:t>-0.17</w:t>
            </w:r>
          </w:p>
        </w:tc>
        <w:tc>
          <w:tcPr>
            <w:tcW w:w="542" w:type="dxa"/>
            <w:tcBorders>
              <w:top w:val="nil"/>
              <w:left w:val="nil"/>
              <w:bottom w:val="nil"/>
              <w:right w:val="single" w:sz="12" w:space="0" w:color="auto"/>
            </w:tcBorders>
            <w:shd w:val="clear" w:color="000000" w:fill="FFFFFF"/>
            <w:vAlign w:val="bottom"/>
          </w:tcPr>
          <w:p w14:paraId="60A61F4B" w14:textId="77777777" w:rsidR="002961DC" w:rsidRPr="00A95729" w:rsidRDefault="002961DC" w:rsidP="00E56366">
            <w:pPr>
              <w:spacing w:after="0" w:line="240" w:lineRule="auto"/>
              <w:jc w:val="center"/>
              <w:rPr>
                <w:color w:val="000000"/>
                <w:sz w:val="18"/>
                <w:szCs w:val="18"/>
              </w:rPr>
            </w:pPr>
            <w:r w:rsidRPr="00A95729">
              <w:rPr>
                <w:color w:val="000000"/>
                <w:sz w:val="18"/>
                <w:szCs w:val="18"/>
              </w:rPr>
              <w:t>-4.40</w:t>
            </w:r>
          </w:p>
        </w:tc>
      </w:tr>
      <w:tr w:rsidR="002961DC" w:rsidRPr="00A95729" w14:paraId="37E59D07" w14:textId="77777777" w:rsidTr="00E56366">
        <w:trPr>
          <w:trHeight w:val="20"/>
          <w:jc w:val="center"/>
        </w:trPr>
        <w:tc>
          <w:tcPr>
            <w:tcW w:w="2411" w:type="dxa"/>
            <w:tcBorders>
              <w:top w:val="nil"/>
              <w:left w:val="single" w:sz="12" w:space="0" w:color="auto"/>
              <w:bottom w:val="nil"/>
              <w:right w:val="single" w:sz="12" w:space="0" w:color="auto"/>
            </w:tcBorders>
            <w:shd w:val="clear" w:color="000000" w:fill="FFFFFF"/>
            <w:noWrap/>
            <w:vAlign w:val="bottom"/>
          </w:tcPr>
          <w:p w14:paraId="30D0758B" w14:textId="77777777" w:rsidR="002961DC" w:rsidRPr="00A95729" w:rsidRDefault="002961DC" w:rsidP="00E56366">
            <w:pPr>
              <w:spacing w:after="0" w:line="240" w:lineRule="auto"/>
              <w:rPr>
                <w:rFonts w:eastAsia="Times New Roman"/>
                <w:b/>
                <w:bCs/>
                <w:color w:val="000000"/>
                <w:sz w:val="18"/>
                <w:szCs w:val="18"/>
              </w:rPr>
            </w:pPr>
            <w:r w:rsidRPr="00A95729">
              <w:rPr>
                <w:rFonts w:eastAsia="Times New Roman"/>
                <w:color w:val="000000"/>
                <w:sz w:val="18"/>
                <w:szCs w:val="18"/>
              </w:rPr>
              <w:t xml:space="preserve">     Asian</w:t>
            </w:r>
          </w:p>
        </w:tc>
        <w:tc>
          <w:tcPr>
            <w:tcW w:w="537" w:type="dxa"/>
            <w:tcBorders>
              <w:top w:val="nil"/>
              <w:left w:val="single" w:sz="12" w:space="0" w:color="auto"/>
              <w:bottom w:val="nil"/>
            </w:tcBorders>
            <w:shd w:val="clear" w:color="000000" w:fill="FFFFFF"/>
            <w:vAlign w:val="bottom"/>
          </w:tcPr>
          <w:p w14:paraId="483A1410"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0.20</w:t>
            </w:r>
          </w:p>
        </w:tc>
        <w:tc>
          <w:tcPr>
            <w:tcW w:w="541" w:type="dxa"/>
            <w:tcBorders>
              <w:top w:val="nil"/>
              <w:left w:val="nil"/>
              <w:bottom w:val="nil"/>
              <w:right w:val="single" w:sz="12" w:space="0" w:color="auto"/>
            </w:tcBorders>
            <w:shd w:val="clear" w:color="000000" w:fill="FFFFFF"/>
            <w:vAlign w:val="bottom"/>
          </w:tcPr>
          <w:p w14:paraId="772076FC"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3.58</w:t>
            </w:r>
          </w:p>
        </w:tc>
        <w:tc>
          <w:tcPr>
            <w:tcW w:w="539" w:type="dxa"/>
            <w:tcBorders>
              <w:top w:val="nil"/>
              <w:left w:val="single" w:sz="12" w:space="0" w:color="auto"/>
              <w:bottom w:val="nil"/>
              <w:right w:val="nil"/>
            </w:tcBorders>
            <w:shd w:val="clear" w:color="000000" w:fill="FFFFFF"/>
            <w:noWrap/>
            <w:vAlign w:val="center"/>
          </w:tcPr>
          <w:p w14:paraId="3381A532"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49" w:type="dxa"/>
            <w:tcBorders>
              <w:top w:val="nil"/>
              <w:left w:val="nil"/>
              <w:bottom w:val="nil"/>
              <w:right w:val="single" w:sz="4" w:space="0" w:color="auto"/>
            </w:tcBorders>
            <w:shd w:val="clear" w:color="000000" w:fill="FFFFFF"/>
            <w:noWrap/>
            <w:vAlign w:val="center"/>
          </w:tcPr>
          <w:p w14:paraId="0FAB4E8D" w14:textId="77777777" w:rsidR="002961DC" w:rsidRPr="00A95729" w:rsidRDefault="002961DC" w:rsidP="00E56366">
            <w:pPr>
              <w:spacing w:after="0" w:line="240" w:lineRule="auto"/>
              <w:jc w:val="center"/>
              <w:rPr>
                <w:rFonts w:eastAsia="Times New Roman"/>
                <w:color w:val="000000"/>
                <w:sz w:val="18"/>
                <w:szCs w:val="18"/>
              </w:rPr>
            </w:pPr>
          </w:p>
        </w:tc>
        <w:tc>
          <w:tcPr>
            <w:tcW w:w="540" w:type="dxa"/>
            <w:tcBorders>
              <w:top w:val="nil"/>
              <w:left w:val="nil"/>
              <w:bottom w:val="nil"/>
              <w:right w:val="nil"/>
            </w:tcBorders>
            <w:shd w:val="clear" w:color="000000" w:fill="FFFFFF"/>
            <w:noWrap/>
            <w:vAlign w:val="center"/>
          </w:tcPr>
          <w:p w14:paraId="39F13377"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tcPr>
          <w:p w14:paraId="75503791"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bottom"/>
          </w:tcPr>
          <w:p w14:paraId="21709FA0"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0.23</w:t>
            </w:r>
          </w:p>
        </w:tc>
        <w:tc>
          <w:tcPr>
            <w:tcW w:w="450" w:type="dxa"/>
            <w:tcBorders>
              <w:top w:val="nil"/>
              <w:left w:val="nil"/>
              <w:bottom w:val="nil"/>
              <w:right w:val="single" w:sz="4" w:space="0" w:color="auto"/>
            </w:tcBorders>
            <w:shd w:val="clear" w:color="000000" w:fill="FFFFFF"/>
            <w:noWrap/>
            <w:vAlign w:val="bottom"/>
          </w:tcPr>
          <w:p w14:paraId="78A890F7"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1.57</w:t>
            </w:r>
          </w:p>
        </w:tc>
        <w:tc>
          <w:tcPr>
            <w:tcW w:w="548" w:type="dxa"/>
            <w:tcBorders>
              <w:top w:val="nil"/>
              <w:left w:val="nil"/>
              <w:bottom w:val="nil"/>
              <w:right w:val="nil"/>
            </w:tcBorders>
            <w:shd w:val="clear" w:color="000000" w:fill="FFFFFF"/>
            <w:noWrap/>
            <w:vAlign w:val="bottom"/>
          </w:tcPr>
          <w:p w14:paraId="75CE5DBF"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0.52</w:t>
            </w:r>
          </w:p>
        </w:tc>
        <w:tc>
          <w:tcPr>
            <w:tcW w:w="450" w:type="dxa"/>
            <w:tcBorders>
              <w:top w:val="nil"/>
              <w:left w:val="nil"/>
              <w:bottom w:val="nil"/>
              <w:right w:val="single" w:sz="4" w:space="0" w:color="auto"/>
            </w:tcBorders>
            <w:shd w:val="clear" w:color="000000" w:fill="FFFFFF"/>
            <w:noWrap/>
            <w:vAlign w:val="bottom"/>
          </w:tcPr>
          <w:p w14:paraId="08EF58B5"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3.64</w:t>
            </w:r>
          </w:p>
        </w:tc>
        <w:tc>
          <w:tcPr>
            <w:tcW w:w="540" w:type="dxa"/>
            <w:tcBorders>
              <w:top w:val="nil"/>
              <w:left w:val="nil"/>
              <w:bottom w:val="nil"/>
              <w:right w:val="nil"/>
            </w:tcBorders>
            <w:shd w:val="clear" w:color="000000" w:fill="FFFFFF"/>
            <w:noWrap/>
            <w:vAlign w:val="bottom"/>
          </w:tcPr>
          <w:p w14:paraId="612AD605"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-0.29</w:t>
            </w:r>
          </w:p>
        </w:tc>
        <w:tc>
          <w:tcPr>
            <w:tcW w:w="450" w:type="dxa"/>
            <w:tcBorders>
              <w:top w:val="nil"/>
              <w:left w:val="nil"/>
              <w:bottom w:val="nil"/>
              <w:right w:val="single" w:sz="4" w:space="0" w:color="auto"/>
            </w:tcBorders>
            <w:shd w:val="clear" w:color="000000" w:fill="FFFFFF"/>
            <w:noWrap/>
            <w:vAlign w:val="bottom"/>
          </w:tcPr>
          <w:p w14:paraId="4361557C"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-1.82</w:t>
            </w:r>
          </w:p>
        </w:tc>
        <w:tc>
          <w:tcPr>
            <w:tcW w:w="540" w:type="dxa"/>
            <w:tcBorders>
              <w:top w:val="nil"/>
              <w:left w:val="nil"/>
              <w:bottom w:val="nil"/>
              <w:right w:val="nil"/>
            </w:tcBorders>
            <w:shd w:val="clear" w:color="000000" w:fill="FFFFFF"/>
            <w:noWrap/>
            <w:vAlign w:val="center"/>
          </w:tcPr>
          <w:p w14:paraId="08193D75"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tcPr>
          <w:p w14:paraId="4B5768F3"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73621C00"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4" w:type="dxa"/>
            <w:tcBorders>
              <w:top w:val="nil"/>
              <w:left w:val="nil"/>
              <w:bottom w:val="nil"/>
              <w:right w:val="single" w:sz="4" w:space="0" w:color="auto"/>
            </w:tcBorders>
            <w:shd w:val="clear" w:color="000000" w:fill="FFFFFF"/>
            <w:noWrap/>
            <w:vAlign w:val="center"/>
          </w:tcPr>
          <w:p w14:paraId="15D91128"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bottom"/>
          </w:tcPr>
          <w:p w14:paraId="4373E766"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0.41</w:t>
            </w:r>
          </w:p>
        </w:tc>
        <w:tc>
          <w:tcPr>
            <w:tcW w:w="456" w:type="dxa"/>
            <w:tcBorders>
              <w:top w:val="nil"/>
              <w:left w:val="nil"/>
              <w:bottom w:val="nil"/>
              <w:right w:val="single" w:sz="12" w:space="0" w:color="auto"/>
            </w:tcBorders>
            <w:shd w:val="clear" w:color="000000" w:fill="FFFFFF"/>
            <w:noWrap/>
            <w:vAlign w:val="bottom"/>
          </w:tcPr>
          <w:p w14:paraId="508112EA"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3.72</w:t>
            </w:r>
          </w:p>
        </w:tc>
        <w:tc>
          <w:tcPr>
            <w:tcW w:w="540" w:type="dxa"/>
            <w:tcBorders>
              <w:top w:val="nil"/>
              <w:left w:val="nil"/>
              <w:bottom w:val="nil"/>
              <w:right w:val="nil"/>
            </w:tcBorders>
            <w:shd w:val="clear" w:color="000000" w:fill="FFFFFF"/>
            <w:vAlign w:val="center"/>
          </w:tcPr>
          <w:p w14:paraId="02BF7334" w14:textId="77777777" w:rsidR="002961DC" w:rsidRPr="00A95729" w:rsidRDefault="002961DC" w:rsidP="00E56366">
            <w:pPr>
              <w:spacing w:after="0" w:line="240" w:lineRule="auto"/>
              <w:jc w:val="center"/>
              <w:rPr>
                <w:color w:val="000000"/>
                <w:sz w:val="18"/>
                <w:szCs w:val="18"/>
              </w:rPr>
            </w:pPr>
            <w:r w:rsidRPr="00A95729">
              <w:rPr>
                <w:rFonts w:eastAsia="Times New Roman"/>
                <w:color w:val="000000"/>
                <w:sz w:val="18"/>
                <w:szCs w:val="18"/>
              </w:rPr>
              <w:t>--</w:t>
            </w:r>
          </w:p>
        </w:tc>
        <w:tc>
          <w:tcPr>
            <w:tcW w:w="540" w:type="dxa"/>
            <w:tcBorders>
              <w:top w:val="nil"/>
              <w:left w:val="nil"/>
              <w:bottom w:val="nil"/>
              <w:right w:val="single" w:sz="12" w:space="0" w:color="auto"/>
            </w:tcBorders>
            <w:shd w:val="clear" w:color="000000" w:fill="FFFFFF"/>
            <w:vAlign w:val="center"/>
          </w:tcPr>
          <w:p w14:paraId="05B33D5A" w14:textId="77777777" w:rsidR="002961DC" w:rsidRPr="00A95729" w:rsidRDefault="002961DC" w:rsidP="00E56366">
            <w:pPr>
              <w:spacing w:after="0" w:line="240" w:lineRule="auto"/>
              <w:jc w:val="center"/>
              <w:rPr>
                <w:color w:val="000000"/>
                <w:sz w:val="18"/>
                <w:szCs w:val="18"/>
              </w:rPr>
            </w:pPr>
            <w:r w:rsidRPr="00A95729">
              <w:rPr>
                <w:rFonts w:eastAsia="Times New Roman"/>
                <w:color w:val="000000"/>
                <w:sz w:val="18"/>
                <w:szCs w:val="18"/>
              </w:rPr>
              <w:t> </w:t>
            </w:r>
          </w:p>
        </w:tc>
        <w:tc>
          <w:tcPr>
            <w:tcW w:w="630" w:type="dxa"/>
            <w:tcBorders>
              <w:top w:val="nil"/>
              <w:left w:val="single" w:sz="12" w:space="0" w:color="auto"/>
              <w:bottom w:val="nil"/>
              <w:right w:val="nil"/>
            </w:tcBorders>
            <w:shd w:val="clear" w:color="000000" w:fill="FFFFFF"/>
            <w:vAlign w:val="bottom"/>
          </w:tcPr>
          <w:p w14:paraId="484566A9" w14:textId="77777777" w:rsidR="002961DC" w:rsidRPr="00A95729" w:rsidRDefault="002961DC" w:rsidP="00E56366">
            <w:pPr>
              <w:spacing w:after="0" w:line="240" w:lineRule="auto"/>
              <w:jc w:val="center"/>
              <w:rPr>
                <w:color w:val="000000"/>
                <w:sz w:val="18"/>
                <w:szCs w:val="18"/>
              </w:rPr>
            </w:pPr>
            <w:r w:rsidRPr="00A95729">
              <w:rPr>
                <w:color w:val="000000"/>
                <w:sz w:val="18"/>
                <w:szCs w:val="18"/>
              </w:rPr>
              <w:t>-0.24</w:t>
            </w:r>
          </w:p>
        </w:tc>
        <w:tc>
          <w:tcPr>
            <w:tcW w:w="542" w:type="dxa"/>
            <w:tcBorders>
              <w:top w:val="nil"/>
              <w:left w:val="nil"/>
              <w:bottom w:val="nil"/>
              <w:right w:val="single" w:sz="12" w:space="0" w:color="auto"/>
            </w:tcBorders>
            <w:shd w:val="clear" w:color="000000" w:fill="FFFFFF"/>
            <w:vAlign w:val="bottom"/>
          </w:tcPr>
          <w:p w14:paraId="29803E5F" w14:textId="77777777" w:rsidR="002961DC" w:rsidRPr="00A95729" w:rsidRDefault="002961DC" w:rsidP="00E56366">
            <w:pPr>
              <w:spacing w:after="0" w:line="240" w:lineRule="auto"/>
              <w:jc w:val="center"/>
              <w:rPr>
                <w:color w:val="000000"/>
                <w:sz w:val="18"/>
                <w:szCs w:val="18"/>
              </w:rPr>
            </w:pPr>
            <w:r w:rsidRPr="00A95729">
              <w:rPr>
                <w:color w:val="000000"/>
                <w:sz w:val="18"/>
                <w:szCs w:val="18"/>
              </w:rPr>
              <w:t>-5.60</w:t>
            </w:r>
          </w:p>
        </w:tc>
      </w:tr>
      <w:tr w:rsidR="002961DC" w:rsidRPr="00A95729" w14:paraId="43E00FC4" w14:textId="77777777" w:rsidTr="00E56366">
        <w:trPr>
          <w:trHeight w:val="20"/>
          <w:jc w:val="center"/>
        </w:trPr>
        <w:tc>
          <w:tcPr>
            <w:tcW w:w="2411" w:type="dxa"/>
            <w:tcBorders>
              <w:top w:val="nil"/>
              <w:left w:val="single" w:sz="12" w:space="0" w:color="auto"/>
              <w:bottom w:val="nil"/>
              <w:right w:val="single" w:sz="12" w:space="0" w:color="auto"/>
            </w:tcBorders>
            <w:shd w:val="clear" w:color="000000" w:fill="FFFFFF"/>
            <w:noWrap/>
            <w:vAlign w:val="bottom"/>
          </w:tcPr>
          <w:p w14:paraId="7EC5D933" w14:textId="77777777" w:rsidR="002961DC" w:rsidRPr="00A95729" w:rsidRDefault="002961DC" w:rsidP="00E56366">
            <w:pPr>
              <w:spacing w:after="0" w:line="240" w:lineRule="auto"/>
              <w:rPr>
                <w:rFonts w:eastAsia="Times New Roman"/>
                <w:b/>
                <w:bCs/>
                <w:color w:val="000000"/>
                <w:sz w:val="18"/>
                <w:szCs w:val="18"/>
              </w:rPr>
            </w:pPr>
            <w:r w:rsidRPr="00A95729">
              <w:rPr>
                <w:rFonts w:eastAsia="Times New Roman"/>
                <w:color w:val="000000"/>
                <w:sz w:val="18"/>
                <w:szCs w:val="18"/>
              </w:rPr>
              <w:t xml:space="preserve">     Other</w:t>
            </w:r>
          </w:p>
        </w:tc>
        <w:tc>
          <w:tcPr>
            <w:tcW w:w="537" w:type="dxa"/>
            <w:tcBorders>
              <w:top w:val="nil"/>
              <w:left w:val="single" w:sz="12" w:space="0" w:color="auto"/>
              <w:bottom w:val="nil"/>
            </w:tcBorders>
            <w:shd w:val="clear" w:color="000000" w:fill="FFFFFF"/>
            <w:vAlign w:val="bottom"/>
          </w:tcPr>
          <w:p w14:paraId="072A7A8F"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0.15</w:t>
            </w:r>
          </w:p>
        </w:tc>
        <w:tc>
          <w:tcPr>
            <w:tcW w:w="541" w:type="dxa"/>
            <w:tcBorders>
              <w:top w:val="nil"/>
              <w:left w:val="nil"/>
              <w:bottom w:val="nil"/>
              <w:right w:val="single" w:sz="12" w:space="0" w:color="auto"/>
            </w:tcBorders>
            <w:shd w:val="clear" w:color="000000" w:fill="FFFFFF"/>
            <w:vAlign w:val="bottom"/>
          </w:tcPr>
          <w:p w14:paraId="03AC6B56"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2.18</w:t>
            </w:r>
          </w:p>
        </w:tc>
        <w:tc>
          <w:tcPr>
            <w:tcW w:w="539" w:type="dxa"/>
            <w:tcBorders>
              <w:top w:val="nil"/>
              <w:left w:val="single" w:sz="12" w:space="0" w:color="auto"/>
              <w:bottom w:val="nil"/>
              <w:right w:val="nil"/>
            </w:tcBorders>
            <w:shd w:val="clear" w:color="000000" w:fill="FFFFFF"/>
            <w:noWrap/>
            <w:vAlign w:val="bottom"/>
          </w:tcPr>
          <w:p w14:paraId="089E7C3E"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0.54</w:t>
            </w:r>
          </w:p>
        </w:tc>
        <w:tc>
          <w:tcPr>
            <w:tcW w:w="449" w:type="dxa"/>
            <w:tcBorders>
              <w:top w:val="nil"/>
              <w:left w:val="nil"/>
              <w:bottom w:val="nil"/>
              <w:right w:val="single" w:sz="4" w:space="0" w:color="auto"/>
            </w:tcBorders>
            <w:shd w:val="clear" w:color="000000" w:fill="FFFFFF"/>
            <w:noWrap/>
            <w:vAlign w:val="bottom"/>
          </w:tcPr>
          <w:p w14:paraId="4310FA44"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3.93</w:t>
            </w:r>
          </w:p>
        </w:tc>
        <w:tc>
          <w:tcPr>
            <w:tcW w:w="540" w:type="dxa"/>
            <w:tcBorders>
              <w:top w:val="nil"/>
              <w:left w:val="nil"/>
              <w:bottom w:val="nil"/>
              <w:right w:val="nil"/>
            </w:tcBorders>
            <w:shd w:val="clear" w:color="000000" w:fill="FFFFFF"/>
            <w:noWrap/>
            <w:vAlign w:val="bottom"/>
          </w:tcPr>
          <w:p w14:paraId="7D5DCED4"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0.35</w:t>
            </w:r>
          </w:p>
        </w:tc>
        <w:tc>
          <w:tcPr>
            <w:tcW w:w="450" w:type="dxa"/>
            <w:tcBorders>
              <w:top w:val="nil"/>
              <w:left w:val="nil"/>
              <w:bottom w:val="nil"/>
              <w:right w:val="single" w:sz="4" w:space="0" w:color="auto"/>
            </w:tcBorders>
            <w:shd w:val="clear" w:color="000000" w:fill="FFFFFF"/>
            <w:noWrap/>
            <w:vAlign w:val="bottom"/>
          </w:tcPr>
          <w:p w14:paraId="12D489D6"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2.26</w:t>
            </w:r>
          </w:p>
        </w:tc>
        <w:tc>
          <w:tcPr>
            <w:tcW w:w="540" w:type="dxa"/>
            <w:tcBorders>
              <w:top w:val="nil"/>
              <w:left w:val="nil"/>
              <w:bottom w:val="nil"/>
              <w:right w:val="nil"/>
            </w:tcBorders>
            <w:shd w:val="clear" w:color="000000" w:fill="FFFFFF"/>
            <w:noWrap/>
            <w:vAlign w:val="bottom"/>
          </w:tcPr>
          <w:p w14:paraId="7EB8A317"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0.24</w:t>
            </w:r>
          </w:p>
        </w:tc>
        <w:tc>
          <w:tcPr>
            <w:tcW w:w="450" w:type="dxa"/>
            <w:tcBorders>
              <w:top w:val="nil"/>
              <w:left w:val="nil"/>
              <w:bottom w:val="nil"/>
              <w:right w:val="single" w:sz="4" w:space="0" w:color="auto"/>
            </w:tcBorders>
            <w:shd w:val="clear" w:color="000000" w:fill="FFFFFF"/>
            <w:noWrap/>
            <w:vAlign w:val="bottom"/>
          </w:tcPr>
          <w:p w14:paraId="0C55AD15"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1.53</w:t>
            </w:r>
          </w:p>
        </w:tc>
        <w:tc>
          <w:tcPr>
            <w:tcW w:w="548" w:type="dxa"/>
            <w:tcBorders>
              <w:top w:val="nil"/>
              <w:left w:val="nil"/>
              <w:bottom w:val="nil"/>
              <w:right w:val="nil"/>
            </w:tcBorders>
            <w:shd w:val="clear" w:color="000000" w:fill="FFFFFF"/>
            <w:noWrap/>
            <w:vAlign w:val="bottom"/>
          </w:tcPr>
          <w:p w14:paraId="4DDDBEB1"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0.29</w:t>
            </w:r>
          </w:p>
        </w:tc>
        <w:tc>
          <w:tcPr>
            <w:tcW w:w="450" w:type="dxa"/>
            <w:tcBorders>
              <w:top w:val="nil"/>
              <w:left w:val="nil"/>
              <w:bottom w:val="nil"/>
              <w:right w:val="single" w:sz="4" w:space="0" w:color="auto"/>
            </w:tcBorders>
            <w:shd w:val="clear" w:color="000000" w:fill="FFFFFF"/>
            <w:noWrap/>
            <w:vAlign w:val="bottom"/>
          </w:tcPr>
          <w:p w14:paraId="4EE971C1"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1.65</w:t>
            </w:r>
          </w:p>
        </w:tc>
        <w:tc>
          <w:tcPr>
            <w:tcW w:w="540" w:type="dxa"/>
            <w:tcBorders>
              <w:top w:val="nil"/>
              <w:left w:val="nil"/>
              <w:bottom w:val="nil"/>
              <w:right w:val="nil"/>
            </w:tcBorders>
            <w:shd w:val="clear" w:color="000000" w:fill="FFFFFF"/>
            <w:noWrap/>
            <w:vAlign w:val="bottom"/>
          </w:tcPr>
          <w:p w14:paraId="6CBDD0B4"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-0.31</w:t>
            </w:r>
          </w:p>
        </w:tc>
        <w:tc>
          <w:tcPr>
            <w:tcW w:w="450" w:type="dxa"/>
            <w:tcBorders>
              <w:top w:val="nil"/>
              <w:left w:val="nil"/>
              <w:bottom w:val="nil"/>
              <w:right w:val="single" w:sz="4" w:space="0" w:color="auto"/>
            </w:tcBorders>
            <w:shd w:val="clear" w:color="000000" w:fill="FFFFFF"/>
            <w:noWrap/>
            <w:vAlign w:val="bottom"/>
          </w:tcPr>
          <w:p w14:paraId="48FC7031"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-1.93</w:t>
            </w:r>
          </w:p>
        </w:tc>
        <w:tc>
          <w:tcPr>
            <w:tcW w:w="540" w:type="dxa"/>
            <w:tcBorders>
              <w:top w:val="nil"/>
              <w:left w:val="nil"/>
              <w:bottom w:val="nil"/>
              <w:right w:val="nil"/>
            </w:tcBorders>
            <w:shd w:val="clear" w:color="000000" w:fill="FFFFFF"/>
            <w:noWrap/>
            <w:vAlign w:val="center"/>
          </w:tcPr>
          <w:p w14:paraId="1768E9BC"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tcPr>
          <w:p w14:paraId="2EDB9449"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38D476D5"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4" w:type="dxa"/>
            <w:tcBorders>
              <w:top w:val="nil"/>
              <w:left w:val="nil"/>
              <w:bottom w:val="nil"/>
              <w:right w:val="single" w:sz="4" w:space="0" w:color="auto"/>
            </w:tcBorders>
            <w:shd w:val="clear" w:color="000000" w:fill="FFFFFF"/>
            <w:noWrap/>
            <w:vAlign w:val="center"/>
          </w:tcPr>
          <w:p w14:paraId="49DF99B4"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22185D71"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6" w:type="dxa"/>
            <w:tcBorders>
              <w:top w:val="nil"/>
              <w:left w:val="nil"/>
              <w:bottom w:val="nil"/>
              <w:right w:val="single" w:sz="12" w:space="0" w:color="auto"/>
            </w:tcBorders>
            <w:shd w:val="clear" w:color="000000" w:fill="FFFFFF"/>
            <w:noWrap/>
            <w:vAlign w:val="center"/>
          </w:tcPr>
          <w:p w14:paraId="1BC583BB"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vAlign w:val="center"/>
          </w:tcPr>
          <w:p w14:paraId="035B61F2" w14:textId="77777777" w:rsidR="002961DC" w:rsidRPr="00A95729" w:rsidRDefault="002961DC" w:rsidP="00E56366">
            <w:pPr>
              <w:spacing w:after="0" w:line="240" w:lineRule="auto"/>
              <w:jc w:val="center"/>
              <w:rPr>
                <w:color w:val="000000"/>
                <w:sz w:val="18"/>
                <w:szCs w:val="18"/>
              </w:rPr>
            </w:pPr>
            <w:r w:rsidRPr="00A95729">
              <w:rPr>
                <w:rFonts w:eastAsia="Times New Roman"/>
                <w:color w:val="000000"/>
                <w:sz w:val="18"/>
                <w:szCs w:val="18"/>
              </w:rPr>
              <w:t>--</w:t>
            </w:r>
          </w:p>
        </w:tc>
        <w:tc>
          <w:tcPr>
            <w:tcW w:w="540" w:type="dxa"/>
            <w:tcBorders>
              <w:top w:val="nil"/>
              <w:left w:val="nil"/>
              <w:bottom w:val="nil"/>
              <w:right w:val="single" w:sz="12" w:space="0" w:color="auto"/>
            </w:tcBorders>
            <w:shd w:val="clear" w:color="000000" w:fill="FFFFFF"/>
            <w:vAlign w:val="center"/>
          </w:tcPr>
          <w:p w14:paraId="63C93F8D" w14:textId="77777777" w:rsidR="002961DC" w:rsidRPr="00A95729" w:rsidRDefault="002961DC" w:rsidP="00E56366">
            <w:pPr>
              <w:spacing w:after="0" w:line="240" w:lineRule="auto"/>
              <w:jc w:val="center"/>
              <w:rPr>
                <w:color w:val="000000"/>
                <w:sz w:val="18"/>
                <w:szCs w:val="18"/>
              </w:rPr>
            </w:pPr>
            <w:r w:rsidRPr="00A95729">
              <w:rPr>
                <w:rFonts w:eastAsia="Times New Roman"/>
                <w:color w:val="000000"/>
                <w:sz w:val="18"/>
                <w:szCs w:val="18"/>
              </w:rPr>
              <w:t> </w:t>
            </w:r>
          </w:p>
        </w:tc>
        <w:tc>
          <w:tcPr>
            <w:tcW w:w="630" w:type="dxa"/>
            <w:tcBorders>
              <w:top w:val="nil"/>
              <w:left w:val="single" w:sz="12" w:space="0" w:color="auto"/>
              <w:bottom w:val="nil"/>
              <w:right w:val="nil"/>
            </w:tcBorders>
            <w:shd w:val="clear" w:color="000000" w:fill="FFFFFF"/>
            <w:vAlign w:val="bottom"/>
          </w:tcPr>
          <w:p w14:paraId="3A97FEBB" w14:textId="77777777" w:rsidR="002961DC" w:rsidRPr="00A95729" w:rsidRDefault="002961DC" w:rsidP="00E56366">
            <w:pPr>
              <w:spacing w:after="0" w:line="240" w:lineRule="auto"/>
              <w:jc w:val="center"/>
              <w:rPr>
                <w:color w:val="000000"/>
                <w:sz w:val="18"/>
                <w:szCs w:val="18"/>
              </w:rPr>
            </w:pPr>
            <w:r w:rsidRPr="00A95729">
              <w:rPr>
                <w:color w:val="000000"/>
                <w:sz w:val="18"/>
                <w:szCs w:val="18"/>
              </w:rPr>
              <w:t>-0.23</w:t>
            </w:r>
          </w:p>
        </w:tc>
        <w:tc>
          <w:tcPr>
            <w:tcW w:w="542" w:type="dxa"/>
            <w:tcBorders>
              <w:top w:val="nil"/>
              <w:left w:val="nil"/>
              <w:bottom w:val="nil"/>
              <w:right w:val="single" w:sz="12" w:space="0" w:color="auto"/>
            </w:tcBorders>
            <w:shd w:val="clear" w:color="000000" w:fill="FFFFFF"/>
            <w:vAlign w:val="bottom"/>
          </w:tcPr>
          <w:p w14:paraId="74142518" w14:textId="77777777" w:rsidR="002961DC" w:rsidRPr="00A95729" w:rsidRDefault="002961DC" w:rsidP="00E56366">
            <w:pPr>
              <w:spacing w:after="0" w:line="240" w:lineRule="auto"/>
              <w:jc w:val="center"/>
              <w:rPr>
                <w:color w:val="000000"/>
                <w:sz w:val="18"/>
                <w:szCs w:val="18"/>
              </w:rPr>
            </w:pPr>
            <w:r w:rsidRPr="00A95729">
              <w:rPr>
                <w:color w:val="000000"/>
                <w:sz w:val="18"/>
                <w:szCs w:val="18"/>
              </w:rPr>
              <w:t>-4.36</w:t>
            </w:r>
          </w:p>
        </w:tc>
      </w:tr>
      <w:tr w:rsidR="002961DC" w:rsidRPr="00A95729" w14:paraId="6A4F58C1" w14:textId="77777777" w:rsidTr="00E56366">
        <w:trPr>
          <w:trHeight w:val="20"/>
          <w:jc w:val="center"/>
        </w:trPr>
        <w:tc>
          <w:tcPr>
            <w:tcW w:w="2411" w:type="dxa"/>
            <w:tcBorders>
              <w:top w:val="nil"/>
              <w:left w:val="single" w:sz="12" w:space="0" w:color="auto"/>
              <w:bottom w:val="nil"/>
              <w:right w:val="single" w:sz="12" w:space="0" w:color="auto"/>
            </w:tcBorders>
            <w:shd w:val="clear" w:color="000000" w:fill="FFFFFF"/>
            <w:noWrap/>
            <w:vAlign w:val="bottom"/>
            <w:hideMark/>
          </w:tcPr>
          <w:p w14:paraId="05C9AA66" w14:textId="77777777" w:rsidR="002961DC" w:rsidRPr="00A95729" w:rsidRDefault="002961DC" w:rsidP="00E56366">
            <w:pPr>
              <w:spacing w:after="0" w:line="240" w:lineRule="auto"/>
              <w:rPr>
                <w:rFonts w:eastAsia="Times New Roman"/>
                <w:color w:val="000000"/>
                <w:sz w:val="18"/>
                <w:szCs w:val="18"/>
              </w:rPr>
            </w:pPr>
            <w:r w:rsidRPr="00A95729">
              <w:rPr>
                <w:rFonts w:eastAsia="Times New Roman"/>
                <w:color w:val="000000"/>
                <w:sz w:val="18"/>
                <w:szCs w:val="18"/>
              </w:rPr>
              <w:t>Education (No diploma)</w:t>
            </w:r>
          </w:p>
        </w:tc>
        <w:tc>
          <w:tcPr>
            <w:tcW w:w="537" w:type="dxa"/>
            <w:tcBorders>
              <w:top w:val="nil"/>
              <w:left w:val="single" w:sz="12" w:space="0" w:color="auto"/>
              <w:bottom w:val="nil"/>
            </w:tcBorders>
            <w:shd w:val="clear" w:color="000000" w:fill="FFFFFF"/>
          </w:tcPr>
          <w:p w14:paraId="249AB684" w14:textId="77777777" w:rsidR="002961DC" w:rsidRPr="00A95729" w:rsidRDefault="002961DC" w:rsidP="00E56366">
            <w:pPr>
              <w:spacing w:after="0" w:line="240" w:lineRule="auto"/>
              <w:jc w:val="center"/>
              <w:rPr>
                <w:rFonts w:eastAsia="Times New Roman"/>
                <w:color w:val="000000"/>
                <w:sz w:val="18"/>
                <w:szCs w:val="18"/>
              </w:rPr>
            </w:pPr>
          </w:p>
        </w:tc>
        <w:tc>
          <w:tcPr>
            <w:tcW w:w="541" w:type="dxa"/>
            <w:tcBorders>
              <w:top w:val="nil"/>
              <w:left w:val="nil"/>
              <w:bottom w:val="nil"/>
              <w:right w:val="single" w:sz="12" w:space="0" w:color="auto"/>
            </w:tcBorders>
            <w:shd w:val="clear" w:color="000000" w:fill="FFFFFF"/>
          </w:tcPr>
          <w:p w14:paraId="5E58A6EA" w14:textId="77777777" w:rsidR="002961DC" w:rsidRPr="00A95729" w:rsidRDefault="002961DC" w:rsidP="00E56366">
            <w:pPr>
              <w:spacing w:after="0" w:line="240" w:lineRule="auto"/>
              <w:jc w:val="center"/>
              <w:rPr>
                <w:rFonts w:eastAsia="Times New Roman"/>
                <w:color w:val="000000"/>
                <w:sz w:val="18"/>
                <w:szCs w:val="18"/>
              </w:rPr>
            </w:pPr>
          </w:p>
        </w:tc>
        <w:tc>
          <w:tcPr>
            <w:tcW w:w="539" w:type="dxa"/>
            <w:tcBorders>
              <w:top w:val="nil"/>
              <w:left w:val="single" w:sz="12" w:space="0" w:color="auto"/>
              <w:bottom w:val="nil"/>
              <w:right w:val="nil"/>
            </w:tcBorders>
            <w:shd w:val="clear" w:color="000000" w:fill="FFFFFF"/>
            <w:noWrap/>
            <w:vAlign w:val="center"/>
            <w:hideMark/>
          </w:tcPr>
          <w:p w14:paraId="0A084B5C"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449" w:type="dxa"/>
            <w:tcBorders>
              <w:top w:val="nil"/>
              <w:left w:val="nil"/>
              <w:bottom w:val="nil"/>
              <w:right w:val="single" w:sz="4" w:space="0" w:color="auto"/>
            </w:tcBorders>
            <w:shd w:val="clear" w:color="000000" w:fill="FFFFFF"/>
            <w:noWrap/>
            <w:vAlign w:val="center"/>
            <w:hideMark/>
          </w:tcPr>
          <w:p w14:paraId="7B3FAE8F"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hideMark/>
          </w:tcPr>
          <w:p w14:paraId="55188F3F"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450" w:type="dxa"/>
            <w:tcBorders>
              <w:top w:val="nil"/>
              <w:left w:val="nil"/>
              <w:bottom w:val="nil"/>
              <w:right w:val="single" w:sz="4" w:space="0" w:color="auto"/>
            </w:tcBorders>
            <w:shd w:val="clear" w:color="000000" w:fill="FFFFFF"/>
            <w:noWrap/>
            <w:vAlign w:val="center"/>
            <w:hideMark/>
          </w:tcPr>
          <w:p w14:paraId="2A3C41EC"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hideMark/>
          </w:tcPr>
          <w:p w14:paraId="64B9D2FF"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450" w:type="dxa"/>
            <w:tcBorders>
              <w:top w:val="nil"/>
              <w:left w:val="nil"/>
              <w:bottom w:val="nil"/>
              <w:right w:val="single" w:sz="4" w:space="0" w:color="auto"/>
            </w:tcBorders>
            <w:shd w:val="clear" w:color="000000" w:fill="FFFFFF"/>
            <w:noWrap/>
            <w:vAlign w:val="center"/>
            <w:hideMark/>
          </w:tcPr>
          <w:p w14:paraId="47E07FCA"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8" w:type="dxa"/>
            <w:tcBorders>
              <w:top w:val="nil"/>
              <w:left w:val="nil"/>
              <w:bottom w:val="nil"/>
              <w:right w:val="nil"/>
            </w:tcBorders>
            <w:shd w:val="clear" w:color="000000" w:fill="FFFFFF"/>
            <w:noWrap/>
            <w:vAlign w:val="center"/>
            <w:hideMark/>
          </w:tcPr>
          <w:p w14:paraId="0A934B97"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450" w:type="dxa"/>
            <w:tcBorders>
              <w:top w:val="nil"/>
              <w:left w:val="nil"/>
              <w:bottom w:val="nil"/>
              <w:right w:val="single" w:sz="4" w:space="0" w:color="auto"/>
            </w:tcBorders>
            <w:shd w:val="clear" w:color="000000" w:fill="FFFFFF"/>
            <w:noWrap/>
            <w:vAlign w:val="center"/>
            <w:hideMark/>
          </w:tcPr>
          <w:p w14:paraId="4FC7A636"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hideMark/>
          </w:tcPr>
          <w:p w14:paraId="394054F6"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450" w:type="dxa"/>
            <w:tcBorders>
              <w:top w:val="nil"/>
              <w:left w:val="nil"/>
              <w:bottom w:val="nil"/>
              <w:right w:val="single" w:sz="4" w:space="0" w:color="auto"/>
            </w:tcBorders>
            <w:shd w:val="clear" w:color="000000" w:fill="FFFFFF"/>
            <w:noWrap/>
            <w:vAlign w:val="center"/>
            <w:hideMark/>
          </w:tcPr>
          <w:p w14:paraId="7408380E"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hideMark/>
          </w:tcPr>
          <w:p w14:paraId="7A5B775B"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450" w:type="dxa"/>
            <w:tcBorders>
              <w:top w:val="nil"/>
              <w:left w:val="nil"/>
              <w:bottom w:val="nil"/>
              <w:right w:val="single" w:sz="4" w:space="0" w:color="auto"/>
            </w:tcBorders>
            <w:shd w:val="clear" w:color="000000" w:fill="FFFFFF"/>
            <w:noWrap/>
            <w:vAlign w:val="center"/>
            <w:hideMark/>
          </w:tcPr>
          <w:p w14:paraId="21FECB15"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hideMark/>
          </w:tcPr>
          <w:p w14:paraId="46C1A332"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454" w:type="dxa"/>
            <w:tcBorders>
              <w:top w:val="nil"/>
              <w:left w:val="nil"/>
              <w:bottom w:val="nil"/>
              <w:right w:val="single" w:sz="4" w:space="0" w:color="auto"/>
            </w:tcBorders>
            <w:shd w:val="clear" w:color="000000" w:fill="FFFFFF"/>
            <w:noWrap/>
            <w:vAlign w:val="center"/>
            <w:hideMark/>
          </w:tcPr>
          <w:p w14:paraId="0D9E8258"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hideMark/>
          </w:tcPr>
          <w:p w14:paraId="14FB20E5"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456" w:type="dxa"/>
            <w:tcBorders>
              <w:top w:val="nil"/>
              <w:left w:val="nil"/>
              <w:bottom w:val="nil"/>
              <w:right w:val="single" w:sz="12" w:space="0" w:color="auto"/>
            </w:tcBorders>
            <w:shd w:val="clear" w:color="000000" w:fill="FFFFFF"/>
            <w:noWrap/>
            <w:vAlign w:val="center"/>
            <w:hideMark/>
          </w:tcPr>
          <w:p w14:paraId="0129AA24"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tcPr>
          <w:p w14:paraId="3670DC5A" w14:textId="77777777" w:rsidR="002961DC" w:rsidRPr="00A95729" w:rsidRDefault="002961DC" w:rsidP="00E56366">
            <w:pPr>
              <w:spacing w:after="0" w:line="240" w:lineRule="auto"/>
              <w:jc w:val="center"/>
              <w:rPr>
                <w:rFonts w:eastAsia="Times New Roman"/>
                <w:color w:val="000000"/>
                <w:sz w:val="18"/>
                <w:szCs w:val="18"/>
              </w:rPr>
            </w:pPr>
          </w:p>
        </w:tc>
        <w:tc>
          <w:tcPr>
            <w:tcW w:w="540" w:type="dxa"/>
            <w:tcBorders>
              <w:top w:val="nil"/>
              <w:left w:val="nil"/>
              <w:bottom w:val="nil"/>
              <w:right w:val="single" w:sz="12" w:space="0" w:color="auto"/>
            </w:tcBorders>
            <w:shd w:val="clear" w:color="000000" w:fill="FFFFFF"/>
          </w:tcPr>
          <w:p w14:paraId="22C24828" w14:textId="77777777" w:rsidR="002961DC" w:rsidRPr="00A95729" w:rsidRDefault="002961DC" w:rsidP="00E56366">
            <w:pPr>
              <w:spacing w:after="0" w:line="240" w:lineRule="auto"/>
              <w:jc w:val="center"/>
              <w:rPr>
                <w:rFonts w:eastAsia="Times New Roman"/>
                <w:color w:val="000000"/>
                <w:sz w:val="18"/>
                <w:szCs w:val="18"/>
              </w:rPr>
            </w:pPr>
          </w:p>
        </w:tc>
        <w:tc>
          <w:tcPr>
            <w:tcW w:w="630" w:type="dxa"/>
            <w:tcBorders>
              <w:top w:val="nil"/>
              <w:left w:val="single" w:sz="12" w:space="0" w:color="auto"/>
              <w:bottom w:val="nil"/>
              <w:right w:val="nil"/>
            </w:tcBorders>
            <w:shd w:val="clear" w:color="000000" w:fill="FFFFFF"/>
          </w:tcPr>
          <w:p w14:paraId="1256F536" w14:textId="77777777" w:rsidR="002961DC" w:rsidRPr="00A95729" w:rsidRDefault="002961DC" w:rsidP="00E56366">
            <w:pPr>
              <w:spacing w:after="0" w:line="240" w:lineRule="auto"/>
              <w:jc w:val="center"/>
              <w:rPr>
                <w:rFonts w:eastAsia="Times New Roman"/>
                <w:color w:val="000000"/>
                <w:sz w:val="18"/>
                <w:szCs w:val="18"/>
              </w:rPr>
            </w:pPr>
          </w:p>
        </w:tc>
        <w:tc>
          <w:tcPr>
            <w:tcW w:w="542" w:type="dxa"/>
            <w:tcBorders>
              <w:top w:val="nil"/>
              <w:left w:val="nil"/>
              <w:bottom w:val="nil"/>
              <w:right w:val="single" w:sz="12" w:space="0" w:color="auto"/>
            </w:tcBorders>
            <w:shd w:val="clear" w:color="000000" w:fill="FFFFFF"/>
          </w:tcPr>
          <w:p w14:paraId="2D09C174" w14:textId="77777777" w:rsidR="002961DC" w:rsidRPr="00A95729" w:rsidRDefault="002961DC" w:rsidP="00E56366">
            <w:pPr>
              <w:spacing w:after="0" w:line="240" w:lineRule="auto"/>
              <w:jc w:val="center"/>
              <w:rPr>
                <w:rFonts w:eastAsia="Times New Roman"/>
                <w:color w:val="000000"/>
                <w:sz w:val="18"/>
                <w:szCs w:val="18"/>
              </w:rPr>
            </w:pPr>
          </w:p>
        </w:tc>
      </w:tr>
      <w:tr w:rsidR="002961DC" w:rsidRPr="00A95729" w14:paraId="75C6DD67" w14:textId="77777777" w:rsidTr="00E56366">
        <w:trPr>
          <w:trHeight w:val="20"/>
          <w:jc w:val="center"/>
        </w:trPr>
        <w:tc>
          <w:tcPr>
            <w:tcW w:w="2411" w:type="dxa"/>
            <w:tcBorders>
              <w:top w:val="nil"/>
              <w:left w:val="single" w:sz="12" w:space="0" w:color="auto"/>
              <w:bottom w:val="nil"/>
              <w:right w:val="single" w:sz="12" w:space="0" w:color="auto"/>
            </w:tcBorders>
            <w:shd w:val="clear" w:color="000000" w:fill="FFFFFF"/>
            <w:noWrap/>
            <w:vAlign w:val="bottom"/>
            <w:hideMark/>
          </w:tcPr>
          <w:p w14:paraId="010CC73F" w14:textId="77777777" w:rsidR="002961DC" w:rsidRPr="00A95729" w:rsidRDefault="002961DC" w:rsidP="00E56366">
            <w:pPr>
              <w:spacing w:after="0" w:line="240" w:lineRule="auto"/>
              <w:rPr>
                <w:rFonts w:eastAsia="Times New Roman"/>
                <w:color w:val="000000"/>
                <w:sz w:val="18"/>
                <w:szCs w:val="18"/>
              </w:rPr>
            </w:pPr>
            <w:r w:rsidRPr="00A95729">
              <w:rPr>
                <w:rFonts w:eastAsia="Times New Roman"/>
                <w:color w:val="000000"/>
                <w:sz w:val="18"/>
                <w:szCs w:val="18"/>
              </w:rPr>
              <w:t xml:space="preserve">     High school diploma</w:t>
            </w:r>
          </w:p>
        </w:tc>
        <w:tc>
          <w:tcPr>
            <w:tcW w:w="537" w:type="dxa"/>
            <w:tcBorders>
              <w:top w:val="nil"/>
              <w:left w:val="single" w:sz="12" w:space="0" w:color="auto"/>
              <w:bottom w:val="nil"/>
            </w:tcBorders>
            <w:shd w:val="clear" w:color="000000" w:fill="FFFFFF"/>
            <w:vAlign w:val="bottom"/>
          </w:tcPr>
          <w:p w14:paraId="62447B46"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0.14</w:t>
            </w:r>
          </w:p>
        </w:tc>
        <w:tc>
          <w:tcPr>
            <w:tcW w:w="541" w:type="dxa"/>
            <w:tcBorders>
              <w:top w:val="nil"/>
              <w:left w:val="nil"/>
              <w:bottom w:val="nil"/>
              <w:right w:val="single" w:sz="12" w:space="0" w:color="auto"/>
            </w:tcBorders>
            <w:shd w:val="clear" w:color="000000" w:fill="FFFFFF"/>
            <w:vAlign w:val="bottom"/>
          </w:tcPr>
          <w:p w14:paraId="783A1FE4"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2.10</w:t>
            </w:r>
          </w:p>
        </w:tc>
        <w:tc>
          <w:tcPr>
            <w:tcW w:w="539" w:type="dxa"/>
            <w:tcBorders>
              <w:top w:val="nil"/>
              <w:left w:val="single" w:sz="12" w:space="0" w:color="auto"/>
              <w:bottom w:val="nil"/>
              <w:right w:val="nil"/>
            </w:tcBorders>
            <w:shd w:val="clear" w:color="000000" w:fill="FFFFFF"/>
            <w:noWrap/>
            <w:vAlign w:val="center"/>
            <w:hideMark/>
          </w:tcPr>
          <w:p w14:paraId="68E675F8"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49" w:type="dxa"/>
            <w:tcBorders>
              <w:top w:val="nil"/>
              <w:left w:val="nil"/>
              <w:bottom w:val="nil"/>
              <w:right w:val="single" w:sz="4" w:space="0" w:color="auto"/>
            </w:tcBorders>
            <w:shd w:val="clear" w:color="000000" w:fill="FFFFFF"/>
            <w:noWrap/>
            <w:vAlign w:val="center"/>
            <w:hideMark/>
          </w:tcPr>
          <w:p w14:paraId="6C48ACF1"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hideMark/>
          </w:tcPr>
          <w:p w14:paraId="3B1F9170"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hideMark/>
          </w:tcPr>
          <w:p w14:paraId="451B4124"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hideMark/>
          </w:tcPr>
          <w:p w14:paraId="419ED88C"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hideMark/>
          </w:tcPr>
          <w:p w14:paraId="05E63DDE"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8" w:type="dxa"/>
            <w:tcBorders>
              <w:top w:val="nil"/>
              <w:left w:val="nil"/>
              <w:bottom w:val="nil"/>
              <w:right w:val="nil"/>
            </w:tcBorders>
            <w:shd w:val="clear" w:color="000000" w:fill="FFFFFF"/>
            <w:noWrap/>
            <w:vAlign w:val="center"/>
            <w:hideMark/>
          </w:tcPr>
          <w:p w14:paraId="6CE01A4E"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hideMark/>
          </w:tcPr>
          <w:p w14:paraId="6C5E0610"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hideMark/>
          </w:tcPr>
          <w:p w14:paraId="6E1B8B05"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hideMark/>
          </w:tcPr>
          <w:p w14:paraId="31B13EB8"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bottom"/>
            <w:hideMark/>
          </w:tcPr>
          <w:p w14:paraId="77BFF514"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-0.20</w:t>
            </w:r>
          </w:p>
        </w:tc>
        <w:tc>
          <w:tcPr>
            <w:tcW w:w="450" w:type="dxa"/>
            <w:tcBorders>
              <w:top w:val="nil"/>
              <w:left w:val="nil"/>
              <w:bottom w:val="nil"/>
              <w:right w:val="single" w:sz="4" w:space="0" w:color="auto"/>
            </w:tcBorders>
            <w:shd w:val="clear" w:color="000000" w:fill="FFFFFF"/>
            <w:noWrap/>
            <w:vAlign w:val="bottom"/>
            <w:hideMark/>
          </w:tcPr>
          <w:p w14:paraId="1A29F11C"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-1.39</w:t>
            </w:r>
          </w:p>
        </w:tc>
        <w:tc>
          <w:tcPr>
            <w:tcW w:w="540" w:type="dxa"/>
            <w:tcBorders>
              <w:top w:val="nil"/>
              <w:left w:val="nil"/>
              <w:bottom w:val="nil"/>
              <w:right w:val="nil"/>
            </w:tcBorders>
            <w:shd w:val="clear" w:color="000000" w:fill="FFFFFF"/>
            <w:noWrap/>
            <w:vAlign w:val="center"/>
            <w:hideMark/>
          </w:tcPr>
          <w:p w14:paraId="561387ED"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4" w:type="dxa"/>
            <w:tcBorders>
              <w:top w:val="nil"/>
              <w:left w:val="nil"/>
              <w:bottom w:val="nil"/>
              <w:right w:val="single" w:sz="4" w:space="0" w:color="auto"/>
            </w:tcBorders>
            <w:shd w:val="clear" w:color="000000" w:fill="FFFFFF"/>
            <w:noWrap/>
            <w:vAlign w:val="center"/>
            <w:hideMark/>
          </w:tcPr>
          <w:p w14:paraId="4652773F"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hideMark/>
          </w:tcPr>
          <w:p w14:paraId="64B59828"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6" w:type="dxa"/>
            <w:tcBorders>
              <w:top w:val="nil"/>
              <w:left w:val="nil"/>
              <w:bottom w:val="nil"/>
              <w:right w:val="single" w:sz="12" w:space="0" w:color="auto"/>
            </w:tcBorders>
            <w:shd w:val="clear" w:color="000000" w:fill="FFFFFF"/>
            <w:noWrap/>
            <w:vAlign w:val="center"/>
            <w:hideMark/>
          </w:tcPr>
          <w:p w14:paraId="259B226E"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vAlign w:val="center"/>
          </w:tcPr>
          <w:p w14:paraId="4B849F04"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540" w:type="dxa"/>
            <w:tcBorders>
              <w:top w:val="nil"/>
              <w:left w:val="nil"/>
              <w:bottom w:val="nil"/>
              <w:right w:val="single" w:sz="12" w:space="0" w:color="auto"/>
            </w:tcBorders>
            <w:shd w:val="clear" w:color="000000" w:fill="FFFFFF"/>
            <w:vAlign w:val="center"/>
          </w:tcPr>
          <w:p w14:paraId="39D53A1D"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630" w:type="dxa"/>
            <w:tcBorders>
              <w:top w:val="nil"/>
              <w:left w:val="single" w:sz="12" w:space="0" w:color="auto"/>
              <w:bottom w:val="nil"/>
              <w:right w:val="nil"/>
            </w:tcBorders>
            <w:shd w:val="clear" w:color="000000" w:fill="FFFFFF"/>
            <w:vAlign w:val="bottom"/>
          </w:tcPr>
          <w:p w14:paraId="44234653"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0.45</w:t>
            </w:r>
          </w:p>
        </w:tc>
        <w:tc>
          <w:tcPr>
            <w:tcW w:w="542" w:type="dxa"/>
            <w:tcBorders>
              <w:top w:val="nil"/>
              <w:left w:val="nil"/>
              <w:bottom w:val="nil"/>
              <w:right w:val="single" w:sz="12" w:space="0" w:color="auto"/>
            </w:tcBorders>
            <w:shd w:val="clear" w:color="000000" w:fill="FFFFFF"/>
            <w:vAlign w:val="bottom"/>
          </w:tcPr>
          <w:p w14:paraId="184DA530"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9.50</w:t>
            </w:r>
          </w:p>
        </w:tc>
      </w:tr>
      <w:tr w:rsidR="002961DC" w:rsidRPr="00A95729" w14:paraId="74AC94C8" w14:textId="77777777" w:rsidTr="00E56366">
        <w:trPr>
          <w:trHeight w:val="20"/>
          <w:jc w:val="center"/>
        </w:trPr>
        <w:tc>
          <w:tcPr>
            <w:tcW w:w="2411" w:type="dxa"/>
            <w:tcBorders>
              <w:top w:val="nil"/>
              <w:left w:val="single" w:sz="12" w:space="0" w:color="auto"/>
              <w:bottom w:val="nil"/>
              <w:right w:val="single" w:sz="12" w:space="0" w:color="auto"/>
            </w:tcBorders>
            <w:shd w:val="clear" w:color="000000" w:fill="FFFFFF"/>
            <w:noWrap/>
            <w:vAlign w:val="bottom"/>
            <w:hideMark/>
          </w:tcPr>
          <w:p w14:paraId="6928B6BF" w14:textId="77777777" w:rsidR="002961DC" w:rsidRPr="00A95729" w:rsidRDefault="002961DC" w:rsidP="00E56366">
            <w:pPr>
              <w:spacing w:after="0" w:line="240" w:lineRule="auto"/>
              <w:rPr>
                <w:rFonts w:eastAsia="Times New Roman"/>
                <w:color w:val="000000"/>
                <w:sz w:val="18"/>
                <w:szCs w:val="18"/>
              </w:rPr>
            </w:pPr>
            <w:r w:rsidRPr="00A95729">
              <w:rPr>
                <w:rFonts w:eastAsia="Times New Roman"/>
                <w:color w:val="000000"/>
                <w:sz w:val="18"/>
                <w:szCs w:val="18"/>
              </w:rPr>
              <w:t xml:space="preserve">     Some college</w:t>
            </w:r>
          </w:p>
        </w:tc>
        <w:tc>
          <w:tcPr>
            <w:tcW w:w="537" w:type="dxa"/>
            <w:tcBorders>
              <w:top w:val="nil"/>
              <w:left w:val="single" w:sz="12" w:space="0" w:color="auto"/>
              <w:bottom w:val="nil"/>
            </w:tcBorders>
            <w:shd w:val="clear" w:color="000000" w:fill="FFFFFF"/>
            <w:vAlign w:val="bottom"/>
          </w:tcPr>
          <w:p w14:paraId="59F7A0D1"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0.22</w:t>
            </w:r>
          </w:p>
        </w:tc>
        <w:tc>
          <w:tcPr>
            <w:tcW w:w="541" w:type="dxa"/>
            <w:tcBorders>
              <w:top w:val="nil"/>
              <w:left w:val="nil"/>
              <w:bottom w:val="nil"/>
              <w:right w:val="single" w:sz="12" w:space="0" w:color="auto"/>
            </w:tcBorders>
            <w:shd w:val="clear" w:color="000000" w:fill="FFFFFF"/>
            <w:vAlign w:val="bottom"/>
          </w:tcPr>
          <w:p w14:paraId="0BE14D31"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3.60</w:t>
            </w:r>
          </w:p>
        </w:tc>
        <w:tc>
          <w:tcPr>
            <w:tcW w:w="539" w:type="dxa"/>
            <w:tcBorders>
              <w:top w:val="nil"/>
              <w:left w:val="single" w:sz="12" w:space="0" w:color="auto"/>
              <w:bottom w:val="nil"/>
              <w:right w:val="nil"/>
            </w:tcBorders>
            <w:shd w:val="clear" w:color="000000" w:fill="FFFFFF"/>
            <w:noWrap/>
            <w:vAlign w:val="center"/>
            <w:hideMark/>
          </w:tcPr>
          <w:p w14:paraId="5D5B0D6B"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49" w:type="dxa"/>
            <w:tcBorders>
              <w:top w:val="nil"/>
              <w:left w:val="nil"/>
              <w:bottom w:val="nil"/>
              <w:right w:val="single" w:sz="4" w:space="0" w:color="auto"/>
            </w:tcBorders>
            <w:shd w:val="clear" w:color="000000" w:fill="FFFFFF"/>
            <w:noWrap/>
            <w:vAlign w:val="center"/>
            <w:hideMark/>
          </w:tcPr>
          <w:p w14:paraId="091E99B1"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hideMark/>
          </w:tcPr>
          <w:p w14:paraId="75FACA47"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hideMark/>
          </w:tcPr>
          <w:p w14:paraId="312F01BA"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hideMark/>
          </w:tcPr>
          <w:p w14:paraId="736200D4"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hideMark/>
          </w:tcPr>
          <w:p w14:paraId="11C6B111"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8" w:type="dxa"/>
            <w:tcBorders>
              <w:top w:val="nil"/>
              <w:left w:val="nil"/>
              <w:bottom w:val="nil"/>
              <w:right w:val="nil"/>
            </w:tcBorders>
            <w:shd w:val="clear" w:color="000000" w:fill="FFFFFF"/>
            <w:noWrap/>
            <w:vAlign w:val="center"/>
            <w:hideMark/>
          </w:tcPr>
          <w:p w14:paraId="0E8389F5"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hideMark/>
          </w:tcPr>
          <w:p w14:paraId="675038FE"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hideMark/>
          </w:tcPr>
          <w:p w14:paraId="0BA762EF"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hideMark/>
          </w:tcPr>
          <w:p w14:paraId="2F8B2B90"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bottom"/>
            <w:hideMark/>
          </w:tcPr>
          <w:p w14:paraId="09130AC2"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-0.21</w:t>
            </w:r>
          </w:p>
        </w:tc>
        <w:tc>
          <w:tcPr>
            <w:tcW w:w="450" w:type="dxa"/>
            <w:tcBorders>
              <w:top w:val="nil"/>
              <w:left w:val="nil"/>
              <w:bottom w:val="nil"/>
              <w:right w:val="single" w:sz="4" w:space="0" w:color="auto"/>
            </w:tcBorders>
            <w:shd w:val="clear" w:color="000000" w:fill="FFFFFF"/>
            <w:noWrap/>
            <w:vAlign w:val="bottom"/>
            <w:hideMark/>
          </w:tcPr>
          <w:p w14:paraId="3A9066FB"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-1.48</w:t>
            </w:r>
          </w:p>
        </w:tc>
        <w:tc>
          <w:tcPr>
            <w:tcW w:w="540" w:type="dxa"/>
            <w:tcBorders>
              <w:top w:val="nil"/>
              <w:left w:val="nil"/>
              <w:bottom w:val="nil"/>
              <w:right w:val="nil"/>
            </w:tcBorders>
            <w:shd w:val="clear" w:color="000000" w:fill="FFFFFF"/>
            <w:noWrap/>
            <w:vAlign w:val="bottom"/>
            <w:hideMark/>
          </w:tcPr>
          <w:p w14:paraId="50CB6EFE"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0.27</w:t>
            </w:r>
          </w:p>
        </w:tc>
        <w:tc>
          <w:tcPr>
            <w:tcW w:w="454" w:type="dxa"/>
            <w:tcBorders>
              <w:top w:val="nil"/>
              <w:left w:val="nil"/>
              <w:bottom w:val="nil"/>
              <w:right w:val="single" w:sz="4" w:space="0" w:color="auto"/>
            </w:tcBorders>
            <w:shd w:val="clear" w:color="000000" w:fill="FFFFFF"/>
            <w:noWrap/>
            <w:vAlign w:val="bottom"/>
            <w:hideMark/>
          </w:tcPr>
          <w:p w14:paraId="276DEEE0"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2.39</w:t>
            </w:r>
          </w:p>
        </w:tc>
        <w:tc>
          <w:tcPr>
            <w:tcW w:w="540" w:type="dxa"/>
            <w:tcBorders>
              <w:top w:val="nil"/>
              <w:left w:val="nil"/>
              <w:bottom w:val="nil"/>
              <w:right w:val="nil"/>
            </w:tcBorders>
            <w:shd w:val="clear" w:color="000000" w:fill="FFFFFF"/>
            <w:noWrap/>
            <w:vAlign w:val="center"/>
            <w:hideMark/>
          </w:tcPr>
          <w:p w14:paraId="3F71D0BB"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6" w:type="dxa"/>
            <w:tcBorders>
              <w:top w:val="nil"/>
              <w:left w:val="nil"/>
              <w:bottom w:val="nil"/>
              <w:right w:val="single" w:sz="12" w:space="0" w:color="auto"/>
            </w:tcBorders>
            <w:shd w:val="clear" w:color="000000" w:fill="FFFFFF"/>
            <w:noWrap/>
            <w:vAlign w:val="center"/>
            <w:hideMark/>
          </w:tcPr>
          <w:p w14:paraId="0C61691C"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vAlign w:val="bottom"/>
          </w:tcPr>
          <w:p w14:paraId="1009FC1D"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0.37</w:t>
            </w:r>
          </w:p>
        </w:tc>
        <w:tc>
          <w:tcPr>
            <w:tcW w:w="540" w:type="dxa"/>
            <w:tcBorders>
              <w:top w:val="nil"/>
              <w:left w:val="nil"/>
              <w:bottom w:val="nil"/>
              <w:right w:val="single" w:sz="12" w:space="0" w:color="auto"/>
            </w:tcBorders>
            <w:shd w:val="clear" w:color="000000" w:fill="FFFFFF"/>
            <w:vAlign w:val="bottom"/>
          </w:tcPr>
          <w:p w14:paraId="6A19AD10"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7.50</w:t>
            </w:r>
          </w:p>
        </w:tc>
        <w:tc>
          <w:tcPr>
            <w:tcW w:w="630" w:type="dxa"/>
            <w:tcBorders>
              <w:top w:val="nil"/>
              <w:left w:val="single" w:sz="12" w:space="0" w:color="auto"/>
              <w:bottom w:val="nil"/>
              <w:right w:val="nil"/>
            </w:tcBorders>
            <w:shd w:val="clear" w:color="000000" w:fill="FFFFFF"/>
            <w:vAlign w:val="bottom"/>
          </w:tcPr>
          <w:p w14:paraId="7611386B"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0.84</w:t>
            </w:r>
          </w:p>
        </w:tc>
        <w:tc>
          <w:tcPr>
            <w:tcW w:w="542" w:type="dxa"/>
            <w:tcBorders>
              <w:top w:val="nil"/>
              <w:left w:val="nil"/>
              <w:bottom w:val="nil"/>
              <w:right w:val="single" w:sz="12" w:space="0" w:color="auto"/>
            </w:tcBorders>
            <w:shd w:val="clear" w:color="000000" w:fill="FFFFFF"/>
            <w:vAlign w:val="bottom"/>
          </w:tcPr>
          <w:p w14:paraId="0DAE5982"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18.94</w:t>
            </w:r>
          </w:p>
        </w:tc>
      </w:tr>
      <w:tr w:rsidR="002961DC" w:rsidRPr="00A95729" w14:paraId="62765CD9" w14:textId="77777777" w:rsidTr="00E56366">
        <w:trPr>
          <w:trHeight w:val="20"/>
          <w:jc w:val="center"/>
        </w:trPr>
        <w:tc>
          <w:tcPr>
            <w:tcW w:w="2411" w:type="dxa"/>
            <w:tcBorders>
              <w:top w:val="nil"/>
              <w:left w:val="single" w:sz="12" w:space="0" w:color="auto"/>
              <w:bottom w:val="nil"/>
              <w:right w:val="single" w:sz="12" w:space="0" w:color="auto"/>
            </w:tcBorders>
            <w:shd w:val="clear" w:color="000000" w:fill="FFFFFF"/>
            <w:noWrap/>
            <w:vAlign w:val="bottom"/>
            <w:hideMark/>
          </w:tcPr>
          <w:p w14:paraId="1BD4C494" w14:textId="153DA5FA" w:rsidR="002961DC" w:rsidRPr="00A95729" w:rsidRDefault="002961DC" w:rsidP="00E56366">
            <w:pPr>
              <w:spacing w:after="0" w:line="240" w:lineRule="auto"/>
              <w:rPr>
                <w:rFonts w:eastAsia="Times New Roman"/>
                <w:color w:val="000000"/>
                <w:sz w:val="18"/>
                <w:szCs w:val="18"/>
              </w:rPr>
            </w:pPr>
            <w:r w:rsidRPr="00A95729">
              <w:rPr>
                <w:rFonts w:eastAsia="Times New Roman"/>
                <w:color w:val="000000"/>
                <w:sz w:val="18"/>
                <w:szCs w:val="18"/>
              </w:rPr>
              <w:t xml:space="preserve">     Bachelor</w:t>
            </w:r>
            <w:r w:rsidR="00687312">
              <w:rPr>
                <w:rFonts w:eastAsia="Times New Roman"/>
                <w:color w:val="000000"/>
                <w:sz w:val="18"/>
                <w:szCs w:val="18"/>
              </w:rPr>
              <w:t>’</w:t>
            </w:r>
            <w:r w:rsidRPr="00A95729">
              <w:rPr>
                <w:rFonts w:eastAsia="Times New Roman"/>
                <w:color w:val="000000"/>
                <w:sz w:val="18"/>
                <w:szCs w:val="18"/>
              </w:rPr>
              <w:t>s degree</w:t>
            </w:r>
          </w:p>
        </w:tc>
        <w:tc>
          <w:tcPr>
            <w:tcW w:w="537" w:type="dxa"/>
            <w:tcBorders>
              <w:top w:val="nil"/>
              <w:left w:val="single" w:sz="12" w:space="0" w:color="auto"/>
              <w:bottom w:val="nil"/>
            </w:tcBorders>
            <w:shd w:val="clear" w:color="000000" w:fill="FFFFFF"/>
            <w:vAlign w:val="bottom"/>
          </w:tcPr>
          <w:p w14:paraId="4C86286C"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0.22</w:t>
            </w:r>
          </w:p>
        </w:tc>
        <w:tc>
          <w:tcPr>
            <w:tcW w:w="541" w:type="dxa"/>
            <w:tcBorders>
              <w:top w:val="nil"/>
              <w:left w:val="nil"/>
              <w:bottom w:val="nil"/>
              <w:right w:val="single" w:sz="12" w:space="0" w:color="auto"/>
            </w:tcBorders>
            <w:shd w:val="clear" w:color="000000" w:fill="FFFFFF"/>
            <w:vAlign w:val="bottom"/>
          </w:tcPr>
          <w:p w14:paraId="51C99C16"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3.60</w:t>
            </w:r>
          </w:p>
        </w:tc>
        <w:tc>
          <w:tcPr>
            <w:tcW w:w="539" w:type="dxa"/>
            <w:tcBorders>
              <w:top w:val="nil"/>
              <w:left w:val="single" w:sz="12" w:space="0" w:color="auto"/>
              <w:bottom w:val="nil"/>
              <w:right w:val="nil"/>
            </w:tcBorders>
            <w:shd w:val="clear" w:color="000000" w:fill="FFFFFF"/>
            <w:noWrap/>
            <w:vAlign w:val="center"/>
            <w:hideMark/>
          </w:tcPr>
          <w:p w14:paraId="3E75E490"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49" w:type="dxa"/>
            <w:tcBorders>
              <w:top w:val="nil"/>
              <w:left w:val="nil"/>
              <w:bottom w:val="nil"/>
              <w:right w:val="single" w:sz="4" w:space="0" w:color="auto"/>
            </w:tcBorders>
            <w:shd w:val="clear" w:color="000000" w:fill="FFFFFF"/>
            <w:noWrap/>
            <w:vAlign w:val="center"/>
            <w:hideMark/>
          </w:tcPr>
          <w:p w14:paraId="4BCE49B8" w14:textId="77777777" w:rsidR="002961DC" w:rsidRPr="00A95729" w:rsidRDefault="002961DC" w:rsidP="00E56366">
            <w:pPr>
              <w:spacing w:after="0" w:line="240" w:lineRule="auto"/>
              <w:ind w:right="48"/>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bottom"/>
            <w:hideMark/>
          </w:tcPr>
          <w:p w14:paraId="43EEF6C7"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0.19</w:t>
            </w:r>
          </w:p>
        </w:tc>
        <w:tc>
          <w:tcPr>
            <w:tcW w:w="450" w:type="dxa"/>
            <w:tcBorders>
              <w:top w:val="nil"/>
              <w:left w:val="nil"/>
              <w:bottom w:val="nil"/>
              <w:right w:val="single" w:sz="4" w:space="0" w:color="auto"/>
            </w:tcBorders>
            <w:shd w:val="clear" w:color="000000" w:fill="FFFFFF"/>
            <w:noWrap/>
            <w:vAlign w:val="bottom"/>
            <w:hideMark/>
          </w:tcPr>
          <w:p w14:paraId="417E0F74"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1.97</w:t>
            </w:r>
          </w:p>
        </w:tc>
        <w:tc>
          <w:tcPr>
            <w:tcW w:w="540" w:type="dxa"/>
            <w:tcBorders>
              <w:top w:val="nil"/>
              <w:left w:val="nil"/>
              <w:bottom w:val="nil"/>
              <w:right w:val="nil"/>
            </w:tcBorders>
            <w:shd w:val="clear" w:color="000000" w:fill="FFFFFF"/>
            <w:noWrap/>
            <w:vAlign w:val="center"/>
            <w:hideMark/>
          </w:tcPr>
          <w:p w14:paraId="1C23A2D8"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hideMark/>
          </w:tcPr>
          <w:p w14:paraId="1E2AF9CF"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8" w:type="dxa"/>
            <w:tcBorders>
              <w:top w:val="nil"/>
              <w:left w:val="nil"/>
              <w:bottom w:val="nil"/>
              <w:right w:val="nil"/>
            </w:tcBorders>
            <w:shd w:val="clear" w:color="000000" w:fill="FFFFFF"/>
            <w:noWrap/>
            <w:vAlign w:val="center"/>
            <w:hideMark/>
          </w:tcPr>
          <w:p w14:paraId="71BE3CA8"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hideMark/>
          </w:tcPr>
          <w:p w14:paraId="2A29FDA8"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hideMark/>
          </w:tcPr>
          <w:p w14:paraId="27F4DCFD"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hideMark/>
          </w:tcPr>
          <w:p w14:paraId="77CEB045"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bottom"/>
            <w:hideMark/>
          </w:tcPr>
          <w:p w14:paraId="4F4D4984"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-0.23</w:t>
            </w:r>
          </w:p>
        </w:tc>
        <w:tc>
          <w:tcPr>
            <w:tcW w:w="450" w:type="dxa"/>
            <w:tcBorders>
              <w:top w:val="nil"/>
              <w:left w:val="nil"/>
              <w:bottom w:val="nil"/>
              <w:right w:val="single" w:sz="4" w:space="0" w:color="auto"/>
            </w:tcBorders>
            <w:shd w:val="clear" w:color="000000" w:fill="FFFFFF"/>
            <w:noWrap/>
            <w:vAlign w:val="bottom"/>
            <w:hideMark/>
          </w:tcPr>
          <w:p w14:paraId="630A2FEE"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-1.55</w:t>
            </w:r>
          </w:p>
        </w:tc>
        <w:tc>
          <w:tcPr>
            <w:tcW w:w="540" w:type="dxa"/>
            <w:tcBorders>
              <w:top w:val="nil"/>
              <w:left w:val="nil"/>
              <w:bottom w:val="nil"/>
              <w:right w:val="nil"/>
            </w:tcBorders>
            <w:shd w:val="clear" w:color="000000" w:fill="FFFFFF"/>
            <w:noWrap/>
            <w:vAlign w:val="bottom"/>
            <w:hideMark/>
          </w:tcPr>
          <w:p w14:paraId="18DDBBA5"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0.27</w:t>
            </w:r>
          </w:p>
        </w:tc>
        <w:tc>
          <w:tcPr>
            <w:tcW w:w="454" w:type="dxa"/>
            <w:tcBorders>
              <w:top w:val="nil"/>
              <w:left w:val="nil"/>
              <w:bottom w:val="nil"/>
              <w:right w:val="single" w:sz="4" w:space="0" w:color="auto"/>
            </w:tcBorders>
            <w:shd w:val="clear" w:color="000000" w:fill="FFFFFF"/>
            <w:noWrap/>
            <w:vAlign w:val="bottom"/>
            <w:hideMark/>
          </w:tcPr>
          <w:p w14:paraId="0D7457ED"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2.39</w:t>
            </w:r>
          </w:p>
        </w:tc>
        <w:tc>
          <w:tcPr>
            <w:tcW w:w="540" w:type="dxa"/>
            <w:tcBorders>
              <w:top w:val="nil"/>
              <w:left w:val="nil"/>
              <w:bottom w:val="nil"/>
              <w:right w:val="nil"/>
            </w:tcBorders>
            <w:shd w:val="clear" w:color="000000" w:fill="FFFFFF"/>
            <w:noWrap/>
            <w:vAlign w:val="bottom"/>
            <w:hideMark/>
          </w:tcPr>
          <w:p w14:paraId="435DCE4D"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0.12</w:t>
            </w:r>
          </w:p>
        </w:tc>
        <w:tc>
          <w:tcPr>
            <w:tcW w:w="456" w:type="dxa"/>
            <w:tcBorders>
              <w:top w:val="nil"/>
              <w:left w:val="nil"/>
              <w:bottom w:val="nil"/>
              <w:right w:val="single" w:sz="12" w:space="0" w:color="auto"/>
            </w:tcBorders>
            <w:shd w:val="clear" w:color="000000" w:fill="FFFFFF"/>
            <w:noWrap/>
            <w:vAlign w:val="bottom"/>
            <w:hideMark/>
          </w:tcPr>
          <w:p w14:paraId="00C04A73"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2.16</w:t>
            </w:r>
          </w:p>
        </w:tc>
        <w:tc>
          <w:tcPr>
            <w:tcW w:w="540" w:type="dxa"/>
            <w:tcBorders>
              <w:top w:val="nil"/>
              <w:left w:val="nil"/>
              <w:bottom w:val="nil"/>
              <w:right w:val="nil"/>
            </w:tcBorders>
            <w:shd w:val="clear" w:color="000000" w:fill="FFFFFF"/>
            <w:vAlign w:val="bottom"/>
          </w:tcPr>
          <w:p w14:paraId="6BF4D586" w14:textId="77777777" w:rsidR="002961DC" w:rsidRPr="00A95729" w:rsidRDefault="002961DC" w:rsidP="00E56366">
            <w:pPr>
              <w:spacing w:after="0" w:line="240" w:lineRule="auto"/>
              <w:jc w:val="center"/>
              <w:rPr>
                <w:color w:val="000000"/>
                <w:sz w:val="18"/>
                <w:szCs w:val="18"/>
              </w:rPr>
            </w:pPr>
            <w:r w:rsidRPr="00A95729">
              <w:rPr>
                <w:color w:val="000000"/>
                <w:sz w:val="18"/>
                <w:szCs w:val="18"/>
              </w:rPr>
              <w:t>0.74</w:t>
            </w:r>
          </w:p>
        </w:tc>
        <w:tc>
          <w:tcPr>
            <w:tcW w:w="540" w:type="dxa"/>
            <w:tcBorders>
              <w:top w:val="nil"/>
              <w:left w:val="nil"/>
              <w:bottom w:val="nil"/>
              <w:right w:val="single" w:sz="12" w:space="0" w:color="auto"/>
            </w:tcBorders>
            <w:shd w:val="clear" w:color="000000" w:fill="FFFFFF"/>
            <w:vAlign w:val="bottom"/>
          </w:tcPr>
          <w:p w14:paraId="2AB054EB" w14:textId="77777777" w:rsidR="002961DC" w:rsidRPr="00A95729" w:rsidRDefault="002961DC" w:rsidP="00E56366">
            <w:pPr>
              <w:spacing w:after="0" w:line="240" w:lineRule="auto"/>
              <w:jc w:val="center"/>
              <w:rPr>
                <w:color w:val="000000"/>
                <w:sz w:val="18"/>
                <w:szCs w:val="18"/>
              </w:rPr>
            </w:pPr>
            <w:r w:rsidRPr="00A95729">
              <w:rPr>
                <w:color w:val="000000"/>
                <w:sz w:val="18"/>
                <w:szCs w:val="18"/>
              </w:rPr>
              <w:t>15.43</w:t>
            </w:r>
          </w:p>
        </w:tc>
        <w:tc>
          <w:tcPr>
            <w:tcW w:w="630" w:type="dxa"/>
            <w:tcBorders>
              <w:top w:val="nil"/>
              <w:left w:val="single" w:sz="12" w:space="0" w:color="auto"/>
              <w:bottom w:val="nil"/>
              <w:right w:val="nil"/>
            </w:tcBorders>
            <w:shd w:val="clear" w:color="000000" w:fill="FFFFFF"/>
            <w:vAlign w:val="bottom"/>
          </w:tcPr>
          <w:p w14:paraId="49B6754A" w14:textId="77777777" w:rsidR="002961DC" w:rsidRPr="00A95729" w:rsidRDefault="002961DC" w:rsidP="00E56366">
            <w:pPr>
              <w:spacing w:after="0" w:line="240" w:lineRule="auto"/>
              <w:jc w:val="center"/>
              <w:rPr>
                <w:color w:val="000000"/>
                <w:sz w:val="18"/>
                <w:szCs w:val="18"/>
              </w:rPr>
            </w:pPr>
            <w:r w:rsidRPr="00A95729">
              <w:rPr>
                <w:color w:val="000000"/>
                <w:sz w:val="18"/>
                <w:szCs w:val="18"/>
              </w:rPr>
              <w:t>0.97</w:t>
            </w:r>
          </w:p>
        </w:tc>
        <w:tc>
          <w:tcPr>
            <w:tcW w:w="542" w:type="dxa"/>
            <w:tcBorders>
              <w:top w:val="nil"/>
              <w:left w:val="nil"/>
              <w:bottom w:val="nil"/>
              <w:right w:val="single" w:sz="12" w:space="0" w:color="auto"/>
            </w:tcBorders>
            <w:shd w:val="clear" w:color="000000" w:fill="FFFFFF"/>
            <w:vAlign w:val="bottom"/>
          </w:tcPr>
          <w:p w14:paraId="77BE8161" w14:textId="77777777" w:rsidR="002961DC" w:rsidRPr="00A95729" w:rsidRDefault="002961DC" w:rsidP="00E56366">
            <w:pPr>
              <w:spacing w:after="0" w:line="240" w:lineRule="auto"/>
              <w:jc w:val="center"/>
              <w:rPr>
                <w:color w:val="000000"/>
                <w:sz w:val="18"/>
                <w:szCs w:val="18"/>
              </w:rPr>
            </w:pPr>
            <w:r w:rsidRPr="00A95729">
              <w:rPr>
                <w:color w:val="000000"/>
                <w:sz w:val="18"/>
                <w:szCs w:val="18"/>
              </w:rPr>
              <w:t>21.06</w:t>
            </w:r>
          </w:p>
        </w:tc>
      </w:tr>
      <w:tr w:rsidR="002961DC" w:rsidRPr="00A95729" w14:paraId="488F6DC6" w14:textId="77777777" w:rsidTr="00E56366">
        <w:trPr>
          <w:trHeight w:val="20"/>
          <w:jc w:val="center"/>
        </w:trPr>
        <w:tc>
          <w:tcPr>
            <w:tcW w:w="2411" w:type="dxa"/>
            <w:tcBorders>
              <w:top w:val="nil"/>
              <w:left w:val="single" w:sz="12" w:space="0" w:color="auto"/>
              <w:bottom w:val="nil"/>
              <w:right w:val="single" w:sz="12" w:space="0" w:color="auto"/>
            </w:tcBorders>
            <w:shd w:val="clear" w:color="000000" w:fill="FFFFFF"/>
            <w:noWrap/>
            <w:vAlign w:val="bottom"/>
            <w:hideMark/>
          </w:tcPr>
          <w:p w14:paraId="71D4DF59" w14:textId="77777777" w:rsidR="002961DC" w:rsidRPr="00A95729" w:rsidRDefault="002961DC" w:rsidP="00E56366">
            <w:pPr>
              <w:spacing w:after="0" w:line="240" w:lineRule="auto"/>
              <w:rPr>
                <w:rFonts w:eastAsia="Times New Roman"/>
                <w:color w:val="000000"/>
                <w:sz w:val="18"/>
                <w:szCs w:val="18"/>
              </w:rPr>
            </w:pPr>
            <w:r w:rsidRPr="00A95729">
              <w:rPr>
                <w:rFonts w:eastAsia="Times New Roman"/>
                <w:color w:val="000000"/>
                <w:sz w:val="18"/>
                <w:szCs w:val="18"/>
              </w:rPr>
              <w:t xml:space="preserve">     Graduate degree</w:t>
            </w:r>
          </w:p>
        </w:tc>
        <w:tc>
          <w:tcPr>
            <w:tcW w:w="537" w:type="dxa"/>
            <w:tcBorders>
              <w:top w:val="nil"/>
              <w:left w:val="single" w:sz="12" w:space="0" w:color="auto"/>
              <w:bottom w:val="nil"/>
            </w:tcBorders>
            <w:shd w:val="clear" w:color="000000" w:fill="FFFFFF"/>
            <w:vAlign w:val="bottom"/>
          </w:tcPr>
          <w:p w14:paraId="0E895677"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0.33</w:t>
            </w:r>
          </w:p>
        </w:tc>
        <w:tc>
          <w:tcPr>
            <w:tcW w:w="541" w:type="dxa"/>
            <w:tcBorders>
              <w:top w:val="nil"/>
              <w:left w:val="nil"/>
              <w:bottom w:val="nil"/>
              <w:right w:val="single" w:sz="12" w:space="0" w:color="auto"/>
            </w:tcBorders>
            <w:shd w:val="clear" w:color="000000" w:fill="FFFFFF"/>
            <w:vAlign w:val="bottom"/>
          </w:tcPr>
          <w:p w14:paraId="45C6D3E5"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4.77</w:t>
            </w:r>
          </w:p>
        </w:tc>
        <w:tc>
          <w:tcPr>
            <w:tcW w:w="539" w:type="dxa"/>
            <w:tcBorders>
              <w:top w:val="nil"/>
              <w:left w:val="single" w:sz="12" w:space="0" w:color="auto"/>
              <w:bottom w:val="nil"/>
              <w:right w:val="nil"/>
            </w:tcBorders>
            <w:shd w:val="clear" w:color="000000" w:fill="FFFFFF"/>
            <w:noWrap/>
            <w:vAlign w:val="center"/>
            <w:hideMark/>
          </w:tcPr>
          <w:p w14:paraId="77BBC8A9"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49" w:type="dxa"/>
            <w:tcBorders>
              <w:top w:val="nil"/>
              <w:left w:val="nil"/>
              <w:bottom w:val="nil"/>
              <w:right w:val="single" w:sz="4" w:space="0" w:color="auto"/>
            </w:tcBorders>
            <w:shd w:val="clear" w:color="000000" w:fill="FFFFFF"/>
            <w:noWrap/>
            <w:vAlign w:val="center"/>
            <w:hideMark/>
          </w:tcPr>
          <w:p w14:paraId="7A0DFEBE"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bottom"/>
            <w:hideMark/>
          </w:tcPr>
          <w:p w14:paraId="05F2A8E7"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0.19</w:t>
            </w:r>
          </w:p>
        </w:tc>
        <w:tc>
          <w:tcPr>
            <w:tcW w:w="450" w:type="dxa"/>
            <w:tcBorders>
              <w:top w:val="nil"/>
              <w:left w:val="nil"/>
              <w:bottom w:val="nil"/>
              <w:right w:val="single" w:sz="4" w:space="0" w:color="auto"/>
            </w:tcBorders>
            <w:shd w:val="clear" w:color="000000" w:fill="FFFFFF"/>
            <w:noWrap/>
            <w:vAlign w:val="bottom"/>
            <w:hideMark/>
          </w:tcPr>
          <w:p w14:paraId="49464C5B"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1.97</w:t>
            </w:r>
          </w:p>
        </w:tc>
        <w:tc>
          <w:tcPr>
            <w:tcW w:w="540" w:type="dxa"/>
            <w:tcBorders>
              <w:top w:val="nil"/>
              <w:left w:val="nil"/>
              <w:bottom w:val="nil"/>
              <w:right w:val="nil"/>
            </w:tcBorders>
            <w:shd w:val="clear" w:color="000000" w:fill="FFFFFF"/>
            <w:noWrap/>
            <w:vAlign w:val="center"/>
            <w:hideMark/>
          </w:tcPr>
          <w:p w14:paraId="28EC1FDE"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hideMark/>
          </w:tcPr>
          <w:p w14:paraId="058F5534"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8" w:type="dxa"/>
            <w:tcBorders>
              <w:top w:val="nil"/>
              <w:left w:val="nil"/>
              <w:bottom w:val="nil"/>
              <w:right w:val="nil"/>
            </w:tcBorders>
            <w:shd w:val="clear" w:color="000000" w:fill="FFFFFF"/>
            <w:noWrap/>
            <w:vAlign w:val="center"/>
            <w:hideMark/>
          </w:tcPr>
          <w:p w14:paraId="66C45F4A"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hideMark/>
          </w:tcPr>
          <w:p w14:paraId="16888AF4"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bottom"/>
            <w:hideMark/>
          </w:tcPr>
          <w:p w14:paraId="0F4769CB" w14:textId="77777777" w:rsidR="002961DC" w:rsidRPr="00A95729" w:rsidRDefault="002961DC" w:rsidP="00E56366">
            <w:pPr>
              <w:spacing w:after="0" w:line="240" w:lineRule="auto"/>
              <w:jc w:val="center"/>
              <w:rPr>
                <w:rFonts w:eastAsia="Times New Roman"/>
                <w:sz w:val="18"/>
                <w:szCs w:val="18"/>
              </w:rPr>
            </w:pPr>
            <w:r w:rsidRPr="00A95729">
              <w:rPr>
                <w:color w:val="000000"/>
                <w:sz w:val="18"/>
                <w:szCs w:val="18"/>
              </w:rPr>
              <w:t>-0.18</w:t>
            </w:r>
          </w:p>
        </w:tc>
        <w:tc>
          <w:tcPr>
            <w:tcW w:w="450" w:type="dxa"/>
            <w:tcBorders>
              <w:top w:val="nil"/>
              <w:left w:val="nil"/>
              <w:bottom w:val="nil"/>
              <w:right w:val="single" w:sz="4" w:space="0" w:color="auto"/>
            </w:tcBorders>
            <w:shd w:val="clear" w:color="000000" w:fill="FFFFFF"/>
            <w:noWrap/>
            <w:vAlign w:val="bottom"/>
            <w:hideMark/>
          </w:tcPr>
          <w:p w14:paraId="41B2383C" w14:textId="77777777" w:rsidR="002961DC" w:rsidRPr="00A95729" w:rsidRDefault="002961DC" w:rsidP="00E56366">
            <w:pPr>
              <w:spacing w:after="0" w:line="240" w:lineRule="auto"/>
              <w:jc w:val="center"/>
              <w:rPr>
                <w:rFonts w:eastAsia="Times New Roman"/>
                <w:sz w:val="18"/>
                <w:szCs w:val="18"/>
              </w:rPr>
            </w:pPr>
            <w:r w:rsidRPr="00A95729">
              <w:rPr>
                <w:color w:val="000000"/>
                <w:sz w:val="18"/>
                <w:szCs w:val="18"/>
              </w:rPr>
              <w:t>-2.00</w:t>
            </w:r>
          </w:p>
        </w:tc>
        <w:tc>
          <w:tcPr>
            <w:tcW w:w="540" w:type="dxa"/>
            <w:tcBorders>
              <w:top w:val="nil"/>
              <w:left w:val="nil"/>
              <w:bottom w:val="nil"/>
              <w:right w:val="nil"/>
            </w:tcBorders>
            <w:shd w:val="clear" w:color="000000" w:fill="FFFFFF"/>
            <w:noWrap/>
            <w:vAlign w:val="bottom"/>
            <w:hideMark/>
          </w:tcPr>
          <w:p w14:paraId="6D242512"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-0.24</w:t>
            </w:r>
          </w:p>
        </w:tc>
        <w:tc>
          <w:tcPr>
            <w:tcW w:w="450" w:type="dxa"/>
            <w:tcBorders>
              <w:top w:val="nil"/>
              <w:left w:val="nil"/>
              <w:bottom w:val="nil"/>
              <w:right w:val="single" w:sz="4" w:space="0" w:color="auto"/>
            </w:tcBorders>
            <w:shd w:val="clear" w:color="000000" w:fill="FFFFFF"/>
            <w:noWrap/>
            <w:vAlign w:val="bottom"/>
            <w:hideMark/>
          </w:tcPr>
          <w:p w14:paraId="1EAF0420"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-1.57</w:t>
            </w:r>
          </w:p>
        </w:tc>
        <w:tc>
          <w:tcPr>
            <w:tcW w:w="540" w:type="dxa"/>
            <w:tcBorders>
              <w:top w:val="nil"/>
              <w:left w:val="nil"/>
              <w:bottom w:val="nil"/>
              <w:right w:val="nil"/>
            </w:tcBorders>
            <w:shd w:val="clear" w:color="000000" w:fill="FFFFFF"/>
            <w:noWrap/>
            <w:vAlign w:val="bottom"/>
            <w:hideMark/>
          </w:tcPr>
          <w:p w14:paraId="3B3DF859"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0.27</w:t>
            </w:r>
          </w:p>
        </w:tc>
        <w:tc>
          <w:tcPr>
            <w:tcW w:w="454" w:type="dxa"/>
            <w:tcBorders>
              <w:top w:val="nil"/>
              <w:left w:val="nil"/>
              <w:bottom w:val="nil"/>
              <w:right w:val="single" w:sz="4" w:space="0" w:color="auto"/>
            </w:tcBorders>
            <w:shd w:val="clear" w:color="000000" w:fill="FFFFFF"/>
            <w:noWrap/>
            <w:vAlign w:val="bottom"/>
            <w:hideMark/>
          </w:tcPr>
          <w:p w14:paraId="536D3510"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2.39</w:t>
            </w:r>
          </w:p>
        </w:tc>
        <w:tc>
          <w:tcPr>
            <w:tcW w:w="540" w:type="dxa"/>
            <w:tcBorders>
              <w:top w:val="nil"/>
              <w:left w:val="nil"/>
              <w:bottom w:val="nil"/>
              <w:right w:val="nil"/>
            </w:tcBorders>
            <w:shd w:val="clear" w:color="000000" w:fill="FFFFFF"/>
            <w:noWrap/>
            <w:vAlign w:val="bottom"/>
            <w:hideMark/>
          </w:tcPr>
          <w:p w14:paraId="1F9992A3"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0.12</w:t>
            </w:r>
          </w:p>
        </w:tc>
        <w:tc>
          <w:tcPr>
            <w:tcW w:w="456" w:type="dxa"/>
            <w:tcBorders>
              <w:top w:val="nil"/>
              <w:left w:val="nil"/>
              <w:bottom w:val="nil"/>
              <w:right w:val="single" w:sz="12" w:space="0" w:color="auto"/>
            </w:tcBorders>
            <w:shd w:val="clear" w:color="000000" w:fill="FFFFFF"/>
            <w:noWrap/>
            <w:vAlign w:val="bottom"/>
            <w:hideMark/>
          </w:tcPr>
          <w:p w14:paraId="619B394D"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2.16</w:t>
            </w:r>
          </w:p>
        </w:tc>
        <w:tc>
          <w:tcPr>
            <w:tcW w:w="540" w:type="dxa"/>
            <w:tcBorders>
              <w:top w:val="nil"/>
              <w:left w:val="nil"/>
              <w:bottom w:val="nil"/>
              <w:right w:val="nil"/>
            </w:tcBorders>
            <w:shd w:val="clear" w:color="000000" w:fill="FFFFFF"/>
            <w:vAlign w:val="bottom"/>
          </w:tcPr>
          <w:p w14:paraId="1AF220C2" w14:textId="77777777" w:rsidR="002961DC" w:rsidRPr="00A95729" w:rsidRDefault="002961DC" w:rsidP="00E56366">
            <w:pPr>
              <w:spacing w:after="0" w:line="240" w:lineRule="auto"/>
              <w:jc w:val="center"/>
              <w:rPr>
                <w:color w:val="000000"/>
                <w:sz w:val="18"/>
                <w:szCs w:val="18"/>
              </w:rPr>
            </w:pPr>
            <w:r w:rsidRPr="00A95729">
              <w:rPr>
                <w:color w:val="000000"/>
                <w:sz w:val="18"/>
                <w:szCs w:val="18"/>
              </w:rPr>
              <w:t>0.74</w:t>
            </w:r>
          </w:p>
        </w:tc>
        <w:tc>
          <w:tcPr>
            <w:tcW w:w="540" w:type="dxa"/>
            <w:tcBorders>
              <w:top w:val="nil"/>
              <w:left w:val="nil"/>
              <w:bottom w:val="nil"/>
              <w:right w:val="single" w:sz="12" w:space="0" w:color="auto"/>
            </w:tcBorders>
            <w:shd w:val="clear" w:color="000000" w:fill="FFFFFF"/>
            <w:vAlign w:val="bottom"/>
          </w:tcPr>
          <w:p w14:paraId="55DF6786" w14:textId="77777777" w:rsidR="002961DC" w:rsidRPr="00A95729" w:rsidRDefault="002961DC" w:rsidP="00E56366">
            <w:pPr>
              <w:spacing w:after="0" w:line="240" w:lineRule="auto"/>
              <w:jc w:val="center"/>
              <w:rPr>
                <w:color w:val="000000"/>
                <w:sz w:val="18"/>
                <w:szCs w:val="18"/>
              </w:rPr>
            </w:pPr>
            <w:r w:rsidRPr="00A95729">
              <w:rPr>
                <w:color w:val="000000"/>
                <w:sz w:val="18"/>
                <w:szCs w:val="18"/>
              </w:rPr>
              <w:t>15.43</w:t>
            </w:r>
          </w:p>
        </w:tc>
        <w:tc>
          <w:tcPr>
            <w:tcW w:w="630" w:type="dxa"/>
            <w:tcBorders>
              <w:top w:val="nil"/>
              <w:left w:val="single" w:sz="12" w:space="0" w:color="auto"/>
              <w:bottom w:val="nil"/>
              <w:right w:val="nil"/>
            </w:tcBorders>
            <w:shd w:val="clear" w:color="000000" w:fill="FFFFFF"/>
            <w:vAlign w:val="bottom"/>
          </w:tcPr>
          <w:p w14:paraId="76937098" w14:textId="77777777" w:rsidR="002961DC" w:rsidRPr="00A95729" w:rsidRDefault="002961DC" w:rsidP="00E56366">
            <w:pPr>
              <w:spacing w:after="0" w:line="240" w:lineRule="auto"/>
              <w:jc w:val="center"/>
              <w:rPr>
                <w:color w:val="000000"/>
                <w:sz w:val="18"/>
                <w:szCs w:val="18"/>
              </w:rPr>
            </w:pPr>
            <w:r w:rsidRPr="00A95729">
              <w:rPr>
                <w:color w:val="000000"/>
                <w:sz w:val="18"/>
                <w:szCs w:val="18"/>
              </w:rPr>
              <w:t>1.05</w:t>
            </w:r>
          </w:p>
        </w:tc>
        <w:tc>
          <w:tcPr>
            <w:tcW w:w="542" w:type="dxa"/>
            <w:tcBorders>
              <w:top w:val="nil"/>
              <w:left w:val="nil"/>
              <w:bottom w:val="nil"/>
              <w:right w:val="single" w:sz="12" w:space="0" w:color="auto"/>
            </w:tcBorders>
            <w:shd w:val="clear" w:color="000000" w:fill="FFFFFF"/>
            <w:vAlign w:val="bottom"/>
          </w:tcPr>
          <w:p w14:paraId="11536D29" w14:textId="77777777" w:rsidR="002961DC" w:rsidRPr="00A95729" w:rsidRDefault="002961DC" w:rsidP="00E56366">
            <w:pPr>
              <w:spacing w:after="0" w:line="240" w:lineRule="auto"/>
              <w:jc w:val="center"/>
              <w:rPr>
                <w:color w:val="000000"/>
                <w:sz w:val="18"/>
                <w:szCs w:val="18"/>
              </w:rPr>
            </w:pPr>
            <w:r w:rsidRPr="00A95729">
              <w:rPr>
                <w:color w:val="000000"/>
                <w:sz w:val="18"/>
                <w:szCs w:val="18"/>
              </w:rPr>
              <w:t>21.60</w:t>
            </w:r>
          </w:p>
        </w:tc>
      </w:tr>
      <w:tr w:rsidR="002961DC" w:rsidRPr="00A95729" w14:paraId="110AACC7" w14:textId="77777777" w:rsidTr="00E56366">
        <w:trPr>
          <w:trHeight w:val="20"/>
          <w:jc w:val="center"/>
        </w:trPr>
        <w:tc>
          <w:tcPr>
            <w:tcW w:w="2411" w:type="dxa"/>
            <w:tcBorders>
              <w:top w:val="nil"/>
              <w:left w:val="single" w:sz="12" w:space="0" w:color="auto"/>
              <w:bottom w:val="nil"/>
              <w:right w:val="single" w:sz="12" w:space="0" w:color="auto"/>
            </w:tcBorders>
            <w:shd w:val="clear" w:color="000000" w:fill="FFFFFF"/>
            <w:noWrap/>
            <w:vAlign w:val="bottom"/>
            <w:hideMark/>
          </w:tcPr>
          <w:p w14:paraId="41732164" w14:textId="77777777" w:rsidR="002961DC" w:rsidRPr="00A95729" w:rsidRDefault="002961DC" w:rsidP="00E56366">
            <w:pPr>
              <w:spacing w:after="0" w:line="240" w:lineRule="auto"/>
              <w:rPr>
                <w:rFonts w:eastAsia="Times New Roman"/>
                <w:sz w:val="18"/>
                <w:szCs w:val="18"/>
              </w:rPr>
            </w:pPr>
            <w:r w:rsidRPr="00A95729">
              <w:rPr>
                <w:rFonts w:eastAsia="Times New Roman"/>
                <w:sz w:val="18"/>
                <w:szCs w:val="18"/>
              </w:rPr>
              <w:t>Driver Status (Driver)</w:t>
            </w:r>
          </w:p>
        </w:tc>
        <w:tc>
          <w:tcPr>
            <w:tcW w:w="537" w:type="dxa"/>
            <w:tcBorders>
              <w:top w:val="nil"/>
              <w:left w:val="single" w:sz="12" w:space="0" w:color="auto"/>
              <w:bottom w:val="nil"/>
            </w:tcBorders>
            <w:shd w:val="clear" w:color="000000" w:fill="FFFFFF"/>
          </w:tcPr>
          <w:p w14:paraId="78D4D8B5" w14:textId="77777777" w:rsidR="002961DC" w:rsidRPr="00A95729" w:rsidRDefault="002961DC" w:rsidP="00E56366">
            <w:pPr>
              <w:spacing w:after="0" w:line="240" w:lineRule="auto"/>
              <w:jc w:val="center"/>
              <w:rPr>
                <w:rFonts w:eastAsia="Times New Roman"/>
                <w:color w:val="000000"/>
                <w:sz w:val="18"/>
                <w:szCs w:val="18"/>
              </w:rPr>
            </w:pPr>
          </w:p>
        </w:tc>
        <w:tc>
          <w:tcPr>
            <w:tcW w:w="541" w:type="dxa"/>
            <w:tcBorders>
              <w:top w:val="nil"/>
              <w:left w:val="nil"/>
              <w:bottom w:val="nil"/>
              <w:right w:val="single" w:sz="12" w:space="0" w:color="auto"/>
            </w:tcBorders>
            <w:shd w:val="clear" w:color="000000" w:fill="FFFFFF"/>
          </w:tcPr>
          <w:p w14:paraId="188AA0BA" w14:textId="77777777" w:rsidR="002961DC" w:rsidRPr="00A95729" w:rsidRDefault="002961DC" w:rsidP="00E56366">
            <w:pPr>
              <w:spacing w:after="0" w:line="240" w:lineRule="auto"/>
              <w:jc w:val="center"/>
              <w:rPr>
                <w:rFonts w:eastAsia="Times New Roman"/>
                <w:color w:val="000000"/>
                <w:sz w:val="18"/>
                <w:szCs w:val="18"/>
              </w:rPr>
            </w:pPr>
          </w:p>
        </w:tc>
        <w:tc>
          <w:tcPr>
            <w:tcW w:w="539" w:type="dxa"/>
            <w:tcBorders>
              <w:top w:val="nil"/>
              <w:left w:val="single" w:sz="12" w:space="0" w:color="auto"/>
              <w:bottom w:val="nil"/>
              <w:right w:val="nil"/>
            </w:tcBorders>
            <w:shd w:val="clear" w:color="000000" w:fill="FFFFFF"/>
            <w:noWrap/>
            <w:vAlign w:val="center"/>
            <w:hideMark/>
          </w:tcPr>
          <w:p w14:paraId="1944B48C"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449" w:type="dxa"/>
            <w:tcBorders>
              <w:top w:val="nil"/>
              <w:left w:val="nil"/>
              <w:bottom w:val="nil"/>
              <w:right w:val="single" w:sz="4" w:space="0" w:color="auto"/>
            </w:tcBorders>
            <w:shd w:val="clear" w:color="000000" w:fill="FFFFFF"/>
            <w:noWrap/>
            <w:vAlign w:val="center"/>
            <w:hideMark/>
          </w:tcPr>
          <w:p w14:paraId="7BCF2271"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hideMark/>
          </w:tcPr>
          <w:p w14:paraId="5469431C"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450" w:type="dxa"/>
            <w:tcBorders>
              <w:top w:val="nil"/>
              <w:left w:val="nil"/>
              <w:bottom w:val="nil"/>
              <w:right w:val="single" w:sz="4" w:space="0" w:color="auto"/>
            </w:tcBorders>
            <w:shd w:val="clear" w:color="000000" w:fill="FFFFFF"/>
            <w:noWrap/>
            <w:vAlign w:val="center"/>
            <w:hideMark/>
          </w:tcPr>
          <w:p w14:paraId="65405EF6"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hideMark/>
          </w:tcPr>
          <w:p w14:paraId="718802BE"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450" w:type="dxa"/>
            <w:tcBorders>
              <w:top w:val="nil"/>
              <w:left w:val="nil"/>
              <w:bottom w:val="nil"/>
              <w:right w:val="single" w:sz="4" w:space="0" w:color="auto"/>
            </w:tcBorders>
            <w:shd w:val="clear" w:color="000000" w:fill="FFFFFF"/>
            <w:noWrap/>
            <w:vAlign w:val="center"/>
            <w:hideMark/>
          </w:tcPr>
          <w:p w14:paraId="09DE2B23"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8" w:type="dxa"/>
            <w:tcBorders>
              <w:top w:val="nil"/>
              <w:left w:val="nil"/>
              <w:bottom w:val="nil"/>
              <w:right w:val="nil"/>
            </w:tcBorders>
            <w:shd w:val="clear" w:color="000000" w:fill="FFFFFF"/>
            <w:noWrap/>
            <w:vAlign w:val="center"/>
            <w:hideMark/>
          </w:tcPr>
          <w:p w14:paraId="2B2997C9"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450" w:type="dxa"/>
            <w:tcBorders>
              <w:top w:val="nil"/>
              <w:left w:val="nil"/>
              <w:bottom w:val="nil"/>
              <w:right w:val="single" w:sz="4" w:space="0" w:color="auto"/>
            </w:tcBorders>
            <w:shd w:val="clear" w:color="000000" w:fill="FFFFFF"/>
            <w:noWrap/>
            <w:vAlign w:val="center"/>
            <w:hideMark/>
          </w:tcPr>
          <w:p w14:paraId="75B0CB17"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hideMark/>
          </w:tcPr>
          <w:p w14:paraId="1A6C1FBA" w14:textId="77777777" w:rsidR="002961DC" w:rsidRPr="00A95729" w:rsidRDefault="002961DC" w:rsidP="00E56366">
            <w:pPr>
              <w:spacing w:after="0" w:line="240" w:lineRule="auto"/>
              <w:jc w:val="center"/>
              <w:rPr>
                <w:rFonts w:eastAsia="Times New Roman"/>
                <w:sz w:val="18"/>
                <w:szCs w:val="18"/>
              </w:rPr>
            </w:pPr>
            <w:r w:rsidRPr="00A95729">
              <w:rPr>
                <w:rFonts w:eastAsia="Times New Roman"/>
                <w:sz w:val="18"/>
                <w:szCs w:val="18"/>
              </w:rPr>
              <w:t> </w:t>
            </w:r>
          </w:p>
        </w:tc>
        <w:tc>
          <w:tcPr>
            <w:tcW w:w="450" w:type="dxa"/>
            <w:tcBorders>
              <w:top w:val="nil"/>
              <w:left w:val="nil"/>
              <w:bottom w:val="nil"/>
              <w:right w:val="single" w:sz="4" w:space="0" w:color="auto"/>
            </w:tcBorders>
            <w:shd w:val="clear" w:color="000000" w:fill="FFFFFF"/>
            <w:noWrap/>
            <w:vAlign w:val="center"/>
            <w:hideMark/>
          </w:tcPr>
          <w:p w14:paraId="4109EB7A" w14:textId="77777777" w:rsidR="002961DC" w:rsidRPr="00A95729" w:rsidRDefault="002961DC" w:rsidP="00E56366">
            <w:pPr>
              <w:spacing w:after="0" w:line="240" w:lineRule="auto"/>
              <w:jc w:val="center"/>
              <w:rPr>
                <w:rFonts w:eastAsia="Times New Roman"/>
                <w:sz w:val="18"/>
                <w:szCs w:val="18"/>
              </w:rPr>
            </w:pPr>
            <w:r w:rsidRPr="00A95729">
              <w:rPr>
                <w:rFonts w:eastAsia="Times New Roman"/>
                <w:sz w:val="18"/>
                <w:szCs w:val="18"/>
              </w:rPr>
              <w:t> </w:t>
            </w:r>
          </w:p>
        </w:tc>
        <w:tc>
          <w:tcPr>
            <w:tcW w:w="540" w:type="dxa"/>
            <w:tcBorders>
              <w:top w:val="nil"/>
              <w:left w:val="nil"/>
              <w:bottom w:val="nil"/>
              <w:right w:val="nil"/>
            </w:tcBorders>
            <w:shd w:val="clear" w:color="000000" w:fill="FFFFFF"/>
            <w:noWrap/>
            <w:vAlign w:val="center"/>
            <w:hideMark/>
          </w:tcPr>
          <w:p w14:paraId="349B770C"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450" w:type="dxa"/>
            <w:tcBorders>
              <w:top w:val="nil"/>
              <w:left w:val="nil"/>
              <w:bottom w:val="nil"/>
              <w:right w:val="single" w:sz="4" w:space="0" w:color="auto"/>
            </w:tcBorders>
            <w:shd w:val="clear" w:color="000000" w:fill="FFFFFF"/>
            <w:noWrap/>
            <w:vAlign w:val="center"/>
            <w:hideMark/>
          </w:tcPr>
          <w:p w14:paraId="4B32C506"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hideMark/>
          </w:tcPr>
          <w:p w14:paraId="75BD63D3"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454" w:type="dxa"/>
            <w:tcBorders>
              <w:top w:val="nil"/>
              <w:left w:val="nil"/>
              <w:bottom w:val="nil"/>
              <w:right w:val="single" w:sz="4" w:space="0" w:color="auto"/>
            </w:tcBorders>
            <w:shd w:val="clear" w:color="000000" w:fill="FFFFFF"/>
            <w:noWrap/>
            <w:vAlign w:val="center"/>
            <w:hideMark/>
          </w:tcPr>
          <w:p w14:paraId="7DAB7E06"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hideMark/>
          </w:tcPr>
          <w:p w14:paraId="370EAD6F"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456" w:type="dxa"/>
            <w:tcBorders>
              <w:top w:val="nil"/>
              <w:left w:val="nil"/>
              <w:bottom w:val="nil"/>
              <w:right w:val="single" w:sz="12" w:space="0" w:color="auto"/>
            </w:tcBorders>
            <w:shd w:val="clear" w:color="000000" w:fill="FFFFFF"/>
            <w:noWrap/>
            <w:vAlign w:val="center"/>
            <w:hideMark/>
          </w:tcPr>
          <w:p w14:paraId="49203B8A"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tcPr>
          <w:p w14:paraId="7498EA28" w14:textId="77777777" w:rsidR="002961DC" w:rsidRPr="00A95729" w:rsidRDefault="002961DC" w:rsidP="00E56366">
            <w:pPr>
              <w:spacing w:after="0" w:line="240" w:lineRule="auto"/>
              <w:jc w:val="center"/>
              <w:rPr>
                <w:rFonts w:eastAsia="Times New Roman"/>
                <w:color w:val="000000"/>
                <w:sz w:val="18"/>
                <w:szCs w:val="18"/>
              </w:rPr>
            </w:pPr>
          </w:p>
        </w:tc>
        <w:tc>
          <w:tcPr>
            <w:tcW w:w="540" w:type="dxa"/>
            <w:tcBorders>
              <w:top w:val="nil"/>
              <w:left w:val="nil"/>
              <w:bottom w:val="nil"/>
              <w:right w:val="single" w:sz="12" w:space="0" w:color="auto"/>
            </w:tcBorders>
            <w:shd w:val="clear" w:color="000000" w:fill="FFFFFF"/>
          </w:tcPr>
          <w:p w14:paraId="295BF63F" w14:textId="77777777" w:rsidR="002961DC" w:rsidRPr="00A95729" w:rsidRDefault="002961DC" w:rsidP="00E56366">
            <w:pPr>
              <w:spacing w:after="0" w:line="240" w:lineRule="auto"/>
              <w:jc w:val="center"/>
              <w:rPr>
                <w:rFonts w:eastAsia="Times New Roman"/>
                <w:color w:val="000000"/>
                <w:sz w:val="18"/>
                <w:szCs w:val="18"/>
              </w:rPr>
            </w:pPr>
          </w:p>
        </w:tc>
        <w:tc>
          <w:tcPr>
            <w:tcW w:w="630" w:type="dxa"/>
            <w:tcBorders>
              <w:top w:val="nil"/>
              <w:left w:val="single" w:sz="12" w:space="0" w:color="auto"/>
              <w:bottom w:val="nil"/>
              <w:right w:val="nil"/>
            </w:tcBorders>
            <w:shd w:val="clear" w:color="000000" w:fill="FFFFFF"/>
          </w:tcPr>
          <w:p w14:paraId="48029026" w14:textId="77777777" w:rsidR="002961DC" w:rsidRPr="00A95729" w:rsidRDefault="002961DC" w:rsidP="00E56366">
            <w:pPr>
              <w:spacing w:after="0" w:line="240" w:lineRule="auto"/>
              <w:jc w:val="center"/>
              <w:rPr>
                <w:rFonts w:eastAsia="Times New Roman"/>
                <w:color w:val="000000"/>
                <w:sz w:val="18"/>
                <w:szCs w:val="18"/>
              </w:rPr>
            </w:pPr>
          </w:p>
        </w:tc>
        <w:tc>
          <w:tcPr>
            <w:tcW w:w="542" w:type="dxa"/>
            <w:tcBorders>
              <w:top w:val="nil"/>
              <w:left w:val="nil"/>
              <w:bottom w:val="nil"/>
              <w:right w:val="single" w:sz="12" w:space="0" w:color="auto"/>
            </w:tcBorders>
            <w:shd w:val="clear" w:color="000000" w:fill="FFFFFF"/>
          </w:tcPr>
          <w:p w14:paraId="2560E3AA" w14:textId="77777777" w:rsidR="002961DC" w:rsidRPr="00A95729" w:rsidRDefault="002961DC" w:rsidP="00E56366">
            <w:pPr>
              <w:spacing w:after="0" w:line="240" w:lineRule="auto"/>
              <w:jc w:val="center"/>
              <w:rPr>
                <w:rFonts w:eastAsia="Times New Roman"/>
                <w:color w:val="000000"/>
                <w:sz w:val="18"/>
                <w:szCs w:val="18"/>
              </w:rPr>
            </w:pPr>
          </w:p>
        </w:tc>
      </w:tr>
      <w:tr w:rsidR="002961DC" w:rsidRPr="00A95729" w14:paraId="0768CD88" w14:textId="77777777" w:rsidTr="00E56366">
        <w:trPr>
          <w:trHeight w:val="20"/>
          <w:jc w:val="center"/>
        </w:trPr>
        <w:tc>
          <w:tcPr>
            <w:tcW w:w="2411" w:type="dxa"/>
            <w:tcBorders>
              <w:top w:val="nil"/>
              <w:left w:val="single" w:sz="12" w:space="0" w:color="auto"/>
              <w:bottom w:val="nil"/>
              <w:right w:val="single" w:sz="12" w:space="0" w:color="auto"/>
            </w:tcBorders>
            <w:shd w:val="clear" w:color="000000" w:fill="FFFFFF"/>
            <w:noWrap/>
            <w:vAlign w:val="bottom"/>
            <w:hideMark/>
          </w:tcPr>
          <w:p w14:paraId="619314B9" w14:textId="77777777" w:rsidR="002961DC" w:rsidRPr="00A95729" w:rsidRDefault="002961DC" w:rsidP="00E56366">
            <w:pPr>
              <w:spacing w:after="0" w:line="240" w:lineRule="auto"/>
              <w:rPr>
                <w:rFonts w:eastAsia="Times New Roman"/>
                <w:sz w:val="18"/>
                <w:szCs w:val="18"/>
              </w:rPr>
            </w:pPr>
            <w:r w:rsidRPr="00A95729">
              <w:rPr>
                <w:rFonts w:eastAsia="Times New Roman"/>
                <w:sz w:val="18"/>
                <w:szCs w:val="18"/>
              </w:rPr>
              <w:t xml:space="preserve">     Not a driver</w:t>
            </w:r>
          </w:p>
        </w:tc>
        <w:tc>
          <w:tcPr>
            <w:tcW w:w="537" w:type="dxa"/>
            <w:tcBorders>
              <w:top w:val="nil"/>
              <w:left w:val="single" w:sz="12" w:space="0" w:color="auto"/>
              <w:bottom w:val="nil"/>
            </w:tcBorders>
            <w:shd w:val="clear" w:color="000000" w:fill="FFFFFF"/>
            <w:vAlign w:val="bottom"/>
          </w:tcPr>
          <w:p w14:paraId="628EF384"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0.18</w:t>
            </w:r>
          </w:p>
        </w:tc>
        <w:tc>
          <w:tcPr>
            <w:tcW w:w="541" w:type="dxa"/>
            <w:tcBorders>
              <w:top w:val="nil"/>
              <w:left w:val="nil"/>
              <w:bottom w:val="nil"/>
              <w:right w:val="single" w:sz="12" w:space="0" w:color="auto"/>
            </w:tcBorders>
            <w:shd w:val="clear" w:color="000000" w:fill="FFFFFF"/>
            <w:vAlign w:val="bottom"/>
          </w:tcPr>
          <w:p w14:paraId="212107E4"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3.80</w:t>
            </w:r>
          </w:p>
        </w:tc>
        <w:tc>
          <w:tcPr>
            <w:tcW w:w="539" w:type="dxa"/>
            <w:tcBorders>
              <w:top w:val="nil"/>
              <w:left w:val="single" w:sz="12" w:space="0" w:color="auto"/>
              <w:bottom w:val="nil"/>
              <w:right w:val="nil"/>
            </w:tcBorders>
            <w:shd w:val="clear" w:color="000000" w:fill="FFFFFF"/>
            <w:noWrap/>
            <w:vAlign w:val="center"/>
            <w:hideMark/>
          </w:tcPr>
          <w:p w14:paraId="0B386FC0"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49" w:type="dxa"/>
            <w:tcBorders>
              <w:top w:val="nil"/>
              <w:left w:val="nil"/>
              <w:bottom w:val="nil"/>
              <w:right w:val="single" w:sz="4" w:space="0" w:color="auto"/>
            </w:tcBorders>
            <w:shd w:val="clear" w:color="000000" w:fill="FFFFFF"/>
            <w:noWrap/>
            <w:vAlign w:val="center"/>
            <w:hideMark/>
          </w:tcPr>
          <w:p w14:paraId="0F23DBE4"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hideMark/>
          </w:tcPr>
          <w:p w14:paraId="6DB763B6"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hideMark/>
          </w:tcPr>
          <w:p w14:paraId="2F792B90"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hideMark/>
          </w:tcPr>
          <w:p w14:paraId="56890343"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hideMark/>
          </w:tcPr>
          <w:p w14:paraId="614EF3E9"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8" w:type="dxa"/>
            <w:tcBorders>
              <w:top w:val="nil"/>
              <w:left w:val="nil"/>
              <w:bottom w:val="nil"/>
              <w:right w:val="nil"/>
            </w:tcBorders>
            <w:shd w:val="clear" w:color="000000" w:fill="FFFFFF"/>
            <w:noWrap/>
            <w:vAlign w:val="center"/>
            <w:hideMark/>
          </w:tcPr>
          <w:p w14:paraId="2CF011EE"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hideMark/>
          </w:tcPr>
          <w:p w14:paraId="10EC9A9A"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hideMark/>
          </w:tcPr>
          <w:p w14:paraId="5FF3AFD4" w14:textId="77777777" w:rsidR="002961DC" w:rsidRPr="00A95729" w:rsidRDefault="002961DC" w:rsidP="00E56366">
            <w:pPr>
              <w:spacing w:after="0" w:line="240" w:lineRule="auto"/>
              <w:jc w:val="center"/>
              <w:rPr>
                <w:rFonts w:eastAsia="Times New Roman"/>
                <w:sz w:val="18"/>
                <w:szCs w:val="18"/>
              </w:rPr>
            </w:pPr>
            <w:r w:rsidRPr="00A95729">
              <w:rPr>
                <w:rFonts w:eastAsia="Times New Roman"/>
                <w:sz w:val="18"/>
                <w:szCs w:val="18"/>
              </w:rPr>
              <w:t>--</w:t>
            </w:r>
          </w:p>
        </w:tc>
        <w:tc>
          <w:tcPr>
            <w:tcW w:w="450" w:type="dxa"/>
            <w:tcBorders>
              <w:top w:val="nil"/>
              <w:left w:val="nil"/>
              <w:bottom w:val="nil"/>
              <w:right w:val="single" w:sz="4" w:space="0" w:color="auto"/>
            </w:tcBorders>
            <w:shd w:val="clear" w:color="000000" w:fill="FFFFFF"/>
            <w:noWrap/>
            <w:vAlign w:val="center"/>
            <w:hideMark/>
          </w:tcPr>
          <w:p w14:paraId="22AD4676" w14:textId="77777777" w:rsidR="002961DC" w:rsidRPr="00A95729" w:rsidRDefault="002961DC" w:rsidP="00E56366">
            <w:pPr>
              <w:spacing w:after="0" w:line="240" w:lineRule="auto"/>
              <w:jc w:val="center"/>
              <w:rPr>
                <w:rFonts w:eastAsia="Times New Roman"/>
                <w:sz w:val="18"/>
                <w:szCs w:val="18"/>
              </w:rPr>
            </w:pPr>
            <w:r w:rsidRPr="00A95729">
              <w:rPr>
                <w:rFonts w:eastAsia="Times New Roman"/>
                <w:sz w:val="18"/>
                <w:szCs w:val="18"/>
              </w:rPr>
              <w:t> </w:t>
            </w:r>
          </w:p>
        </w:tc>
        <w:tc>
          <w:tcPr>
            <w:tcW w:w="540" w:type="dxa"/>
            <w:tcBorders>
              <w:top w:val="nil"/>
              <w:left w:val="nil"/>
              <w:bottom w:val="nil"/>
              <w:right w:val="nil"/>
            </w:tcBorders>
            <w:shd w:val="clear" w:color="000000" w:fill="FFFFFF"/>
            <w:noWrap/>
            <w:vAlign w:val="bottom"/>
            <w:hideMark/>
          </w:tcPr>
          <w:p w14:paraId="6C74ECAA"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-0.26</w:t>
            </w:r>
          </w:p>
        </w:tc>
        <w:tc>
          <w:tcPr>
            <w:tcW w:w="450" w:type="dxa"/>
            <w:tcBorders>
              <w:top w:val="nil"/>
              <w:left w:val="nil"/>
              <w:bottom w:val="nil"/>
              <w:right w:val="single" w:sz="4" w:space="0" w:color="auto"/>
            </w:tcBorders>
            <w:shd w:val="clear" w:color="000000" w:fill="FFFFFF"/>
            <w:noWrap/>
            <w:vAlign w:val="bottom"/>
            <w:hideMark/>
          </w:tcPr>
          <w:p w14:paraId="5CA820C1"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-2.29</w:t>
            </w:r>
          </w:p>
        </w:tc>
        <w:tc>
          <w:tcPr>
            <w:tcW w:w="540" w:type="dxa"/>
            <w:tcBorders>
              <w:top w:val="nil"/>
              <w:left w:val="nil"/>
              <w:bottom w:val="nil"/>
              <w:right w:val="nil"/>
            </w:tcBorders>
            <w:shd w:val="clear" w:color="000000" w:fill="FFFFFF"/>
            <w:noWrap/>
            <w:vAlign w:val="bottom"/>
            <w:hideMark/>
          </w:tcPr>
          <w:p w14:paraId="38FD74A4"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0.30</w:t>
            </w:r>
          </w:p>
        </w:tc>
        <w:tc>
          <w:tcPr>
            <w:tcW w:w="454" w:type="dxa"/>
            <w:tcBorders>
              <w:top w:val="nil"/>
              <w:left w:val="nil"/>
              <w:bottom w:val="nil"/>
              <w:right w:val="single" w:sz="4" w:space="0" w:color="auto"/>
            </w:tcBorders>
            <w:shd w:val="clear" w:color="000000" w:fill="FFFFFF"/>
            <w:noWrap/>
            <w:vAlign w:val="bottom"/>
            <w:hideMark/>
          </w:tcPr>
          <w:p w14:paraId="6E7079F6"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2.33</w:t>
            </w:r>
          </w:p>
        </w:tc>
        <w:tc>
          <w:tcPr>
            <w:tcW w:w="540" w:type="dxa"/>
            <w:tcBorders>
              <w:top w:val="nil"/>
              <w:left w:val="nil"/>
              <w:bottom w:val="nil"/>
              <w:right w:val="nil"/>
            </w:tcBorders>
            <w:shd w:val="clear" w:color="000000" w:fill="FFFFFF"/>
            <w:noWrap/>
            <w:vAlign w:val="center"/>
            <w:hideMark/>
          </w:tcPr>
          <w:p w14:paraId="6C03D005"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6" w:type="dxa"/>
            <w:tcBorders>
              <w:top w:val="nil"/>
              <w:left w:val="nil"/>
              <w:bottom w:val="nil"/>
              <w:right w:val="single" w:sz="12" w:space="0" w:color="auto"/>
            </w:tcBorders>
            <w:shd w:val="clear" w:color="000000" w:fill="FFFFFF"/>
            <w:noWrap/>
            <w:vAlign w:val="center"/>
            <w:hideMark/>
          </w:tcPr>
          <w:p w14:paraId="6950412E"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vAlign w:val="center"/>
          </w:tcPr>
          <w:p w14:paraId="46E17B2B"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540" w:type="dxa"/>
            <w:tcBorders>
              <w:top w:val="nil"/>
              <w:left w:val="nil"/>
              <w:bottom w:val="nil"/>
              <w:right w:val="single" w:sz="12" w:space="0" w:color="auto"/>
            </w:tcBorders>
            <w:shd w:val="clear" w:color="000000" w:fill="FFFFFF"/>
            <w:vAlign w:val="center"/>
          </w:tcPr>
          <w:p w14:paraId="533F0B51"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630" w:type="dxa"/>
            <w:tcBorders>
              <w:top w:val="nil"/>
              <w:left w:val="single" w:sz="12" w:space="0" w:color="auto"/>
              <w:bottom w:val="nil"/>
              <w:right w:val="nil"/>
            </w:tcBorders>
            <w:shd w:val="clear" w:color="000000" w:fill="FFFFFF"/>
            <w:vAlign w:val="center"/>
          </w:tcPr>
          <w:p w14:paraId="34A21571"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542" w:type="dxa"/>
            <w:tcBorders>
              <w:top w:val="nil"/>
              <w:left w:val="nil"/>
              <w:bottom w:val="nil"/>
              <w:right w:val="single" w:sz="12" w:space="0" w:color="auto"/>
            </w:tcBorders>
            <w:shd w:val="clear" w:color="000000" w:fill="FFFFFF"/>
            <w:vAlign w:val="center"/>
          </w:tcPr>
          <w:p w14:paraId="491D62EC"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r>
      <w:tr w:rsidR="002961DC" w:rsidRPr="00A95729" w14:paraId="7C7E3E27" w14:textId="77777777" w:rsidTr="00E56366">
        <w:trPr>
          <w:trHeight w:val="20"/>
          <w:jc w:val="center"/>
        </w:trPr>
        <w:tc>
          <w:tcPr>
            <w:tcW w:w="2411" w:type="dxa"/>
            <w:tcBorders>
              <w:top w:val="nil"/>
              <w:left w:val="single" w:sz="12" w:space="0" w:color="auto"/>
              <w:right w:val="single" w:sz="12" w:space="0" w:color="auto"/>
            </w:tcBorders>
            <w:shd w:val="clear" w:color="000000" w:fill="FFFFFF"/>
            <w:noWrap/>
            <w:vAlign w:val="bottom"/>
          </w:tcPr>
          <w:p w14:paraId="5AA18D0E" w14:textId="77777777" w:rsidR="002961DC" w:rsidRPr="00A95729" w:rsidRDefault="002961DC" w:rsidP="00E56366">
            <w:pPr>
              <w:spacing w:after="0" w:line="240" w:lineRule="auto"/>
              <w:rPr>
                <w:rFonts w:eastAsia="Times New Roman"/>
                <w:color w:val="000000"/>
                <w:sz w:val="18"/>
                <w:szCs w:val="18"/>
              </w:rPr>
            </w:pPr>
            <w:r w:rsidRPr="00A95729">
              <w:rPr>
                <w:rFonts w:eastAsia="Times New Roman"/>
                <w:sz w:val="18"/>
                <w:szCs w:val="18"/>
              </w:rPr>
              <w:t>Medical Condition (No)</w:t>
            </w:r>
          </w:p>
        </w:tc>
        <w:tc>
          <w:tcPr>
            <w:tcW w:w="537" w:type="dxa"/>
            <w:tcBorders>
              <w:top w:val="nil"/>
              <w:left w:val="single" w:sz="12" w:space="0" w:color="auto"/>
            </w:tcBorders>
            <w:shd w:val="clear" w:color="000000" w:fill="FFFFFF"/>
          </w:tcPr>
          <w:p w14:paraId="02AD4A33" w14:textId="77777777" w:rsidR="002961DC" w:rsidRPr="00A95729" w:rsidRDefault="002961DC" w:rsidP="00E56366">
            <w:pPr>
              <w:spacing w:after="0" w:line="240" w:lineRule="auto"/>
              <w:jc w:val="center"/>
              <w:rPr>
                <w:rFonts w:eastAsia="Times New Roman"/>
                <w:color w:val="000000"/>
                <w:sz w:val="18"/>
                <w:szCs w:val="18"/>
              </w:rPr>
            </w:pPr>
          </w:p>
        </w:tc>
        <w:tc>
          <w:tcPr>
            <w:tcW w:w="541" w:type="dxa"/>
            <w:tcBorders>
              <w:top w:val="nil"/>
              <w:left w:val="nil"/>
              <w:right w:val="single" w:sz="12" w:space="0" w:color="auto"/>
            </w:tcBorders>
            <w:shd w:val="clear" w:color="000000" w:fill="FFFFFF"/>
          </w:tcPr>
          <w:p w14:paraId="4D044085" w14:textId="77777777" w:rsidR="002961DC" w:rsidRPr="00A95729" w:rsidRDefault="002961DC" w:rsidP="00E56366">
            <w:pPr>
              <w:spacing w:after="0" w:line="240" w:lineRule="auto"/>
              <w:jc w:val="center"/>
              <w:rPr>
                <w:rFonts w:eastAsia="Times New Roman"/>
                <w:color w:val="000000"/>
                <w:sz w:val="18"/>
                <w:szCs w:val="18"/>
              </w:rPr>
            </w:pPr>
          </w:p>
        </w:tc>
        <w:tc>
          <w:tcPr>
            <w:tcW w:w="539" w:type="dxa"/>
            <w:tcBorders>
              <w:top w:val="nil"/>
              <w:left w:val="single" w:sz="12" w:space="0" w:color="auto"/>
              <w:right w:val="nil"/>
            </w:tcBorders>
            <w:shd w:val="clear" w:color="000000" w:fill="FFFFFF"/>
            <w:noWrap/>
            <w:vAlign w:val="center"/>
          </w:tcPr>
          <w:p w14:paraId="372C1EC9"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449" w:type="dxa"/>
            <w:tcBorders>
              <w:top w:val="nil"/>
              <w:left w:val="nil"/>
              <w:right w:val="single" w:sz="4" w:space="0" w:color="auto"/>
            </w:tcBorders>
            <w:shd w:val="clear" w:color="000000" w:fill="FFFFFF"/>
            <w:noWrap/>
            <w:vAlign w:val="center"/>
          </w:tcPr>
          <w:p w14:paraId="32A5E827"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right w:val="nil"/>
            </w:tcBorders>
            <w:shd w:val="clear" w:color="000000" w:fill="FFFFFF"/>
            <w:noWrap/>
            <w:vAlign w:val="center"/>
          </w:tcPr>
          <w:p w14:paraId="21C7DF8F"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450" w:type="dxa"/>
            <w:tcBorders>
              <w:top w:val="nil"/>
              <w:left w:val="nil"/>
              <w:right w:val="single" w:sz="4" w:space="0" w:color="auto"/>
            </w:tcBorders>
            <w:shd w:val="clear" w:color="000000" w:fill="FFFFFF"/>
            <w:noWrap/>
            <w:vAlign w:val="center"/>
          </w:tcPr>
          <w:p w14:paraId="0BD83E0E"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right w:val="nil"/>
            </w:tcBorders>
            <w:shd w:val="clear" w:color="000000" w:fill="FFFFFF"/>
            <w:noWrap/>
            <w:vAlign w:val="center"/>
          </w:tcPr>
          <w:p w14:paraId="01D14F0B"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450" w:type="dxa"/>
            <w:tcBorders>
              <w:top w:val="nil"/>
              <w:left w:val="nil"/>
              <w:right w:val="single" w:sz="4" w:space="0" w:color="auto"/>
            </w:tcBorders>
            <w:shd w:val="clear" w:color="000000" w:fill="FFFFFF"/>
            <w:noWrap/>
            <w:vAlign w:val="center"/>
          </w:tcPr>
          <w:p w14:paraId="55D21610"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8" w:type="dxa"/>
            <w:tcBorders>
              <w:top w:val="nil"/>
              <w:left w:val="nil"/>
              <w:right w:val="nil"/>
            </w:tcBorders>
            <w:shd w:val="clear" w:color="000000" w:fill="FFFFFF"/>
            <w:noWrap/>
            <w:vAlign w:val="center"/>
          </w:tcPr>
          <w:p w14:paraId="77A53F13"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450" w:type="dxa"/>
            <w:tcBorders>
              <w:top w:val="nil"/>
              <w:left w:val="nil"/>
              <w:right w:val="single" w:sz="4" w:space="0" w:color="auto"/>
            </w:tcBorders>
            <w:shd w:val="clear" w:color="000000" w:fill="FFFFFF"/>
            <w:noWrap/>
            <w:vAlign w:val="center"/>
          </w:tcPr>
          <w:p w14:paraId="1971B5E3"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right w:val="nil"/>
            </w:tcBorders>
            <w:shd w:val="clear" w:color="000000" w:fill="FFFFFF"/>
            <w:noWrap/>
            <w:vAlign w:val="center"/>
          </w:tcPr>
          <w:p w14:paraId="3A5B9437"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450" w:type="dxa"/>
            <w:tcBorders>
              <w:top w:val="nil"/>
              <w:left w:val="nil"/>
              <w:right w:val="single" w:sz="4" w:space="0" w:color="auto"/>
            </w:tcBorders>
            <w:shd w:val="clear" w:color="000000" w:fill="FFFFFF"/>
            <w:noWrap/>
            <w:vAlign w:val="center"/>
          </w:tcPr>
          <w:p w14:paraId="6651D825"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right w:val="nil"/>
            </w:tcBorders>
            <w:shd w:val="clear" w:color="000000" w:fill="FFFFFF"/>
            <w:noWrap/>
            <w:vAlign w:val="center"/>
          </w:tcPr>
          <w:p w14:paraId="6CDDFF4C"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450" w:type="dxa"/>
            <w:tcBorders>
              <w:top w:val="nil"/>
              <w:left w:val="nil"/>
              <w:right w:val="single" w:sz="4" w:space="0" w:color="auto"/>
            </w:tcBorders>
            <w:shd w:val="clear" w:color="000000" w:fill="FFFFFF"/>
            <w:noWrap/>
            <w:vAlign w:val="center"/>
          </w:tcPr>
          <w:p w14:paraId="1B97EA1E"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right w:val="nil"/>
            </w:tcBorders>
            <w:shd w:val="clear" w:color="000000" w:fill="FFFFFF"/>
            <w:noWrap/>
            <w:vAlign w:val="center"/>
          </w:tcPr>
          <w:p w14:paraId="2DFD3CC4"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454" w:type="dxa"/>
            <w:tcBorders>
              <w:top w:val="nil"/>
              <w:left w:val="nil"/>
              <w:right w:val="single" w:sz="4" w:space="0" w:color="auto"/>
            </w:tcBorders>
            <w:shd w:val="clear" w:color="000000" w:fill="FFFFFF"/>
            <w:noWrap/>
            <w:vAlign w:val="center"/>
          </w:tcPr>
          <w:p w14:paraId="67110A0F"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right w:val="nil"/>
            </w:tcBorders>
            <w:shd w:val="clear" w:color="000000" w:fill="FFFFFF"/>
            <w:noWrap/>
            <w:vAlign w:val="center"/>
          </w:tcPr>
          <w:p w14:paraId="13BBE002"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456" w:type="dxa"/>
            <w:tcBorders>
              <w:top w:val="nil"/>
              <w:left w:val="nil"/>
              <w:right w:val="single" w:sz="12" w:space="0" w:color="auto"/>
            </w:tcBorders>
            <w:shd w:val="clear" w:color="000000" w:fill="FFFFFF"/>
            <w:noWrap/>
            <w:vAlign w:val="center"/>
          </w:tcPr>
          <w:p w14:paraId="298D5830"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right w:val="nil"/>
            </w:tcBorders>
            <w:shd w:val="clear" w:color="000000" w:fill="FFFFFF"/>
          </w:tcPr>
          <w:p w14:paraId="2E7CEA67" w14:textId="77777777" w:rsidR="002961DC" w:rsidRPr="00A95729" w:rsidRDefault="002961DC" w:rsidP="00E56366">
            <w:pPr>
              <w:spacing w:after="0" w:line="240" w:lineRule="auto"/>
              <w:jc w:val="center"/>
              <w:rPr>
                <w:rFonts w:eastAsia="Times New Roman"/>
                <w:color w:val="000000"/>
                <w:sz w:val="18"/>
                <w:szCs w:val="18"/>
              </w:rPr>
            </w:pPr>
          </w:p>
        </w:tc>
        <w:tc>
          <w:tcPr>
            <w:tcW w:w="540" w:type="dxa"/>
            <w:tcBorders>
              <w:top w:val="nil"/>
              <w:left w:val="nil"/>
              <w:right w:val="single" w:sz="12" w:space="0" w:color="auto"/>
            </w:tcBorders>
            <w:shd w:val="clear" w:color="000000" w:fill="FFFFFF"/>
          </w:tcPr>
          <w:p w14:paraId="09393768" w14:textId="77777777" w:rsidR="002961DC" w:rsidRPr="00A95729" w:rsidRDefault="002961DC" w:rsidP="00E56366">
            <w:pPr>
              <w:spacing w:after="0" w:line="240" w:lineRule="auto"/>
              <w:jc w:val="center"/>
              <w:rPr>
                <w:rFonts w:eastAsia="Times New Roman"/>
                <w:color w:val="000000"/>
                <w:sz w:val="18"/>
                <w:szCs w:val="18"/>
              </w:rPr>
            </w:pPr>
          </w:p>
        </w:tc>
        <w:tc>
          <w:tcPr>
            <w:tcW w:w="630" w:type="dxa"/>
            <w:tcBorders>
              <w:top w:val="nil"/>
              <w:left w:val="single" w:sz="12" w:space="0" w:color="auto"/>
              <w:right w:val="nil"/>
            </w:tcBorders>
            <w:shd w:val="clear" w:color="000000" w:fill="FFFFFF"/>
          </w:tcPr>
          <w:p w14:paraId="730F36EB" w14:textId="77777777" w:rsidR="002961DC" w:rsidRPr="00A95729" w:rsidRDefault="002961DC" w:rsidP="00E56366">
            <w:pPr>
              <w:spacing w:after="0" w:line="240" w:lineRule="auto"/>
              <w:jc w:val="center"/>
              <w:rPr>
                <w:rFonts w:eastAsia="Times New Roman"/>
                <w:color w:val="000000"/>
                <w:sz w:val="18"/>
                <w:szCs w:val="18"/>
              </w:rPr>
            </w:pPr>
          </w:p>
        </w:tc>
        <w:tc>
          <w:tcPr>
            <w:tcW w:w="542" w:type="dxa"/>
            <w:tcBorders>
              <w:top w:val="nil"/>
              <w:left w:val="nil"/>
              <w:right w:val="single" w:sz="12" w:space="0" w:color="auto"/>
            </w:tcBorders>
            <w:shd w:val="clear" w:color="000000" w:fill="FFFFFF"/>
          </w:tcPr>
          <w:p w14:paraId="29BAC0AC" w14:textId="77777777" w:rsidR="002961DC" w:rsidRPr="00A95729" w:rsidRDefault="002961DC" w:rsidP="00E56366">
            <w:pPr>
              <w:spacing w:after="0" w:line="240" w:lineRule="auto"/>
              <w:jc w:val="center"/>
              <w:rPr>
                <w:rFonts w:eastAsia="Times New Roman"/>
                <w:color w:val="000000"/>
                <w:sz w:val="18"/>
                <w:szCs w:val="18"/>
              </w:rPr>
            </w:pPr>
          </w:p>
        </w:tc>
      </w:tr>
      <w:tr w:rsidR="002961DC" w:rsidRPr="00A95729" w14:paraId="68186634" w14:textId="77777777" w:rsidTr="00E56366">
        <w:trPr>
          <w:trHeight w:val="20"/>
          <w:jc w:val="center"/>
        </w:trPr>
        <w:tc>
          <w:tcPr>
            <w:tcW w:w="2411" w:type="dxa"/>
            <w:tcBorders>
              <w:top w:val="nil"/>
              <w:left w:val="single" w:sz="12" w:space="0" w:color="auto"/>
              <w:bottom w:val="single" w:sz="4" w:space="0" w:color="auto"/>
              <w:right w:val="single" w:sz="12" w:space="0" w:color="auto"/>
            </w:tcBorders>
            <w:shd w:val="clear" w:color="000000" w:fill="FFFFFF"/>
            <w:noWrap/>
            <w:vAlign w:val="bottom"/>
          </w:tcPr>
          <w:p w14:paraId="12235CCD" w14:textId="77777777" w:rsidR="002961DC" w:rsidRPr="00A95729" w:rsidRDefault="002961DC" w:rsidP="00E56366">
            <w:pPr>
              <w:spacing w:after="0" w:line="240" w:lineRule="auto"/>
              <w:rPr>
                <w:rFonts w:eastAsia="Times New Roman"/>
                <w:color w:val="000000"/>
                <w:sz w:val="18"/>
                <w:szCs w:val="18"/>
              </w:rPr>
            </w:pPr>
            <w:r w:rsidRPr="00A95729">
              <w:rPr>
                <w:rFonts w:eastAsia="Times New Roman"/>
                <w:color w:val="000000"/>
                <w:sz w:val="18"/>
                <w:szCs w:val="18"/>
              </w:rPr>
              <w:t xml:space="preserve">     Yes</w:t>
            </w:r>
          </w:p>
        </w:tc>
        <w:tc>
          <w:tcPr>
            <w:tcW w:w="537" w:type="dxa"/>
            <w:tcBorders>
              <w:top w:val="nil"/>
              <w:left w:val="single" w:sz="12" w:space="0" w:color="auto"/>
              <w:bottom w:val="single" w:sz="4" w:space="0" w:color="auto"/>
            </w:tcBorders>
            <w:shd w:val="clear" w:color="000000" w:fill="FFFFFF"/>
            <w:vAlign w:val="bottom"/>
          </w:tcPr>
          <w:p w14:paraId="71ABD70C"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0.55</w:t>
            </w:r>
          </w:p>
        </w:tc>
        <w:tc>
          <w:tcPr>
            <w:tcW w:w="541" w:type="dxa"/>
            <w:tcBorders>
              <w:top w:val="nil"/>
              <w:left w:val="nil"/>
              <w:bottom w:val="single" w:sz="4" w:space="0" w:color="auto"/>
              <w:right w:val="single" w:sz="12" w:space="0" w:color="auto"/>
            </w:tcBorders>
            <w:shd w:val="clear" w:color="000000" w:fill="FFFFFF"/>
            <w:vAlign w:val="bottom"/>
          </w:tcPr>
          <w:p w14:paraId="6865D880"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11.71</w:t>
            </w:r>
          </w:p>
        </w:tc>
        <w:tc>
          <w:tcPr>
            <w:tcW w:w="539" w:type="dxa"/>
            <w:tcBorders>
              <w:top w:val="nil"/>
              <w:left w:val="single" w:sz="12" w:space="0" w:color="auto"/>
              <w:bottom w:val="single" w:sz="4" w:space="0" w:color="auto"/>
              <w:right w:val="nil"/>
            </w:tcBorders>
            <w:shd w:val="clear" w:color="000000" w:fill="FFFFFF"/>
            <w:noWrap/>
            <w:vAlign w:val="center"/>
          </w:tcPr>
          <w:p w14:paraId="262F8B21"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49" w:type="dxa"/>
            <w:tcBorders>
              <w:top w:val="nil"/>
              <w:left w:val="nil"/>
              <w:bottom w:val="single" w:sz="4" w:space="0" w:color="auto"/>
              <w:right w:val="single" w:sz="4" w:space="0" w:color="auto"/>
            </w:tcBorders>
            <w:shd w:val="clear" w:color="000000" w:fill="FFFFFF"/>
            <w:noWrap/>
            <w:vAlign w:val="center"/>
          </w:tcPr>
          <w:p w14:paraId="08F948A8"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single" w:sz="4" w:space="0" w:color="auto"/>
              <w:right w:val="nil"/>
            </w:tcBorders>
            <w:shd w:val="clear" w:color="000000" w:fill="FFFFFF"/>
            <w:noWrap/>
            <w:vAlign w:val="center"/>
          </w:tcPr>
          <w:p w14:paraId="5E651C70"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single" w:sz="4" w:space="0" w:color="auto"/>
              <w:right w:val="single" w:sz="4" w:space="0" w:color="auto"/>
            </w:tcBorders>
            <w:shd w:val="clear" w:color="000000" w:fill="FFFFFF"/>
            <w:noWrap/>
            <w:vAlign w:val="center"/>
          </w:tcPr>
          <w:p w14:paraId="6800D27F"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single" w:sz="4" w:space="0" w:color="auto"/>
              <w:right w:val="nil"/>
            </w:tcBorders>
            <w:shd w:val="clear" w:color="000000" w:fill="FFFFFF"/>
            <w:noWrap/>
            <w:vAlign w:val="center"/>
          </w:tcPr>
          <w:p w14:paraId="02983BDD"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single" w:sz="4" w:space="0" w:color="auto"/>
              <w:right w:val="single" w:sz="4" w:space="0" w:color="auto"/>
            </w:tcBorders>
            <w:shd w:val="clear" w:color="000000" w:fill="FFFFFF"/>
            <w:noWrap/>
            <w:vAlign w:val="center"/>
          </w:tcPr>
          <w:p w14:paraId="253D4C14"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8" w:type="dxa"/>
            <w:tcBorders>
              <w:top w:val="nil"/>
              <w:left w:val="nil"/>
              <w:bottom w:val="single" w:sz="4" w:space="0" w:color="auto"/>
              <w:right w:val="nil"/>
            </w:tcBorders>
            <w:shd w:val="clear" w:color="000000" w:fill="FFFFFF"/>
            <w:noWrap/>
            <w:vAlign w:val="center"/>
          </w:tcPr>
          <w:p w14:paraId="3B9C56FD"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single" w:sz="4" w:space="0" w:color="auto"/>
              <w:right w:val="single" w:sz="4" w:space="0" w:color="auto"/>
            </w:tcBorders>
            <w:shd w:val="clear" w:color="000000" w:fill="FFFFFF"/>
            <w:noWrap/>
            <w:vAlign w:val="center"/>
          </w:tcPr>
          <w:p w14:paraId="77C1E978"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single" w:sz="4" w:space="0" w:color="auto"/>
              <w:right w:val="nil"/>
            </w:tcBorders>
            <w:shd w:val="clear" w:color="000000" w:fill="FFFFFF"/>
            <w:noWrap/>
            <w:vAlign w:val="center"/>
          </w:tcPr>
          <w:p w14:paraId="65269E52"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single" w:sz="4" w:space="0" w:color="auto"/>
              <w:right w:val="single" w:sz="4" w:space="0" w:color="auto"/>
            </w:tcBorders>
            <w:shd w:val="clear" w:color="000000" w:fill="FFFFFF"/>
            <w:noWrap/>
            <w:vAlign w:val="center"/>
          </w:tcPr>
          <w:p w14:paraId="1594A834"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single" w:sz="4" w:space="0" w:color="auto"/>
              <w:right w:val="nil"/>
            </w:tcBorders>
            <w:shd w:val="clear" w:color="000000" w:fill="FFFFFF"/>
            <w:noWrap/>
            <w:vAlign w:val="bottom"/>
          </w:tcPr>
          <w:p w14:paraId="03058266"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1.24</w:t>
            </w:r>
          </w:p>
        </w:tc>
        <w:tc>
          <w:tcPr>
            <w:tcW w:w="450" w:type="dxa"/>
            <w:tcBorders>
              <w:top w:val="nil"/>
              <w:left w:val="nil"/>
              <w:bottom w:val="single" w:sz="4" w:space="0" w:color="auto"/>
              <w:right w:val="single" w:sz="4" w:space="0" w:color="auto"/>
            </w:tcBorders>
            <w:shd w:val="clear" w:color="000000" w:fill="FFFFFF"/>
            <w:noWrap/>
            <w:vAlign w:val="bottom"/>
          </w:tcPr>
          <w:p w14:paraId="05683CAE"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9.66</w:t>
            </w:r>
          </w:p>
        </w:tc>
        <w:tc>
          <w:tcPr>
            <w:tcW w:w="540" w:type="dxa"/>
            <w:tcBorders>
              <w:top w:val="nil"/>
              <w:left w:val="nil"/>
              <w:bottom w:val="single" w:sz="4" w:space="0" w:color="auto"/>
              <w:right w:val="nil"/>
            </w:tcBorders>
            <w:shd w:val="clear" w:color="000000" w:fill="FFFFFF"/>
            <w:noWrap/>
            <w:vAlign w:val="bottom"/>
          </w:tcPr>
          <w:p w14:paraId="0AEC867B"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-0.32</w:t>
            </w:r>
          </w:p>
        </w:tc>
        <w:tc>
          <w:tcPr>
            <w:tcW w:w="454" w:type="dxa"/>
            <w:tcBorders>
              <w:top w:val="nil"/>
              <w:left w:val="nil"/>
              <w:bottom w:val="single" w:sz="4" w:space="0" w:color="auto"/>
              <w:right w:val="single" w:sz="4" w:space="0" w:color="auto"/>
            </w:tcBorders>
            <w:shd w:val="clear" w:color="000000" w:fill="FFFFFF"/>
            <w:noWrap/>
            <w:vAlign w:val="bottom"/>
          </w:tcPr>
          <w:p w14:paraId="2EEFC7AF"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-2.35</w:t>
            </w:r>
          </w:p>
        </w:tc>
        <w:tc>
          <w:tcPr>
            <w:tcW w:w="540" w:type="dxa"/>
            <w:tcBorders>
              <w:top w:val="nil"/>
              <w:left w:val="nil"/>
              <w:bottom w:val="single" w:sz="4" w:space="0" w:color="auto"/>
              <w:right w:val="nil"/>
            </w:tcBorders>
            <w:shd w:val="clear" w:color="000000" w:fill="FFFFFF"/>
            <w:noWrap/>
            <w:vAlign w:val="center"/>
          </w:tcPr>
          <w:p w14:paraId="3FCC5932"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6" w:type="dxa"/>
            <w:tcBorders>
              <w:top w:val="nil"/>
              <w:left w:val="nil"/>
              <w:bottom w:val="single" w:sz="4" w:space="0" w:color="auto"/>
              <w:right w:val="single" w:sz="12" w:space="0" w:color="auto"/>
            </w:tcBorders>
            <w:shd w:val="clear" w:color="000000" w:fill="FFFFFF"/>
            <w:noWrap/>
            <w:vAlign w:val="center"/>
          </w:tcPr>
          <w:p w14:paraId="1D86B732"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single" w:sz="4" w:space="0" w:color="auto"/>
              <w:right w:val="nil"/>
            </w:tcBorders>
            <w:shd w:val="clear" w:color="000000" w:fill="FFFFFF"/>
            <w:vAlign w:val="bottom"/>
          </w:tcPr>
          <w:p w14:paraId="542EBF72"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0.43</w:t>
            </w:r>
          </w:p>
        </w:tc>
        <w:tc>
          <w:tcPr>
            <w:tcW w:w="540" w:type="dxa"/>
            <w:tcBorders>
              <w:top w:val="nil"/>
              <w:left w:val="nil"/>
              <w:bottom w:val="single" w:sz="4" w:space="0" w:color="auto"/>
              <w:right w:val="single" w:sz="12" w:space="0" w:color="auto"/>
            </w:tcBorders>
            <w:shd w:val="clear" w:color="000000" w:fill="FFFFFF"/>
            <w:vAlign w:val="bottom"/>
          </w:tcPr>
          <w:p w14:paraId="207360CB"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4.75</w:t>
            </w:r>
          </w:p>
        </w:tc>
        <w:tc>
          <w:tcPr>
            <w:tcW w:w="630" w:type="dxa"/>
            <w:tcBorders>
              <w:top w:val="nil"/>
              <w:left w:val="single" w:sz="12" w:space="0" w:color="auto"/>
              <w:bottom w:val="single" w:sz="4" w:space="0" w:color="auto"/>
              <w:right w:val="nil"/>
            </w:tcBorders>
            <w:shd w:val="clear" w:color="000000" w:fill="FFFFFF"/>
            <w:vAlign w:val="bottom"/>
          </w:tcPr>
          <w:p w14:paraId="05550033"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0.07</w:t>
            </w:r>
          </w:p>
        </w:tc>
        <w:tc>
          <w:tcPr>
            <w:tcW w:w="542" w:type="dxa"/>
            <w:tcBorders>
              <w:top w:val="nil"/>
              <w:left w:val="nil"/>
              <w:bottom w:val="single" w:sz="4" w:space="0" w:color="auto"/>
              <w:right w:val="single" w:sz="12" w:space="0" w:color="auto"/>
            </w:tcBorders>
            <w:shd w:val="clear" w:color="000000" w:fill="FFFFFF"/>
            <w:vAlign w:val="bottom"/>
          </w:tcPr>
          <w:p w14:paraId="28F55DB3"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1.93</w:t>
            </w:r>
          </w:p>
        </w:tc>
      </w:tr>
      <w:tr w:rsidR="002961DC" w:rsidRPr="00A95729" w14:paraId="2C5C0186" w14:textId="77777777" w:rsidTr="00E56366">
        <w:trPr>
          <w:trHeight w:val="20"/>
          <w:jc w:val="center"/>
        </w:trPr>
        <w:tc>
          <w:tcPr>
            <w:tcW w:w="2411" w:type="dxa"/>
            <w:tcBorders>
              <w:top w:val="single" w:sz="4" w:space="0" w:color="auto"/>
              <w:left w:val="single" w:sz="12" w:space="0" w:color="auto"/>
              <w:bottom w:val="nil"/>
              <w:right w:val="single" w:sz="12" w:space="0" w:color="auto"/>
            </w:tcBorders>
            <w:shd w:val="clear" w:color="000000" w:fill="FFFFFF"/>
            <w:noWrap/>
            <w:vAlign w:val="bottom"/>
          </w:tcPr>
          <w:p w14:paraId="0B15D25A" w14:textId="77777777" w:rsidR="002961DC" w:rsidRPr="00A95729" w:rsidRDefault="002961DC" w:rsidP="00E56366">
            <w:pPr>
              <w:spacing w:after="0" w:line="240" w:lineRule="auto"/>
              <w:rPr>
                <w:rFonts w:eastAsia="Times New Roman"/>
                <w:b/>
                <w:bCs/>
                <w:color w:val="000000"/>
                <w:sz w:val="18"/>
                <w:szCs w:val="18"/>
              </w:rPr>
            </w:pPr>
            <w:r w:rsidRPr="00A95729">
              <w:rPr>
                <w:rFonts w:eastAsia="Times New Roman"/>
                <w:b/>
                <w:bCs/>
                <w:color w:val="000000"/>
                <w:sz w:val="18"/>
                <w:szCs w:val="18"/>
              </w:rPr>
              <w:t>Endogenous Effects</w:t>
            </w:r>
          </w:p>
        </w:tc>
        <w:tc>
          <w:tcPr>
            <w:tcW w:w="537" w:type="dxa"/>
            <w:tcBorders>
              <w:top w:val="single" w:sz="4" w:space="0" w:color="auto"/>
              <w:left w:val="single" w:sz="12" w:space="0" w:color="auto"/>
              <w:bottom w:val="nil"/>
            </w:tcBorders>
            <w:shd w:val="clear" w:color="000000" w:fill="FFFFFF"/>
            <w:vAlign w:val="bottom"/>
          </w:tcPr>
          <w:p w14:paraId="5F338B07" w14:textId="77777777" w:rsidR="002961DC" w:rsidRPr="00A95729" w:rsidRDefault="002961DC" w:rsidP="00E56366">
            <w:pPr>
              <w:spacing w:after="0" w:line="240" w:lineRule="auto"/>
              <w:jc w:val="center"/>
              <w:rPr>
                <w:color w:val="000000"/>
                <w:sz w:val="18"/>
                <w:szCs w:val="18"/>
              </w:rPr>
            </w:pPr>
          </w:p>
        </w:tc>
        <w:tc>
          <w:tcPr>
            <w:tcW w:w="541" w:type="dxa"/>
            <w:tcBorders>
              <w:top w:val="single" w:sz="4" w:space="0" w:color="auto"/>
              <w:left w:val="nil"/>
              <w:bottom w:val="nil"/>
              <w:right w:val="single" w:sz="12" w:space="0" w:color="auto"/>
            </w:tcBorders>
            <w:shd w:val="clear" w:color="000000" w:fill="FFFFFF"/>
            <w:vAlign w:val="bottom"/>
          </w:tcPr>
          <w:p w14:paraId="57697E8F" w14:textId="77777777" w:rsidR="002961DC" w:rsidRPr="00A95729" w:rsidRDefault="002961DC" w:rsidP="00E56366">
            <w:pPr>
              <w:spacing w:after="0" w:line="240" w:lineRule="auto"/>
              <w:jc w:val="center"/>
              <w:rPr>
                <w:color w:val="000000"/>
                <w:sz w:val="18"/>
                <w:szCs w:val="18"/>
              </w:rPr>
            </w:pPr>
          </w:p>
        </w:tc>
        <w:tc>
          <w:tcPr>
            <w:tcW w:w="539" w:type="dxa"/>
            <w:tcBorders>
              <w:top w:val="single" w:sz="4" w:space="0" w:color="auto"/>
              <w:left w:val="single" w:sz="12" w:space="0" w:color="auto"/>
              <w:bottom w:val="nil"/>
              <w:right w:val="nil"/>
            </w:tcBorders>
            <w:shd w:val="clear" w:color="000000" w:fill="FFFFFF"/>
            <w:noWrap/>
            <w:vAlign w:val="center"/>
          </w:tcPr>
          <w:p w14:paraId="052906D3" w14:textId="77777777" w:rsidR="002961DC" w:rsidRPr="00A95729" w:rsidRDefault="002961DC" w:rsidP="00E56366">
            <w:pPr>
              <w:spacing w:after="0" w:line="240" w:lineRule="auto"/>
              <w:jc w:val="center"/>
              <w:rPr>
                <w:rFonts w:eastAsia="Times New Roman"/>
                <w:color w:val="000000"/>
                <w:sz w:val="18"/>
                <w:szCs w:val="18"/>
              </w:rPr>
            </w:pPr>
          </w:p>
        </w:tc>
        <w:tc>
          <w:tcPr>
            <w:tcW w:w="449" w:type="dxa"/>
            <w:tcBorders>
              <w:top w:val="single" w:sz="4" w:space="0" w:color="auto"/>
              <w:left w:val="nil"/>
              <w:bottom w:val="nil"/>
              <w:right w:val="single" w:sz="4" w:space="0" w:color="auto"/>
            </w:tcBorders>
            <w:shd w:val="clear" w:color="000000" w:fill="FFFFFF"/>
            <w:noWrap/>
            <w:vAlign w:val="center"/>
          </w:tcPr>
          <w:p w14:paraId="11F77C16" w14:textId="77777777" w:rsidR="002961DC" w:rsidRPr="00A95729" w:rsidRDefault="002961DC" w:rsidP="00E56366">
            <w:pPr>
              <w:spacing w:after="0" w:line="240" w:lineRule="auto"/>
              <w:jc w:val="center"/>
              <w:rPr>
                <w:rFonts w:eastAsia="Times New Roman"/>
                <w:color w:val="000000"/>
                <w:sz w:val="18"/>
                <w:szCs w:val="18"/>
              </w:rPr>
            </w:pPr>
          </w:p>
        </w:tc>
        <w:tc>
          <w:tcPr>
            <w:tcW w:w="540" w:type="dxa"/>
            <w:tcBorders>
              <w:top w:val="single" w:sz="4" w:space="0" w:color="auto"/>
              <w:left w:val="nil"/>
              <w:bottom w:val="nil"/>
              <w:right w:val="nil"/>
            </w:tcBorders>
            <w:shd w:val="clear" w:color="000000" w:fill="FFFFFF"/>
            <w:noWrap/>
            <w:vAlign w:val="center"/>
          </w:tcPr>
          <w:p w14:paraId="5E600AA4" w14:textId="77777777" w:rsidR="002961DC" w:rsidRPr="00A95729" w:rsidRDefault="002961DC" w:rsidP="00E56366">
            <w:pPr>
              <w:spacing w:after="0" w:line="240" w:lineRule="auto"/>
              <w:jc w:val="center"/>
              <w:rPr>
                <w:rFonts w:eastAsia="Times New Roman"/>
                <w:color w:val="000000"/>
                <w:sz w:val="18"/>
                <w:szCs w:val="18"/>
              </w:rPr>
            </w:pPr>
          </w:p>
        </w:tc>
        <w:tc>
          <w:tcPr>
            <w:tcW w:w="450" w:type="dxa"/>
            <w:tcBorders>
              <w:top w:val="single" w:sz="4" w:space="0" w:color="auto"/>
              <w:left w:val="nil"/>
              <w:bottom w:val="nil"/>
              <w:right w:val="single" w:sz="4" w:space="0" w:color="auto"/>
            </w:tcBorders>
            <w:shd w:val="clear" w:color="000000" w:fill="FFFFFF"/>
            <w:noWrap/>
            <w:vAlign w:val="center"/>
          </w:tcPr>
          <w:p w14:paraId="25852DB1" w14:textId="77777777" w:rsidR="002961DC" w:rsidRPr="00A95729" w:rsidRDefault="002961DC" w:rsidP="00E56366">
            <w:pPr>
              <w:spacing w:after="0" w:line="240" w:lineRule="auto"/>
              <w:jc w:val="center"/>
              <w:rPr>
                <w:rFonts w:eastAsia="Times New Roman"/>
                <w:color w:val="000000"/>
                <w:sz w:val="18"/>
                <w:szCs w:val="18"/>
              </w:rPr>
            </w:pPr>
          </w:p>
        </w:tc>
        <w:tc>
          <w:tcPr>
            <w:tcW w:w="540" w:type="dxa"/>
            <w:tcBorders>
              <w:top w:val="single" w:sz="4" w:space="0" w:color="auto"/>
              <w:left w:val="nil"/>
              <w:bottom w:val="nil"/>
              <w:right w:val="nil"/>
            </w:tcBorders>
            <w:shd w:val="clear" w:color="000000" w:fill="FFFFFF"/>
            <w:noWrap/>
            <w:vAlign w:val="center"/>
          </w:tcPr>
          <w:p w14:paraId="0136994D" w14:textId="77777777" w:rsidR="002961DC" w:rsidRPr="00A95729" w:rsidRDefault="002961DC" w:rsidP="00E56366">
            <w:pPr>
              <w:spacing w:after="0" w:line="240" w:lineRule="auto"/>
              <w:jc w:val="center"/>
              <w:rPr>
                <w:rFonts w:eastAsia="Times New Roman"/>
                <w:color w:val="000000"/>
                <w:sz w:val="18"/>
                <w:szCs w:val="18"/>
              </w:rPr>
            </w:pPr>
          </w:p>
        </w:tc>
        <w:tc>
          <w:tcPr>
            <w:tcW w:w="450" w:type="dxa"/>
            <w:tcBorders>
              <w:top w:val="single" w:sz="4" w:space="0" w:color="auto"/>
              <w:left w:val="nil"/>
              <w:bottom w:val="nil"/>
              <w:right w:val="single" w:sz="4" w:space="0" w:color="auto"/>
            </w:tcBorders>
            <w:shd w:val="clear" w:color="000000" w:fill="FFFFFF"/>
            <w:noWrap/>
            <w:vAlign w:val="center"/>
          </w:tcPr>
          <w:p w14:paraId="26A3C2B7" w14:textId="77777777" w:rsidR="002961DC" w:rsidRPr="00A95729" w:rsidRDefault="002961DC" w:rsidP="00E56366">
            <w:pPr>
              <w:spacing w:after="0" w:line="240" w:lineRule="auto"/>
              <w:jc w:val="center"/>
              <w:rPr>
                <w:rFonts w:eastAsia="Times New Roman"/>
                <w:color w:val="000000"/>
                <w:sz w:val="18"/>
                <w:szCs w:val="18"/>
              </w:rPr>
            </w:pPr>
          </w:p>
        </w:tc>
        <w:tc>
          <w:tcPr>
            <w:tcW w:w="548" w:type="dxa"/>
            <w:tcBorders>
              <w:top w:val="single" w:sz="4" w:space="0" w:color="auto"/>
              <w:left w:val="nil"/>
              <w:bottom w:val="nil"/>
              <w:right w:val="nil"/>
            </w:tcBorders>
            <w:shd w:val="clear" w:color="000000" w:fill="FFFFFF"/>
            <w:noWrap/>
            <w:vAlign w:val="center"/>
          </w:tcPr>
          <w:p w14:paraId="7371B29B" w14:textId="77777777" w:rsidR="002961DC" w:rsidRPr="00A95729" w:rsidRDefault="002961DC" w:rsidP="00E56366">
            <w:pPr>
              <w:spacing w:after="0" w:line="240" w:lineRule="auto"/>
              <w:jc w:val="center"/>
              <w:rPr>
                <w:rFonts w:eastAsia="Times New Roman"/>
                <w:color w:val="000000"/>
                <w:sz w:val="18"/>
                <w:szCs w:val="18"/>
              </w:rPr>
            </w:pPr>
          </w:p>
        </w:tc>
        <w:tc>
          <w:tcPr>
            <w:tcW w:w="450" w:type="dxa"/>
            <w:tcBorders>
              <w:top w:val="single" w:sz="4" w:space="0" w:color="auto"/>
              <w:left w:val="nil"/>
              <w:bottom w:val="nil"/>
              <w:right w:val="single" w:sz="4" w:space="0" w:color="auto"/>
            </w:tcBorders>
            <w:shd w:val="clear" w:color="000000" w:fill="FFFFFF"/>
            <w:noWrap/>
            <w:vAlign w:val="center"/>
          </w:tcPr>
          <w:p w14:paraId="6BDDDEA0" w14:textId="77777777" w:rsidR="002961DC" w:rsidRPr="00A95729" w:rsidRDefault="002961DC" w:rsidP="00E56366">
            <w:pPr>
              <w:spacing w:after="0" w:line="240" w:lineRule="auto"/>
              <w:jc w:val="center"/>
              <w:rPr>
                <w:rFonts w:eastAsia="Times New Roman"/>
                <w:color w:val="000000"/>
                <w:sz w:val="18"/>
                <w:szCs w:val="18"/>
              </w:rPr>
            </w:pPr>
          </w:p>
        </w:tc>
        <w:tc>
          <w:tcPr>
            <w:tcW w:w="540" w:type="dxa"/>
            <w:tcBorders>
              <w:top w:val="single" w:sz="4" w:space="0" w:color="auto"/>
              <w:left w:val="nil"/>
              <w:bottom w:val="nil"/>
              <w:right w:val="nil"/>
            </w:tcBorders>
            <w:shd w:val="clear" w:color="000000" w:fill="FFFFFF"/>
            <w:noWrap/>
            <w:vAlign w:val="center"/>
          </w:tcPr>
          <w:p w14:paraId="39B2A187" w14:textId="77777777" w:rsidR="002961DC" w:rsidRPr="00A95729" w:rsidRDefault="002961DC" w:rsidP="00E56366">
            <w:pPr>
              <w:spacing w:after="0" w:line="240" w:lineRule="auto"/>
              <w:jc w:val="center"/>
              <w:rPr>
                <w:rFonts w:eastAsia="Times New Roman"/>
                <w:color w:val="000000"/>
                <w:sz w:val="18"/>
                <w:szCs w:val="18"/>
              </w:rPr>
            </w:pPr>
          </w:p>
        </w:tc>
        <w:tc>
          <w:tcPr>
            <w:tcW w:w="450" w:type="dxa"/>
            <w:tcBorders>
              <w:top w:val="single" w:sz="4" w:space="0" w:color="auto"/>
              <w:left w:val="nil"/>
              <w:bottom w:val="nil"/>
              <w:right w:val="single" w:sz="4" w:space="0" w:color="auto"/>
            </w:tcBorders>
            <w:shd w:val="clear" w:color="000000" w:fill="FFFFFF"/>
            <w:noWrap/>
            <w:vAlign w:val="center"/>
          </w:tcPr>
          <w:p w14:paraId="14EB8632" w14:textId="77777777" w:rsidR="002961DC" w:rsidRPr="00A95729" w:rsidRDefault="002961DC" w:rsidP="00E56366">
            <w:pPr>
              <w:spacing w:after="0" w:line="240" w:lineRule="auto"/>
              <w:jc w:val="center"/>
              <w:rPr>
                <w:rFonts w:eastAsia="Times New Roman"/>
                <w:color w:val="000000"/>
                <w:sz w:val="18"/>
                <w:szCs w:val="18"/>
              </w:rPr>
            </w:pPr>
          </w:p>
        </w:tc>
        <w:tc>
          <w:tcPr>
            <w:tcW w:w="540" w:type="dxa"/>
            <w:tcBorders>
              <w:top w:val="single" w:sz="4" w:space="0" w:color="auto"/>
              <w:left w:val="nil"/>
              <w:bottom w:val="nil"/>
              <w:right w:val="nil"/>
            </w:tcBorders>
            <w:shd w:val="clear" w:color="000000" w:fill="FFFFFF"/>
            <w:noWrap/>
            <w:vAlign w:val="bottom"/>
          </w:tcPr>
          <w:p w14:paraId="2A87F0F3" w14:textId="77777777" w:rsidR="002961DC" w:rsidRPr="00A95729" w:rsidRDefault="002961DC" w:rsidP="00E56366">
            <w:pPr>
              <w:spacing w:after="0" w:line="240" w:lineRule="auto"/>
              <w:jc w:val="center"/>
              <w:rPr>
                <w:color w:val="000000"/>
                <w:sz w:val="18"/>
                <w:szCs w:val="18"/>
              </w:rPr>
            </w:pPr>
          </w:p>
        </w:tc>
        <w:tc>
          <w:tcPr>
            <w:tcW w:w="450" w:type="dxa"/>
            <w:tcBorders>
              <w:top w:val="single" w:sz="4" w:space="0" w:color="auto"/>
              <w:left w:val="nil"/>
              <w:bottom w:val="nil"/>
              <w:right w:val="single" w:sz="4" w:space="0" w:color="auto"/>
            </w:tcBorders>
            <w:shd w:val="clear" w:color="000000" w:fill="FFFFFF"/>
            <w:noWrap/>
            <w:vAlign w:val="bottom"/>
          </w:tcPr>
          <w:p w14:paraId="3C336A60" w14:textId="77777777" w:rsidR="002961DC" w:rsidRPr="00A95729" w:rsidRDefault="002961DC" w:rsidP="00E56366">
            <w:pPr>
              <w:spacing w:after="0" w:line="240" w:lineRule="auto"/>
              <w:jc w:val="center"/>
              <w:rPr>
                <w:color w:val="000000"/>
                <w:sz w:val="18"/>
                <w:szCs w:val="18"/>
              </w:rPr>
            </w:pPr>
          </w:p>
        </w:tc>
        <w:tc>
          <w:tcPr>
            <w:tcW w:w="540" w:type="dxa"/>
            <w:tcBorders>
              <w:top w:val="single" w:sz="4" w:space="0" w:color="auto"/>
              <w:left w:val="nil"/>
              <w:bottom w:val="nil"/>
              <w:right w:val="nil"/>
            </w:tcBorders>
            <w:shd w:val="clear" w:color="000000" w:fill="FFFFFF"/>
            <w:noWrap/>
            <w:vAlign w:val="bottom"/>
          </w:tcPr>
          <w:p w14:paraId="1B84C563" w14:textId="77777777" w:rsidR="002961DC" w:rsidRPr="00A95729" w:rsidRDefault="002961DC" w:rsidP="00E56366">
            <w:pPr>
              <w:spacing w:after="0" w:line="240" w:lineRule="auto"/>
              <w:jc w:val="center"/>
              <w:rPr>
                <w:color w:val="000000"/>
                <w:sz w:val="18"/>
                <w:szCs w:val="18"/>
              </w:rPr>
            </w:pPr>
          </w:p>
        </w:tc>
        <w:tc>
          <w:tcPr>
            <w:tcW w:w="454" w:type="dxa"/>
            <w:tcBorders>
              <w:top w:val="single" w:sz="4" w:space="0" w:color="auto"/>
              <w:left w:val="nil"/>
              <w:bottom w:val="nil"/>
              <w:right w:val="single" w:sz="4" w:space="0" w:color="auto"/>
            </w:tcBorders>
            <w:shd w:val="clear" w:color="000000" w:fill="FFFFFF"/>
            <w:noWrap/>
            <w:vAlign w:val="bottom"/>
          </w:tcPr>
          <w:p w14:paraId="4F9518A4" w14:textId="77777777" w:rsidR="002961DC" w:rsidRPr="00A95729" w:rsidRDefault="002961DC" w:rsidP="00E56366">
            <w:pPr>
              <w:spacing w:after="0" w:line="240" w:lineRule="auto"/>
              <w:jc w:val="center"/>
              <w:rPr>
                <w:color w:val="000000"/>
                <w:sz w:val="18"/>
                <w:szCs w:val="18"/>
              </w:rPr>
            </w:pPr>
          </w:p>
        </w:tc>
        <w:tc>
          <w:tcPr>
            <w:tcW w:w="540" w:type="dxa"/>
            <w:tcBorders>
              <w:top w:val="single" w:sz="4" w:space="0" w:color="auto"/>
              <w:left w:val="nil"/>
              <w:bottom w:val="nil"/>
              <w:right w:val="nil"/>
            </w:tcBorders>
            <w:shd w:val="clear" w:color="000000" w:fill="FFFFFF"/>
            <w:noWrap/>
            <w:vAlign w:val="center"/>
          </w:tcPr>
          <w:p w14:paraId="25DF35D4" w14:textId="77777777" w:rsidR="002961DC" w:rsidRPr="00A95729" w:rsidRDefault="002961DC" w:rsidP="00E56366">
            <w:pPr>
              <w:spacing w:after="0" w:line="240" w:lineRule="auto"/>
              <w:jc w:val="center"/>
              <w:rPr>
                <w:rFonts w:eastAsia="Times New Roman"/>
                <w:color w:val="000000"/>
                <w:sz w:val="18"/>
                <w:szCs w:val="18"/>
              </w:rPr>
            </w:pPr>
          </w:p>
        </w:tc>
        <w:tc>
          <w:tcPr>
            <w:tcW w:w="456" w:type="dxa"/>
            <w:tcBorders>
              <w:top w:val="single" w:sz="4" w:space="0" w:color="auto"/>
              <w:left w:val="nil"/>
              <w:bottom w:val="nil"/>
              <w:right w:val="single" w:sz="12" w:space="0" w:color="auto"/>
            </w:tcBorders>
            <w:shd w:val="clear" w:color="000000" w:fill="FFFFFF"/>
            <w:noWrap/>
            <w:vAlign w:val="center"/>
          </w:tcPr>
          <w:p w14:paraId="7F20CF38" w14:textId="77777777" w:rsidR="002961DC" w:rsidRPr="00A95729" w:rsidRDefault="002961DC" w:rsidP="00E56366">
            <w:pPr>
              <w:spacing w:after="0" w:line="240" w:lineRule="auto"/>
              <w:jc w:val="center"/>
              <w:rPr>
                <w:rFonts w:eastAsia="Times New Roman"/>
                <w:color w:val="000000"/>
                <w:sz w:val="18"/>
                <w:szCs w:val="18"/>
              </w:rPr>
            </w:pPr>
          </w:p>
        </w:tc>
        <w:tc>
          <w:tcPr>
            <w:tcW w:w="540" w:type="dxa"/>
            <w:tcBorders>
              <w:top w:val="single" w:sz="4" w:space="0" w:color="auto"/>
              <w:left w:val="nil"/>
              <w:bottom w:val="nil"/>
              <w:right w:val="nil"/>
            </w:tcBorders>
            <w:shd w:val="clear" w:color="000000" w:fill="FFFFFF"/>
            <w:vAlign w:val="center"/>
          </w:tcPr>
          <w:p w14:paraId="28BA82F1" w14:textId="77777777" w:rsidR="002961DC" w:rsidRPr="00A95729" w:rsidRDefault="002961DC" w:rsidP="00E56366">
            <w:pPr>
              <w:spacing w:after="0" w:line="240" w:lineRule="auto"/>
              <w:jc w:val="center"/>
              <w:rPr>
                <w:rFonts w:eastAsia="Times New Roman"/>
                <w:color w:val="000000"/>
                <w:sz w:val="18"/>
                <w:szCs w:val="18"/>
              </w:rPr>
            </w:pPr>
          </w:p>
        </w:tc>
        <w:tc>
          <w:tcPr>
            <w:tcW w:w="540" w:type="dxa"/>
            <w:tcBorders>
              <w:top w:val="single" w:sz="4" w:space="0" w:color="auto"/>
              <w:left w:val="nil"/>
              <w:bottom w:val="nil"/>
              <w:right w:val="single" w:sz="12" w:space="0" w:color="auto"/>
            </w:tcBorders>
            <w:shd w:val="clear" w:color="000000" w:fill="FFFFFF"/>
            <w:vAlign w:val="center"/>
          </w:tcPr>
          <w:p w14:paraId="163E2B19" w14:textId="77777777" w:rsidR="002961DC" w:rsidRPr="00A95729" w:rsidRDefault="002961DC" w:rsidP="00E56366">
            <w:pPr>
              <w:spacing w:after="0" w:line="240" w:lineRule="auto"/>
              <w:jc w:val="center"/>
              <w:rPr>
                <w:rFonts w:eastAsia="Times New Roman"/>
                <w:color w:val="000000"/>
                <w:sz w:val="18"/>
                <w:szCs w:val="18"/>
              </w:rPr>
            </w:pPr>
          </w:p>
        </w:tc>
        <w:tc>
          <w:tcPr>
            <w:tcW w:w="630" w:type="dxa"/>
            <w:tcBorders>
              <w:top w:val="single" w:sz="4" w:space="0" w:color="auto"/>
              <w:left w:val="single" w:sz="12" w:space="0" w:color="auto"/>
              <w:bottom w:val="nil"/>
              <w:right w:val="nil"/>
            </w:tcBorders>
            <w:shd w:val="clear" w:color="000000" w:fill="FFFFFF"/>
            <w:vAlign w:val="center"/>
          </w:tcPr>
          <w:p w14:paraId="6A0825DC" w14:textId="77777777" w:rsidR="002961DC" w:rsidRPr="00A95729" w:rsidRDefault="002961DC" w:rsidP="00E56366">
            <w:pPr>
              <w:spacing w:after="0" w:line="240" w:lineRule="auto"/>
              <w:jc w:val="center"/>
              <w:rPr>
                <w:rFonts w:eastAsia="Times New Roman"/>
                <w:color w:val="000000"/>
                <w:sz w:val="18"/>
                <w:szCs w:val="18"/>
              </w:rPr>
            </w:pPr>
          </w:p>
        </w:tc>
        <w:tc>
          <w:tcPr>
            <w:tcW w:w="542" w:type="dxa"/>
            <w:tcBorders>
              <w:top w:val="single" w:sz="4" w:space="0" w:color="auto"/>
              <w:left w:val="nil"/>
              <w:bottom w:val="nil"/>
              <w:right w:val="single" w:sz="12" w:space="0" w:color="auto"/>
            </w:tcBorders>
            <w:shd w:val="clear" w:color="000000" w:fill="FFFFFF"/>
            <w:vAlign w:val="center"/>
          </w:tcPr>
          <w:p w14:paraId="55A16993" w14:textId="77777777" w:rsidR="002961DC" w:rsidRPr="00A95729" w:rsidRDefault="002961DC" w:rsidP="00E56366">
            <w:pPr>
              <w:spacing w:after="0" w:line="240" w:lineRule="auto"/>
              <w:jc w:val="center"/>
              <w:rPr>
                <w:rFonts w:eastAsia="Times New Roman"/>
                <w:color w:val="000000"/>
                <w:sz w:val="18"/>
                <w:szCs w:val="18"/>
              </w:rPr>
            </w:pPr>
          </w:p>
        </w:tc>
      </w:tr>
      <w:tr w:rsidR="002961DC" w:rsidRPr="00A95729" w14:paraId="35D408D3" w14:textId="77777777" w:rsidTr="00E56366">
        <w:trPr>
          <w:trHeight w:val="20"/>
          <w:jc w:val="center"/>
        </w:trPr>
        <w:tc>
          <w:tcPr>
            <w:tcW w:w="2411" w:type="dxa"/>
            <w:tcBorders>
              <w:top w:val="nil"/>
              <w:left w:val="single" w:sz="12" w:space="0" w:color="auto"/>
              <w:bottom w:val="nil"/>
              <w:right w:val="single" w:sz="12" w:space="0" w:color="auto"/>
            </w:tcBorders>
            <w:shd w:val="clear" w:color="000000" w:fill="FFFFFF"/>
            <w:noWrap/>
            <w:vAlign w:val="bottom"/>
          </w:tcPr>
          <w:p w14:paraId="60B33257" w14:textId="77777777" w:rsidR="002961DC" w:rsidRPr="00A95729" w:rsidRDefault="002961DC" w:rsidP="00E56366">
            <w:pPr>
              <w:spacing w:after="0" w:line="240" w:lineRule="auto"/>
              <w:rPr>
                <w:rFonts w:eastAsia="Times New Roman"/>
                <w:color w:val="000000"/>
                <w:sz w:val="18"/>
                <w:szCs w:val="18"/>
              </w:rPr>
            </w:pPr>
            <w:r w:rsidRPr="00A95729">
              <w:rPr>
                <w:rFonts w:eastAsia="Times New Roman"/>
                <w:color w:val="000000"/>
                <w:sz w:val="18"/>
                <w:szCs w:val="18"/>
              </w:rPr>
              <w:t>Telework (none)</w:t>
            </w:r>
          </w:p>
        </w:tc>
        <w:tc>
          <w:tcPr>
            <w:tcW w:w="537" w:type="dxa"/>
            <w:tcBorders>
              <w:top w:val="nil"/>
              <w:left w:val="single" w:sz="12" w:space="0" w:color="auto"/>
              <w:bottom w:val="nil"/>
            </w:tcBorders>
            <w:shd w:val="clear" w:color="000000" w:fill="FFFFFF"/>
            <w:vAlign w:val="bottom"/>
          </w:tcPr>
          <w:p w14:paraId="559F2A71" w14:textId="77777777" w:rsidR="002961DC" w:rsidRPr="00A95729" w:rsidRDefault="002961DC" w:rsidP="00E56366">
            <w:pPr>
              <w:spacing w:after="0" w:line="240" w:lineRule="auto"/>
              <w:jc w:val="center"/>
              <w:rPr>
                <w:color w:val="000000"/>
                <w:sz w:val="18"/>
                <w:szCs w:val="18"/>
              </w:rPr>
            </w:pPr>
          </w:p>
        </w:tc>
        <w:tc>
          <w:tcPr>
            <w:tcW w:w="541" w:type="dxa"/>
            <w:tcBorders>
              <w:top w:val="nil"/>
              <w:left w:val="nil"/>
              <w:bottom w:val="nil"/>
              <w:right w:val="single" w:sz="12" w:space="0" w:color="auto"/>
            </w:tcBorders>
            <w:shd w:val="clear" w:color="000000" w:fill="FFFFFF"/>
            <w:vAlign w:val="bottom"/>
          </w:tcPr>
          <w:p w14:paraId="562C0E09" w14:textId="77777777" w:rsidR="002961DC" w:rsidRPr="00A95729" w:rsidRDefault="002961DC" w:rsidP="00E56366">
            <w:pPr>
              <w:spacing w:after="0" w:line="240" w:lineRule="auto"/>
              <w:jc w:val="center"/>
              <w:rPr>
                <w:color w:val="000000"/>
                <w:sz w:val="18"/>
                <w:szCs w:val="18"/>
              </w:rPr>
            </w:pPr>
          </w:p>
        </w:tc>
        <w:tc>
          <w:tcPr>
            <w:tcW w:w="539" w:type="dxa"/>
            <w:tcBorders>
              <w:top w:val="nil"/>
              <w:left w:val="single" w:sz="12" w:space="0" w:color="auto"/>
              <w:bottom w:val="nil"/>
              <w:right w:val="nil"/>
            </w:tcBorders>
            <w:shd w:val="clear" w:color="000000" w:fill="FFFFFF"/>
            <w:noWrap/>
            <w:vAlign w:val="center"/>
          </w:tcPr>
          <w:p w14:paraId="73235911" w14:textId="77777777" w:rsidR="002961DC" w:rsidRPr="00A95729" w:rsidRDefault="002961DC" w:rsidP="00E56366">
            <w:pPr>
              <w:spacing w:after="0" w:line="240" w:lineRule="auto"/>
              <w:jc w:val="center"/>
              <w:rPr>
                <w:rFonts w:eastAsia="Times New Roman"/>
                <w:color w:val="000000"/>
                <w:sz w:val="18"/>
                <w:szCs w:val="18"/>
              </w:rPr>
            </w:pPr>
          </w:p>
        </w:tc>
        <w:tc>
          <w:tcPr>
            <w:tcW w:w="449" w:type="dxa"/>
            <w:tcBorders>
              <w:top w:val="nil"/>
              <w:left w:val="nil"/>
              <w:bottom w:val="nil"/>
              <w:right w:val="single" w:sz="4" w:space="0" w:color="auto"/>
            </w:tcBorders>
            <w:shd w:val="clear" w:color="000000" w:fill="FFFFFF"/>
            <w:noWrap/>
            <w:vAlign w:val="center"/>
          </w:tcPr>
          <w:p w14:paraId="2E1CCD4C" w14:textId="77777777" w:rsidR="002961DC" w:rsidRPr="00A95729" w:rsidRDefault="002961DC" w:rsidP="00E56366">
            <w:pPr>
              <w:spacing w:after="0" w:line="240" w:lineRule="auto"/>
              <w:jc w:val="center"/>
              <w:rPr>
                <w:rFonts w:eastAsia="Times New Roman"/>
                <w:color w:val="000000"/>
                <w:sz w:val="18"/>
                <w:szCs w:val="18"/>
              </w:rPr>
            </w:pPr>
          </w:p>
        </w:tc>
        <w:tc>
          <w:tcPr>
            <w:tcW w:w="540" w:type="dxa"/>
            <w:tcBorders>
              <w:top w:val="nil"/>
              <w:left w:val="nil"/>
              <w:bottom w:val="nil"/>
              <w:right w:val="nil"/>
            </w:tcBorders>
            <w:shd w:val="clear" w:color="000000" w:fill="FFFFFF"/>
            <w:noWrap/>
            <w:vAlign w:val="center"/>
          </w:tcPr>
          <w:p w14:paraId="21FCBAA6" w14:textId="77777777" w:rsidR="002961DC" w:rsidRPr="00A95729" w:rsidRDefault="002961DC" w:rsidP="00E56366">
            <w:pPr>
              <w:spacing w:after="0" w:line="240" w:lineRule="auto"/>
              <w:jc w:val="center"/>
              <w:rPr>
                <w:rFonts w:eastAsia="Times New Roman"/>
                <w:color w:val="000000"/>
                <w:sz w:val="18"/>
                <w:szCs w:val="18"/>
              </w:rPr>
            </w:pPr>
          </w:p>
        </w:tc>
        <w:tc>
          <w:tcPr>
            <w:tcW w:w="450" w:type="dxa"/>
            <w:tcBorders>
              <w:top w:val="nil"/>
              <w:left w:val="nil"/>
              <w:bottom w:val="nil"/>
              <w:right w:val="single" w:sz="4" w:space="0" w:color="auto"/>
            </w:tcBorders>
            <w:shd w:val="clear" w:color="000000" w:fill="FFFFFF"/>
            <w:noWrap/>
            <w:vAlign w:val="center"/>
          </w:tcPr>
          <w:p w14:paraId="77912434" w14:textId="77777777" w:rsidR="002961DC" w:rsidRPr="00A95729" w:rsidRDefault="002961DC" w:rsidP="00E56366">
            <w:pPr>
              <w:spacing w:after="0" w:line="240" w:lineRule="auto"/>
              <w:jc w:val="center"/>
              <w:rPr>
                <w:rFonts w:eastAsia="Times New Roman"/>
                <w:color w:val="000000"/>
                <w:sz w:val="18"/>
                <w:szCs w:val="18"/>
              </w:rPr>
            </w:pPr>
          </w:p>
        </w:tc>
        <w:tc>
          <w:tcPr>
            <w:tcW w:w="540" w:type="dxa"/>
            <w:tcBorders>
              <w:top w:val="nil"/>
              <w:left w:val="nil"/>
              <w:bottom w:val="nil"/>
              <w:right w:val="nil"/>
            </w:tcBorders>
            <w:shd w:val="clear" w:color="000000" w:fill="FFFFFF"/>
            <w:noWrap/>
            <w:vAlign w:val="center"/>
          </w:tcPr>
          <w:p w14:paraId="1626DE0C" w14:textId="77777777" w:rsidR="002961DC" w:rsidRPr="00A95729" w:rsidRDefault="002961DC" w:rsidP="00E56366">
            <w:pPr>
              <w:spacing w:after="0" w:line="240" w:lineRule="auto"/>
              <w:jc w:val="center"/>
              <w:rPr>
                <w:rFonts w:eastAsia="Times New Roman"/>
                <w:color w:val="000000"/>
                <w:sz w:val="18"/>
                <w:szCs w:val="18"/>
              </w:rPr>
            </w:pPr>
          </w:p>
        </w:tc>
        <w:tc>
          <w:tcPr>
            <w:tcW w:w="450" w:type="dxa"/>
            <w:tcBorders>
              <w:top w:val="nil"/>
              <w:left w:val="nil"/>
              <w:bottom w:val="nil"/>
              <w:right w:val="single" w:sz="4" w:space="0" w:color="auto"/>
            </w:tcBorders>
            <w:shd w:val="clear" w:color="000000" w:fill="FFFFFF"/>
            <w:noWrap/>
            <w:vAlign w:val="center"/>
          </w:tcPr>
          <w:p w14:paraId="6C212F46" w14:textId="77777777" w:rsidR="002961DC" w:rsidRPr="00A95729" w:rsidRDefault="002961DC" w:rsidP="00E56366">
            <w:pPr>
              <w:spacing w:after="0" w:line="240" w:lineRule="auto"/>
              <w:jc w:val="center"/>
              <w:rPr>
                <w:rFonts w:eastAsia="Times New Roman"/>
                <w:color w:val="000000"/>
                <w:sz w:val="18"/>
                <w:szCs w:val="18"/>
              </w:rPr>
            </w:pPr>
          </w:p>
        </w:tc>
        <w:tc>
          <w:tcPr>
            <w:tcW w:w="548" w:type="dxa"/>
            <w:tcBorders>
              <w:top w:val="nil"/>
              <w:left w:val="nil"/>
              <w:bottom w:val="nil"/>
              <w:right w:val="nil"/>
            </w:tcBorders>
            <w:shd w:val="clear" w:color="000000" w:fill="FFFFFF"/>
            <w:noWrap/>
            <w:vAlign w:val="center"/>
          </w:tcPr>
          <w:p w14:paraId="501F841E" w14:textId="77777777" w:rsidR="002961DC" w:rsidRPr="00A95729" w:rsidRDefault="002961DC" w:rsidP="00E56366">
            <w:pPr>
              <w:spacing w:after="0" w:line="240" w:lineRule="auto"/>
              <w:jc w:val="center"/>
              <w:rPr>
                <w:rFonts w:eastAsia="Times New Roman"/>
                <w:color w:val="000000"/>
                <w:sz w:val="18"/>
                <w:szCs w:val="18"/>
              </w:rPr>
            </w:pPr>
          </w:p>
        </w:tc>
        <w:tc>
          <w:tcPr>
            <w:tcW w:w="450" w:type="dxa"/>
            <w:tcBorders>
              <w:top w:val="nil"/>
              <w:left w:val="nil"/>
              <w:bottom w:val="nil"/>
              <w:right w:val="single" w:sz="4" w:space="0" w:color="auto"/>
            </w:tcBorders>
            <w:shd w:val="clear" w:color="000000" w:fill="FFFFFF"/>
            <w:noWrap/>
            <w:vAlign w:val="center"/>
          </w:tcPr>
          <w:p w14:paraId="641C5E1E" w14:textId="77777777" w:rsidR="002961DC" w:rsidRPr="00A95729" w:rsidRDefault="002961DC" w:rsidP="00E56366">
            <w:pPr>
              <w:spacing w:after="0" w:line="240" w:lineRule="auto"/>
              <w:jc w:val="center"/>
              <w:rPr>
                <w:rFonts w:eastAsia="Times New Roman"/>
                <w:color w:val="000000"/>
                <w:sz w:val="18"/>
                <w:szCs w:val="18"/>
              </w:rPr>
            </w:pPr>
          </w:p>
        </w:tc>
        <w:tc>
          <w:tcPr>
            <w:tcW w:w="540" w:type="dxa"/>
            <w:tcBorders>
              <w:top w:val="nil"/>
              <w:left w:val="nil"/>
              <w:bottom w:val="nil"/>
              <w:right w:val="nil"/>
            </w:tcBorders>
            <w:shd w:val="clear" w:color="000000" w:fill="FFFFFF"/>
            <w:noWrap/>
            <w:vAlign w:val="center"/>
          </w:tcPr>
          <w:p w14:paraId="2F53A254" w14:textId="77777777" w:rsidR="002961DC" w:rsidRPr="00A95729" w:rsidRDefault="002961DC" w:rsidP="00E56366">
            <w:pPr>
              <w:spacing w:after="0" w:line="240" w:lineRule="auto"/>
              <w:jc w:val="center"/>
              <w:rPr>
                <w:rFonts w:eastAsia="Times New Roman"/>
                <w:color w:val="000000"/>
                <w:sz w:val="18"/>
                <w:szCs w:val="18"/>
              </w:rPr>
            </w:pPr>
          </w:p>
        </w:tc>
        <w:tc>
          <w:tcPr>
            <w:tcW w:w="450" w:type="dxa"/>
            <w:tcBorders>
              <w:top w:val="nil"/>
              <w:left w:val="nil"/>
              <w:bottom w:val="nil"/>
              <w:right w:val="single" w:sz="4" w:space="0" w:color="auto"/>
            </w:tcBorders>
            <w:shd w:val="clear" w:color="000000" w:fill="FFFFFF"/>
            <w:noWrap/>
            <w:vAlign w:val="center"/>
          </w:tcPr>
          <w:p w14:paraId="36874CE7" w14:textId="77777777" w:rsidR="002961DC" w:rsidRPr="00A95729" w:rsidRDefault="002961DC" w:rsidP="00E56366">
            <w:pPr>
              <w:spacing w:after="0" w:line="240" w:lineRule="auto"/>
              <w:jc w:val="center"/>
              <w:rPr>
                <w:rFonts w:eastAsia="Times New Roman"/>
                <w:color w:val="000000"/>
                <w:sz w:val="18"/>
                <w:szCs w:val="18"/>
              </w:rPr>
            </w:pPr>
          </w:p>
        </w:tc>
        <w:tc>
          <w:tcPr>
            <w:tcW w:w="540" w:type="dxa"/>
            <w:tcBorders>
              <w:top w:val="nil"/>
              <w:left w:val="nil"/>
              <w:bottom w:val="nil"/>
              <w:right w:val="nil"/>
            </w:tcBorders>
            <w:shd w:val="clear" w:color="000000" w:fill="FFFFFF"/>
            <w:noWrap/>
            <w:vAlign w:val="bottom"/>
          </w:tcPr>
          <w:p w14:paraId="7F9E1254" w14:textId="77777777" w:rsidR="002961DC" w:rsidRPr="00A95729" w:rsidRDefault="002961DC" w:rsidP="00E56366">
            <w:pPr>
              <w:spacing w:after="0" w:line="240" w:lineRule="auto"/>
              <w:jc w:val="center"/>
              <w:rPr>
                <w:color w:val="000000"/>
                <w:sz w:val="18"/>
                <w:szCs w:val="18"/>
              </w:rPr>
            </w:pPr>
          </w:p>
        </w:tc>
        <w:tc>
          <w:tcPr>
            <w:tcW w:w="450" w:type="dxa"/>
            <w:tcBorders>
              <w:top w:val="nil"/>
              <w:left w:val="nil"/>
              <w:bottom w:val="nil"/>
              <w:right w:val="single" w:sz="4" w:space="0" w:color="auto"/>
            </w:tcBorders>
            <w:shd w:val="clear" w:color="000000" w:fill="FFFFFF"/>
            <w:noWrap/>
            <w:vAlign w:val="bottom"/>
          </w:tcPr>
          <w:p w14:paraId="6E322D9A" w14:textId="77777777" w:rsidR="002961DC" w:rsidRPr="00A95729" w:rsidRDefault="002961DC" w:rsidP="00E56366">
            <w:pPr>
              <w:spacing w:after="0" w:line="240" w:lineRule="auto"/>
              <w:jc w:val="center"/>
              <w:rPr>
                <w:color w:val="000000"/>
                <w:sz w:val="18"/>
                <w:szCs w:val="18"/>
              </w:rPr>
            </w:pPr>
          </w:p>
        </w:tc>
        <w:tc>
          <w:tcPr>
            <w:tcW w:w="540" w:type="dxa"/>
            <w:tcBorders>
              <w:top w:val="nil"/>
              <w:left w:val="nil"/>
              <w:bottom w:val="nil"/>
              <w:right w:val="nil"/>
            </w:tcBorders>
            <w:shd w:val="clear" w:color="000000" w:fill="FFFFFF"/>
            <w:noWrap/>
            <w:vAlign w:val="bottom"/>
          </w:tcPr>
          <w:p w14:paraId="160C6E59" w14:textId="77777777" w:rsidR="002961DC" w:rsidRPr="00A95729" w:rsidRDefault="002961DC" w:rsidP="00E56366">
            <w:pPr>
              <w:spacing w:after="0" w:line="240" w:lineRule="auto"/>
              <w:jc w:val="center"/>
              <w:rPr>
                <w:color w:val="000000"/>
                <w:sz w:val="18"/>
                <w:szCs w:val="18"/>
              </w:rPr>
            </w:pPr>
          </w:p>
        </w:tc>
        <w:tc>
          <w:tcPr>
            <w:tcW w:w="454" w:type="dxa"/>
            <w:tcBorders>
              <w:top w:val="nil"/>
              <w:left w:val="nil"/>
              <w:bottom w:val="nil"/>
              <w:right w:val="single" w:sz="4" w:space="0" w:color="auto"/>
            </w:tcBorders>
            <w:shd w:val="clear" w:color="000000" w:fill="FFFFFF"/>
            <w:noWrap/>
            <w:vAlign w:val="bottom"/>
          </w:tcPr>
          <w:p w14:paraId="75F21A7B" w14:textId="77777777" w:rsidR="002961DC" w:rsidRPr="00A95729" w:rsidRDefault="002961DC" w:rsidP="00E56366">
            <w:pPr>
              <w:spacing w:after="0" w:line="240" w:lineRule="auto"/>
              <w:jc w:val="center"/>
              <w:rPr>
                <w:color w:val="000000"/>
                <w:sz w:val="18"/>
                <w:szCs w:val="18"/>
              </w:rPr>
            </w:pPr>
          </w:p>
        </w:tc>
        <w:tc>
          <w:tcPr>
            <w:tcW w:w="540" w:type="dxa"/>
            <w:tcBorders>
              <w:top w:val="nil"/>
              <w:left w:val="nil"/>
              <w:bottom w:val="nil"/>
              <w:right w:val="nil"/>
            </w:tcBorders>
            <w:shd w:val="clear" w:color="000000" w:fill="FFFFFF"/>
            <w:noWrap/>
            <w:vAlign w:val="center"/>
          </w:tcPr>
          <w:p w14:paraId="63EECBD4" w14:textId="77777777" w:rsidR="002961DC" w:rsidRPr="00A95729" w:rsidRDefault="002961DC" w:rsidP="00E56366">
            <w:pPr>
              <w:spacing w:after="0" w:line="240" w:lineRule="auto"/>
              <w:jc w:val="center"/>
              <w:rPr>
                <w:rFonts w:eastAsia="Times New Roman"/>
                <w:color w:val="000000"/>
                <w:sz w:val="18"/>
                <w:szCs w:val="18"/>
              </w:rPr>
            </w:pPr>
          </w:p>
        </w:tc>
        <w:tc>
          <w:tcPr>
            <w:tcW w:w="456" w:type="dxa"/>
            <w:tcBorders>
              <w:top w:val="nil"/>
              <w:left w:val="nil"/>
              <w:bottom w:val="nil"/>
              <w:right w:val="single" w:sz="12" w:space="0" w:color="auto"/>
            </w:tcBorders>
            <w:shd w:val="clear" w:color="000000" w:fill="FFFFFF"/>
            <w:noWrap/>
            <w:vAlign w:val="center"/>
          </w:tcPr>
          <w:p w14:paraId="5B0E7AA0" w14:textId="77777777" w:rsidR="002961DC" w:rsidRPr="00A95729" w:rsidRDefault="002961DC" w:rsidP="00E56366">
            <w:pPr>
              <w:spacing w:after="0" w:line="240" w:lineRule="auto"/>
              <w:jc w:val="center"/>
              <w:rPr>
                <w:rFonts w:eastAsia="Times New Roman"/>
                <w:color w:val="000000"/>
                <w:sz w:val="18"/>
                <w:szCs w:val="18"/>
              </w:rPr>
            </w:pPr>
          </w:p>
        </w:tc>
        <w:tc>
          <w:tcPr>
            <w:tcW w:w="540" w:type="dxa"/>
            <w:tcBorders>
              <w:top w:val="nil"/>
              <w:left w:val="nil"/>
              <w:bottom w:val="nil"/>
              <w:right w:val="nil"/>
            </w:tcBorders>
            <w:shd w:val="clear" w:color="000000" w:fill="FFFFFF"/>
            <w:vAlign w:val="center"/>
          </w:tcPr>
          <w:p w14:paraId="55833A91" w14:textId="77777777" w:rsidR="002961DC" w:rsidRPr="00A95729" w:rsidRDefault="002961DC" w:rsidP="00E56366">
            <w:pPr>
              <w:spacing w:after="0" w:line="240" w:lineRule="auto"/>
              <w:jc w:val="center"/>
              <w:rPr>
                <w:rFonts w:eastAsia="Times New Roman"/>
                <w:color w:val="000000"/>
                <w:sz w:val="18"/>
                <w:szCs w:val="18"/>
              </w:rPr>
            </w:pPr>
          </w:p>
        </w:tc>
        <w:tc>
          <w:tcPr>
            <w:tcW w:w="540" w:type="dxa"/>
            <w:tcBorders>
              <w:top w:val="nil"/>
              <w:left w:val="nil"/>
              <w:bottom w:val="nil"/>
              <w:right w:val="single" w:sz="12" w:space="0" w:color="auto"/>
            </w:tcBorders>
            <w:shd w:val="clear" w:color="000000" w:fill="FFFFFF"/>
            <w:vAlign w:val="center"/>
          </w:tcPr>
          <w:p w14:paraId="266AC2D7" w14:textId="77777777" w:rsidR="002961DC" w:rsidRPr="00A95729" w:rsidRDefault="002961DC" w:rsidP="00E56366">
            <w:pPr>
              <w:spacing w:after="0" w:line="240" w:lineRule="auto"/>
              <w:jc w:val="center"/>
              <w:rPr>
                <w:rFonts w:eastAsia="Times New Roman"/>
                <w:color w:val="000000"/>
                <w:sz w:val="18"/>
                <w:szCs w:val="18"/>
              </w:rPr>
            </w:pPr>
          </w:p>
        </w:tc>
        <w:tc>
          <w:tcPr>
            <w:tcW w:w="630" w:type="dxa"/>
            <w:tcBorders>
              <w:top w:val="nil"/>
              <w:left w:val="single" w:sz="12" w:space="0" w:color="auto"/>
              <w:bottom w:val="nil"/>
              <w:right w:val="nil"/>
            </w:tcBorders>
            <w:shd w:val="clear" w:color="000000" w:fill="FFFFFF"/>
            <w:vAlign w:val="center"/>
          </w:tcPr>
          <w:p w14:paraId="68C176BD" w14:textId="77777777" w:rsidR="002961DC" w:rsidRPr="00A95729" w:rsidRDefault="002961DC" w:rsidP="00E56366">
            <w:pPr>
              <w:spacing w:after="0" w:line="240" w:lineRule="auto"/>
              <w:jc w:val="center"/>
              <w:rPr>
                <w:rFonts w:eastAsia="Times New Roman"/>
                <w:color w:val="000000"/>
                <w:sz w:val="18"/>
                <w:szCs w:val="18"/>
              </w:rPr>
            </w:pPr>
          </w:p>
        </w:tc>
        <w:tc>
          <w:tcPr>
            <w:tcW w:w="542" w:type="dxa"/>
            <w:tcBorders>
              <w:top w:val="nil"/>
              <w:left w:val="nil"/>
              <w:bottom w:val="nil"/>
              <w:right w:val="single" w:sz="12" w:space="0" w:color="auto"/>
            </w:tcBorders>
            <w:shd w:val="clear" w:color="000000" w:fill="FFFFFF"/>
            <w:vAlign w:val="center"/>
          </w:tcPr>
          <w:p w14:paraId="60F5192F" w14:textId="77777777" w:rsidR="002961DC" w:rsidRPr="00A95729" w:rsidRDefault="002961DC" w:rsidP="00E56366">
            <w:pPr>
              <w:spacing w:after="0" w:line="240" w:lineRule="auto"/>
              <w:jc w:val="center"/>
              <w:rPr>
                <w:rFonts w:eastAsia="Times New Roman"/>
                <w:color w:val="000000"/>
                <w:sz w:val="18"/>
                <w:szCs w:val="18"/>
              </w:rPr>
            </w:pPr>
          </w:p>
        </w:tc>
      </w:tr>
      <w:tr w:rsidR="002961DC" w:rsidRPr="00A95729" w14:paraId="7C5A404A" w14:textId="77777777" w:rsidTr="00E56366">
        <w:trPr>
          <w:trHeight w:val="20"/>
          <w:jc w:val="center"/>
        </w:trPr>
        <w:tc>
          <w:tcPr>
            <w:tcW w:w="2411" w:type="dxa"/>
            <w:tcBorders>
              <w:top w:val="nil"/>
              <w:left w:val="single" w:sz="12" w:space="0" w:color="auto"/>
              <w:bottom w:val="nil"/>
              <w:right w:val="single" w:sz="12" w:space="0" w:color="auto"/>
            </w:tcBorders>
            <w:shd w:val="clear" w:color="000000" w:fill="FFFFFF"/>
            <w:noWrap/>
            <w:vAlign w:val="center"/>
          </w:tcPr>
          <w:p w14:paraId="22635DF2" w14:textId="77777777" w:rsidR="002961DC" w:rsidRPr="00A95729" w:rsidRDefault="002961DC" w:rsidP="00E56366">
            <w:pPr>
              <w:spacing w:after="0" w:line="240" w:lineRule="auto"/>
              <w:rPr>
                <w:rFonts w:eastAsia="Times New Roman"/>
                <w:color w:val="000000"/>
                <w:sz w:val="18"/>
                <w:szCs w:val="18"/>
              </w:rPr>
            </w:pPr>
            <w:r w:rsidRPr="00A95729">
              <w:rPr>
                <w:rFonts w:eastAsia="Times New Roman"/>
                <w:color w:val="000000"/>
                <w:sz w:val="18"/>
                <w:szCs w:val="18"/>
              </w:rPr>
              <w:t xml:space="preserve">     1 – 2 days per week</w:t>
            </w:r>
          </w:p>
        </w:tc>
        <w:tc>
          <w:tcPr>
            <w:tcW w:w="537" w:type="dxa"/>
            <w:tcBorders>
              <w:top w:val="nil"/>
              <w:left w:val="single" w:sz="12" w:space="0" w:color="auto"/>
              <w:bottom w:val="nil"/>
            </w:tcBorders>
            <w:shd w:val="clear" w:color="000000" w:fill="FFFFFF"/>
            <w:vAlign w:val="bottom"/>
          </w:tcPr>
          <w:p w14:paraId="5917D7D7" w14:textId="77777777" w:rsidR="002961DC" w:rsidRPr="00A95729" w:rsidRDefault="002961DC" w:rsidP="00E56366">
            <w:pPr>
              <w:spacing w:after="0" w:line="240" w:lineRule="auto"/>
              <w:jc w:val="center"/>
              <w:rPr>
                <w:color w:val="000000"/>
                <w:sz w:val="18"/>
                <w:szCs w:val="18"/>
              </w:rPr>
            </w:pPr>
            <w:r w:rsidRPr="00A95729">
              <w:rPr>
                <w:color w:val="000000"/>
                <w:sz w:val="18"/>
                <w:szCs w:val="18"/>
              </w:rPr>
              <w:t>-0.10</w:t>
            </w:r>
          </w:p>
        </w:tc>
        <w:tc>
          <w:tcPr>
            <w:tcW w:w="541" w:type="dxa"/>
            <w:tcBorders>
              <w:top w:val="nil"/>
              <w:left w:val="nil"/>
              <w:bottom w:val="nil"/>
              <w:right w:val="single" w:sz="12" w:space="0" w:color="auto"/>
            </w:tcBorders>
            <w:shd w:val="clear" w:color="000000" w:fill="FFFFFF"/>
            <w:vAlign w:val="bottom"/>
          </w:tcPr>
          <w:p w14:paraId="02C04586" w14:textId="77777777" w:rsidR="002961DC" w:rsidRPr="00A95729" w:rsidRDefault="002961DC" w:rsidP="00E56366">
            <w:pPr>
              <w:spacing w:after="0" w:line="240" w:lineRule="auto"/>
              <w:jc w:val="center"/>
              <w:rPr>
                <w:color w:val="000000"/>
                <w:sz w:val="18"/>
                <w:szCs w:val="18"/>
              </w:rPr>
            </w:pPr>
            <w:r w:rsidRPr="00A95729">
              <w:rPr>
                <w:color w:val="000000"/>
                <w:sz w:val="18"/>
                <w:szCs w:val="18"/>
              </w:rPr>
              <w:t>-1.96</w:t>
            </w:r>
          </w:p>
        </w:tc>
        <w:tc>
          <w:tcPr>
            <w:tcW w:w="539" w:type="dxa"/>
            <w:tcBorders>
              <w:top w:val="nil"/>
              <w:left w:val="single" w:sz="12" w:space="0" w:color="auto"/>
              <w:bottom w:val="nil"/>
              <w:right w:val="nil"/>
            </w:tcBorders>
            <w:shd w:val="clear" w:color="000000" w:fill="FFFFFF"/>
            <w:noWrap/>
            <w:vAlign w:val="center"/>
          </w:tcPr>
          <w:p w14:paraId="2537E72B"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49" w:type="dxa"/>
            <w:tcBorders>
              <w:top w:val="nil"/>
              <w:left w:val="nil"/>
              <w:bottom w:val="nil"/>
              <w:right w:val="single" w:sz="4" w:space="0" w:color="auto"/>
            </w:tcBorders>
            <w:shd w:val="clear" w:color="000000" w:fill="FFFFFF"/>
            <w:noWrap/>
            <w:vAlign w:val="center"/>
          </w:tcPr>
          <w:p w14:paraId="6CAC2D05"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244805D7"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tcPr>
          <w:p w14:paraId="7A14C7AB"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0A3CDEAA"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tcPr>
          <w:p w14:paraId="5C36D6D4"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8" w:type="dxa"/>
            <w:tcBorders>
              <w:top w:val="nil"/>
              <w:left w:val="nil"/>
              <w:bottom w:val="nil"/>
              <w:right w:val="nil"/>
            </w:tcBorders>
            <w:shd w:val="clear" w:color="000000" w:fill="FFFFFF"/>
            <w:noWrap/>
            <w:vAlign w:val="center"/>
          </w:tcPr>
          <w:p w14:paraId="3EDC7043"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tcPr>
          <w:p w14:paraId="29CB8DBD"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01094582"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tcPr>
          <w:p w14:paraId="5BBC4865"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61321F0F" w14:textId="77777777" w:rsidR="002961DC" w:rsidRPr="00A95729" w:rsidRDefault="002961DC" w:rsidP="00E56366">
            <w:pPr>
              <w:spacing w:after="0" w:line="240" w:lineRule="auto"/>
              <w:jc w:val="center"/>
              <w:rPr>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tcPr>
          <w:p w14:paraId="5ADE7BFB" w14:textId="77777777" w:rsidR="002961DC" w:rsidRPr="00A95729" w:rsidRDefault="002961DC" w:rsidP="00E56366">
            <w:pPr>
              <w:spacing w:after="0" w:line="240" w:lineRule="auto"/>
              <w:jc w:val="center"/>
              <w:rPr>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bottom"/>
          </w:tcPr>
          <w:p w14:paraId="24473DDA" w14:textId="77777777" w:rsidR="002961DC" w:rsidRPr="00A95729" w:rsidRDefault="002961DC" w:rsidP="00E56366">
            <w:pPr>
              <w:spacing w:after="0" w:line="240" w:lineRule="auto"/>
              <w:jc w:val="center"/>
              <w:rPr>
                <w:color w:val="000000"/>
                <w:sz w:val="18"/>
                <w:szCs w:val="18"/>
              </w:rPr>
            </w:pPr>
            <w:r w:rsidRPr="00A95729">
              <w:rPr>
                <w:color w:val="000000"/>
                <w:sz w:val="18"/>
                <w:szCs w:val="18"/>
              </w:rPr>
              <w:t>-0.17</w:t>
            </w:r>
          </w:p>
        </w:tc>
        <w:tc>
          <w:tcPr>
            <w:tcW w:w="454" w:type="dxa"/>
            <w:tcBorders>
              <w:top w:val="nil"/>
              <w:left w:val="nil"/>
              <w:bottom w:val="nil"/>
              <w:right w:val="single" w:sz="4" w:space="0" w:color="auto"/>
            </w:tcBorders>
            <w:shd w:val="clear" w:color="000000" w:fill="FFFFFF"/>
            <w:noWrap/>
            <w:vAlign w:val="bottom"/>
          </w:tcPr>
          <w:p w14:paraId="5C1C9CB9" w14:textId="77777777" w:rsidR="002961DC" w:rsidRPr="00A95729" w:rsidRDefault="002961DC" w:rsidP="00E56366">
            <w:pPr>
              <w:spacing w:after="0" w:line="240" w:lineRule="auto"/>
              <w:jc w:val="center"/>
              <w:rPr>
                <w:color w:val="000000"/>
                <w:sz w:val="18"/>
                <w:szCs w:val="18"/>
              </w:rPr>
            </w:pPr>
            <w:r w:rsidRPr="00A95729">
              <w:rPr>
                <w:color w:val="000000"/>
                <w:sz w:val="18"/>
                <w:szCs w:val="18"/>
              </w:rPr>
              <w:t>-2.09</w:t>
            </w:r>
          </w:p>
        </w:tc>
        <w:tc>
          <w:tcPr>
            <w:tcW w:w="540" w:type="dxa"/>
            <w:tcBorders>
              <w:top w:val="nil"/>
              <w:left w:val="nil"/>
              <w:bottom w:val="nil"/>
              <w:right w:val="nil"/>
            </w:tcBorders>
            <w:shd w:val="clear" w:color="000000" w:fill="FFFFFF"/>
            <w:noWrap/>
            <w:vAlign w:val="center"/>
          </w:tcPr>
          <w:p w14:paraId="50B55ED1"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6" w:type="dxa"/>
            <w:tcBorders>
              <w:top w:val="nil"/>
              <w:left w:val="nil"/>
              <w:bottom w:val="nil"/>
              <w:right w:val="single" w:sz="12" w:space="0" w:color="auto"/>
            </w:tcBorders>
            <w:shd w:val="clear" w:color="000000" w:fill="FFFFFF"/>
            <w:noWrap/>
            <w:vAlign w:val="center"/>
          </w:tcPr>
          <w:p w14:paraId="59034A32"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vAlign w:val="center"/>
          </w:tcPr>
          <w:p w14:paraId="6E424AEF"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540" w:type="dxa"/>
            <w:tcBorders>
              <w:top w:val="nil"/>
              <w:left w:val="nil"/>
              <w:bottom w:val="nil"/>
              <w:right w:val="single" w:sz="12" w:space="0" w:color="auto"/>
            </w:tcBorders>
            <w:shd w:val="clear" w:color="000000" w:fill="FFFFFF"/>
            <w:vAlign w:val="center"/>
          </w:tcPr>
          <w:p w14:paraId="0041ACD0"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630" w:type="dxa"/>
            <w:tcBorders>
              <w:top w:val="nil"/>
              <w:left w:val="single" w:sz="12" w:space="0" w:color="auto"/>
              <w:bottom w:val="nil"/>
              <w:right w:val="nil"/>
            </w:tcBorders>
            <w:shd w:val="clear" w:color="000000" w:fill="FFFFFF"/>
            <w:vAlign w:val="center"/>
          </w:tcPr>
          <w:p w14:paraId="728F4FF2"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542" w:type="dxa"/>
            <w:tcBorders>
              <w:top w:val="nil"/>
              <w:left w:val="nil"/>
              <w:bottom w:val="nil"/>
              <w:right w:val="single" w:sz="12" w:space="0" w:color="auto"/>
            </w:tcBorders>
            <w:shd w:val="clear" w:color="000000" w:fill="FFFFFF"/>
            <w:vAlign w:val="center"/>
          </w:tcPr>
          <w:p w14:paraId="7EFAF371"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r>
      <w:tr w:rsidR="002961DC" w:rsidRPr="00A95729" w14:paraId="28C5FFCA" w14:textId="77777777" w:rsidTr="00E56366">
        <w:trPr>
          <w:trHeight w:val="20"/>
          <w:jc w:val="center"/>
        </w:trPr>
        <w:tc>
          <w:tcPr>
            <w:tcW w:w="2411" w:type="dxa"/>
            <w:tcBorders>
              <w:top w:val="nil"/>
              <w:left w:val="single" w:sz="12" w:space="0" w:color="auto"/>
              <w:bottom w:val="nil"/>
              <w:right w:val="single" w:sz="12" w:space="0" w:color="auto"/>
            </w:tcBorders>
            <w:shd w:val="clear" w:color="000000" w:fill="FFFFFF"/>
            <w:noWrap/>
            <w:vAlign w:val="center"/>
          </w:tcPr>
          <w:p w14:paraId="2D615C08" w14:textId="77777777" w:rsidR="002961DC" w:rsidRPr="00A95729" w:rsidRDefault="002961DC" w:rsidP="00E56366">
            <w:pPr>
              <w:spacing w:after="0" w:line="240" w:lineRule="auto"/>
              <w:rPr>
                <w:rFonts w:eastAsia="Times New Roman"/>
                <w:color w:val="000000"/>
                <w:sz w:val="18"/>
                <w:szCs w:val="18"/>
              </w:rPr>
            </w:pPr>
            <w:r w:rsidRPr="00A95729">
              <w:rPr>
                <w:rFonts w:eastAsia="Times New Roman"/>
                <w:color w:val="000000"/>
                <w:sz w:val="18"/>
                <w:szCs w:val="18"/>
              </w:rPr>
              <w:t xml:space="preserve">     3 – 4 days per week</w:t>
            </w:r>
          </w:p>
        </w:tc>
        <w:tc>
          <w:tcPr>
            <w:tcW w:w="537" w:type="dxa"/>
            <w:tcBorders>
              <w:top w:val="nil"/>
              <w:left w:val="single" w:sz="12" w:space="0" w:color="auto"/>
              <w:bottom w:val="nil"/>
            </w:tcBorders>
            <w:shd w:val="clear" w:color="000000" w:fill="FFFFFF"/>
            <w:vAlign w:val="bottom"/>
          </w:tcPr>
          <w:p w14:paraId="0B147035" w14:textId="77777777" w:rsidR="002961DC" w:rsidRPr="00A95729" w:rsidRDefault="002961DC" w:rsidP="00E56366">
            <w:pPr>
              <w:spacing w:after="0" w:line="240" w:lineRule="auto"/>
              <w:jc w:val="center"/>
              <w:rPr>
                <w:color w:val="000000"/>
                <w:sz w:val="18"/>
                <w:szCs w:val="18"/>
              </w:rPr>
            </w:pPr>
            <w:r w:rsidRPr="00A95729">
              <w:rPr>
                <w:color w:val="000000"/>
                <w:sz w:val="18"/>
                <w:szCs w:val="18"/>
              </w:rPr>
              <w:t>-0.18</w:t>
            </w:r>
          </w:p>
        </w:tc>
        <w:tc>
          <w:tcPr>
            <w:tcW w:w="541" w:type="dxa"/>
            <w:tcBorders>
              <w:top w:val="nil"/>
              <w:left w:val="nil"/>
              <w:bottom w:val="nil"/>
              <w:right w:val="single" w:sz="12" w:space="0" w:color="auto"/>
            </w:tcBorders>
            <w:shd w:val="clear" w:color="000000" w:fill="FFFFFF"/>
            <w:vAlign w:val="bottom"/>
          </w:tcPr>
          <w:p w14:paraId="2A2157CE" w14:textId="77777777" w:rsidR="002961DC" w:rsidRPr="00A95729" w:rsidRDefault="002961DC" w:rsidP="00E56366">
            <w:pPr>
              <w:spacing w:after="0" w:line="240" w:lineRule="auto"/>
              <w:jc w:val="center"/>
              <w:rPr>
                <w:color w:val="000000"/>
                <w:sz w:val="18"/>
                <w:szCs w:val="18"/>
              </w:rPr>
            </w:pPr>
            <w:r w:rsidRPr="00A95729">
              <w:rPr>
                <w:color w:val="000000"/>
                <w:sz w:val="18"/>
                <w:szCs w:val="18"/>
              </w:rPr>
              <w:t>-3.07</w:t>
            </w:r>
          </w:p>
        </w:tc>
        <w:tc>
          <w:tcPr>
            <w:tcW w:w="539" w:type="dxa"/>
            <w:tcBorders>
              <w:top w:val="nil"/>
              <w:left w:val="single" w:sz="12" w:space="0" w:color="auto"/>
              <w:bottom w:val="nil"/>
              <w:right w:val="nil"/>
            </w:tcBorders>
            <w:shd w:val="clear" w:color="000000" w:fill="FFFFFF"/>
            <w:noWrap/>
            <w:vAlign w:val="center"/>
          </w:tcPr>
          <w:p w14:paraId="5C32364D"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49" w:type="dxa"/>
            <w:tcBorders>
              <w:top w:val="nil"/>
              <w:left w:val="nil"/>
              <w:bottom w:val="nil"/>
              <w:right w:val="single" w:sz="4" w:space="0" w:color="auto"/>
            </w:tcBorders>
            <w:shd w:val="clear" w:color="000000" w:fill="FFFFFF"/>
            <w:noWrap/>
            <w:vAlign w:val="center"/>
          </w:tcPr>
          <w:p w14:paraId="0D5A1838"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545FD391"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tcPr>
          <w:p w14:paraId="7B44367E"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02EB714B"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tcPr>
          <w:p w14:paraId="1D6604EB"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8" w:type="dxa"/>
            <w:tcBorders>
              <w:top w:val="nil"/>
              <w:left w:val="nil"/>
              <w:bottom w:val="nil"/>
              <w:right w:val="nil"/>
            </w:tcBorders>
            <w:shd w:val="clear" w:color="000000" w:fill="FFFFFF"/>
            <w:noWrap/>
            <w:vAlign w:val="bottom"/>
          </w:tcPr>
          <w:p w14:paraId="6DD76777"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-0.21</w:t>
            </w:r>
          </w:p>
        </w:tc>
        <w:tc>
          <w:tcPr>
            <w:tcW w:w="450" w:type="dxa"/>
            <w:tcBorders>
              <w:top w:val="nil"/>
              <w:left w:val="nil"/>
              <w:bottom w:val="nil"/>
              <w:right w:val="single" w:sz="4" w:space="0" w:color="auto"/>
            </w:tcBorders>
            <w:shd w:val="clear" w:color="000000" w:fill="FFFFFF"/>
            <w:noWrap/>
            <w:vAlign w:val="bottom"/>
          </w:tcPr>
          <w:p w14:paraId="7BA924A2"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-1.89</w:t>
            </w:r>
          </w:p>
        </w:tc>
        <w:tc>
          <w:tcPr>
            <w:tcW w:w="540" w:type="dxa"/>
            <w:tcBorders>
              <w:top w:val="nil"/>
              <w:left w:val="nil"/>
              <w:bottom w:val="nil"/>
              <w:right w:val="nil"/>
            </w:tcBorders>
            <w:shd w:val="clear" w:color="000000" w:fill="FFFFFF"/>
            <w:noWrap/>
            <w:vAlign w:val="center"/>
          </w:tcPr>
          <w:p w14:paraId="22EF43FA"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tcPr>
          <w:p w14:paraId="500FA1AA"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02B9DA6B" w14:textId="77777777" w:rsidR="002961DC" w:rsidRPr="00A95729" w:rsidRDefault="002961DC" w:rsidP="00E56366">
            <w:pPr>
              <w:spacing w:after="0" w:line="240" w:lineRule="auto"/>
              <w:jc w:val="center"/>
              <w:rPr>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tcPr>
          <w:p w14:paraId="2EFCDE50" w14:textId="77777777" w:rsidR="002961DC" w:rsidRPr="00A95729" w:rsidRDefault="002961DC" w:rsidP="00E56366">
            <w:pPr>
              <w:spacing w:after="0" w:line="240" w:lineRule="auto"/>
              <w:jc w:val="center"/>
              <w:rPr>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bottom"/>
          </w:tcPr>
          <w:p w14:paraId="35E979AF" w14:textId="77777777" w:rsidR="002961DC" w:rsidRPr="00A95729" w:rsidRDefault="002961DC" w:rsidP="00E56366">
            <w:pPr>
              <w:spacing w:after="0" w:line="240" w:lineRule="auto"/>
              <w:jc w:val="center"/>
              <w:rPr>
                <w:color w:val="000000"/>
                <w:sz w:val="18"/>
                <w:szCs w:val="18"/>
              </w:rPr>
            </w:pPr>
            <w:r w:rsidRPr="00A95729">
              <w:rPr>
                <w:color w:val="000000"/>
                <w:sz w:val="18"/>
                <w:szCs w:val="18"/>
              </w:rPr>
              <w:t>-0.24</w:t>
            </w:r>
          </w:p>
        </w:tc>
        <w:tc>
          <w:tcPr>
            <w:tcW w:w="454" w:type="dxa"/>
            <w:tcBorders>
              <w:top w:val="nil"/>
              <w:left w:val="nil"/>
              <w:bottom w:val="nil"/>
              <w:right w:val="single" w:sz="4" w:space="0" w:color="auto"/>
            </w:tcBorders>
            <w:shd w:val="clear" w:color="000000" w:fill="FFFFFF"/>
            <w:noWrap/>
            <w:vAlign w:val="bottom"/>
          </w:tcPr>
          <w:p w14:paraId="58EDF827" w14:textId="77777777" w:rsidR="002961DC" w:rsidRPr="00A95729" w:rsidRDefault="002961DC" w:rsidP="00E56366">
            <w:pPr>
              <w:spacing w:after="0" w:line="240" w:lineRule="auto"/>
              <w:jc w:val="center"/>
              <w:rPr>
                <w:color w:val="000000"/>
                <w:sz w:val="18"/>
                <w:szCs w:val="18"/>
              </w:rPr>
            </w:pPr>
            <w:r w:rsidRPr="00A95729">
              <w:rPr>
                <w:color w:val="000000"/>
                <w:sz w:val="18"/>
                <w:szCs w:val="18"/>
              </w:rPr>
              <w:t>-2.51</w:t>
            </w:r>
          </w:p>
        </w:tc>
        <w:tc>
          <w:tcPr>
            <w:tcW w:w="540" w:type="dxa"/>
            <w:tcBorders>
              <w:top w:val="nil"/>
              <w:left w:val="nil"/>
              <w:bottom w:val="nil"/>
              <w:right w:val="nil"/>
            </w:tcBorders>
            <w:shd w:val="clear" w:color="000000" w:fill="FFFFFF"/>
            <w:noWrap/>
            <w:vAlign w:val="center"/>
          </w:tcPr>
          <w:p w14:paraId="3C55D83E"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6" w:type="dxa"/>
            <w:tcBorders>
              <w:top w:val="nil"/>
              <w:left w:val="nil"/>
              <w:bottom w:val="nil"/>
              <w:right w:val="single" w:sz="12" w:space="0" w:color="auto"/>
            </w:tcBorders>
            <w:shd w:val="clear" w:color="000000" w:fill="FFFFFF"/>
            <w:noWrap/>
            <w:vAlign w:val="center"/>
          </w:tcPr>
          <w:p w14:paraId="4455A7D4"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vAlign w:val="center"/>
          </w:tcPr>
          <w:p w14:paraId="251439AC"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540" w:type="dxa"/>
            <w:tcBorders>
              <w:top w:val="nil"/>
              <w:left w:val="nil"/>
              <w:bottom w:val="nil"/>
              <w:right w:val="single" w:sz="12" w:space="0" w:color="auto"/>
            </w:tcBorders>
            <w:shd w:val="clear" w:color="000000" w:fill="FFFFFF"/>
            <w:vAlign w:val="center"/>
          </w:tcPr>
          <w:p w14:paraId="13F5442B"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630" w:type="dxa"/>
            <w:tcBorders>
              <w:top w:val="nil"/>
              <w:left w:val="single" w:sz="12" w:space="0" w:color="auto"/>
              <w:bottom w:val="nil"/>
              <w:right w:val="nil"/>
            </w:tcBorders>
            <w:shd w:val="clear" w:color="000000" w:fill="FFFFFF"/>
            <w:vAlign w:val="center"/>
          </w:tcPr>
          <w:p w14:paraId="4344E071"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542" w:type="dxa"/>
            <w:tcBorders>
              <w:top w:val="nil"/>
              <w:left w:val="nil"/>
              <w:bottom w:val="nil"/>
              <w:right w:val="single" w:sz="12" w:space="0" w:color="auto"/>
            </w:tcBorders>
            <w:shd w:val="clear" w:color="000000" w:fill="FFFFFF"/>
            <w:vAlign w:val="center"/>
          </w:tcPr>
          <w:p w14:paraId="44631914"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r>
      <w:tr w:rsidR="002961DC" w:rsidRPr="00A95729" w14:paraId="494D6045" w14:textId="77777777" w:rsidTr="00E56366">
        <w:trPr>
          <w:trHeight w:val="20"/>
          <w:jc w:val="center"/>
        </w:trPr>
        <w:tc>
          <w:tcPr>
            <w:tcW w:w="2411" w:type="dxa"/>
            <w:tcBorders>
              <w:top w:val="nil"/>
              <w:left w:val="single" w:sz="12" w:space="0" w:color="auto"/>
              <w:bottom w:val="nil"/>
              <w:right w:val="single" w:sz="12" w:space="0" w:color="auto"/>
            </w:tcBorders>
            <w:shd w:val="clear" w:color="000000" w:fill="FFFFFF"/>
            <w:noWrap/>
            <w:vAlign w:val="center"/>
          </w:tcPr>
          <w:p w14:paraId="4EF2B4F5" w14:textId="77777777" w:rsidR="002961DC" w:rsidRPr="00A95729" w:rsidRDefault="002961DC" w:rsidP="00E56366">
            <w:pPr>
              <w:spacing w:after="0" w:line="240" w:lineRule="auto"/>
              <w:rPr>
                <w:rFonts w:eastAsia="Times New Roman"/>
                <w:color w:val="000000"/>
                <w:sz w:val="18"/>
                <w:szCs w:val="18"/>
              </w:rPr>
            </w:pPr>
            <w:r w:rsidRPr="00A95729">
              <w:rPr>
                <w:rFonts w:eastAsia="Times New Roman"/>
                <w:color w:val="000000"/>
                <w:sz w:val="18"/>
                <w:szCs w:val="18"/>
              </w:rPr>
              <w:t xml:space="preserve">     5 or more days per week</w:t>
            </w:r>
          </w:p>
        </w:tc>
        <w:tc>
          <w:tcPr>
            <w:tcW w:w="537" w:type="dxa"/>
            <w:tcBorders>
              <w:top w:val="nil"/>
              <w:left w:val="single" w:sz="12" w:space="0" w:color="auto"/>
              <w:bottom w:val="nil"/>
            </w:tcBorders>
            <w:shd w:val="clear" w:color="000000" w:fill="FFFFFF"/>
            <w:vAlign w:val="bottom"/>
          </w:tcPr>
          <w:p w14:paraId="50150D45" w14:textId="77777777" w:rsidR="002961DC" w:rsidRPr="00A95729" w:rsidRDefault="002961DC" w:rsidP="00E56366">
            <w:pPr>
              <w:spacing w:after="0" w:line="240" w:lineRule="auto"/>
              <w:jc w:val="center"/>
              <w:rPr>
                <w:color w:val="000000"/>
                <w:sz w:val="18"/>
                <w:szCs w:val="18"/>
              </w:rPr>
            </w:pPr>
            <w:r w:rsidRPr="00A95729">
              <w:rPr>
                <w:color w:val="000000"/>
                <w:sz w:val="18"/>
                <w:szCs w:val="18"/>
              </w:rPr>
              <w:t>-0.18</w:t>
            </w:r>
          </w:p>
        </w:tc>
        <w:tc>
          <w:tcPr>
            <w:tcW w:w="541" w:type="dxa"/>
            <w:tcBorders>
              <w:top w:val="nil"/>
              <w:left w:val="nil"/>
              <w:bottom w:val="nil"/>
              <w:right w:val="single" w:sz="12" w:space="0" w:color="auto"/>
            </w:tcBorders>
            <w:shd w:val="clear" w:color="000000" w:fill="FFFFFF"/>
            <w:vAlign w:val="bottom"/>
          </w:tcPr>
          <w:p w14:paraId="52AAE9FB" w14:textId="77777777" w:rsidR="002961DC" w:rsidRPr="00A95729" w:rsidRDefault="002961DC" w:rsidP="00E56366">
            <w:pPr>
              <w:spacing w:after="0" w:line="240" w:lineRule="auto"/>
              <w:jc w:val="center"/>
              <w:rPr>
                <w:color w:val="000000"/>
                <w:sz w:val="18"/>
                <w:szCs w:val="18"/>
              </w:rPr>
            </w:pPr>
            <w:r w:rsidRPr="00A95729">
              <w:rPr>
                <w:color w:val="000000"/>
                <w:sz w:val="18"/>
                <w:szCs w:val="18"/>
              </w:rPr>
              <w:t>-3.07</w:t>
            </w:r>
          </w:p>
        </w:tc>
        <w:tc>
          <w:tcPr>
            <w:tcW w:w="539" w:type="dxa"/>
            <w:tcBorders>
              <w:top w:val="nil"/>
              <w:left w:val="single" w:sz="12" w:space="0" w:color="auto"/>
              <w:bottom w:val="nil"/>
              <w:right w:val="nil"/>
            </w:tcBorders>
            <w:shd w:val="clear" w:color="000000" w:fill="FFFFFF"/>
            <w:noWrap/>
            <w:vAlign w:val="center"/>
          </w:tcPr>
          <w:p w14:paraId="01DF1AD4"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49" w:type="dxa"/>
            <w:tcBorders>
              <w:top w:val="nil"/>
              <w:left w:val="nil"/>
              <w:bottom w:val="nil"/>
              <w:right w:val="single" w:sz="4" w:space="0" w:color="auto"/>
            </w:tcBorders>
            <w:shd w:val="clear" w:color="000000" w:fill="FFFFFF"/>
            <w:noWrap/>
            <w:vAlign w:val="center"/>
          </w:tcPr>
          <w:p w14:paraId="6714E5EB"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27C55D57"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tcPr>
          <w:p w14:paraId="599A8B7A"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18E59BFE"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tcPr>
          <w:p w14:paraId="3B9E1C7E"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8" w:type="dxa"/>
            <w:tcBorders>
              <w:top w:val="nil"/>
              <w:left w:val="nil"/>
              <w:bottom w:val="nil"/>
              <w:right w:val="nil"/>
            </w:tcBorders>
            <w:shd w:val="clear" w:color="000000" w:fill="FFFFFF"/>
            <w:noWrap/>
            <w:vAlign w:val="bottom"/>
          </w:tcPr>
          <w:p w14:paraId="3BB7D09C"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-0.23</w:t>
            </w:r>
          </w:p>
        </w:tc>
        <w:tc>
          <w:tcPr>
            <w:tcW w:w="450" w:type="dxa"/>
            <w:tcBorders>
              <w:top w:val="nil"/>
              <w:left w:val="nil"/>
              <w:bottom w:val="nil"/>
              <w:right w:val="single" w:sz="4" w:space="0" w:color="auto"/>
            </w:tcBorders>
            <w:shd w:val="clear" w:color="000000" w:fill="FFFFFF"/>
            <w:noWrap/>
            <w:vAlign w:val="bottom"/>
          </w:tcPr>
          <w:p w14:paraId="15CACB6A"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-1.81</w:t>
            </w:r>
          </w:p>
        </w:tc>
        <w:tc>
          <w:tcPr>
            <w:tcW w:w="540" w:type="dxa"/>
            <w:tcBorders>
              <w:top w:val="nil"/>
              <w:left w:val="nil"/>
              <w:bottom w:val="nil"/>
              <w:right w:val="nil"/>
            </w:tcBorders>
            <w:shd w:val="clear" w:color="000000" w:fill="FFFFFF"/>
            <w:noWrap/>
            <w:vAlign w:val="center"/>
          </w:tcPr>
          <w:p w14:paraId="1FEA53B6"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tcPr>
          <w:p w14:paraId="7B9A3B6A"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66E64A97" w14:textId="77777777" w:rsidR="002961DC" w:rsidRPr="00A95729" w:rsidRDefault="002961DC" w:rsidP="00E56366">
            <w:pPr>
              <w:spacing w:after="0" w:line="240" w:lineRule="auto"/>
              <w:jc w:val="center"/>
              <w:rPr>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tcPr>
          <w:p w14:paraId="2BC87114" w14:textId="77777777" w:rsidR="002961DC" w:rsidRPr="00A95729" w:rsidRDefault="002961DC" w:rsidP="00E56366">
            <w:pPr>
              <w:spacing w:after="0" w:line="240" w:lineRule="auto"/>
              <w:jc w:val="center"/>
              <w:rPr>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bottom"/>
          </w:tcPr>
          <w:p w14:paraId="43A6C729" w14:textId="77777777" w:rsidR="002961DC" w:rsidRPr="00A95729" w:rsidRDefault="002961DC" w:rsidP="00E56366">
            <w:pPr>
              <w:spacing w:after="0" w:line="240" w:lineRule="auto"/>
              <w:jc w:val="center"/>
              <w:rPr>
                <w:color w:val="000000"/>
                <w:sz w:val="18"/>
                <w:szCs w:val="18"/>
              </w:rPr>
            </w:pPr>
            <w:r w:rsidRPr="00A95729">
              <w:rPr>
                <w:color w:val="000000"/>
                <w:sz w:val="18"/>
                <w:szCs w:val="18"/>
              </w:rPr>
              <w:t>-0.28</w:t>
            </w:r>
          </w:p>
        </w:tc>
        <w:tc>
          <w:tcPr>
            <w:tcW w:w="454" w:type="dxa"/>
            <w:tcBorders>
              <w:top w:val="nil"/>
              <w:left w:val="nil"/>
              <w:bottom w:val="nil"/>
              <w:right w:val="single" w:sz="4" w:space="0" w:color="auto"/>
            </w:tcBorders>
            <w:shd w:val="clear" w:color="000000" w:fill="FFFFFF"/>
            <w:noWrap/>
            <w:vAlign w:val="bottom"/>
          </w:tcPr>
          <w:p w14:paraId="703340E4" w14:textId="77777777" w:rsidR="002961DC" w:rsidRPr="00A95729" w:rsidRDefault="002961DC" w:rsidP="00E56366">
            <w:pPr>
              <w:spacing w:after="0" w:line="240" w:lineRule="auto"/>
              <w:jc w:val="center"/>
              <w:rPr>
                <w:color w:val="000000"/>
                <w:sz w:val="18"/>
                <w:szCs w:val="18"/>
              </w:rPr>
            </w:pPr>
            <w:r w:rsidRPr="00A95729">
              <w:rPr>
                <w:color w:val="000000"/>
                <w:sz w:val="18"/>
                <w:szCs w:val="18"/>
              </w:rPr>
              <w:t>-2.00</w:t>
            </w:r>
          </w:p>
        </w:tc>
        <w:tc>
          <w:tcPr>
            <w:tcW w:w="540" w:type="dxa"/>
            <w:tcBorders>
              <w:top w:val="nil"/>
              <w:left w:val="nil"/>
              <w:bottom w:val="nil"/>
              <w:right w:val="nil"/>
            </w:tcBorders>
            <w:shd w:val="clear" w:color="000000" w:fill="FFFFFF"/>
            <w:noWrap/>
            <w:vAlign w:val="center"/>
          </w:tcPr>
          <w:p w14:paraId="794D523A"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6" w:type="dxa"/>
            <w:tcBorders>
              <w:top w:val="nil"/>
              <w:left w:val="nil"/>
              <w:bottom w:val="nil"/>
              <w:right w:val="single" w:sz="12" w:space="0" w:color="auto"/>
            </w:tcBorders>
            <w:shd w:val="clear" w:color="000000" w:fill="FFFFFF"/>
            <w:noWrap/>
            <w:vAlign w:val="center"/>
          </w:tcPr>
          <w:p w14:paraId="26586E63"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vAlign w:val="center"/>
          </w:tcPr>
          <w:p w14:paraId="298F946C"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540" w:type="dxa"/>
            <w:tcBorders>
              <w:top w:val="nil"/>
              <w:left w:val="nil"/>
              <w:bottom w:val="nil"/>
              <w:right w:val="single" w:sz="12" w:space="0" w:color="auto"/>
            </w:tcBorders>
            <w:shd w:val="clear" w:color="000000" w:fill="FFFFFF"/>
            <w:vAlign w:val="center"/>
          </w:tcPr>
          <w:p w14:paraId="043DBF84"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630" w:type="dxa"/>
            <w:tcBorders>
              <w:top w:val="nil"/>
              <w:left w:val="single" w:sz="12" w:space="0" w:color="auto"/>
              <w:bottom w:val="nil"/>
              <w:right w:val="nil"/>
            </w:tcBorders>
            <w:shd w:val="clear" w:color="000000" w:fill="FFFFFF"/>
            <w:vAlign w:val="center"/>
          </w:tcPr>
          <w:p w14:paraId="4FE8DAFB"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542" w:type="dxa"/>
            <w:tcBorders>
              <w:top w:val="nil"/>
              <w:left w:val="nil"/>
              <w:bottom w:val="nil"/>
              <w:right w:val="single" w:sz="12" w:space="0" w:color="auto"/>
            </w:tcBorders>
            <w:shd w:val="clear" w:color="000000" w:fill="FFFFFF"/>
            <w:vAlign w:val="center"/>
          </w:tcPr>
          <w:p w14:paraId="3325B995"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r>
      <w:tr w:rsidR="002961DC" w:rsidRPr="00A95729" w14:paraId="7E96062D" w14:textId="77777777" w:rsidTr="00E56366">
        <w:trPr>
          <w:trHeight w:val="20"/>
          <w:jc w:val="center"/>
        </w:trPr>
        <w:tc>
          <w:tcPr>
            <w:tcW w:w="2411" w:type="dxa"/>
            <w:tcBorders>
              <w:top w:val="nil"/>
              <w:left w:val="single" w:sz="12" w:space="0" w:color="auto"/>
              <w:bottom w:val="nil"/>
              <w:right w:val="single" w:sz="12" w:space="0" w:color="auto"/>
            </w:tcBorders>
            <w:shd w:val="clear" w:color="000000" w:fill="FFFFFF"/>
            <w:noWrap/>
            <w:vAlign w:val="bottom"/>
          </w:tcPr>
          <w:p w14:paraId="38731A6C" w14:textId="77777777" w:rsidR="002961DC" w:rsidRPr="00A95729" w:rsidRDefault="002961DC" w:rsidP="00E56366">
            <w:pPr>
              <w:spacing w:after="0" w:line="240" w:lineRule="auto"/>
              <w:rPr>
                <w:rFonts w:eastAsia="Times New Roman"/>
                <w:color w:val="000000"/>
                <w:sz w:val="18"/>
                <w:szCs w:val="18"/>
              </w:rPr>
            </w:pPr>
            <w:r w:rsidRPr="00A95729">
              <w:rPr>
                <w:rFonts w:eastAsia="Times New Roman"/>
                <w:color w:val="000000"/>
                <w:sz w:val="18"/>
                <w:szCs w:val="18"/>
              </w:rPr>
              <w:t>Deliveries (none)</w:t>
            </w:r>
          </w:p>
        </w:tc>
        <w:tc>
          <w:tcPr>
            <w:tcW w:w="537" w:type="dxa"/>
            <w:tcBorders>
              <w:top w:val="nil"/>
              <w:left w:val="single" w:sz="12" w:space="0" w:color="auto"/>
              <w:bottom w:val="nil"/>
            </w:tcBorders>
            <w:shd w:val="clear" w:color="000000" w:fill="FFFFFF"/>
            <w:vAlign w:val="bottom"/>
          </w:tcPr>
          <w:p w14:paraId="32C97588" w14:textId="77777777" w:rsidR="002961DC" w:rsidRPr="00A95729" w:rsidRDefault="002961DC" w:rsidP="00E56366">
            <w:pPr>
              <w:spacing w:after="0" w:line="240" w:lineRule="auto"/>
              <w:jc w:val="center"/>
              <w:rPr>
                <w:color w:val="000000"/>
                <w:sz w:val="18"/>
                <w:szCs w:val="18"/>
              </w:rPr>
            </w:pPr>
          </w:p>
        </w:tc>
        <w:tc>
          <w:tcPr>
            <w:tcW w:w="541" w:type="dxa"/>
            <w:tcBorders>
              <w:top w:val="nil"/>
              <w:left w:val="nil"/>
              <w:bottom w:val="nil"/>
              <w:right w:val="single" w:sz="12" w:space="0" w:color="auto"/>
            </w:tcBorders>
            <w:shd w:val="clear" w:color="000000" w:fill="FFFFFF"/>
            <w:vAlign w:val="bottom"/>
          </w:tcPr>
          <w:p w14:paraId="75AEA324" w14:textId="77777777" w:rsidR="002961DC" w:rsidRPr="00A95729" w:rsidRDefault="002961DC" w:rsidP="00E56366">
            <w:pPr>
              <w:spacing w:after="0" w:line="240" w:lineRule="auto"/>
              <w:jc w:val="center"/>
              <w:rPr>
                <w:color w:val="000000"/>
                <w:sz w:val="18"/>
                <w:szCs w:val="18"/>
              </w:rPr>
            </w:pPr>
          </w:p>
        </w:tc>
        <w:tc>
          <w:tcPr>
            <w:tcW w:w="539" w:type="dxa"/>
            <w:tcBorders>
              <w:top w:val="nil"/>
              <w:left w:val="single" w:sz="12" w:space="0" w:color="auto"/>
              <w:bottom w:val="nil"/>
              <w:right w:val="nil"/>
            </w:tcBorders>
            <w:shd w:val="clear" w:color="000000" w:fill="FFFFFF"/>
            <w:noWrap/>
            <w:vAlign w:val="center"/>
          </w:tcPr>
          <w:p w14:paraId="47B599E2" w14:textId="77777777" w:rsidR="002961DC" w:rsidRPr="00A95729" w:rsidRDefault="002961DC" w:rsidP="00E56366">
            <w:pPr>
              <w:spacing w:after="0" w:line="240" w:lineRule="auto"/>
              <w:jc w:val="center"/>
              <w:rPr>
                <w:rFonts w:eastAsia="Times New Roman"/>
                <w:color w:val="000000"/>
                <w:sz w:val="18"/>
                <w:szCs w:val="18"/>
              </w:rPr>
            </w:pPr>
          </w:p>
        </w:tc>
        <w:tc>
          <w:tcPr>
            <w:tcW w:w="449" w:type="dxa"/>
            <w:tcBorders>
              <w:top w:val="nil"/>
              <w:left w:val="nil"/>
              <w:bottom w:val="nil"/>
              <w:right w:val="single" w:sz="4" w:space="0" w:color="auto"/>
            </w:tcBorders>
            <w:shd w:val="clear" w:color="000000" w:fill="FFFFFF"/>
            <w:noWrap/>
            <w:vAlign w:val="center"/>
          </w:tcPr>
          <w:p w14:paraId="1CDD4C0B" w14:textId="77777777" w:rsidR="002961DC" w:rsidRPr="00A95729" w:rsidRDefault="002961DC" w:rsidP="00E56366">
            <w:pPr>
              <w:spacing w:after="0" w:line="240" w:lineRule="auto"/>
              <w:jc w:val="center"/>
              <w:rPr>
                <w:rFonts w:eastAsia="Times New Roman"/>
                <w:color w:val="000000"/>
                <w:sz w:val="18"/>
                <w:szCs w:val="18"/>
              </w:rPr>
            </w:pPr>
          </w:p>
        </w:tc>
        <w:tc>
          <w:tcPr>
            <w:tcW w:w="540" w:type="dxa"/>
            <w:tcBorders>
              <w:top w:val="nil"/>
              <w:left w:val="nil"/>
              <w:bottom w:val="nil"/>
              <w:right w:val="nil"/>
            </w:tcBorders>
            <w:shd w:val="clear" w:color="000000" w:fill="FFFFFF"/>
            <w:noWrap/>
            <w:vAlign w:val="center"/>
          </w:tcPr>
          <w:p w14:paraId="70BB0CC6" w14:textId="77777777" w:rsidR="002961DC" w:rsidRPr="00A95729" w:rsidRDefault="002961DC" w:rsidP="00E56366">
            <w:pPr>
              <w:spacing w:after="0" w:line="240" w:lineRule="auto"/>
              <w:jc w:val="center"/>
              <w:rPr>
                <w:rFonts w:eastAsia="Times New Roman"/>
                <w:color w:val="000000"/>
                <w:sz w:val="18"/>
                <w:szCs w:val="18"/>
              </w:rPr>
            </w:pPr>
          </w:p>
        </w:tc>
        <w:tc>
          <w:tcPr>
            <w:tcW w:w="450" w:type="dxa"/>
            <w:tcBorders>
              <w:top w:val="nil"/>
              <w:left w:val="nil"/>
              <w:bottom w:val="nil"/>
              <w:right w:val="single" w:sz="4" w:space="0" w:color="auto"/>
            </w:tcBorders>
            <w:shd w:val="clear" w:color="000000" w:fill="FFFFFF"/>
            <w:noWrap/>
            <w:vAlign w:val="center"/>
          </w:tcPr>
          <w:p w14:paraId="52E5EC68" w14:textId="77777777" w:rsidR="002961DC" w:rsidRPr="00A95729" w:rsidRDefault="002961DC" w:rsidP="00E56366">
            <w:pPr>
              <w:spacing w:after="0" w:line="240" w:lineRule="auto"/>
              <w:jc w:val="center"/>
              <w:rPr>
                <w:rFonts w:eastAsia="Times New Roman"/>
                <w:color w:val="000000"/>
                <w:sz w:val="18"/>
                <w:szCs w:val="18"/>
              </w:rPr>
            </w:pPr>
          </w:p>
        </w:tc>
        <w:tc>
          <w:tcPr>
            <w:tcW w:w="540" w:type="dxa"/>
            <w:tcBorders>
              <w:top w:val="nil"/>
              <w:left w:val="nil"/>
              <w:bottom w:val="nil"/>
              <w:right w:val="nil"/>
            </w:tcBorders>
            <w:shd w:val="clear" w:color="000000" w:fill="FFFFFF"/>
            <w:noWrap/>
            <w:vAlign w:val="center"/>
          </w:tcPr>
          <w:p w14:paraId="59AB41F3" w14:textId="77777777" w:rsidR="002961DC" w:rsidRPr="00A95729" w:rsidRDefault="002961DC" w:rsidP="00E56366">
            <w:pPr>
              <w:spacing w:after="0" w:line="240" w:lineRule="auto"/>
              <w:jc w:val="center"/>
              <w:rPr>
                <w:rFonts w:eastAsia="Times New Roman"/>
                <w:color w:val="000000"/>
                <w:sz w:val="18"/>
                <w:szCs w:val="18"/>
              </w:rPr>
            </w:pPr>
          </w:p>
        </w:tc>
        <w:tc>
          <w:tcPr>
            <w:tcW w:w="450" w:type="dxa"/>
            <w:tcBorders>
              <w:top w:val="nil"/>
              <w:left w:val="nil"/>
              <w:bottom w:val="nil"/>
              <w:right w:val="single" w:sz="4" w:space="0" w:color="auto"/>
            </w:tcBorders>
            <w:shd w:val="clear" w:color="000000" w:fill="FFFFFF"/>
            <w:noWrap/>
            <w:vAlign w:val="center"/>
          </w:tcPr>
          <w:p w14:paraId="1A0DDDE6" w14:textId="77777777" w:rsidR="002961DC" w:rsidRPr="00A95729" w:rsidRDefault="002961DC" w:rsidP="00E56366">
            <w:pPr>
              <w:spacing w:after="0" w:line="240" w:lineRule="auto"/>
              <w:jc w:val="center"/>
              <w:rPr>
                <w:rFonts w:eastAsia="Times New Roman"/>
                <w:color w:val="000000"/>
                <w:sz w:val="18"/>
                <w:szCs w:val="18"/>
              </w:rPr>
            </w:pPr>
          </w:p>
        </w:tc>
        <w:tc>
          <w:tcPr>
            <w:tcW w:w="548" w:type="dxa"/>
            <w:tcBorders>
              <w:top w:val="nil"/>
              <w:left w:val="nil"/>
              <w:bottom w:val="nil"/>
              <w:right w:val="nil"/>
            </w:tcBorders>
            <w:shd w:val="clear" w:color="000000" w:fill="FFFFFF"/>
            <w:noWrap/>
            <w:vAlign w:val="center"/>
          </w:tcPr>
          <w:p w14:paraId="21067322" w14:textId="77777777" w:rsidR="002961DC" w:rsidRPr="00A95729" w:rsidRDefault="002961DC" w:rsidP="00E56366">
            <w:pPr>
              <w:spacing w:after="0" w:line="240" w:lineRule="auto"/>
              <w:jc w:val="center"/>
              <w:rPr>
                <w:rFonts w:eastAsia="Times New Roman"/>
                <w:color w:val="000000"/>
                <w:sz w:val="18"/>
                <w:szCs w:val="18"/>
              </w:rPr>
            </w:pPr>
          </w:p>
        </w:tc>
        <w:tc>
          <w:tcPr>
            <w:tcW w:w="450" w:type="dxa"/>
            <w:tcBorders>
              <w:top w:val="nil"/>
              <w:left w:val="nil"/>
              <w:bottom w:val="nil"/>
              <w:right w:val="single" w:sz="4" w:space="0" w:color="auto"/>
            </w:tcBorders>
            <w:shd w:val="clear" w:color="000000" w:fill="FFFFFF"/>
            <w:noWrap/>
            <w:vAlign w:val="center"/>
          </w:tcPr>
          <w:p w14:paraId="0F7BAA22" w14:textId="77777777" w:rsidR="002961DC" w:rsidRPr="00A95729" w:rsidRDefault="002961DC" w:rsidP="00E56366">
            <w:pPr>
              <w:spacing w:after="0" w:line="240" w:lineRule="auto"/>
              <w:jc w:val="center"/>
              <w:rPr>
                <w:rFonts w:eastAsia="Times New Roman"/>
                <w:color w:val="000000"/>
                <w:sz w:val="18"/>
                <w:szCs w:val="18"/>
              </w:rPr>
            </w:pPr>
          </w:p>
        </w:tc>
        <w:tc>
          <w:tcPr>
            <w:tcW w:w="540" w:type="dxa"/>
            <w:tcBorders>
              <w:top w:val="nil"/>
              <w:left w:val="nil"/>
              <w:bottom w:val="nil"/>
              <w:right w:val="nil"/>
            </w:tcBorders>
            <w:shd w:val="clear" w:color="000000" w:fill="FFFFFF"/>
            <w:noWrap/>
            <w:vAlign w:val="center"/>
          </w:tcPr>
          <w:p w14:paraId="163A9878" w14:textId="77777777" w:rsidR="002961DC" w:rsidRPr="00A95729" w:rsidRDefault="002961DC" w:rsidP="00E56366">
            <w:pPr>
              <w:spacing w:after="0" w:line="240" w:lineRule="auto"/>
              <w:jc w:val="center"/>
              <w:rPr>
                <w:rFonts w:eastAsia="Times New Roman"/>
                <w:color w:val="000000"/>
                <w:sz w:val="18"/>
                <w:szCs w:val="18"/>
              </w:rPr>
            </w:pPr>
          </w:p>
        </w:tc>
        <w:tc>
          <w:tcPr>
            <w:tcW w:w="450" w:type="dxa"/>
            <w:tcBorders>
              <w:top w:val="nil"/>
              <w:left w:val="nil"/>
              <w:bottom w:val="nil"/>
              <w:right w:val="single" w:sz="4" w:space="0" w:color="auto"/>
            </w:tcBorders>
            <w:shd w:val="clear" w:color="000000" w:fill="FFFFFF"/>
            <w:noWrap/>
            <w:vAlign w:val="center"/>
          </w:tcPr>
          <w:p w14:paraId="60F7FD52" w14:textId="77777777" w:rsidR="002961DC" w:rsidRPr="00A95729" w:rsidRDefault="002961DC" w:rsidP="00E56366">
            <w:pPr>
              <w:spacing w:after="0" w:line="240" w:lineRule="auto"/>
              <w:jc w:val="center"/>
              <w:rPr>
                <w:rFonts w:eastAsia="Times New Roman"/>
                <w:color w:val="000000"/>
                <w:sz w:val="18"/>
                <w:szCs w:val="18"/>
              </w:rPr>
            </w:pPr>
          </w:p>
        </w:tc>
        <w:tc>
          <w:tcPr>
            <w:tcW w:w="540" w:type="dxa"/>
            <w:tcBorders>
              <w:top w:val="nil"/>
              <w:left w:val="nil"/>
              <w:bottom w:val="nil"/>
              <w:right w:val="nil"/>
            </w:tcBorders>
            <w:shd w:val="clear" w:color="000000" w:fill="FFFFFF"/>
            <w:noWrap/>
            <w:vAlign w:val="bottom"/>
          </w:tcPr>
          <w:p w14:paraId="24BE28CE" w14:textId="77777777" w:rsidR="002961DC" w:rsidRPr="00A95729" w:rsidRDefault="002961DC" w:rsidP="00E56366">
            <w:pPr>
              <w:spacing w:after="0" w:line="240" w:lineRule="auto"/>
              <w:jc w:val="center"/>
              <w:rPr>
                <w:color w:val="000000"/>
                <w:sz w:val="18"/>
                <w:szCs w:val="18"/>
              </w:rPr>
            </w:pPr>
          </w:p>
        </w:tc>
        <w:tc>
          <w:tcPr>
            <w:tcW w:w="450" w:type="dxa"/>
            <w:tcBorders>
              <w:top w:val="nil"/>
              <w:left w:val="nil"/>
              <w:bottom w:val="nil"/>
              <w:right w:val="single" w:sz="4" w:space="0" w:color="auto"/>
            </w:tcBorders>
            <w:shd w:val="clear" w:color="000000" w:fill="FFFFFF"/>
            <w:noWrap/>
            <w:vAlign w:val="bottom"/>
          </w:tcPr>
          <w:p w14:paraId="2E301D89" w14:textId="77777777" w:rsidR="002961DC" w:rsidRPr="00A95729" w:rsidRDefault="002961DC" w:rsidP="00E56366">
            <w:pPr>
              <w:spacing w:after="0" w:line="240" w:lineRule="auto"/>
              <w:jc w:val="center"/>
              <w:rPr>
                <w:color w:val="000000"/>
                <w:sz w:val="18"/>
                <w:szCs w:val="18"/>
              </w:rPr>
            </w:pPr>
          </w:p>
        </w:tc>
        <w:tc>
          <w:tcPr>
            <w:tcW w:w="540" w:type="dxa"/>
            <w:tcBorders>
              <w:top w:val="nil"/>
              <w:left w:val="nil"/>
              <w:bottom w:val="nil"/>
              <w:right w:val="nil"/>
            </w:tcBorders>
            <w:shd w:val="clear" w:color="000000" w:fill="FFFFFF"/>
            <w:noWrap/>
            <w:vAlign w:val="bottom"/>
          </w:tcPr>
          <w:p w14:paraId="06E9DB2D" w14:textId="77777777" w:rsidR="002961DC" w:rsidRPr="00A95729" w:rsidRDefault="002961DC" w:rsidP="00E56366">
            <w:pPr>
              <w:spacing w:after="0" w:line="240" w:lineRule="auto"/>
              <w:jc w:val="center"/>
              <w:rPr>
                <w:color w:val="000000"/>
                <w:sz w:val="18"/>
                <w:szCs w:val="18"/>
              </w:rPr>
            </w:pPr>
          </w:p>
        </w:tc>
        <w:tc>
          <w:tcPr>
            <w:tcW w:w="454" w:type="dxa"/>
            <w:tcBorders>
              <w:top w:val="nil"/>
              <w:left w:val="nil"/>
              <w:bottom w:val="nil"/>
              <w:right w:val="single" w:sz="4" w:space="0" w:color="auto"/>
            </w:tcBorders>
            <w:shd w:val="clear" w:color="000000" w:fill="FFFFFF"/>
            <w:noWrap/>
            <w:vAlign w:val="bottom"/>
          </w:tcPr>
          <w:p w14:paraId="548A0EFC" w14:textId="77777777" w:rsidR="002961DC" w:rsidRPr="00A95729" w:rsidRDefault="002961DC" w:rsidP="00E56366">
            <w:pPr>
              <w:spacing w:after="0" w:line="240" w:lineRule="auto"/>
              <w:jc w:val="center"/>
              <w:rPr>
                <w:color w:val="000000"/>
                <w:sz w:val="18"/>
                <w:szCs w:val="18"/>
              </w:rPr>
            </w:pPr>
          </w:p>
        </w:tc>
        <w:tc>
          <w:tcPr>
            <w:tcW w:w="540" w:type="dxa"/>
            <w:tcBorders>
              <w:top w:val="nil"/>
              <w:left w:val="nil"/>
              <w:bottom w:val="nil"/>
              <w:right w:val="nil"/>
            </w:tcBorders>
            <w:shd w:val="clear" w:color="000000" w:fill="FFFFFF"/>
            <w:noWrap/>
            <w:vAlign w:val="center"/>
          </w:tcPr>
          <w:p w14:paraId="4F6DB7E2" w14:textId="77777777" w:rsidR="002961DC" w:rsidRPr="00A95729" w:rsidRDefault="002961DC" w:rsidP="00E56366">
            <w:pPr>
              <w:spacing w:after="0" w:line="240" w:lineRule="auto"/>
              <w:jc w:val="center"/>
              <w:rPr>
                <w:rFonts w:eastAsia="Times New Roman"/>
                <w:color w:val="000000"/>
                <w:sz w:val="18"/>
                <w:szCs w:val="18"/>
              </w:rPr>
            </w:pPr>
          </w:p>
        </w:tc>
        <w:tc>
          <w:tcPr>
            <w:tcW w:w="456" w:type="dxa"/>
            <w:tcBorders>
              <w:top w:val="nil"/>
              <w:left w:val="nil"/>
              <w:bottom w:val="nil"/>
              <w:right w:val="single" w:sz="12" w:space="0" w:color="auto"/>
            </w:tcBorders>
            <w:shd w:val="clear" w:color="000000" w:fill="FFFFFF"/>
            <w:noWrap/>
            <w:vAlign w:val="center"/>
          </w:tcPr>
          <w:p w14:paraId="3F3426E1" w14:textId="77777777" w:rsidR="002961DC" w:rsidRPr="00A95729" w:rsidRDefault="002961DC" w:rsidP="00E56366">
            <w:pPr>
              <w:spacing w:after="0" w:line="240" w:lineRule="auto"/>
              <w:jc w:val="center"/>
              <w:rPr>
                <w:rFonts w:eastAsia="Times New Roman"/>
                <w:color w:val="000000"/>
                <w:sz w:val="18"/>
                <w:szCs w:val="18"/>
              </w:rPr>
            </w:pPr>
          </w:p>
        </w:tc>
        <w:tc>
          <w:tcPr>
            <w:tcW w:w="540" w:type="dxa"/>
            <w:tcBorders>
              <w:top w:val="nil"/>
              <w:left w:val="nil"/>
              <w:bottom w:val="nil"/>
              <w:right w:val="nil"/>
            </w:tcBorders>
            <w:shd w:val="clear" w:color="000000" w:fill="FFFFFF"/>
            <w:vAlign w:val="center"/>
          </w:tcPr>
          <w:p w14:paraId="4EC44E0B" w14:textId="77777777" w:rsidR="002961DC" w:rsidRPr="00A95729" w:rsidRDefault="002961DC" w:rsidP="00E56366">
            <w:pPr>
              <w:spacing w:after="0" w:line="240" w:lineRule="auto"/>
              <w:jc w:val="center"/>
              <w:rPr>
                <w:rFonts w:eastAsia="Times New Roman"/>
                <w:color w:val="000000"/>
                <w:sz w:val="18"/>
                <w:szCs w:val="18"/>
              </w:rPr>
            </w:pPr>
          </w:p>
        </w:tc>
        <w:tc>
          <w:tcPr>
            <w:tcW w:w="540" w:type="dxa"/>
            <w:tcBorders>
              <w:top w:val="nil"/>
              <w:left w:val="nil"/>
              <w:bottom w:val="nil"/>
              <w:right w:val="single" w:sz="12" w:space="0" w:color="auto"/>
            </w:tcBorders>
            <w:shd w:val="clear" w:color="000000" w:fill="FFFFFF"/>
            <w:vAlign w:val="center"/>
          </w:tcPr>
          <w:p w14:paraId="5BF2E0B3" w14:textId="77777777" w:rsidR="002961DC" w:rsidRPr="00A95729" w:rsidRDefault="002961DC" w:rsidP="00E56366">
            <w:pPr>
              <w:spacing w:after="0" w:line="240" w:lineRule="auto"/>
              <w:jc w:val="center"/>
              <w:rPr>
                <w:rFonts w:eastAsia="Times New Roman"/>
                <w:color w:val="000000"/>
                <w:sz w:val="18"/>
                <w:szCs w:val="18"/>
              </w:rPr>
            </w:pPr>
          </w:p>
        </w:tc>
        <w:tc>
          <w:tcPr>
            <w:tcW w:w="630" w:type="dxa"/>
            <w:tcBorders>
              <w:top w:val="nil"/>
              <w:left w:val="single" w:sz="12" w:space="0" w:color="auto"/>
              <w:bottom w:val="nil"/>
              <w:right w:val="nil"/>
            </w:tcBorders>
            <w:shd w:val="clear" w:color="000000" w:fill="FFFFFF"/>
            <w:vAlign w:val="center"/>
          </w:tcPr>
          <w:p w14:paraId="0FA311AA" w14:textId="77777777" w:rsidR="002961DC" w:rsidRPr="00A95729" w:rsidRDefault="002961DC" w:rsidP="00E56366">
            <w:pPr>
              <w:spacing w:after="0" w:line="240" w:lineRule="auto"/>
              <w:jc w:val="center"/>
              <w:rPr>
                <w:rFonts w:eastAsia="Times New Roman"/>
                <w:color w:val="000000"/>
                <w:sz w:val="18"/>
                <w:szCs w:val="18"/>
              </w:rPr>
            </w:pPr>
          </w:p>
        </w:tc>
        <w:tc>
          <w:tcPr>
            <w:tcW w:w="542" w:type="dxa"/>
            <w:tcBorders>
              <w:top w:val="nil"/>
              <w:left w:val="nil"/>
              <w:bottom w:val="nil"/>
              <w:right w:val="single" w:sz="12" w:space="0" w:color="auto"/>
            </w:tcBorders>
            <w:shd w:val="clear" w:color="000000" w:fill="FFFFFF"/>
            <w:vAlign w:val="center"/>
          </w:tcPr>
          <w:p w14:paraId="7DE96A0A" w14:textId="77777777" w:rsidR="002961DC" w:rsidRPr="00A95729" w:rsidRDefault="002961DC" w:rsidP="00E56366">
            <w:pPr>
              <w:spacing w:after="0" w:line="240" w:lineRule="auto"/>
              <w:jc w:val="center"/>
              <w:rPr>
                <w:rFonts w:eastAsia="Times New Roman"/>
                <w:color w:val="000000"/>
                <w:sz w:val="18"/>
                <w:szCs w:val="18"/>
              </w:rPr>
            </w:pPr>
          </w:p>
        </w:tc>
      </w:tr>
      <w:tr w:rsidR="002961DC" w:rsidRPr="00A95729" w14:paraId="1505E4B4" w14:textId="77777777" w:rsidTr="00E56366">
        <w:trPr>
          <w:trHeight w:val="20"/>
          <w:jc w:val="center"/>
        </w:trPr>
        <w:tc>
          <w:tcPr>
            <w:tcW w:w="2411" w:type="dxa"/>
            <w:tcBorders>
              <w:top w:val="nil"/>
              <w:left w:val="single" w:sz="12" w:space="0" w:color="auto"/>
              <w:bottom w:val="nil"/>
              <w:right w:val="single" w:sz="12" w:space="0" w:color="auto"/>
            </w:tcBorders>
            <w:shd w:val="clear" w:color="000000" w:fill="FFFFFF"/>
            <w:noWrap/>
            <w:vAlign w:val="center"/>
          </w:tcPr>
          <w:p w14:paraId="5C77F8FD" w14:textId="77777777" w:rsidR="002961DC" w:rsidRPr="00A95729" w:rsidRDefault="002961DC" w:rsidP="00E56366">
            <w:pPr>
              <w:spacing w:after="0" w:line="240" w:lineRule="auto"/>
              <w:rPr>
                <w:rFonts w:eastAsia="Times New Roman"/>
                <w:color w:val="000000"/>
                <w:sz w:val="18"/>
                <w:szCs w:val="18"/>
              </w:rPr>
            </w:pPr>
            <w:r w:rsidRPr="00A95729">
              <w:rPr>
                <w:rFonts w:eastAsia="Times New Roman"/>
                <w:color w:val="000000"/>
                <w:sz w:val="18"/>
                <w:szCs w:val="18"/>
              </w:rPr>
              <w:t xml:space="preserve">     1 – 5</w:t>
            </w:r>
          </w:p>
        </w:tc>
        <w:tc>
          <w:tcPr>
            <w:tcW w:w="537" w:type="dxa"/>
            <w:tcBorders>
              <w:top w:val="nil"/>
              <w:left w:val="single" w:sz="12" w:space="0" w:color="auto"/>
              <w:bottom w:val="nil"/>
            </w:tcBorders>
            <w:shd w:val="clear" w:color="000000" w:fill="FFFFFF"/>
            <w:vAlign w:val="center"/>
          </w:tcPr>
          <w:p w14:paraId="0197D981" w14:textId="77777777" w:rsidR="002961DC" w:rsidRPr="00A95729" w:rsidRDefault="002961DC" w:rsidP="00E56366">
            <w:pPr>
              <w:spacing w:after="0" w:line="240" w:lineRule="auto"/>
              <w:jc w:val="center"/>
              <w:rPr>
                <w:color w:val="000000"/>
                <w:sz w:val="18"/>
                <w:szCs w:val="18"/>
              </w:rPr>
            </w:pPr>
            <w:r w:rsidRPr="00A95729">
              <w:rPr>
                <w:rFonts w:eastAsia="Times New Roman"/>
                <w:color w:val="000000"/>
                <w:sz w:val="18"/>
                <w:szCs w:val="18"/>
              </w:rPr>
              <w:t>--</w:t>
            </w:r>
          </w:p>
        </w:tc>
        <w:tc>
          <w:tcPr>
            <w:tcW w:w="541" w:type="dxa"/>
            <w:tcBorders>
              <w:top w:val="nil"/>
              <w:left w:val="nil"/>
              <w:bottom w:val="nil"/>
              <w:right w:val="single" w:sz="12" w:space="0" w:color="auto"/>
            </w:tcBorders>
            <w:shd w:val="clear" w:color="000000" w:fill="FFFFFF"/>
            <w:vAlign w:val="center"/>
          </w:tcPr>
          <w:p w14:paraId="397FEA4D" w14:textId="77777777" w:rsidR="002961DC" w:rsidRPr="00A95729" w:rsidRDefault="002961DC" w:rsidP="00E56366">
            <w:pPr>
              <w:spacing w:after="0" w:line="240" w:lineRule="auto"/>
              <w:jc w:val="center"/>
              <w:rPr>
                <w:color w:val="000000"/>
                <w:sz w:val="18"/>
                <w:szCs w:val="18"/>
              </w:rPr>
            </w:pPr>
            <w:r w:rsidRPr="00A95729">
              <w:rPr>
                <w:rFonts w:eastAsia="Times New Roman"/>
                <w:color w:val="000000"/>
                <w:sz w:val="18"/>
                <w:szCs w:val="18"/>
              </w:rPr>
              <w:t> </w:t>
            </w:r>
          </w:p>
        </w:tc>
        <w:tc>
          <w:tcPr>
            <w:tcW w:w="539" w:type="dxa"/>
            <w:tcBorders>
              <w:top w:val="nil"/>
              <w:left w:val="single" w:sz="12" w:space="0" w:color="auto"/>
              <w:bottom w:val="nil"/>
              <w:right w:val="nil"/>
            </w:tcBorders>
            <w:shd w:val="clear" w:color="000000" w:fill="FFFFFF"/>
            <w:noWrap/>
            <w:vAlign w:val="center"/>
          </w:tcPr>
          <w:p w14:paraId="7B4C6DE7"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49" w:type="dxa"/>
            <w:tcBorders>
              <w:top w:val="nil"/>
              <w:left w:val="nil"/>
              <w:bottom w:val="nil"/>
              <w:right w:val="single" w:sz="4" w:space="0" w:color="auto"/>
            </w:tcBorders>
            <w:shd w:val="clear" w:color="000000" w:fill="FFFFFF"/>
            <w:noWrap/>
            <w:vAlign w:val="center"/>
          </w:tcPr>
          <w:p w14:paraId="3E212BBB"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199785AB"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tcPr>
          <w:p w14:paraId="64EFB7B4"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5B675246"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tcPr>
          <w:p w14:paraId="25CC3820"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8" w:type="dxa"/>
            <w:tcBorders>
              <w:top w:val="nil"/>
              <w:left w:val="nil"/>
              <w:bottom w:val="nil"/>
              <w:right w:val="nil"/>
            </w:tcBorders>
            <w:shd w:val="clear" w:color="000000" w:fill="FFFFFF"/>
            <w:noWrap/>
            <w:vAlign w:val="bottom"/>
          </w:tcPr>
          <w:p w14:paraId="2691DE4C"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-0.18</w:t>
            </w:r>
          </w:p>
        </w:tc>
        <w:tc>
          <w:tcPr>
            <w:tcW w:w="450" w:type="dxa"/>
            <w:tcBorders>
              <w:top w:val="nil"/>
              <w:left w:val="nil"/>
              <w:bottom w:val="nil"/>
              <w:right w:val="single" w:sz="4" w:space="0" w:color="auto"/>
            </w:tcBorders>
            <w:shd w:val="clear" w:color="000000" w:fill="FFFFFF"/>
            <w:noWrap/>
            <w:vAlign w:val="bottom"/>
          </w:tcPr>
          <w:p w14:paraId="4509C5B4"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-1.58</w:t>
            </w:r>
          </w:p>
        </w:tc>
        <w:tc>
          <w:tcPr>
            <w:tcW w:w="540" w:type="dxa"/>
            <w:tcBorders>
              <w:top w:val="nil"/>
              <w:left w:val="nil"/>
              <w:bottom w:val="nil"/>
              <w:right w:val="nil"/>
            </w:tcBorders>
            <w:shd w:val="clear" w:color="000000" w:fill="FFFFFF"/>
            <w:noWrap/>
            <w:vAlign w:val="center"/>
          </w:tcPr>
          <w:p w14:paraId="22F257CB"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tcPr>
          <w:p w14:paraId="461ED293"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2781245A" w14:textId="77777777" w:rsidR="002961DC" w:rsidRPr="00A95729" w:rsidRDefault="002961DC" w:rsidP="00E56366">
            <w:pPr>
              <w:spacing w:after="0" w:line="240" w:lineRule="auto"/>
              <w:jc w:val="center"/>
              <w:rPr>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tcPr>
          <w:p w14:paraId="205C4718" w14:textId="77777777" w:rsidR="002961DC" w:rsidRPr="00A95729" w:rsidRDefault="002961DC" w:rsidP="00E56366">
            <w:pPr>
              <w:spacing w:after="0" w:line="240" w:lineRule="auto"/>
              <w:jc w:val="center"/>
              <w:rPr>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bottom"/>
          </w:tcPr>
          <w:p w14:paraId="0F20389E" w14:textId="77777777" w:rsidR="002961DC" w:rsidRPr="00A95729" w:rsidRDefault="002961DC" w:rsidP="00E56366">
            <w:pPr>
              <w:spacing w:after="0" w:line="240" w:lineRule="auto"/>
              <w:jc w:val="center"/>
              <w:rPr>
                <w:color w:val="000000"/>
                <w:sz w:val="18"/>
                <w:szCs w:val="18"/>
              </w:rPr>
            </w:pPr>
            <w:r w:rsidRPr="00A95729">
              <w:rPr>
                <w:color w:val="000000"/>
                <w:sz w:val="18"/>
                <w:szCs w:val="18"/>
              </w:rPr>
              <w:t>-0.14</w:t>
            </w:r>
          </w:p>
        </w:tc>
        <w:tc>
          <w:tcPr>
            <w:tcW w:w="454" w:type="dxa"/>
            <w:tcBorders>
              <w:top w:val="nil"/>
              <w:left w:val="nil"/>
              <w:bottom w:val="nil"/>
              <w:right w:val="single" w:sz="4" w:space="0" w:color="auto"/>
            </w:tcBorders>
            <w:shd w:val="clear" w:color="000000" w:fill="FFFFFF"/>
            <w:noWrap/>
            <w:vAlign w:val="bottom"/>
          </w:tcPr>
          <w:p w14:paraId="6228B128" w14:textId="77777777" w:rsidR="002961DC" w:rsidRPr="00A95729" w:rsidRDefault="002961DC" w:rsidP="00E56366">
            <w:pPr>
              <w:spacing w:after="0" w:line="240" w:lineRule="auto"/>
              <w:jc w:val="center"/>
              <w:rPr>
                <w:color w:val="000000"/>
                <w:sz w:val="18"/>
                <w:szCs w:val="18"/>
              </w:rPr>
            </w:pPr>
            <w:r w:rsidRPr="00A95729">
              <w:rPr>
                <w:color w:val="000000"/>
                <w:sz w:val="18"/>
                <w:szCs w:val="18"/>
              </w:rPr>
              <w:t>-1.99</w:t>
            </w:r>
          </w:p>
        </w:tc>
        <w:tc>
          <w:tcPr>
            <w:tcW w:w="540" w:type="dxa"/>
            <w:tcBorders>
              <w:top w:val="nil"/>
              <w:left w:val="nil"/>
              <w:bottom w:val="nil"/>
              <w:right w:val="nil"/>
            </w:tcBorders>
            <w:shd w:val="clear" w:color="000000" w:fill="FFFFFF"/>
            <w:noWrap/>
            <w:vAlign w:val="center"/>
          </w:tcPr>
          <w:p w14:paraId="4E21285E"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6" w:type="dxa"/>
            <w:tcBorders>
              <w:top w:val="nil"/>
              <w:left w:val="nil"/>
              <w:bottom w:val="nil"/>
              <w:right w:val="single" w:sz="12" w:space="0" w:color="auto"/>
            </w:tcBorders>
            <w:shd w:val="clear" w:color="000000" w:fill="FFFFFF"/>
            <w:noWrap/>
            <w:vAlign w:val="center"/>
          </w:tcPr>
          <w:p w14:paraId="69167A02"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vAlign w:val="center"/>
          </w:tcPr>
          <w:p w14:paraId="1E539318"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540" w:type="dxa"/>
            <w:tcBorders>
              <w:top w:val="nil"/>
              <w:left w:val="nil"/>
              <w:bottom w:val="nil"/>
              <w:right w:val="single" w:sz="12" w:space="0" w:color="auto"/>
            </w:tcBorders>
            <w:shd w:val="clear" w:color="000000" w:fill="FFFFFF"/>
            <w:vAlign w:val="center"/>
          </w:tcPr>
          <w:p w14:paraId="073EB692"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630" w:type="dxa"/>
            <w:tcBorders>
              <w:top w:val="nil"/>
              <w:left w:val="single" w:sz="12" w:space="0" w:color="auto"/>
              <w:bottom w:val="nil"/>
              <w:right w:val="nil"/>
            </w:tcBorders>
            <w:shd w:val="clear" w:color="000000" w:fill="FFFFFF"/>
            <w:vAlign w:val="center"/>
          </w:tcPr>
          <w:p w14:paraId="0BEEB105"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542" w:type="dxa"/>
            <w:tcBorders>
              <w:top w:val="nil"/>
              <w:left w:val="nil"/>
              <w:bottom w:val="nil"/>
              <w:right w:val="single" w:sz="12" w:space="0" w:color="auto"/>
            </w:tcBorders>
            <w:shd w:val="clear" w:color="000000" w:fill="FFFFFF"/>
            <w:vAlign w:val="center"/>
          </w:tcPr>
          <w:p w14:paraId="5F09C636"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r>
      <w:tr w:rsidR="002961DC" w:rsidRPr="00A95729" w14:paraId="6D56A9D9" w14:textId="77777777" w:rsidTr="00E56366">
        <w:trPr>
          <w:trHeight w:val="20"/>
          <w:jc w:val="center"/>
        </w:trPr>
        <w:tc>
          <w:tcPr>
            <w:tcW w:w="2411" w:type="dxa"/>
            <w:tcBorders>
              <w:top w:val="nil"/>
              <w:left w:val="single" w:sz="12" w:space="0" w:color="auto"/>
              <w:right w:val="single" w:sz="12" w:space="0" w:color="auto"/>
            </w:tcBorders>
            <w:shd w:val="clear" w:color="000000" w:fill="FFFFFF"/>
            <w:noWrap/>
            <w:vAlign w:val="center"/>
          </w:tcPr>
          <w:p w14:paraId="1E239420" w14:textId="77777777" w:rsidR="002961DC" w:rsidRPr="00A95729" w:rsidRDefault="002961DC" w:rsidP="00E56366">
            <w:pPr>
              <w:spacing w:after="0" w:line="240" w:lineRule="auto"/>
              <w:rPr>
                <w:rFonts w:eastAsia="Times New Roman"/>
                <w:color w:val="000000"/>
                <w:sz w:val="18"/>
                <w:szCs w:val="18"/>
              </w:rPr>
            </w:pPr>
            <w:r w:rsidRPr="00A95729">
              <w:rPr>
                <w:rFonts w:eastAsia="Times New Roman"/>
                <w:color w:val="000000"/>
                <w:sz w:val="18"/>
                <w:szCs w:val="18"/>
              </w:rPr>
              <w:t xml:space="preserve">     6 – 10</w:t>
            </w:r>
          </w:p>
        </w:tc>
        <w:tc>
          <w:tcPr>
            <w:tcW w:w="537" w:type="dxa"/>
            <w:tcBorders>
              <w:top w:val="nil"/>
              <w:left w:val="single" w:sz="12" w:space="0" w:color="auto"/>
            </w:tcBorders>
            <w:shd w:val="clear" w:color="000000" w:fill="FFFFFF"/>
            <w:vAlign w:val="bottom"/>
          </w:tcPr>
          <w:p w14:paraId="55F65515" w14:textId="77777777" w:rsidR="002961DC" w:rsidRPr="00A95729" w:rsidRDefault="002961DC" w:rsidP="00E56366">
            <w:pPr>
              <w:spacing w:after="0" w:line="240" w:lineRule="auto"/>
              <w:jc w:val="center"/>
              <w:rPr>
                <w:color w:val="000000"/>
                <w:sz w:val="18"/>
                <w:szCs w:val="18"/>
              </w:rPr>
            </w:pPr>
            <w:r w:rsidRPr="00A95729">
              <w:rPr>
                <w:color w:val="000000"/>
                <w:sz w:val="18"/>
                <w:szCs w:val="18"/>
              </w:rPr>
              <w:t>-0.30</w:t>
            </w:r>
          </w:p>
        </w:tc>
        <w:tc>
          <w:tcPr>
            <w:tcW w:w="541" w:type="dxa"/>
            <w:tcBorders>
              <w:top w:val="nil"/>
              <w:left w:val="nil"/>
              <w:right w:val="single" w:sz="12" w:space="0" w:color="auto"/>
            </w:tcBorders>
            <w:shd w:val="clear" w:color="000000" w:fill="FFFFFF"/>
            <w:vAlign w:val="bottom"/>
          </w:tcPr>
          <w:p w14:paraId="662AEF14" w14:textId="77777777" w:rsidR="002961DC" w:rsidRPr="00A95729" w:rsidRDefault="002961DC" w:rsidP="00E56366">
            <w:pPr>
              <w:spacing w:after="0" w:line="240" w:lineRule="auto"/>
              <w:jc w:val="center"/>
              <w:rPr>
                <w:color w:val="000000"/>
                <w:sz w:val="18"/>
                <w:szCs w:val="18"/>
              </w:rPr>
            </w:pPr>
            <w:r w:rsidRPr="00A95729">
              <w:rPr>
                <w:color w:val="000000"/>
                <w:sz w:val="18"/>
                <w:szCs w:val="18"/>
              </w:rPr>
              <w:t>-6.40</w:t>
            </w:r>
          </w:p>
        </w:tc>
        <w:tc>
          <w:tcPr>
            <w:tcW w:w="539" w:type="dxa"/>
            <w:tcBorders>
              <w:top w:val="nil"/>
              <w:left w:val="single" w:sz="12" w:space="0" w:color="auto"/>
              <w:right w:val="nil"/>
            </w:tcBorders>
            <w:shd w:val="clear" w:color="000000" w:fill="FFFFFF"/>
            <w:noWrap/>
            <w:vAlign w:val="center"/>
          </w:tcPr>
          <w:p w14:paraId="1822B40D"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49" w:type="dxa"/>
            <w:tcBorders>
              <w:top w:val="nil"/>
              <w:left w:val="nil"/>
              <w:right w:val="single" w:sz="4" w:space="0" w:color="auto"/>
            </w:tcBorders>
            <w:shd w:val="clear" w:color="000000" w:fill="FFFFFF"/>
            <w:noWrap/>
            <w:vAlign w:val="center"/>
          </w:tcPr>
          <w:p w14:paraId="06620BC7"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right w:val="nil"/>
            </w:tcBorders>
            <w:shd w:val="clear" w:color="000000" w:fill="FFFFFF"/>
            <w:noWrap/>
            <w:vAlign w:val="center"/>
          </w:tcPr>
          <w:p w14:paraId="7A6A757B"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right w:val="single" w:sz="4" w:space="0" w:color="auto"/>
            </w:tcBorders>
            <w:shd w:val="clear" w:color="000000" w:fill="FFFFFF"/>
            <w:noWrap/>
            <w:vAlign w:val="center"/>
          </w:tcPr>
          <w:p w14:paraId="6129E59E"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right w:val="nil"/>
            </w:tcBorders>
            <w:shd w:val="clear" w:color="000000" w:fill="FFFFFF"/>
            <w:noWrap/>
            <w:vAlign w:val="center"/>
          </w:tcPr>
          <w:p w14:paraId="1F5ADB02"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right w:val="single" w:sz="4" w:space="0" w:color="auto"/>
            </w:tcBorders>
            <w:shd w:val="clear" w:color="000000" w:fill="FFFFFF"/>
            <w:noWrap/>
            <w:vAlign w:val="center"/>
          </w:tcPr>
          <w:p w14:paraId="7B9091D2"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8" w:type="dxa"/>
            <w:tcBorders>
              <w:top w:val="nil"/>
              <w:left w:val="nil"/>
              <w:right w:val="nil"/>
            </w:tcBorders>
            <w:shd w:val="clear" w:color="000000" w:fill="FFFFFF"/>
            <w:noWrap/>
            <w:vAlign w:val="bottom"/>
          </w:tcPr>
          <w:p w14:paraId="74372B09"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-0.23</w:t>
            </w:r>
          </w:p>
        </w:tc>
        <w:tc>
          <w:tcPr>
            <w:tcW w:w="450" w:type="dxa"/>
            <w:tcBorders>
              <w:top w:val="nil"/>
              <w:left w:val="nil"/>
              <w:right w:val="single" w:sz="4" w:space="0" w:color="auto"/>
            </w:tcBorders>
            <w:shd w:val="clear" w:color="000000" w:fill="FFFFFF"/>
            <w:noWrap/>
            <w:vAlign w:val="bottom"/>
          </w:tcPr>
          <w:p w14:paraId="037ADAF4"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-1.29</w:t>
            </w:r>
          </w:p>
        </w:tc>
        <w:tc>
          <w:tcPr>
            <w:tcW w:w="540" w:type="dxa"/>
            <w:tcBorders>
              <w:top w:val="nil"/>
              <w:left w:val="nil"/>
              <w:right w:val="nil"/>
            </w:tcBorders>
            <w:shd w:val="clear" w:color="000000" w:fill="FFFFFF"/>
            <w:noWrap/>
            <w:vAlign w:val="center"/>
          </w:tcPr>
          <w:p w14:paraId="1B2E7EA9"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right w:val="single" w:sz="4" w:space="0" w:color="auto"/>
            </w:tcBorders>
            <w:shd w:val="clear" w:color="000000" w:fill="FFFFFF"/>
            <w:noWrap/>
            <w:vAlign w:val="center"/>
          </w:tcPr>
          <w:p w14:paraId="61BDDFD3"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right w:val="nil"/>
            </w:tcBorders>
            <w:shd w:val="clear" w:color="000000" w:fill="FFFFFF"/>
            <w:noWrap/>
            <w:vAlign w:val="center"/>
          </w:tcPr>
          <w:p w14:paraId="4C4097F7" w14:textId="77777777" w:rsidR="002961DC" w:rsidRPr="00A95729" w:rsidRDefault="002961DC" w:rsidP="00E56366">
            <w:pPr>
              <w:spacing w:after="0" w:line="240" w:lineRule="auto"/>
              <w:jc w:val="center"/>
              <w:rPr>
                <w:color w:val="000000"/>
                <w:sz w:val="18"/>
                <w:szCs w:val="18"/>
              </w:rPr>
            </w:pPr>
            <w:r w:rsidRPr="00A95729">
              <w:rPr>
                <w:rFonts w:eastAsia="Times New Roman"/>
                <w:color w:val="000000"/>
                <w:sz w:val="18"/>
                <w:szCs w:val="18"/>
              </w:rPr>
              <w:t>--</w:t>
            </w:r>
          </w:p>
        </w:tc>
        <w:tc>
          <w:tcPr>
            <w:tcW w:w="450" w:type="dxa"/>
            <w:tcBorders>
              <w:top w:val="nil"/>
              <w:left w:val="nil"/>
              <w:right w:val="single" w:sz="4" w:space="0" w:color="auto"/>
            </w:tcBorders>
            <w:shd w:val="clear" w:color="000000" w:fill="FFFFFF"/>
            <w:noWrap/>
            <w:vAlign w:val="center"/>
          </w:tcPr>
          <w:p w14:paraId="6512B14D" w14:textId="77777777" w:rsidR="002961DC" w:rsidRPr="00A95729" w:rsidRDefault="002961DC" w:rsidP="00E56366">
            <w:pPr>
              <w:spacing w:after="0" w:line="240" w:lineRule="auto"/>
              <w:jc w:val="center"/>
              <w:rPr>
                <w:color w:val="000000"/>
                <w:sz w:val="18"/>
                <w:szCs w:val="18"/>
              </w:rPr>
            </w:pPr>
            <w:r w:rsidRPr="00A95729">
              <w:rPr>
                <w:rFonts w:eastAsia="Times New Roman"/>
                <w:color w:val="000000"/>
                <w:sz w:val="18"/>
                <w:szCs w:val="18"/>
              </w:rPr>
              <w:t> </w:t>
            </w:r>
          </w:p>
        </w:tc>
        <w:tc>
          <w:tcPr>
            <w:tcW w:w="540" w:type="dxa"/>
            <w:tcBorders>
              <w:top w:val="nil"/>
              <w:left w:val="nil"/>
              <w:right w:val="nil"/>
            </w:tcBorders>
            <w:shd w:val="clear" w:color="000000" w:fill="FFFFFF"/>
            <w:noWrap/>
            <w:vAlign w:val="bottom"/>
          </w:tcPr>
          <w:p w14:paraId="1928B742" w14:textId="77777777" w:rsidR="002961DC" w:rsidRPr="00A95729" w:rsidRDefault="002961DC" w:rsidP="00E56366">
            <w:pPr>
              <w:spacing w:after="0" w:line="240" w:lineRule="auto"/>
              <w:jc w:val="center"/>
              <w:rPr>
                <w:color w:val="000000"/>
                <w:sz w:val="18"/>
                <w:szCs w:val="18"/>
              </w:rPr>
            </w:pPr>
            <w:r w:rsidRPr="00A95729">
              <w:rPr>
                <w:color w:val="000000"/>
                <w:sz w:val="18"/>
                <w:szCs w:val="18"/>
              </w:rPr>
              <w:t>-0.18</w:t>
            </w:r>
          </w:p>
        </w:tc>
        <w:tc>
          <w:tcPr>
            <w:tcW w:w="454" w:type="dxa"/>
            <w:tcBorders>
              <w:top w:val="nil"/>
              <w:left w:val="nil"/>
              <w:right w:val="single" w:sz="4" w:space="0" w:color="auto"/>
            </w:tcBorders>
            <w:shd w:val="clear" w:color="000000" w:fill="FFFFFF"/>
            <w:noWrap/>
            <w:vAlign w:val="bottom"/>
          </w:tcPr>
          <w:p w14:paraId="4A0B221D" w14:textId="77777777" w:rsidR="002961DC" w:rsidRPr="00A95729" w:rsidRDefault="002961DC" w:rsidP="00E56366">
            <w:pPr>
              <w:spacing w:after="0" w:line="240" w:lineRule="auto"/>
              <w:jc w:val="center"/>
              <w:rPr>
                <w:color w:val="000000"/>
                <w:sz w:val="18"/>
                <w:szCs w:val="18"/>
              </w:rPr>
            </w:pPr>
            <w:r w:rsidRPr="00A95729">
              <w:rPr>
                <w:color w:val="000000"/>
                <w:sz w:val="18"/>
                <w:szCs w:val="18"/>
              </w:rPr>
              <w:t>-1.49</w:t>
            </w:r>
          </w:p>
        </w:tc>
        <w:tc>
          <w:tcPr>
            <w:tcW w:w="540" w:type="dxa"/>
            <w:tcBorders>
              <w:top w:val="nil"/>
              <w:left w:val="nil"/>
              <w:right w:val="nil"/>
            </w:tcBorders>
            <w:shd w:val="clear" w:color="000000" w:fill="FFFFFF"/>
            <w:noWrap/>
            <w:vAlign w:val="center"/>
          </w:tcPr>
          <w:p w14:paraId="282882C9"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6" w:type="dxa"/>
            <w:tcBorders>
              <w:top w:val="nil"/>
              <w:left w:val="nil"/>
              <w:right w:val="single" w:sz="12" w:space="0" w:color="auto"/>
            </w:tcBorders>
            <w:shd w:val="clear" w:color="000000" w:fill="FFFFFF"/>
            <w:noWrap/>
            <w:vAlign w:val="center"/>
          </w:tcPr>
          <w:p w14:paraId="352E211A"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right w:val="nil"/>
            </w:tcBorders>
            <w:shd w:val="clear" w:color="000000" w:fill="FFFFFF"/>
            <w:vAlign w:val="center"/>
          </w:tcPr>
          <w:p w14:paraId="45B8B23E"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540" w:type="dxa"/>
            <w:tcBorders>
              <w:top w:val="nil"/>
              <w:left w:val="nil"/>
              <w:right w:val="single" w:sz="12" w:space="0" w:color="auto"/>
            </w:tcBorders>
            <w:shd w:val="clear" w:color="000000" w:fill="FFFFFF"/>
            <w:vAlign w:val="center"/>
          </w:tcPr>
          <w:p w14:paraId="599ADF85"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630" w:type="dxa"/>
            <w:tcBorders>
              <w:top w:val="nil"/>
              <w:left w:val="single" w:sz="12" w:space="0" w:color="auto"/>
              <w:right w:val="nil"/>
            </w:tcBorders>
            <w:shd w:val="clear" w:color="000000" w:fill="FFFFFF"/>
            <w:vAlign w:val="center"/>
          </w:tcPr>
          <w:p w14:paraId="257DD9D8"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542" w:type="dxa"/>
            <w:tcBorders>
              <w:top w:val="nil"/>
              <w:left w:val="nil"/>
              <w:right w:val="single" w:sz="12" w:space="0" w:color="auto"/>
            </w:tcBorders>
            <w:shd w:val="clear" w:color="000000" w:fill="FFFFFF"/>
            <w:vAlign w:val="center"/>
          </w:tcPr>
          <w:p w14:paraId="681AF5DA"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r>
      <w:tr w:rsidR="002961DC" w:rsidRPr="00A95729" w14:paraId="7CBD9A1A" w14:textId="77777777" w:rsidTr="00E56366">
        <w:trPr>
          <w:trHeight w:val="20"/>
          <w:jc w:val="center"/>
        </w:trPr>
        <w:tc>
          <w:tcPr>
            <w:tcW w:w="2411" w:type="dxa"/>
            <w:tcBorders>
              <w:top w:val="nil"/>
              <w:left w:val="single" w:sz="12" w:space="0" w:color="auto"/>
              <w:bottom w:val="single" w:sz="12" w:space="0" w:color="auto"/>
              <w:right w:val="single" w:sz="12" w:space="0" w:color="auto"/>
            </w:tcBorders>
            <w:shd w:val="clear" w:color="000000" w:fill="FFFFFF"/>
            <w:noWrap/>
            <w:vAlign w:val="center"/>
          </w:tcPr>
          <w:p w14:paraId="30BEDB20" w14:textId="77777777" w:rsidR="002961DC" w:rsidRPr="00A95729" w:rsidRDefault="002961DC" w:rsidP="00E56366">
            <w:pPr>
              <w:spacing w:after="0" w:line="240" w:lineRule="auto"/>
              <w:rPr>
                <w:rFonts w:eastAsia="Times New Roman"/>
                <w:color w:val="000000"/>
                <w:sz w:val="18"/>
                <w:szCs w:val="18"/>
              </w:rPr>
            </w:pPr>
            <w:r w:rsidRPr="00A95729">
              <w:rPr>
                <w:rFonts w:eastAsia="Times New Roman"/>
                <w:color w:val="000000"/>
                <w:sz w:val="18"/>
                <w:szCs w:val="18"/>
              </w:rPr>
              <w:t xml:space="preserve">     More than 10</w:t>
            </w:r>
          </w:p>
        </w:tc>
        <w:tc>
          <w:tcPr>
            <w:tcW w:w="537" w:type="dxa"/>
            <w:tcBorders>
              <w:top w:val="nil"/>
              <w:left w:val="single" w:sz="12" w:space="0" w:color="auto"/>
              <w:bottom w:val="single" w:sz="12" w:space="0" w:color="auto"/>
            </w:tcBorders>
            <w:shd w:val="clear" w:color="000000" w:fill="FFFFFF"/>
            <w:vAlign w:val="bottom"/>
          </w:tcPr>
          <w:p w14:paraId="24E926AE" w14:textId="77777777" w:rsidR="002961DC" w:rsidRPr="00A95729" w:rsidRDefault="002961DC" w:rsidP="00E56366">
            <w:pPr>
              <w:spacing w:after="0" w:line="240" w:lineRule="auto"/>
              <w:jc w:val="center"/>
              <w:rPr>
                <w:color w:val="000000"/>
                <w:sz w:val="18"/>
                <w:szCs w:val="18"/>
              </w:rPr>
            </w:pPr>
            <w:r w:rsidRPr="00A95729">
              <w:rPr>
                <w:color w:val="000000"/>
                <w:sz w:val="18"/>
                <w:szCs w:val="18"/>
              </w:rPr>
              <w:t>-0.35</w:t>
            </w:r>
          </w:p>
        </w:tc>
        <w:tc>
          <w:tcPr>
            <w:tcW w:w="541" w:type="dxa"/>
            <w:tcBorders>
              <w:top w:val="nil"/>
              <w:left w:val="nil"/>
              <w:bottom w:val="single" w:sz="12" w:space="0" w:color="auto"/>
              <w:right w:val="single" w:sz="12" w:space="0" w:color="auto"/>
            </w:tcBorders>
            <w:shd w:val="clear" w:color="000000" w:fill="FFFFFF"/>
            <w:vAlign w:val="bottom"/>
          </w:tcPr>
          <w:p w14:paraId="1F7DA2B3" w14:textId="77777777" w:rsidR="002961DC" w:rsidRPr="00A95729" w:rsidRDefault="002961DC" w:rsidP="00E56366">
            <w:pPr>
              <w:spacing w:after="0" w:line="240" w:lineRule="auto"/>
              <w:jc w:val="center"/>
              <w:rPr>
                <w:color w:val="000000"/>
                <w:sz w:val="18"/>
                <w:szCs w:val="18"/>
              </w:rPr>
            </w:pPr>
            <w:r w:rsidRPr="00A95729">
              <w:rPr>
                <w:color w:val="000000"/>
                <w:sz w:val="18"/>
                <w:szCs w:val="18"/>
              </w:rPr>
              <w:t>-4.99</w:t>
            </w:r>
          </w:p>
        </w:tc>
        <w:tc>
          <w:tcPr>
            <w:tcW w:w="539" w:type="dxa"/>
            <w:tcBorders>
              <w:top w:val="nil"/>
              <w:left w:val="single" w:sz="12" w:space="0" w:color="auto"/>
              <w:bottom w:val="single" w:sz="12" w:space="0" w:color="auto"/>
              <w:right w:val="nil"/>
            </w:tcBorders>
            <w:shd w:val="clear" w:color="000000" w:fill="FFFFFF"/>
            <w:noWrap/>
            <w:vAlign w:val="center"/>
          </w:tcPr>
          <w:p w14:paraId="31D77D6D"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49" w:type="dxa"/>
            <w:tcBorders>
              <w:top w:val="nil"/>
              <w:left w:val="nil"/>
              <w:bottom w:val="single" w:sz="12" w:space="0" w:color="auto"/>
              <w:right w:val="single" w:sz="4" w:space="0" w:color="auto"/>
            </w:tcBorders>
            <w:shd w:val="clear" w:color="000000" w:fill="FFFFFF"/>
            <w:noWrap/>
            <w:vAlign w:val="center"/>
          </w:tcPr>
          <w:p w14:paraId="32F3949E"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single" w:sz="12" w:space="0" w:color="auto"/>
              <w:right w:val="nil"/>
            </w:tcBorders>
            <w:shd w:val="clear" w:color="000000" w:fill="FFFFFF"/>
            <w:noWrap/>
            <w:vAlign w:val="center"/>
          </w:tcPr>
          <w:p w14:paraId="459938F4"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single" w:sz="12" w:space="0" w:color="auto"/>
              <w:right w:val="single" w:sz="4" w:space="0" w:color="auto"/>
            </w:tcBorders>
            <w:shd w:val="clear" w:color="000000" w:fill="FFFFFF"/>
            <w:noWrap/>
            <w:vAlign w:val="center"/>
          </w:tcPr>
          <w:p w14:paraId="222AD464"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single" w:sz="12" w:space="0" w:color="auto"/>
              <w:right w:val="nil"/>
            </w:tcBorders>
            <w:shd w:val="clear" w:color="000000" w:fill="FFFFFF"/>
            <w:noWrap/>
            <w:vAlign w:val="center"/>
          </w:tcPr>
          <w:p w14:paraId="6022BB72"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single" w:sz="12" w:space="0" w:color="auto"/>
              <w:right w:val="single" w:sz="4" w:space="0" w:color="auto"/>
            </w:tcBorders>
            <w:shd w:val="clear" w:color="000000" w:fill="FFFFFF"/>
            <w:noWrap/>
            <w:vAlign w:val="center"/>
          </w:tcPr>
          <w:p w14:paraId="2F7DEA51"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8" w:type="dxa"/>
            <w:tcBorders>
              <w:top w:val="nil"/>
              <w:left w:val="nil"/>
              <w:bottom w:val="single" w:sz="12" w:space="0" w:color="auto"/>
              <w:right w:val="nil"/>
            </w:tcBorders>
            <w:shd w:val="clear" w:color="000000" w:fill="FFFFFF"/>
            <w:noWrap/>
            <w:vAlign w:val="bottom"/>
          </w:tcPr>
          <w:p w14:paraId="0C930078"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-0.38</w:t>
            </w:r>
          </w:p>
        </w:tc>
        <w:tc>
          <w:tcPr>
            <w:tcW w:w="450" w:type="dxa"/>
            <w:tcBorders>
              <w:top w:val="nil"/>
              <w:left w:val="nil"/>
              <w:bottom w:val="single" w:sz="12" w:space="0" w:color="auto"/>
              <w:right w:val="single" w:sz="4" w:space="0" w:color="auto"/>
            </w:tcBorders>
            <w:shd w:val="clear" w:color="000000" w:fill="FFFFFF"/>
            <w:noWrap/>
            <w:vAlign w:val="bottom"/>
          </w:tcPr>
          <w:p w14:paraId="7E85A34D"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-1.49</w:t>
            </w:r>
          </w:p>
        </w:tc>
        <w:tc>
          <w:tcPr>
            <w:tcW w:w="540" w:type="dxa"/>
            <w:tcBorders>
              <w:top w:val="nil"/>
              <w:left w:val="nil"/>
              <w:bottom w:val="single" w:sz="12" w:space="0" w:color="auto"/>
              <w:right w:val="nil"/>
            </w:tcBorders>
            <w:shd w:val="clear" w:color="000000" w:fill="FFFFFF"/>
            <w:noWrap/>
            <w:vAlign w:val="center"/>
          </w:tcPr>
          <w:p w14:paraId="67D6CB83"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single" w:sz="12" w:space="0" w:color="auto"/>
              <w:right w:val="single" w:sz="4" w:space="0" w:color="auto"/>
            </w:tcBorders>
            <w:shd w:val="clear" w:color="000000" w:fill="FFFFFF"/>
            <w:noWrap/>
            <w:vAlign w:val="center"/>
          </w:tcPr>
          <w:p w14:paraId="364A5B40"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single" w:sz="12" w:space="0" w:color="auto"/>
              <w:right w:val="nil"/>
            </w:tcBorders>
            <w:shd w:val="clear" w:color="000000" w:fill="FFFFFF"/>
            <w:noWrap/>
            <w:vAlign w:val="center"/>
          </w:tcPr>
          <w:p w14:paraId="5D9B66FD"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single" w:sz="12" w:space="0" w:color="auto"/>
              <w:right w:val="single" w:sz="4" w:space="0" w:color="auto"/>
            </w:tcBorders>
            <w:shd w:val="clear" w:color="000000" w:fill="FFFFFF"/>
            <w:noWrap/>
            <w:vAlign w:val="center"/>
          </w:tcPr>
          <w:p w14:paraId="2DCACF5A"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single" w:sz="12" w:space="0" w:color="auto"/>
              <w:right w:val="nil"/>
            </w:tcBorders>
            <w:shd w:val="clear" w:color="000000" w:fill="FFFFFF"/>
            <w:noWrap/>
            <w:vAlign w:val="bottom"/>
          </w:tcPr>
          <w:p w14:paraId="5881888F"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-0.24</w:t>
            </w:r>
          </w:p>
        </w:tc>
        <w:tc>
          <w:tcPr>
            <w:tcW w:w="454" w:type="dxa"/>
            <w:tcBorders>
              <w:top w:val="nil"/>
              <w:left w:val="nil"/>
              <w:bottom w:val="single" w:sz="12" w:space="0" w:color="auto"/>
              <w:right w:val="single" w:sz="4" w:space="0" w:color="auto"/>
            </w:tcBorders>
            <w:shd w:val="clear" w:color="000000" w:fill="FFFFFF"/>
            <w:noWrap/>
            <w:vAlign w:val="bottom"/>
          </w:tcPr>
          <w:p w14:paraId="7C60C01F"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-1.32</w:t>
            </w:r>
          </w:p>
        </w:tc>
        <w:tc>
          <w:tcPr>
            <w:tcW w:w="540" w:type="dxa"/>
            <w:tcBorders>
              <w:top w:val="nil"/>
              <w:left w:val="nil"/>
              <w:bottom w:val="single" w:sz="12" w:space="0" w:color="auto"/>
              <w:right w:val="nil"/>
            </w:tcBorders>
            <w:shd w:val="clear" w:color="000000" w:fill="FFFFFF"/>
            <w:noWrap/>
            <w:vAlign w:val="center"/>
          </w:tcPr>
          <w:p w14:paraId="26B74DDD"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6" w:type="dxa"/>
            <w:tcBorders>
              <w:top w:val="nil"/>
              <w:left w:val="nil"/>
              <w:bottom w:val="single" w:sz="12" w:space="0" w:color="auto"/>
              <w:right w:val="single" w:sz="12" w:space="0" w:color="auto"/>
            </w:tcBorders>
            <w:shd w:val="clear" w:color="000000" w:fill="FFFFFF"/>
            <w:noWrap/>
            <w:vAlign w:val="center"/>
          </w:tcPr>
          <w:p w14:paraId="6132E0A3"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single" w:sz="12" w:space="0" w:color="auto"/>
              <w:right w:val="nil"/>
            </w:tcBorders>
            <w:shd w:val="clear" w:color="000000" w:fill="FFFFFF"/>
            <w:vAlign w:val="center"/>
          </w:tcPr>
          <w:p w14:paraId="77E0C6BF" w14:textId="77777777" w:rsidR="002961DC" w:rsidRPr="00A95729" w:rsidRDefault="002961DC" w:rsidP="00E56366">
            <w:pPr>
              <w:spacing w:after="0" w:line="240" w:lineRule="auto"/>
              <w:jc w:val="center"/>
              <w:rPr>
                <w:color w:val="000000"/>
                <w:sz w:val="18"/>
                <w:szCs w:val="18"/>
              </w:rPr>
            </w:pPr>
            <w:r w:rsidRPr="00A95729">
              <w:rPr>
                <w:rFonts w:eastAsia="Times New Roman"/>
                <w:color w:val="000000"/>
                <w:sz w:val="18"/>
                <w:szCs w:val="18"/>
              </w:rPr>
              <w:t>--</w:t>
            </w:r>
          </w:p>
        </w:tc>
        <w:tc>
          <w:tcPr>
            <w:tcW w:w="540" w:type="dxa"/>
            <w:tcBorders>
              <w:top w:val="nil"/>
              <w:left w:val="nil"/>
              <w:bottom w:val="single" w:sz="12" w:space="0" w:color="auto"/>
              <w:right w:val="single" w:sz="12" w:space="0" w:color="auto"/>
            </w:tcBorders>
            <w:shd w:val="clear" w:color="000000" w:fill="FFFFFF"/>
            <w:vAlign w:val="center"/>
          </w:tcPr>
          <w:p w14:paraId="05357F0F" w14:textId="77777777" w:rsidR="002961DC" w:rsidRPr="00A95729" w:rsidRDefault="002961DC" w:rsidP="00E56366">
            <w:pPr>
              <w:spacing w:after="0" w:line="240" w:lineRule="auto"/>
              <w:jc w:val="center"/>
              <w:rPr>
                <w:color w:val="000000"/>
                <w:sz w:val="18"/>
                <w:szCs w:val="18"/>
              </w:rPr>
            </w:pPr>
            <w:r w:rsidRPr="00A95729">
              <w:rPr>
                <w:rFonts w:eastAsia="Times New Roman"/>
                <w:color w:val="000000"/>
                <w:sz w:val="18"/>
                <w:szCs w:val="18"/>
              </w:rPr>
              <w:t> </w:t>
            </w:r>
          </w:p>
        </w:tc>
        <w:tc>
          <w:tcPr>
            <w:tcW w:w="630" w:type="dxa"/>
            <w:tcBorders>
              <w:top w:val="nil"/>
              <w:left w:val="single" w:sz="12" w:space="0" w:color="auto"/>
              <w:bottom w:val="single" w:sz="12" w:space="0" w:color="auto"/>
              <w:right w:val="nil"/>
            </w:tcBorders>
            <w:shd w:val="clear" w:color="000000" w:fill="FFFFFF"/>
            <w:vAlign w:val="center"/>
          </w:tcPr>
          <w:p w14:paraId="705804B0" w14:textId="77777777" w:rsidR="002961DC" w:rsidRPr="00A95729" w:rsidRDefault="002961DC" w:rsidP="00E56366">
            <w:pPr>
              <w:spacing w:after="0" w:line="240" w:lineRule="auto"/>
              <w:jc w:val="center"/>
              <w:rPr>
                <w:color w:val="000000"/>
                <w:sz w:val="18"/>
                <w:szCs w:val="18"/>
              </w:rPr>
            </w:pPr>
            <w:r w:rsidRPr="00A95729">
              <w:rPr>
                <w:rFonts w:eastAsia="Times New Roman"/>
                <w:color w:val="000000"/>
                <w:sz w:val="18"/>
                <w:szCs w:val="18"/>
              </w:rPr>
              <w:t>--</w:t>
            </w:r>
          </w:p>
        </w:tc>
        <w:tc>
          <w:tcPr>
            <w:tcW w:w="542" w:type="dxa"/>
            <w:tcBorders>
              <w:top w:val="nil"/>
              <w:left w:val="nil"/>
              <w:bottom w:val="single" w:sz="12" w:space="0" w:color="auto"/>
              <w:right w:val="single" w:sz="12" w:space="0" w:color="auto"/>
            </w:tcBorders>
            <w:shd w:val="clear" w:color="000000" w:fill="FFFFFF"/>
            <w:vAlign w:val="center"/>
          </w:tcPr>
          <w:p w14:paraId="7BB8D483" w14:textId="77777777" w:rsidR="002961DC" w:rsidRPr="00A95729" w:rsidRDefault="002961DC" w:rsidP="00E56366">
            <w:pPr>
              <w:spacing w:after="0" w:line="240" w:lineRule="auto"/>
              <w:jc w:val="center"/>
              <w:rPr>
                <w:color w:val="000000"/>
                <w:sz w:val="18"/>
                <w:szCs w:val="18"/>
              </w:rPr>
            </w:pPr>
            <w:r w:rsidRPr="00A95729">
              <w:rPr>
                <w:rFonts w:eastAsia="Times New Roman"/>
                <w:color w:val="000000"/>
                <w:sz w:val="18"/>
                <w:szCs w:val="18"/>
              </w:rPr>
              <w:t> </w:t>
            </w:r>
          </w:p>
        </w:tc>
      </w:tr>
    </w:tbl>
    <w:p w14:paraId="10CDC2AC" w14:textId="77777777" w:rsidR="002961DC" w:rsidRDefault="002961DC" w:rsidP="002961DC">
      <w:pPr>
        <w:spacing w:after="0" w:line="240" w:lineRule="auto"/>
        <w:jc w:val="both"/>
        <w:rPr>
          <w:b/>
          <w:bCs/>
          <w:sz w:val="20"/>
          <w:szCs w:val="20"/>
        </w:rPr>
      </w:pPr>
    </w:p>
    <w:p w14:paraId="40B1F143" w14:textId="77777777" w:rsidR="002961DC" w:rsidRDefault="002961DC" w:rsidP="002961DC">
      <w:pPr>
        <w:spacing w:after="0" w:line="240" w:lineRule="auto"/>
        <w:jc w:val="both"/>
        <w:rPr>
          <w:b/>
          <w:bCs/>
          <w:sz w:val="20"/>
          <w:szCs w:val="20"/>
        </w:rPr>
      </w:pPr>
    </w:p>
    <w:p w14:paraId="05817AB3" w14:textId="77777777" w:rsidR="002961DC" w:rsidRDefault="002961DC" w:rsidP="002961DC">
      <w:pPr>
        <w:spacing w:after="0" w:line="240" w:lineRule="auto"/>
        <w:jc w:val="both"/>
        <w:rPr>
          <w:b/>
          <w:bCs/>
          <w:sz w:val="20"/>
          <w:szCs w:val="20"/>
        </w:rPr>
      </w:pPr>
    </w:p>
    <w:p w14:paraId="534CD2F5" w14:textId="77777777" w:rsidR="002961DC" w:rsidRDefault="002961DC" w:rsidP="002961DC">
      <w:pPr>
        <w:spacing w:after="0" w:line="240" w:lineRule="auto"/>
        <w:jc w:val="both"/>
        <w:rPr>
          <w:b/>
          <w:bCs/>
          <w:sz w:val="20"/>
          <w:szCs w:val="20"/>
        </w:rPr>
      </w:pPr>
    </w:p>
    <w:p w14:paraId="4545E81B" w14:textId="77777777" w:rsidR="002961DC" w:rsidRDefault="002961DC" w:rsidP="002961DC">
      <w:pPr>
        <w:spacing w:after="0" w:line="240" w:lineRule="auto"/>
        <w:jc w:val="both"/>
        <w:rPr>
          <w:b/>
          <w:bCs/>
          <w:sz w:val="20"/>
          <w:szCs w:val="20"/>
        </w:rPr>
      </w:pPr>
    </w:p>
    <w:p w14:paraId="25E62B40" w14:textId="4CF95470" w:rsidR="002961DC" w:rsidRDefault="002961DC" w:rsidP="002961DC">
      <w:pPr>
        <w:spacing w:after="0" w:line="240" w:lineRule="auto"/>
        <w:jc w:val="both"/>
        <w:rPr>
          <w:b/>
          <w:bCs/>
        </w:rPr>
      </w:pPr>
      <w:r w:rsidRPr="002F3E1C">
        <w:rPr>
          <w:b/>
          <w:bCs/>
        </w:rPr>
        <w:t>Table 3 Main Estimation Results (cont.</w:t>
      </w:r>
      <w:r>
        <w:rPr>
          <w:b/>
          <w:bCs/>
        </w:rPr>
        <w:t xml:space="preserve"> 3/3</w:t>
      </w:r>
      <w:r w:rsidRPr="002F3E1C">
        <w:rPr>
          <w:b/>
          <w:bCs/>
        </w:rPr>
        <w:t>)</w:t>
      </w:r>
    </w:p>
    <w:p w14:paraId="0A160F1E" w14:textId="77777777" w:rsidR="002961DC" w:rsidRDefault="002961DC" w:rsidP="002961DC">
      <w:pPr>
        <w:spacing w:after="0" w:line="240" w:lineRule="auto"/>
        <w:jc w:val="both"/>
        <w:rPr>
          <w:b/>
          <w:bCs/>
          <w:sz w:val="20"/>
          <w:szCs w:val="20"/>
        </w:rPr>
      </w:pPr>
    </w:p>
    <w:tbl>
      <w:tblPr>
        <w:tblW w:w="13677" w:type="dxa"/>
        <w:jc w:val="center"/>
        <w:tblLayout w:type="fixed"/>
        <w:tblCellMar>
          <w:left w:w="0" w:type="dxa"/>
          <w:right w:w="0" w:type="dxa"/>
        </w:tblCellMar>
        <w:tblLook w:val="04A0" w:firstRow="1" w:lastRow="0" w:firstColumn="1" w:lastColumn="0" w:noHBand="0" w:noVBand="1"/>
      </w:tblPr>
      <w:tblGrid>
        <w:gridCol w:w="2411"/>
        <w:gridCol w:w="537"/>
        <w:gridCol w:w="541"/>
        <w:gridCol w:w="539"/>
        <w:gridCol w:w="449"/>
        <w:gridCol w:w="540"/>
        <w:gridCol w:w="450"/>
        <w:gridCol w:w="540"/>
        <w:gridCol w:w="450"/>
        <w:gridCol w:w="548"/>
        <w:gridCol w:w="450"/>
        <w:gridCol w:w="540"/>
        <w:gridCol w:w="450"/>
        <w:gridCol w:w="540"/>
        <w:gridCol w:w="450"/>
        <w:gridCol w:w="540"/>
        <w:gridCol w:w="454"/>
        <w:gridCol w:w="540"/>
        <w:gridCol w:w="456"/>
        <w:gridCol w:w="540"/>
        <w:gridCol w:w="540"/>
        <w:gridCol w:w="630"/>
        <w:gridCol w:w="542"/>
      </w:tblGrid>
      <w:tr w:rsidR="002961DC" w:rsidRPr="00A95729" w14:paraId="1C923A55" w14:textId="77777777" w:rsidTr="00E56366">
        <w:trPr>
          <w:trHeight w:val="20"/>
          <w:jc w:val="center"/>
        </w:trPr>
        <w:tc>
          <w:tcPr>
            <w:tcW w:w="2411" w:type="dxa"/>
            <w:vMerge w:val="restart"/>
            <w:tcBorders>
              <w:top w:val="single" w:sz="12" w:space="0" w:color="auto"/>
              <w:left w:val="single" w:sz="12" w:space="0" w:color="auto"/>
              <w:right w:val="single" w:sz="12" w:space="0" w:color="auto"/>
            </w:tcBorders>
            <w:shd w:val="clear" w:color="000000" w:fill="FFFFFF"/>
            <w:noWrap/>
            <w:vAlign w:val="center"/>
          </w:tcPr>
          <w:p w14:paraId="0B4EB5B6" w14:textId="77777777" w:rsidR="002961DC" w:rsidRPr="00A95729" w:rsidRDefault="002961DC" w:rsidP="00E56366">
            <w:pPr>
              <w:spacing w:after="0" w:line="240" w:lineRule="auto"/>
              <w:jc w:val="center"/>
              <w:rPr>
                <w:rFonts w:eastAsia="Times New Roman"/>
                <w:color w:val="000000"/>
                <w:sz w:val="18"/>
                <w:szCs w:val="18"/>
              </w:rPr>
            </w:pPr>
            <w:r>
              <w:rPr>
                <w:rFonts w:eastAsia="Times New Roman"/>
                <w:color w:val="000000"/>
                <w:sz w:val="18"/>
                <w:szCs w:val="18"/>
              </w:rPr>
              <w:t>Thresholds/</w:t>
            </w:r>
            <w:r w:rsidRPr="00A95729">
              <w:rPr>
                <w:rFonts w:eastAsia="Times New Roman"/>
                <w:color w:val="000000"/>
                <w:sz w:val="18"/>
                <w:szCs w:val="18"/>
              </w:rPr>
              <w:t>Variables (base)</w:t>
            </w:r>
          </w:p>
        </w:tc>
        <w:tc>
          <w:tcPr>
            <w:tcW w:w="1078" w:type="dxa"/>
            <w:gridSpan w:val="2"/>
            <w:vMerge w:val="restart"/>
            <w:tcBorders>
              <w:top w:val="single" w:sz="12" w:space="0" w:color="auto"/>
              <w:left w:val="single" w:sz="12" w:space="0" w:color="auto"/>
              <w:right w:val="single" w:sz="12" w:space="0" w:color="auto"/>
            </w:tcBorders>
            <w:shd w:val="clear" w:color="000000" w:fill="FFFFFF"/>
            <w:vAlign w:val="center"/>
          </w:tcPr>
          <w:p w14:paraId="659DC95A" w14:textId="77777777" w:rsidR="002961DC" w:rsidRPr="00A95729" w:rsidRDefault="002961DC" w:rsidP="00E56366">
            <w:pPr>
              <w:spacing w:after="0" w:line="240" w:lineRule="auto"/>
              <w:jc w:val="center"/>
              <w:rPr>
                <w:rFonts w:eastAsia="Times New Roman"/>
                <w:b/>
                <w:bCs/>
                <w:color w:val="000000"/>
                <w:sz w:val="18"/>
                <w:szCs w:val="18"/>
              </w:rPr>
            </w:pPr>
            <w:r>
              <w:rPr>
                <w:rFonts w:eastAsia="Times New Roman"/>
                <w:b/>
                <w:bCs/>
                <w:color w:val="000000"/>
                <w:sz w:val="18"/>
                <w:szCs w:val="18"/>
              </w:rPr>
              <w:t>PPD</w:t>
            </w:r>
          </w:p>
        </w:tc>
        <w:tc>
          <w:tcPr>
            <w:tcW w:w="7936" w:type="dxa"/>
            <w:gridSpan w:val="16"/>
            <w:tcBorders>
              <w:top w:val="single" w:sz="12" w:space="0" w:color="auto"/>
              <w:left w:val="single" w:sz="12" w:space="0" w:color="auto"/>
              <w:bottom w:val="single" w:sz="12" w:space="0" w:color="auto"/>
              <w:right w:val="single" w:sz="12" w:space="0" w:color="auto"/>
            </w:tcBorders>
            <w:shd w:val="clear" w:color="000000" w:fill="FFFFFF"/>
            <w:noWrap/>
            <w:vAlign w:val="bottom"/>
          </w:tcPr>
          <w:p w14:paraId="71427169" w14:textId="77777777" w:rsidR="002961DC" w:rsidRPr="00A95729" w:rsidRDefault="002961DC" w:rsidP="00E56366">
            <w:pPr>
              <w:spacing w:after="0" w:line="240" w:lineRule="auto"/>
              <w:jc w:val="center"/>
              <w:rPr>
                <w:rFonts w:eastAsia="Times New Roman"/>
                <w:b/>
                <w:bCs/>
                <w:color w:val="000000"/>
                <w:sz w:val="18"/>
                <w:szCs w:val="18"/>
              </w:rPr>
            </w:pPr>
            <w:r>
              <w:rPr>
                <w:rFonts w:eastAsia="Times New Roman"/>
                <w:b/>
                <w:bCs/>
                <w:color w:val="000000"/>
                <w:sz w:val="18"/>
                <w:szCs w:val="18"/>
              </w:rPr>
              <w:t>PPD Reasons</w:t>
            </w:r>
          </w:p>
        </w:tc>
        <w:tc>
          <w:tcPr>
            <w:tcW w:w="2252" w:type="dxa"/>
            <w:gridSpan w:val="4"/>
            <w:tcBorders>
              <w:top w:val="single" w:sz="12" w:space="0" w:color="auto"/>
              <w:left w:val="single" w:sz="12" w:space="0" w:color="auto"/>
              <w:bottom w:val="single" w:sz="12" w:space="0" w:color="auto"/>
              <w:right w:val="single" w:sz="12" w:space="0" w:color="auto"/>
            </w:tcBorders>
            <w:shd w:val="clear" w:color="000000" w:fill="FFFFFF"/>
          </w:tcPr>
          <w:p w14:paraId="1D05C2AE" w14:textId="77777777" w:rsidR="002961DC" w:rsidRPr="00A95729" w:rsidRDefault="002961DC" w:rsidP="00E56366">
            <w:pPr>
              <w:spacing w:after="0" w:line="240" w:lineRule="auto"/>
              <w:jc w:val="center"/>
              <w:rPr>
                <w:rFonts w:eastAsia="Times New Roman"/>
                <w:b/>
                <w:bCs/>
                <w:color w:val="000000"/>
                <w:sz w:val="18"/>
                <w:szCs w:val="18"/>
              </w:rPr>
            </w:pPr>
            <w:r>
              <w:rPr>
                <w:rFonts w:eastAsia="Times New Roman"/>
                <w:b/>
                <w:bCs/>
                <w:color w:val="000000"/>
                <w:sz w:val="18"/>
                <w:szCs w:val="18"/>
              </w:rPr>
              <w:t xml:space="preserve">Virtual Participation </w:t>
            </w:r>
          </w:p>
        </w:tc>
      </w:tr>
      <w:tr w:rsidR="002961DC" w:rsidRPr="00A95729" w14:paraId="740F5E0F" w14:textId="77777777" w:rsidTr="00E56366">
        <w:trPr>
          <w:trHeight w:val="20"/>
          <w:jc w:val="center"/>
        </w:trPr>
        <w:tc>
          <w:tcPr>
            <w:tcW w:w="2411" w:type="dxa"/>
            <w:vMerge/>
            <w:tcBorders>
              <w:left w:val="single" w:sz="12" w:space="0" w:color="auto"/>
              <w:right w:val="single" w:sz="12" w:space="0" w:color="auto"/>
            </w:tcBorders>
            <w:shd w:val="clear" w:color="000000" w:fill="FFFFFF"/>
            <w:noWrap/>
            <w:vAlign w:val="center"/>
            <w:hideMark/>
          </w:tcPr>
          <w:p w14:paraId="04F8483B" w14:textId="77777777" w:rsidR="002961DC" w:rsidRPr="00A95729" w:rsidRDefault="002961DC" w:rsidP="00E56366">
            <w:pPr>
              <w:spacing w:after="0" w:line="240" w:lineRule="auto"/>
              <w:jc w:val="center"/>
              <w:rPr>
                <w:rFonts w:eastAsia="Times New Roman"/>
                <w:color w:val="000000"/>
                <w:sz w:val="18"/>
                <w:szCs w:val="18"/>
              </w:rPr>
            </w:pPr>
          </w:p>
        </w:tc>
        <w:tc>
          <w:tcPr>
            <w:tcW w:w="1078" w:type="dxa"/>
            <w:gridSpan w:val="2"/>
            <w:vMerge/>
            <w:tcBorders>
              <w:left w:val="single" w:sz="12" w:space="0" w:color="auto"/>
              <w:bottom w:val="single" w:sz="12" w:space="0" w:color="auto"/>
              <w:right w:val="single" w:sz="12" w:space="0" w:color="auto"/>
            </w:tcBorders>
            <w:shd w:val="clear" w:color="000000" w:fill="FFFFFF"/>
          </w:tcPr>
          <w:p w14:paraId="43F7A413" w14:textId="77777777" w:rsidR="002961DC" w:rsidRPr="00A95729" w:rsidRDefault="002961DC" w:rsidP="00E56366">
            <w:pPr>
              <w:spacing w:after="0" w:line="240" w:lineRule="auto"/>
              <w:jc w:val="center"/>
              <w:rPr>
                <w:rFonts w:eastAsia="Times New Roman"/>
                <w:color w:val="000000"/>
                <w:sz w:val="18"/>
                <w:szCs w:val="18"/>
              </w:rPr>
            </w:pPr>
          </w:p>
        </w:tc>
        <w:tc>
          <w:tcPr>
            <w:tcW w:w="988" w:type="dxa"/>
            <w:gridSpan w:val="2"/>
            <w:tcBorders>
              <w:top w:val="single" w:sz="12" w:space="0" w:color="auto"/>
              <w:left w:val="single" w:sz="12" w:space="0" w:color="auto"/>
              <w:bottom w:val="single" w:sz="12" w:space="0" w:color="auto"/>
              <w:right w:val="single" w:sz="4" w:space="0" w:color="000000"/>
            </w:tcBorders>
            <w:shd w:val="clear" w:color="000000" w:fill="FFFFFF"/>
            <w:noWrap/>
            <w:vAlign w:val="bottom"/>
            <w:hideMark/>
          </w:tcPr>
          <w:p w14:paraId="0E5E4B6C" w14:textId="77777777" w:rsidR="002961DC" w:rsidRPr="00A95729" w:rsidRDefault="002961DC" w:rsidP="00E56366">
            <w:pPr>
              <w:spacing w:after="0" w:line="240" w:lineRule="auto"/>
              <w:jc w:val="center"/>
              <w:rPr>
                <w:rFonts w:eastAsia="Times New Roman"/>
                <w:color w:val="000000"/>
                <w:sz w:val="18"/>
                <w:szCs w:val="18"/>
              </w:rPr>
            </w:pPr>
            <w:r>
              <w:rPr>
                <w:rFonts w:eastAsia="Times New Roman"/>
                <w:color w:val="000000"/>
                <w:sz w:val="18"/>
                <w:szCs w:val="18"/>
              </w:rPr>
              <w:t>Not Safe</w:t>
            </w:r>
          </w:p>
        </w:tc>
        <w:tc>
          <w:tcPr>
            <w:tcW w:w="990" w:type="dxa"/>
            <w:gridSpan w:val="2"/>
            <w:tcBorders>
              <w:top w:val="single" w:sz="12" w:space="0" w:color="auto"/>
              <w:left w:val="nil"/>
              <w:bottom w:val="single" w:sz="12" w:space="0" w:color="auto"/>
              <w:right w:val="single" w:sz="4" w:space="0" w:color="000000"/>
            </w:tcBorders>
            <w:shd w:val="clear" w:color="000000" w:fill="FFFFFF"/>
            <w:noWrap/>
            <w:vAlign w:val="bottom"/>
            <w:hideMark/>
          </w:tcPr>
          <w:p w14:paraId="528032A5" w14:textId="77777777" w:rsidR="002961DC" w:rsidRPr="00A95729" w:rsidRDefault="002961DC" w:rsidP="00E56366">
            <w:pPr>
              <w:spacing w:after="0" w:line="240" w:lineRule="auto"/>
              <w:jc w:val="center"/>
              <w:rPr>
                <w:rFonts w:eastAsia="Times New Roman"/>
                <w:color w:val="000000"/>
                <w:sz w:val="18"/>
                <w:szCs w:val="18"/>
              </w:rPr>
            </w:pPr>
            <w:r>
              <w:rPr>
                <w:rFonts w:eastAsia="Times New Roman"/>
                <w:color w:val="000000"/>
                <w:sz w:val="18"/>
                <w:szCs w:val="18"/>
              </w:rPr>
              <w:t>Not Clean</w:t>
            </w:r>
          </w:p>
        </w:tc>
        <w:tc>
          <w:tcPr>
            <w:tcW w:w="990" w:type="dxa"/>
            <w:gridSpan w:val="2"/>
            <w:tcBorders>
              <w:top w:val="single" w:sz="12" w:space="0" w:color="auto"/>
              <w:left w:val="nil"/>
              <w:bottom w:val="single" w:sz="12" w:space="0" w:color="auto"/>
              <w:right w:val="single" w:sz="4" w:space="0" w:color="000000"/>
            </w:tcBorders>
            <w:shd w:val="clear" w:color="000000" w:fill="FFFFFF"/>
            <w:noWrap/>
            <w:vAlign w:val="bottom"/>
            <w:hideMark/>
          </w:tcPr>
          <w:p w14:paraId="1B23B790" w14:textId="77777777" w:rsidR="002961DC" w:rsidRPr="00A95729" w:rsidRDefault="002961DC" w:rsidP="00E56366">
            <w:pPr>
              <w:spacing w:after="0" w:line="240" w:lineRule="auto"/>
              <w:jc w:val="center"/>
              <w:rPr>
                <w:rFonts w:eastAsia="Times New Roman"/>
                <w:color w:val="000000"/>
                <w:sz w:val="18"/>
                <w:szCs w:val="18"/>
              </w:rPr>
            </w:pPr>
            <w:r>
              <w:rPr>
                <w:rFonts w:eastAsia="Times New Roman"/>
                <w:color w:val="000000"/>
                <w:sz w:val="18"/>
                <w:szCs w:val="18"/>
              </w:rPr>
              <w:t>Not Reliable</w:t>
            </w:r>
          </w:p>
        </w:tc>
        <w:tc>
          <w:tcPr>
            <w:tcW w:w="998" w:type="dxa"/>
            <w:gridSpan w:val="2"/>
            <w:tcBorders>
              <w:top w:val="single" w:sz="12" w:space="0" w:color="auto"/>
              <w:left w:val="nil"/>
              <w:bottom w:val="single" w:sz="12" w:space="0" w:color="auto"/>
              <w:right w:val="single" w:sz="4" w:space="0" w:color="000000"/>
            </w:tcBorders>
            <w:shd w:val="clear" w:color="000000" w:fill="FFFFFF"/>
            <w:vAlign w:val="bottom"/>
            <w:hideMark/>
          </w:tcPr>
          <w:p w14:paraId="4445DE10" w14:textId="77777777" w:rsidR="002961DC" w:rsidRPr="00A95729" w:rsidRDefault="002961DC" w:rsidP="00E56366">
            <w:pPr>
              <w:spacing w:after="0" w:line="240" w:lineRule="auto"/>
              <w:jc w:val="center"/>
              <w:rPr>
                <w:rFonts w:eastAsia="Times New Roman"/>
                <w:color w:val="000000"/>
                <w:sz w:val="18"/>
                <w:szCs w:val="18"/>
              </w:rPr>
            </w:pPr>
            <w:r>
              <w:rPr>
                <w:rFonts w:eastAsia="Times New Roman"/>
                <w:color w:val="000000"/>
                <w:sz w:val="18"/>
                <w:szCs w:val="18"/>
              </w:rPr>
              <w:t xml:space="preserve">Poor </w:t>
            </w:r>
            <w:r w:rsidRPr="00A95729">
              <w:rPr>
                <w:rFonts w:eastAsia="Times New Roman"/>
                <w:color w:val="000000"/>
                <w:sz w:val="18"/>
                <w:szCs w:val="18"/>
              </w:rPr>
              <w:t>Destination Access</w:t>
            </w:r>
          </w:p>
        </w:tc>
        <w:tc>
          <w:tcPr>
            <w:tcW w:w="990" w:type="dxa"/>
            <w:gridSpan w:val="2"/>
            <w:tcBorders>
              <w:top w:val="single" w:sz="12" w:space="0" w:color="auto"/>
              <w:left w:val="nil"/>
              <w:bottom w:val="single" w:sz="12" w:space="0" w:color="auto"/>
              <w:right w:val="single" w:sz="4" w:space="0" w:color="000000"/>
            </w:tcBorders>
            <w:shd w:val="clear" w:color="000000" w:fill="FFFFFF"/>
            <w:noWrap/>
            <w:vAlign w:val="bottom"/>
            <w:hideMark/>
          </w:tcPr>
          <w:p w14:paraId="4764E1FB" w14:textId="77777777" w:rsidR="002961DC" w:rsidRPr="00A95729" w:rsidRDefault="002961DC" w:rsidP="00E56366">
            <w:pPr>
              <w:spacing w:after="0" w:line="240" w:lineRule="auto"/>
              <w:jc w:val="center"/>
              <w:rPr>
                <w:rFonts w:eastAsia="Times New Roman"/>
                <w:color w:val="000000"/>
                <w:sz w:val="18"/>
                <w:szCs w:val="18"/>
              </w:rPr>
            </w:pPr>
            <w:r>
              <w:rPr>
                <w:rFonts w:eastAsia="Times New Roman"/>
                <w:color w:val="000000"/>
                <w:sz w:val="18"/>
                <w:szCs w:val="18"/>
              </w:rPr>
              <w:t>Not Affordable</w:t>
            </w:r>
          </w:p>
        </w:tc>
        <w:tc>
          <w:tcPr>
            <w:tcW w:w="990" w:type="dxa"/>
            <w:gridSpan w:val="2"/>
            <w:tcBorders>
              <w:top w:val="single" w:sz="12" w:space="0" w:color="auto"/>
              <w:left w:val="nil"/>
              <w:bottom w:val="single" w:sz="12" w:space="0" w:color="auto"/>
              <w:right w:val="single" w:sz="4" w:space="0" w:color="000000"/>
            </w:tcBorders>
            <w:shd w:val="clear" w:color="000000" w:fill="FFFFFF"/>
            <w:noWrap/>
            <w:vAlign w:val="bottom"/>
            <w:hideMark/>
          </w:tcPr>
          <w:p w14:paraId="043E2FAE"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Health Problems</w:t>
            </w:r>
          </w:p>
        </w:tc>
        <w:tc>
          <w:tcPr>
            <w:tcW w:w="994" w:type="dxa"/>
            <w:gridSpan w:val="2"/>
            <w:tcBorders>
              <w:top w:val="single" w:sz="12" w:space="0" w:color="auto"/>
              <w:left w:val="nil"/>
              <w:bottom w:val="single" w:sz="12" w:space="0" w:color="auto"/>
              <w:right w:val="single" w:sz="4" w:space="0" w:color="000000"/>
            </w:tcBorders>
            <w:shd w:val="clear" w:color="000000" w:fill="FFFFFF"/>
            <w:noWrap/>
            <w:vAlign w:val="bottom"/>
            <w:hideMark/>
          </w:tcPr>
          <w:p w14:paraId="60B7E35A" w14:textId="77777777" w:rsidR="002961DC" w:rsidRPr="00A95729" w:rsidRDefault="002961DC" w:rsidP="00E56366">
            <w:pPr>
              <w:spacing w:after="0" w:line="240" w:lineRule="auto"/>
              <w:jc w:val="center"/>
              <w:rPr>
                <w:rFonts w:eastAsia="Times New Roman"/>
                <w:color w:val="000000"/>
                <w:sz w:val="18"/>
                <w:szCs w:val="18"/>
              </w:rPr>
            </w:pPr>
            <w:r>
              <w:rPr>
                <w:rFonts w:eastAsia="Times New Roman"/>
                <w:color w:val="000000"/>
                <w:sz w:val="18"/>
                <w:szCs w:val="18"/>
              </w:rPr>
              <w:t xml:space="preserve">No </w:t>
            </w:r>
            <w:r w:rsidRPr="00A95729">
              <w:rPr>
                <w:rFonts w:eastAsia="Times New Roman"/>
                <w:color w:val="000000"/>
                <w:sz w:val="18"/>
                <w:szCs w:val="18"/>
              </w:rPr>
              <w:t>Time</w:t>
            </w:r>
          </w:p>
        </w:tc>
        <w:tc>
          <w:tcPr>
            <w:tcW w:w="996" w:type="dxa"/>
            <w:gridSpan w:val="2"/>
            <w:tcBorders>
              <w:top w:val="single" w:sz="12" w:space="0" w:color="auto"/>
              <w:left w:val="nil"/>
              <w:bottom w:val="single" w:sz="12" w:space="0" w:color="auto"/>
              <w:right w:val="single" w:sz="12" w:space="0" w:color="auto"/>
            </w:tcBorders>
            <w:shd w:val="clear" w:color="000000" w:fill="FFFFFF"/>
            <w:noWrap/>
            <w:vAlign w:val="bottom"/>
            <w:hideMark/>
          </w:tcPr>
          <w:p w14:paraId="0999D5EE"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COVID</w:t>
            </w:r>
            <w:r>
              <w:rPr>
                <w:rFonts w:eastAsia="Times New Roman"/>
                <w:color w:val="000000"/>
                <w:sz w:val="18"/>
                <w:szCs w:val="18"/>
              </w:rPr>
              <w:t xml:space="preserve"> Concerns</w:t>
            </w:r>
          </w:p>
        </w:tc>
        <w:tc>
          <w:tcPr>
            <w:tcW w:w="1080" w:type="dxa"/>
            <w:gridSpan w:val="2"/>
            <w:tcBorders>
              <w:top w:val="single" w:sz="12" w:space="0" w:color="auto"/>
              <w:left w:val="nil"/>
              <w:bottom w:val="single" w:sz="12" w:space="0" w:color="auto"/>
              <w:right w:val="single" w:sz="12" w:space="0" w:color="auto"/>
            </w:tcBorders>
            <w:shd w:val="clear" w:color="000000" w:fill="FFFFFF"/>
            <w:vAlign w:val="bottom"/>
          </w:tcPr>
          <w:p w14:paraId="6DB0C3F4"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Telework</w:t>
            </w:r>
          </w:p>
        </w:tc>
        <w:tc>
          <w:tcPr>
            <w:tcW w:w="1172" w:type="dxa"/>
            <w:gridSpan w:val="2"/>
            <w:tcBorders>
              <w:top w:val="single" w:sz="12" w:space="0" w:color="auto"/>
              <w:left w:val="single" w:sz="12" w:space="0" w:color="auto"/>
              <w:bottom w:val="single" w:sz="12" w:space="0" w:color="auto"/>
              <w:right w:val="single" w:sz="12" w:space="0" w:color="auto"/>
            </w:tcBorders>
            <w:shd w:val="clear" w:color="000000" w:fill="FFFFFF"/>
            <w:vAlign w:val="bottom"/>
          </w:tcPr>
          <w:p w14:paraId="315A6632"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Deliveries</w:t>
            </w:r>
          </w:p>
        </w:tc>
      </w:tr>
      <w:tr w:rsidR="002961DC" w:rsidRPr="00A95729" w14:paraId="1F5EA64C" w14:textId="77777777" w:rsidTr="00E56366">
        <w:trPr>
          <w:trHeight w:val="20"/>
          <w:jc w:val="center"/>
        </w:trPr>
        <w:tc>
          <w:tcPr>
            <w:tcW w:w="2411" w:type="dxa"/>
            <w:vMerge/>
            <w:tcBorders>
              <w:left w:val="single" w:sz="12" w:space="0" w:color="auto"/>
              <w:bottom w:val="single" w:sz="12" w:space="0" w:color="auto"/>
              <w:right w:val="single" w:sz="12" w:space="0" w:color="auto"/>
            </w:tcBorders>
            <w:vAlign w:val="center"/>
            <w:hideMark/>
          </w:tcPr>
          <w:p w14:paraId="0C9853BF" w14:textId="77777777" w:rsidR="002961DC" w:rsidRPr="00A95729" w:rsidRDefault="002961DC" w:rsidP="00E56366">
            <w:pPr>
              <w:spacing w:after="0" w:line="240" w:lineRule="auto"/>
              <w:rPr>
                <w:rFonts w:eastAsia="Times New Roman"/>
                <w:color w:val="000000"/>
                <w:sz w:val="18"/>
                <w:szCs w:val="18"/>
              </w:rPr>
            </w:pPr>
          </w:p>
        </w:tc>
        <w:tc>
          <w:tcPr>
            <w:tcW w:w="537" w:type="dxa"/>
            <w:tcBorders>
              <w:top w:val="single" w:sz="12" w:space="0" w:color="auto"/>
              <w:left w:val="single" w:sz="12" w:space="0" w:color="auto"/>
              <w:bottom w:val="single" w:sz="12" w:space="0" w:color="auto"/>
            </w:tcBorders>
            <w:shd w:val="clear" w:color="000000" w:fill="FFFFFF"/>
            <w:vAlign w:val="center"/>
          </w:tcPr>
          <w:p w14:paraId="4AD18840"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Coeff.</w:t>
            </w:r>
          </w:p>
        </w:tc>
        <w:tc>
          <w:tcPr>
            <w:tcW w:w="541" w:type="dxa"/>
            <w:tcBorders>
              <w:top w:val="single" w:sz="12" w:space="0" w:color="auto"/>
              <w:left w:val="nil"/>
              <w:bottom w:val="single" w:sz="12" w:space="0" w:color="auto"/>
              <w:right w:val="single" w:sz="12" w:space="0" w:color="auto"/>
            </w:tcBorders>
            <w:shd w:val="clear" w:color="000000" w:fill="FFFFFF"/>
            <w:vAlign w:val="center"/>
          </w:tcPr>
          <w:p w14:paraId="6364CC20"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t-stat</w:t>
            </w:r>
          </w:p>
        </w:tc>
        <w:tc>
          <w:tcPr>
            <w:tcW w:w="539" w:type="dxa"/>
            <w:tcBorders>
              <w:top w:val="single" w:sz="12" w:space="0" w:color="auto"/>
              <w:left w:val="single" w:sz="12" w:space="0" w:color="auto"/>
              <w:bottom w:val="single" w:sz="12" w:space="0" w:color="auto"/>
              <w:right w:val="nil"/>
            </w:tcBorders>
            <w:shd w:val="clear" w:color="000000" w:fill="FFFFFF"/>
            <w:noWrap/>
            <w:vAlign w:val="center"/>
            <w:hideMark/>
          </w:tcPr>
          <w:p w14:paraId="2CF7CF67"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Coeff.</w:t>
            </w:r>
          </w:p>
        </w:tc>
        <w:tc>
          <w:tcPr>
            <w:tcW w:w="449" w:type="dxa"/>
            <w:tcBorders>
              <w:top w:val="single" w:sz="12" w:space="0" w:color="auto"/>
              <w:left w:val="nil"/>
              <w:bottom w:val="single" w:sz="12" w:space="0" w:color="auto"/>
              <w:right w:val="single" w:sz="4" w:space="0" w:color="auto"/>
            </w:tcBorders>
            <w:shd w:val="clear" w:color="000000" w:fill="FFFFFF"/>
            <w:noWrap/>
            <w:vAlign w:val="center"/>
            <w:hideMark/>
          </w:tcPr>
          <w:p w14:paraId="39DC6BD9"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t-stat</w:t>
            </w:r>
          </w:p>
        </w:tc>
        <w:tc>
          <w:tcPr>
            <w:tcW w:w="540" w:type="dxa"/>
            <w:tcBorders>
              <w:top w:val="single" w:sz="12" w:space="0" w:color="auto"/>
              <w:left w:val="nil"/>
              <w:bottom w:val="single" w:sz="12" w:space="0" w:color="auto"/>
              <w:right w:val="nil"/>
            </w:tcBorders>
            <w:shd w:val="clear" w:color="000000" w:fill="FFFFFF"/>
            <w:noWrap/>
            <w:vAlign w:val="center"/>
            <w:hideMark/>
          </w:tcPr>
          <w:p w14:paraId="58223DF8"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Coeff.</w:t>
            </w:r>
          </w:p>
        </w:tc>
        <w:tc>
          <w:tcPr>
            <w:tcW w:w="450" w:type="dxa"/>
            <w:tcBorders>
              <w:top w:val="single" w:sz="12" w:space="0" w:color="auto"/>
              <w:left w:val="nil"/>
              <w:bottom w:val="single" w:sz="12" w:space="0" w:color="auto"/>
              <w:right w:val="single" w:sz="4" w:space="0" w:color="auto"/>
            </w:tcBorders>
            <w:shd w:val="clear" w:color="000000" w:fill="FFFFFF"/>
            <w:noWrap/>
            <w:vAlign w:val="center"/>
            <w:hideMark/>
          </w:tcPr>
          <w:p w14:paraId="34B040A4"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t-stat</w:t>
            </w:r>
          </w:p>
        </w:tc>
        <w:tc>
          <w:tcPr>
            <w:tcW w:w="540" w:type="dxa"/>
            <w:tcBorders>
              <w:top w:val="single" w:sz="12" w:space="0" w:color="auto"/>
              <w:left w:val="nil"/>
              <w:bottom w:val="single" w:sz="12" w:space="0" w:color="auto"/>
              <w:right w:val="nil"/>
            </w:tcBorders>
            <w:shd w:val="clear" w:color="000000" w:fill="FFFFFF"/>
            <w:noWrap/>
            <w:vAlign w:val="center"/>
            <w:hideMark/>
          </w:tcPr>
          <w:p w14:paraId="68AC9C7B"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Coeff.</w:t>
            </w:r>
          </w:p>
        </w:tc>
        <w:tc>
          <w:tcPr>
            <w:tcW w:w="450" w:type="dxa"/>
            <w:tcBorders>
              <w:top w:val="single" w:sz="12" w:space="0" w:color="auto"/>
              <w:left w:val="nil"/>
              <w:bottom w:val="single" w:sz="12" w:space="0" w:color="auto"/>
              <w:right w:val="single" w:sz="4" w:space="0" w:color="auto"/>
            </w:tcBorders>
            <w:shd w:val="clear" w:color="000000" w:fill="FFFFFF"/>
            <w:noWrap/>
            <w:vAlign w:val="center"/>
            <w:hideMark/>
          </w:tcPr>
          <w:p w14:paraId="40FC10C5"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t-stat</w:t>
            </w:r>
          </w:p>
        </w:tc>
        <w:tc>
          <w:tcPr>
            <w:tcW w:w="548" w:type="dxa"/>
            <w:tcBorders>
              <w:top w:val="single" w:sz="12" w:space="0" w:color="auto"/>
              <w:left w:val="nil"/>
              <w:bottom w:val="single" w:sz="12" w:space="0" w:color="auto"/>
              <w:right w:val="nil"/>
            </w:tcBorders>
            <w:shd w:val="clear" w:color="000000" w:fill="FFFFFF"/>
            <w:noWrap/>
            <w:vAlign w:val="center"/>
            <w:hideMark/>
          </w:tcPr>
          <w:p w14:paraId="211C3999"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Coeff.</w:t>
            </w:r>
          </w:p>
        </w:tc>
        <w:tc>
          <w:tcPr>
            <w:tcW w:w="450" w:type="dxa"/>
            <w:tcBorders>
              <w:top w:val="single" w:sz="12" w:space="0" w:color="auto"/>
              <w:left w:val="nil"/>
              <w:bottom w:val="single" w:sz="12" w:space="0" w:color="auto"/>
              <w:right w:val="single" w:sz="4" w:space="0" w:color="auto"/>
            </w:tcBorders>
            <w:shd w:val="clear" w:color="000000" w:fill="FFFFFF"/>
            <w:noWrap/>
            <w:vAlign w:val="center"/>
            <w:hideMark/>
          </w:tcPr>
          <w:p w14:paraId="52DA68DD"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t-stat</w:t>
            </w:r>
          </w:p>
        </w:tc>
        <w:tc>
          <w:tcPr>
            <w:tcW w:w="540" w:type="dxa"/>
            <w:tcBorders>
              <w:top w:val="single" w:sz="12" w:space="0" w:color="auto"/>
              <w:left w:val="nil"/>
              <w:bottom w:val="single" w:sz="12" w:space="0" w:color="auto"/>
              <w:right w:val="nil"/>
            </w:tcBorders>
            <w:shd w:val="clear" w:color="000000" w:fill="FFFFFF"/>
            <w:noWrap/>
            <w:vAlign w:val="center"/>
            <w:hideMark/>
          </w:tcPr>
          <w:p w14:paraId="1FF5CEAA"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Coeff.</w:t>
            </w:r>
          </w:p>
        </w:tc>
        <w:tc>
          <w:tcPr>
            <w:tcW w:w="450" w:type="dxa"/>
            <w:tcBorders>
              <w:top w:val="single" w:sz="12" w:space="0" w:color="auto"/>
              <w:left w:val="nil"/>
              <w:bottom w:val="single" w:sz="12" w:space="0" w:color="auto"/>
              <w:right w:val="single" w:sz="4" w:space="0" w:color="auto"/>
            </w:tcBorders>
            <w:shd w:val="clear" w:color="000000" w:fill="FFFFFF"/>
            <w:noWrap/>
            <w:vAlign w:val="center"/>
            <w:hideMark/>
          </w:tcPr>
          <w:p w14:paraId="34060435"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t-stat</w:t>
            </w:r>
          </w:p>
        </w:tc>
        <w:tc>
          <w:tcPr>
            <w:tcW w:w="540" w:type="dxa"/>
            <w:tcBorders>
              <w:top w:val="single" w:sz="12" w:space="0" w:color="auto"/>
              <w:left w:val="nil"/>
              <w:bottom w:val="single" w:sz="12" w:space="0" w:color="auto"/>
              <w:right w:val="nil"/>
            </w:tcBorders>
            <w:shd w:val="clear" w:color="000000" w:fill="FFFFFF"/>
            <w:noWrap/>
            <w:vAlign w:val="center"/>
            <w:hideMark/>
          </w:tcPr>
          <w:p w14:paraId="65DC44C9"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Coeff.</w:t>
            </w:r>
          </w:p>
        </w:tc>
        <w:tc>
          <w:tcPr>
            <w:tcW w:w="450" w:type="dxa"/>
            <w:tcBorders>
              <w:top w:val="single" w:sz="12" w:space="0" w:color="auto"/>
              <w:left w:val="nil"/>
              <w:bottom w:val="single" w:sz="12" w:space="0" w:color="auto"/>
              <w:right w:val="single" w:sz="4" w:space="0" w:color="auto"/>
            </w:tcBorders>
            <w:shd w:val="clear" w:color="000000" w:fill="FFFFFF"/>
            <w:noWrap/>
            <w:vAlign w:val="center"/>
            <w:hideMark/>
          </w:tcPr>
          <w:p w14:paraId="4E47C390"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t-stat</w:t>
            </w:r>
          </w:p>
        </w:tc>
        <w:tc>
          <w:tcPr>
            <w:tcW w:w="540" w:type="dxa"/>
            <w:tcBorders>
              <w:top w:val="single" w:sz="12" w:space="0" w:color="auto"/>
              <w:left w:val="nil"/>
              <w:bottom w:val="single" w:sz="12" w:space="0" w:color="auto"/>
              <w:right w:val="nil"/>
            </w:tcBorders>
            <w:shd w:val="clear" w:color="000000" w:fill="FFFFFF"/>
            <w:noWrap/>
            <w:vAlign w:val="center"/>
            <w:hideMark/>
          </w:tcPr>
          <w:p w14:paraId="32263E69"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Coeff.</w:t>
            </w:r>
          </w:p>
        </w:tc>
        <w:tc>
          <w:tcPr>
            <w:tcW w:w="454" w:type="dxa"/>
            <w:tcBorders>
              <w:top w:val="single" w:sz="12" w:space="0" w:color="auto"/>
              <w:left w:val="nil"/>
              <w:bottom w:val="single" w:sz="12" w:space="0" w:color="auto"/>
              <w:right w:val="single" w:sz="4" w:space="0" w:color="auto"/>
            </w:tcBorders>
            <w:shd w:val="clear" w:color="000000" w:fill="FFFFFF"/>
            <w:noWrap/>
            <w:vAlign w:val="center"/>
            <w:hideMark/>
          </w:tcPr>
          <w:p w14:paraId="0035067C"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t-stat</w:t>
            </w:r>
          </w:p>
        </w:tc>
        <w:tc>
          <w:tcPr>
            <w:tcW w:w="540" w:type="dxa"/>
            <w:tcBorders>
              <w:top w:val="single" w:sz="12" w:space="0" w:color="auto"/>
              <w:left w:val="nil"/>
              <w:bottom w:val="single" w:sz="12" w:space="0" w:color="auto"/>
              <w:right w:val="nil"/>
            </w:tcBorders>
            <w:shd w:val="clear" w:color="000000" w:fill="FFFFFF"/>
            <w:noWrap/>
            <w:vAlign w:val="center"/>
            <w:hideMark/>
          </w:tcPr>
          <w:p w14:paraId="0D466957"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Coeff.</w:t>
            </w:r>
          </w:p>
        </w:tc>
        <w:tc>
          <w:tcPr>
            <w:tcW w:w="456" w:type="dxa"/>
            <w:tcBorders>
              <w:top w:val="single" w:sz="12" w:space="0" w:color="auto"/>
              <w:left w:val="nil"/>
              <w:bottom w:val="single" w:sz="12" w:space="0" w:color="auto"/>
              <w:right w:val="single" w:sz="12" w:space="0" w:color="auto"/>
            </w:tcBorders>
            <w:shd w:val="clear" w:color="000000" w:fill="FFFFFF"/>
            <w:noWrap/>
            <w:vAlign w:val="center"/>
            <w:hideMark/>
          </w:tcPr>
          <w:p w14:paraId="6143DB1D"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t-stat</w:t>
            </w:r>
          </w:p>
        </w:tc>
        <w:tc>
          <w:tcPr>
            <w:tcW w:w="540" w:type="dxa"/>
            <w:tcBorders>
              <w:top w:val="single" w:sz="12" w:space="0" w:color="auto"/>
              <w:left w:val="nil"/>
              <w:bottom w:val="single" w:sz="12" w:space="0" w:color="auto"/>
              <w:right w:val="nil"/>
            </w:tcBorders>
            <w:shd w:val="clear" w:color="000000" w:fill="FFFFFF"/>
            <w:vAlign w:val="center"/>
          </w:tcPr>
          <w:p w14:paraId="0339CBB5"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Coeff.</w:t>
            </w:r>
          </w:p>
        </w:tc>
        <w:tc>
          <w:tcPr>
            <w:tcW w:w="540" w:type="dxa"/>
            <w:tcBorders>
              <w:top w:val="single" w:sz="12" w:space="0" w:color="auto"/>
              <w:left w:val="nil"/>
              <w:bottom w:val="single" w:sz="12" w:space="0" w:color="auto"/>
              <w:right w:val="single" w:sz="12" w:space="0" w:color="auto"/>
            </w:tcBorders>
            <w:shd w:val="clear" w:color="000000" w:fill="FFFFFF"/>
            <w:vAlign w:val="center"/>
          </w:tcPr>
          <w:p w14:paraId="5B48A3B0"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t-stat</w:t>
            </w:r>
          </w:p>
        </w:tc>
        <w:tc>
          <w:tcPr>
            <w:tcW w:w="630" w:type="dxa"/>
            <w:tcBorders>
              <w:top w:val="single" w:sz="12" w:space="0" w:color="auto"/>
              <w:left w:val="single" w:sz="12" w:space="0" w:color="auto"/>
              <w:bottom w:val="single" w:sz="12" w:space="0" w:color="auto"/>
              <w:right w:val="nil"/>
            </w:tcBorders>
            <w:shd w:val="clear" w:color="000000" w:fill="FFFFFF"/>
            <w:vAlign w:val="center"/>
          </w:tcPr>
          <w:p w14:paraId="0CBC74FA"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Coeff.</w:t>
            </w:r>
          </w:p>
        </w:tc>
        <w:tc>
          <w:tcPr>
            <w:tcW w:w="542" w:type="dxa"/>
            <w:tcBorders>
              <w:top w:val="single" w:sz="12" w:space="0" w:color="auto"/>
              <w:left w:val="nil"/>
              <w:bottom w:val="single" w:sz="12" w:space="0" w:color="auto"/>
              <w:right w:val="single" w:sz="12" w:space="0" w:color="auto"/>
            </w:tcBorders>
            <w:shd w:val="clear" w:color="000000" w:fill="FFFFFF"/>
            <w:vAlign w:val="center"/>
          </w:tcPr>
          <w:p w14:paraId="34E063BA"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t-stat</w:t>
            </w:r>
          </w:p>
        </w:tc>
      </w:tr>
      <w:tr w:rsidR="002961DC" w:rsidRPr="00A95729" w14:paraId="7BC42661" w14:textId="77777777" w:rsidTr="00E56366">
        <w:trPr>
          <w:trHeight w:val="20"/>
          <w:jc w:val="center"/>
        </w:trPr>
        <w:tc>
          <w:tcPr>
            <w:tcW w:w="2411" w:type="dxa"/>
            <w:tcBorders>
              <w:top w:val="single" w:sz="4" w:space="0" w:color="auto"/>
              <w:left w:val="single" w:sz="12" w:space="0" w:color="auto"/>
              <w:right w:val="single" w:sz="12" w:space="0" w:color="auto"/>
            </w:tcBorders>
            <w:shd w:val="clear" w:color="000000" w:fill="FFFFFF"/>
            <w:noWrap/>
            <w:vAlign w:val="center"/>
          </w:tcPr>
          <w:p w14:paraId="0D1E6F47" w14:textId="77777777" w:rsidR="002961DC" w:rsidRPr="00A95729" w:rsidRDefault="002961DC" w:rsidP="00E56366">
            <w:pPr>
              <w:spacing w:after="0" w:line="240" w:lineRule="auto"/>
              <w:rPr>
                <w:rFonts w:eastAsia="Times New Roman"/>
                <w:b/>
                <w:bCs/>
                <w:color w:val="000000"/>
                <w:sz w:val="18"/>
                <w:szCs w:val="18"/>
              </w:rPr>
            </w:pPr>
            <w:r w:rsidRPr="00A95729">
              <w:rPr>
                <w:rFonts w:eastAsia="Times New Roman"/>
                <w:b/>
                <w:bCs/>
                <w:color w:val="000000"/>
                <w:sz w:val="18"/>
                <w:szCs w:val="18"/>
              </w:rPr>
              <w:t>Correlations</w:t>
            </w:r>
          </w:p>
        </w:tc>
        <w:tc>
          <w:tcPr>
            <w:tcW w:w="537" w:type="dxa"/>
            <w:tcBorders>
              <w:top w:val="single" w:sz="4" w:space="0" w:color="auto"/>
              <w:left w:val="single" w:sz="12" w:space="0" w:color="auto"/>
            </w:tcBorders>
            <w:shd w:val="clear" w:color="000000" w:fill="FFFFFF"/>
            <w:vAlign w:val="bottom"/>
          </w:tcPr>
          <w:p w14:paraId="639FBD13" w14:textId="77777777" w:rsidR="002961DC" w:rsidRPr="00A95729" w:rsidRDefault="002961DC" w:rsidP="00E56366">
            <w:pPr>
              <w:spacing w:after="0" w:line="240" w:lineRule="auto"/>
              <w:jc w:val="center"/>
              <w:rPr>
                <w:color w:val="000000"/>
                <w:sz w:val="18"/>
                <w:szCs w:val="18"/>
              </w:rPr>
            </w:pPr>
          </w:p>
        </w:tc>
        <w:tc>
          <w:tcPr>
            <w:tcW w:w="541" w:type="dxa"/>
            <w:tcBorders>
              <w:top w:val="single" w:sz="4" w:space="0" w:color="auto"/>
              <w:left w:val="nil"/>
              <w:right w:val="single" w:sz="12" w:space="0" w:color="auto"/>
            </w:tcBorders>
            <w:shd w:val="clear" w:color="000000" w:fill="FFFFFF"/>
            <w:vAlign w:val="bottom"/>
          </w:tcPr>
          <w:p w14:paraId="02256A48" w14:textId="77777777" w:rsidR="002961DC" w:rsidRPr="00A95729" w:rsidRDefault="002961DC" w:rsidP="00E56366">
            <w:pPr>
              <w:spacing w:after="0" w:line="240" w:lineRule="auto"/>
              <w:jc w:val="center"/>
              <w:rPr>
                <w:color w:val="000000"/>
                <w:sz w:val="18"/>
                <w:szCs w:val="18"/>
              </w:rPr>
            </w:pPr>
          </w:p>
        </w:tc>
        <w:tc>
          <w:tcPr>
            <w:tcW w:w="539" w:type="dxa"/>
            <w:tcBorders>
              <w:top w:val="single" w:sz="4" w:space="0" w:color="auto"/>
              <w:left w:val="single" w:sz="12" w:space="0" w:color="auto"/>
              <w:right w:val="nil"/>
            </w:tcBorders>
            <w:shd w:val="clear" w:color="000000" w:fill="FFFFFF"/>
            <w:noWrap/>
            <w:vAlign w:val="center"/>
          </w:tcPr>
          <w:p w14:paraId="706B009A" w14:textId="77777777" w:rsidR="002961DC" w:rsidRPr="00A95729" w:rsidRDefault="002961DC" w:rsidP="00E56366">
            <w:pPr>
              <w:spacing w:after="0" w:line="240" w:lineRule="auto"/>
              <w:jc w:val="center"/>
              <w:rPr>
                <w:rFonts w:eastAsia="Times New Roman"/>
                <w:color w:val="000000"/>
                <w:sz w:val="18"/>
                <w:szCs w:val="18"/>
              </w:rPr>
            </w:pPr>
          </w:p>
        </w:tc>
        <w:tc>
          <w:tcPr>
            <w:tcW w:w="449" w:type="dxa"/>
            <w:tcBorders>
              <w:top w:val="single" w:sz="4" w:space="0" w:color="auto"/>
              <w:left w:val="nil"/>
              <w:right w:val="single" w:sz="4" w:space="0" w:color="auto"/>
            </w:tcBorders>
            <w:shd w:val="clear" w:color="000000" w:fill="FFFFFF"/>
            <w:noWrap/>
            <w:vAlign w:val="center"/>
          </w:tcPr>
          <w:p w14:paraId="540319D8" w14:textId="77777777" w:rsidR="002961DC" w:rsidRPr="00A95729" w:rsidRDefault="002961DC" w:rsidP="00E56366">
            <w:pPr>
              <w:spacing w:after="0" w:line="240" w:lineRule="auto"/>
              <w:jc w:val="center"/>
              <w:rPr>
                <w:rFonts w:eastAsia="Times New Roman"/>
                <w:color w:val="000000"/>
                <w:sz w:val="18"/>
                <w:szCs w:val="18"/>
              </w:rPr>
            </w:pPr>
          </w:p>
        </w:tc>
        <w:tc>
          <w:tcPr>
            <w:tcW w:w="540" w:type="dxa"/>
            <w:tcBorders>
              <w:top w:val="single" w:sz="4" w:space="0" w:color="auto"/>
              <w:left w:val="nil"/>
              <w:right w:val="nil"/>
            </w:tcBorders>
            <w:shd w:val="clear" w:color="000000" w:fill="FFFFFF"/>
            <w:noWrap/>
            <w:vAlign w:val="center"/>
          </w:tcPr>
          <w:p w14:paraId="160354A7" w14:textId="77777777" w:rsidR="002961DC" w:rsidRPr="00A95729" w:rsidRDefault="002961DC" w:rsidP="00E56366">
            <w:pPr>
              <w:spacing w:after="0" w:line="240" w:lineRule="auto"/>
              <w:jc w:val="center"/>
              <w:rPr>
                <w:rFonts w:eastAsia="Times New Roman"/>
                <w:color w:val="000000"/>
                <w:sz w:val="18"/>
                <w:szCs w:val="18"/>
              </w:rPr>
            </w:pPr>
          </w:p>
        </w:tc>
        <w:tc>
          <w:tcPr>
            <w:tcW w:w="450" w:type="dxa"/>
            <w:tcBorders>
              <w:top w:val="single" w:sz="4" w:space="0" w:color="auto"/>
              <w:left w:val="nil"/>
              <w:right w:val="single" w:sz="4" w:space="0" w:color="auto"/>
            </w:tcBorders>
            <w:shd w:val="clear" w:color="000000" w:fill="FFFFFF"/>
            <w:noWrap/>
            <w:vAlign w:val="center"/>
          </w:tcPr>
          <w:p w14:paraId="18D354B3" w14:textId="77777777" w:rsidR="002961DC" w:rsidRPr="00A95729" w:rsidRDefault="002961DC" w:rsidP="00E56366">
            <w:pPr>
              <w:spacing w:after="0" w:line="240" w:lineRule="auto"/>
              <w:jc w:val="center"/>
              <w:rPr>
                <w:rFonts w:eastAsia="Times New Roman"/>
                <w:color w:val="000000"/>
                <w:sz w:val="18"/>
                <w:szCs w:val="18"/>
              </w:rPr>
            </w:pPr>
          </w:p>
        </w:tc>
        <w:tc>
          <w:tcPr>
            <w:tcW w:w="540" w:type="dxa"/>
            <w:tcBorders>
              <w:top w:val="single" w:sz="4" w:space="0" w:color="auto"/>
              <w:left w:val="nil"/>
              <w:right w:val="nil"/>
            </w:tcBorders>
            <w:shd w:val="clear" w:color="000000" w:fill="FFFFFF"/>
            <w:noWrap/>
            <w:vAlign w:val="center"/>
          </w:tcPr>
          <w:p w14:paraId="7E651C2F" w14:textId="77777777" w:rsidR="002961DC" w:rsidRPr="00A95729" w:rsidRDefault="002961DC" w:rsidP="00E56366">
            <w:pPr>
              <w:spacing w:after="0" w:line="240" w:lineRule="auto"/>
              <w:jc w:val="center"/>
              <w:rPr>
                <w:rFonts w:eastAsia="Times New Roman"/>
                <w:color w:val="000000"/>
                <w:sz w:val="18"/>
                <w:szCs w:val="18"/>
              </w:rPr>
            </w:pPr>
          </w:p>
        </w:tc>
        <w:tc>
          <w:tcPr>
            <w:tcW w:w="450" w:type="dxa"/>
            <w:tcBorders>
              <w:top w:val="single" w:sz="4" w:space="0" w:color="auto"/>
              <w:left w:val="nil"/>
              <w:right w:val="single" w:sz="4" w:space="0" w:color="auto"/>
            </w:tcBorders>
            <w:shd w:val="clear" w:color="000000" w:fill="FFFFFF"/>
            <w:noWrap/>
            <w:vAlign w:val="center"/>
          </w:tcPr>
          <w:p w14:paraId="07F72A05" w14:textId="77777777" w:rsidR="002961DC" w:rsidRPr="00A95729" w:rsidRDefault="002961DC" w:rsidP="00E56366">
            <w:pPr>
              <w:spacing w:after="0" w:line="240" w:lineRule="auto"/>
              <w:jc w:val="center"/>
              <w:rPr>
                <w:rFonts w:eastAsia="Times New Roman"/>
                <w:color w:val="000000"/>
                <w:sz w:val="18"/>
                <w:szCs w:val="18"/>
              </w:rPr>
            </w:pPr>
          </w:p>
        </w:tc>
        <w:tc>
          <w:tcPr>
            <w:tcW w:w="548" w:type="dxa"/>
            <w:tcBorders>
              <w:top w:val="single" w:sz="4" w:space="0" w:color="auto"/>
              <w:left w:val="nil"/>
              <w:right w:val="nil"/>
            </w:tcBorders>
            <w:shd w:val="clear" w:color="000000" w:fill="FFFFFF"/>
            <w:noWrap/>
            <w:vAlign w:val="bottom"/>
          </w:tcPr>
          <w:p w14:paraId="3013A782" w14:textId="77777777" w:rsidR="002961DC" w:rsidRPr="00A95729" w:rsidRDefault="002961DC" w:rsidP="00E56366">
            <w:pPr>
              <w:spacing w:after="0" w:line="240" w:lineRule="auto"/>
              <w:jc w:val="center"/>
              <w:rPr>
                <w:color w:val="000000"/>
                <w:sz w:val="18"/>
                <w:szCs w:val="18"/>
              </w:rPr>
            </w:pPr>
          </w:p>
        </w:tc>
        <w:tc>
          <w:tcPr>
            <w:tcW w:w="450" w:type="dxa"/>
            <w:tcBorders>
              <w:top w:val="single" w:sz="4" w:space="0" w:color="auto"/>
              <w:left w:val="nil"/>
              <w:right w:val="single" w:sz="4" w:space="0" w:color="auto"/>
            </w:tcBorders>
            <w:shd w:val="clear" w:color="000000" w:fill="FFFFFF"/>
            <w:noWrap/>
            <w:vAlign w:val="bottom"/>
          </w:tcPr>
          <w:p w14:paraId="7D0DE7B6" w14:textId="77777777" w:rsidR="002961DC" w:rsidRPr="00A95729" w:rsidRDefault="002961DC" w:rsidP="00E56366">
            <w:pPr>
              <w:spacing w:after="0" w:line="240" w:lineRule="auto"/>
              <w:jc w:val="center"/>
              <w:rPr>
                <w:color w:val="000000"/>
                <w:sz w:val="18"/>
                <w:szCs w:val="18"/>
              </w:rPr>
            </w:pPr>
          </w:p>
        </w:tc>
        <w:tc>
          <w:tcPr>
            <w:tcW w:w="540" w:type="dxa"/>
            <w:tcBorders>
              <w:top w:val="single" w:sz="4" w:space="0" w:color="auto"/>
              <w:left w:val="nil"/>
              <w:right w:val="nil"/>
            </w:tcBorders>
            <w:shd w:val="clear" w:color="000000" w:fill="FFFFFF"/>
            <w:noWrap/>
            <w:vAlign w:val="center"/>
          </w:tcPr>
          <w:p w14:paraId="197F27E2" w14:textId="77777777" w:rsidR="002961DC" w:rsidRPr="00A95729" w:rsidRDefault="002961DC" w:rsidP="00E56366">
            <w:pPr>
              <w:spacing w:after="0" w:line="240" w:lineRule="auto"/>
              <w:jc w:val="center"/>
              <w:rPr>
                <w:rFonts w:eastAsia="Times New Roman"/>
                <w:color w:val="000000"/>
                <w:sz w:val="18"/>
                <w:szCs w:val="18"/>
              </w:rPr>
            </w:pPr>
          </w:p>
        </w:tc>
        <w:tc>
          <w:tcPr>
            <w:tcW w:w="450" w:type="dxa"/>
            <w:tcBorders>
              <w:top w:val="single" w:sz="4" w:space="0" w:color="auto"/>
              <w:left w:val="nil"/>
              <w:right w:val="single" w:sz="4" w:space="0" w:color="auto"/>
            </w:tcBorders>
            <w:shd w:val="clear" w:color="000000" w:fill="FFFFFF"/>
            <w:noWrap/>
            <w:vAlign w:val="center"/>
          </w:tcPr>
          <w:p w14:paraId="3E29B8D5" w14:textId="77777777" w:rsidR="002961DC" w:rsidRPr="00A95729" w:rsidRDefault="002961DC" w:rsidP="00E56366">
            <w:pPr>
              <w:spacing w:after="0" w:line="240" w:lineRule="auto"/>
              <w:jc w:val="center"/>
              <w:rPr>
                <w:rFonts w:eastAsia="Times New Roman"/>
                <w:color w:val="000000"/>
                <w:sz w:val="18"/>
                <w:szCs w:val="18"/>
              </w:rPr>
            </w:pPr>
          </w:p>
        </w:tc>
        <w:tc>
          <w:tcPr>
            <w:tcW w:w="540" w:type="dxa"/>
            <w:tcBorders>
              <w:top w:val="single" w:sz="4" w:space="0" w:color="auto"/>
              <w:left w:val="nil"/>
              <w:right w:val="nil"/>
            </w:tcBorders>
            <w:shd w:val="clear" w:color="000000" w:fill="FFFFFF"/>
            <w:noWrap/>
            <w:vAlign w:val="center"/>
          </w:tcPr>
          <w:p w14:paraId="61A491E7" w14:textId="77777777" w:rsidR="002961DC" w:rsidRPr="00A95729" w:rsidRDefault="002961DC" w:rsidP="00E56366">
            <w:pPr>
              <w:spacing w:after="0" w:line="240" w:lineRule="auto"/>
              <w:jc w:val="center"/>
              <w:rPr>
                <w:rFonts w:eastAsia="Times New Roman"/>
                <w:color w:val="000000"/>
                <w:sz w:val="18"/>
                <w:szCs w:val="18"/>
              </w:rPr>
            </w:pPr>
          </w:p>
        </w:tc>
        <w:tc>
          <w:tcPr>
            <w:tcW w:w="450" w:type="dxa"/>
            <w:tcBorders>
              <w:top w:val="single" w:sz="4" w:space="0" w:color="auto"/>
              <w:left w:val="nil"/>
              <w:right w:val="single" w:sz="4" w:space="0" w:color="auto"/>
            </w:tcBorders>
            <w:shd w:val="clear" w:color="000000" w:fill="FFFFFF"/>
            <w:noWrap/>
            <w:vAlign w:val="center"/>
          </w:tcPr>
          <w:p w14:paraId="017E328C" w14:textId="77777777" w:rsidR="002961DC" w:rsidRPr="00A95729" w:rsidRDefault="002961DC" w:rsidP="00E56366">
            <w:pPr>
              <w:spacing w:after="0" w:line="240" w:lineRule="auto"/>
              <w:jc w:val="center"/>
              <w:rPr>
                <w:rFonts w:eastAsia="Times New Roman"/>
                <w:color w:val="000000"/>
                <w:sz w:val="18"/>
                <w:szCs w:val="18"/>
              </w:rPr>
            </w:pPr>
          </w:p>
        </w:tc>
        <w:tc>
          <w:tcPr>
            <w:tcW w:w="540" w:type="dxa"/>
            <w:tcBorders>
              <w:top w:val="single" w:sz="4" w:space="0" w:color="auto"/>
              <w:left w:val="nil"/>
              <w:right w:val="nil"/>
            </w:tcBorders>
            <w:shd w:val="clear" w:color="000000" w:fill="FFFFFF"/>
            <w:noWrap/>
            <w:vAlign w:val="bottom"/>
          </w:tcPr>
          <w:p w14:paraId="6165E05A" w14:textId="77777777" w:rsidR="002961DC" w:rsidRPr="00A95729" w:rsidRDefault="002961DC" w:rsidP="00E56366">
            <w:pPr>
              <w:spacing w:after="0" w:line="240" w:lineRule="auto"/>
              <w:jc w:val="center"/>
              <w:rPr>
                <w:color w:val="000000"/>
                <w:sz w:val="18"/>
                <w:szCs w:val="18"/>
              </w:rPr>
            </w:pPr>
          </w:p>
        </w:tc>
        <w:tc>
          <w:tcPr>
            <w:tcW w:w="454" w:type="dxa"/>
            <w:tcBorders>
              <w:top w:val="single" w:sz="4" w:space="0" w:color="auto"/>
              <w:left w:val="nil"/>
              <w:right w:val="single" w:sz="4" w:space="0" w:color="auto"/>
            </w:tcBorders>
            <w:shd w:val="clear" w:color="000000" w:fill="FFFFFF"/>
            <w:noWrap/>
            <w:vAlign w:val="bottom"/>
          </w:tcPr>
          <w:p w14:paraId="1C5CBF14" w14:textId="77777777" w:rsidR="002961DC" w:rsidRPr="00A95729" w:rsidRDefault="002961DC" w:rsidP="00E56366">
            <w:pPr>
              <w:spacing w:after="0" w:line="240" w:lineRule="auto"/>
              <w:jc w:val="center"/>
              <w:rPr>
                <w:color w:val="000000"/>
                <w:sz w:val="18"/>
                <w:szCs w:val="18"/>
              </w:rPr>
            </w:pPr>
          </w:p>
        </w:tc>
        <w:tc>
          <w:tcPr>
            <w:tcW w:w="540" w:type="dxa"/>
            <w:tcBorders>
              <w:top w:val="single" w:sz="4" w:space="0" w:color="auto"/>
              <w:left w:val="nil"/>
              <w:right w:val="nil"/>
            </w:tcBorders>
            <w:shd w:val="clear" w:color="000000" w:fill="FFFFFF"/>
            <w:noWrap/>
            <w:vAlign w:val="center"/>
          </w:tcPr>
          <w:p w14:paraId="2D1B342A" w14:textId="77777777" w:rsidR="002961DC" w:rsidRPr="00A95729" w:rsidRDefault="002961DC" w:rsidP="00E56366">
            <w:pPr>
              <w:spacing w:after="0" w:line="240" w:lineRule="auto"/>
              <w:jc w:val="center"/>
              <w:rPr>
                <w:rFonts w:eastAsia="Times New Roman"/>
                <w:color w:val="000000"/>
                <w:sz w:val="18"/>
                <w:szCs w:val="18"/>
              </w:rPr>
            </w:pPr>
          </w:p>
        </w:tc>
        <w:tc>
          <w:tcPr>
            <w:tcW w:w="456" w:type="dxa"/>
            <w:tcBorders>
              <w:top w:val="single" w:sz="4" w:space="0" w:color="auto"/>
              <w:left w:val="nil"/>
              <w:right w:val="single" w:sz="12" w:space="0" w:color="auto"/>
            </w:tcBorders>
            <w:shd w:val="clear" w:color="000000" w:fill="FFFFFF"/>
            <w:noWrap/>
            <w:vAlign w:val="center"/>
          </w:tcPr>
          <w:p w14:paraId="07ACF731" w14:textId="77777777" w:rsidR="002961DC" w:rsidRPr="00A95729" w:rsidRDefault="002961DC" w:rsidP="00E56366">
            <w:pPr>
              <w:spacing w:after="0" w:line="240" w:lineRule="auto"/>
              <w:jc w:val="center"/>
              <w:rPr>
                <w:rFonts w:eastAsia="Times New Roman"/>
                <w:color w:val="000000"/>
                <w:sz w:val="18"/>
                <w:szCs w:val="18"/>
              </w:rPr>
            </w:pPr>
          </w:p>
        </w:tc>
        <w:tc>
          <w:tcPr>
            <w:tcW w:w="540" w:type="dxa"/>
            <w:tcBorders>
              <w:top w:val="single" w:sz="4" w:space="0" w:color="auto"/>
              <w:left w:val="nil"/>
              <w:right w:val="nil"/>
            </w:tcBorders>
            <w:shd w:val="clear" w:color="000000" w:fill="FFFFFF"/>
            <w:vAlign w:val="center"/>
          </w:tcPr>
          <w:p w14:paraId="1193D4AA" w14:textId="77777777" w:rsidR="002961DC" w:rsidRPr="00A95729" w:rsidRDefault="002961DC" w:rsidP="00E56366">
            <w:pPr>
              <w:spacing w:after="0" w:line="240" w:lineRule="auto"/>
              <w:jc w:val="center"/>
              <w:rPr>
                <w:rFonts w:eastAsia="Times New Roman"/>
                <w:color w:val="000000"/>
                <w:sz w:val="18"/>
                <w:szCs w:val="18"/>
              </w:rPr>
            </w:pPr>
          </w:p>
        </w:tc>
        <w:tc>
          <w:tcPr>
            <w:tcW w:w="540" w:type="dxa"/>
            <w:tcBorders>
              <w:top w:val="single" w:sz="4" w:space="0" w:color="auto"/>
              <w:left w:val="nil"/>
              <w:right w:val="single" w:sz="12" w:space="0" w:color="auto"/>
            </w:tcBorders>
            <w:shd w:val="clear" w:color="000000" w:fill="FFFFFF"/>
            <w:vAlign w:val="center"/>
          </w:tcPr>
          <w:p w14:paraId="6F524AA2" w14:textId="77777777" w:rsidR="002961DC" w:rsidRPr="00A95729" w:rsidRDefault="002961DC" w:rsidP="00E56366">
            <w:pPr>
              <w:spacing w:after="0" w:line="240" w:lineRule="auto"/>
              <w:jc w:val="center"/>
              <w:rPr>
                <w:rFonts w:eastAsia="Times New Roman"/>
                <w:color w:val="000000"/>
                <w:sz w:val="18"/>
                <w:szCs w:val="18"/>
              </w:rPr>
            </w:pPr>
          </w:p>
        </w:tc>
        <w:tc>
          <w:tcPr>
            <w:tcW w:w="630" w:type="dxa"/>
            <w:tcBorders>
              <w:top w:val="single" w:sz="4" w:space="0" w:color="auto"/>
              <w:left w:val="single" w:sz="12" w:space="0" w:color="auto"/>
              <w:right w:val="nil"/>
            </w:tcBorders>
            <w:shd w:val="clear" w:color="000000" w:fill="FFFFFF"/>
            <w:vAlign w:val="center"/>
          </w:tcPr>
          <w:p w14:paraId="430610A1" w14:textId="77777777" w:rsidR="002961DC" w:rsidRPr="00A95729" w:rsidRDefault="002961DC" w:rsidP="00E56366">
            <w:pPr>
              <w:spacing w:after="0" w:line="240" w:lineRule="auto"/>
              <w:jc w:val="center"/>
              <w:rPr>
                <w:rFonts w:eastAsia="Times New Roman"/>
                <w:color w:val="000000"/>
                <w:sz w:val="18"/>
                <w:szCs w:val="18"/>
              </w:rPr>
            </w:pPr>
          </w:p>
        </w:tc>
        <w:tc>
          <w:tcPr>
            <w:tcW w:w="542" w:type="dxa"/>
            <w:tcBorders>
              <w:top w:val="single" w:sz="4" w:space="0" w:color="auto"/>
              <w:left w:val="nil"/>
              <w:right w:val="single" w:sz="12" w:space="0" w:color="auto"/>
            </w:tcBorders>
            <w:shd w:val="clear" w:color="000000" w:fill="FFFFFF"/>
            <w:vAlign w:val="center"/>
          </w:tcPr>
          <w:p w14:paraId="5AB8B9FE" w14:textId="77777777" w:rsidR="002961DC" w:rsidRPr="00A95729" w:rsidRDefault="002961DC" w:rsidP="00E56366">
            <w:pPr>
              <w:spacing w:after="0" w:line="240" w:lineRule="auto"/>
              <w:jc w:val="center"/>
              <w:rPr>
                <w:rFonts w:eastAsia="Times New Roman"/>
                <w:color w:val="000000"/>
                <w:sz w:val="18"/>
                <w:szCs w:val="18"/>
              </w:rPr>
            </w:pPr>
          </w:p>
        </w:tc>
      </w:tr>
      <w:tr w:rsidR="002961DC" w:rsidRPr="00A95729" w14:paraId="2782ABF1" w14:textId="77777777" w:rsidTr="00E56366">
        <w:trPr>
          <w:trHeight w:val="20"/>
          <w:jc w:val="center"/>
        </w:trPr>
        <w:tc>
          <w:tcPr>
            <w:tcW w:w="2411" w:type="dxa"/>
            <w:tcBorders>
              <w:left w:val="single" w:sz="12" w:space="0" w:color="auto"/>
              <w:bottom w:val="nil"/>
              <w:right w:val="single" w:sz="12" w:space="0" w:color="auto"/>
            </w:tcBorders>
            <w:shd w:val="clear" w:color="000000" w:fill="FFFFFF"/>
            <w:noWrap/>
            <w:vAlign w:val="center"/>
          </w:tcPr>
          <w:p w14:paraId="2F0140AA" w14:textId="77777777" w:rsidR="002961DC" w:rsidRPr="00D33D83" w:rsidRDefault="002961DC" w:rsidP="00E56366">
            <w:pPr>
              <w:spacing w:after="0" w:line="240" w:lineRule="auto"/>
              <w:rPr>
                <w:rFonts w:eastAsia="Times New Roman"/>
                <w:color w:val="000000"/>
                <w:sz w:val="18"/>
                <w:szCs w:val="18"/>
              </w:rPr>
            </w:pPr>
            <w:r w:rsidRPr="00D33D83">
              <w:rPr>
                <w:rFonts w:eastAsia="Times New Roman"/>
                <w:color w:val="000000"/>
                <w:sz w:val="18"/>
                <w:szCs w:val="18"/>
              </w:rPr>
              <w:t>PPD</w:t>
            </w:r>
          </w:p>
        </w:tc>
        <w:tc>
          <w:tcPr>
            <w:tcW w:w="537" w:type="dxa"/>
            <w:tcBorders>
              <w:left w:val="single" w:sz="12" w:space="0" w:color="auto"/>
              <w:bottom w:val="nil"/>
            </w:tcBorders>
            <w:shd w:val="clear" w:color="000000" w:fill="FFFFFF"/>
            <w:vAlign w:val="center"/>
          </w:tcPr>
          <w:p w14:paraId="5E1A831C" w14:textId="77777777" w:rsidR="002961DC" w:rsidRPr="00A95729" w:rsidRDefault="002961DC" w:rsidP="00E56366">
            <w:pPr>
              <w:spacing w:after="0" w:line="240" w:lineRule="auto"/>
              <w:jc w:val="center"/>
              <w:rPr>
                <w:color w:val="000000"/>
                <w:sz w:val="18"/>
                <w:szCs w:val="18"/>
              </w:rPr>
            </w:pPr>
            <w:r>
              <w:rPr>
                <w:rFonts w:eastAsia="Times New Roman"/>
                <w:color w:val="000000"/>
                <w:sz w:val="18"/>
                <w:szCs w:val="18"/>
              </w:rPr>
              <w:t>1.00</w:t>
            </w:r>
          </w:p>
        </w:tc>
        <w:tc>
          <w:tcPr>
            <w:tcW w:w="541" w:type="dxa"/>
            <w:tcBorders>
              <w:left w:val="nil"/>
              <w:bottom w:val="nil"/>
              <w:right w:val="single" w:sz="12" w:space="0" w:color="auto"/>
            </w:tcBorders>
            <w:shd w:val="clear" w:color="000000" w:fill="FFFFFF"/>
            <w:vAlign w:val="center"/>
          </w:tcPr>
          <w:p w14:paraId="3A24C2B5" w14:textId="77777777" w:rsidR="002961DC" w:rsidRPr="00A95729" w:rsidRDefault="002961DC" w:rsidP="00E56366">
            <w:pPr>
              <w:spacing w:after="0" w:line="240" w:lineRule="auto"/>
              <w:jc w:val="center"/>
              <w:rPr>
                <w:color w:val="000000"/>
                <w:sz w:val="18"/>
                <w:szCs w:val="18"/>
              </w:rPr>
            </w:pPr>
            <w:r>
              <w:rPr>
                <w:rFonts w:eastAsia="Times New Roman"/>
                <w:color w:val="000000"/>
                <w:sz w:val="18"/>
                <w:szCs w:val="18"/>
              </w:rPr>
              <w:t>--</w:t>
            </w:r>
            <w:r w:rsidRPr="00A95729">
              <w:rPr>
                <w:rFonts w:eastAsia="Times New Roman"/>
                <w:color w:val="000000"/>
                <w:sz w:val="18"/>
                <w:szCs w:val="18"/>
              </w:rPr>
              <w:t> </w:t>
            </w:r>
          </w:p>
        </w:tc>
        <w:tc>
          <w:tcPr>
            <w:tcW w:w="539" w:type="dxa"/>
            <w:tcBorders>
              <w:left w:val="single" w:sz="12" w:space="0" w:color="auto"/>
              <w:bottom w:val="nil"/>
              <w:right w:val="nil"/>
            </w:tcBorders>
            <w:shd w:val="clear" w:color="000000" w:fill="FFFFFF"/>
            <w:noWrap/>
            <w:vAlign w:val="center"/>
          </w:tcPr>
          <w:p w14:paraId="2F4E650F"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49" w:type="dxa"/>
            <w:tcBorders>
              <w:left w:val="nil"/>
              <w:bottom w:val="nil"/>
              <w:right w:val="single" w:sz="4" w:space="0" w:color="auto"/>
            </w:tcBorders>
            <w:shd w:val="clear" w:color="000000" w:fill="FFFFFF"/>
            <w:noWrap/>
            <w:vAlign w:val="center"/>
          </w:tcPr>
          <w:p w14:paraId="6D87B8FA"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left w:val="nil"/>
              <w:bottom w:val="nil"/>
              <w:right w:val="nil"/>
            </w:tcBorders>
            <w:shd w:val="clear" w:color="000000" w:fill="FFFFFF"/>
            <w:noWrap/>
            <w:vAlign w:val="center"/>
          </w:tcPr>
          <w:p w14:paraId="0AD0486F"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left w:val="nil"/>
              <w:bottom w:val="nil"/>
              <w:right w:val="single" w:sz="4" w:space="0" w:color="auto"/>
            </w:tcBorders>
            <w:shd w:val="clear" w:color="000000" w:fill="FFFFFF"/>
            <w:noWrap/>
            <w:vAlign w:val="center"/>
          </w:tcPr>
          <w:p w14:paraId="7377764E"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left w:val="nil"/>
              <w:bottom w:val="nil"/>
              <w:right w:val="nil"/>
            </w:tcBorders>
            <w:shd w:val="clear" w:color="000000" w:fill="FFFFFF"/>
            <w:noWrap/>
            <w:vAlign w:val="center"/>
          </w:tcPr>
          <w:p w14:paraId="49028014"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left w:val="nil"/>
              <w:bottom w:val="nil"/>
              <w:right w:val="single" w:sz="4" w:space="0" w:color="auto"/>
            </w:tcBorders>
            <w:shd w:val="clear" w:color="000000" w:fill="FFFFFF"/>
            <w:noWrap/>
            <w:vAlign w:val="center"/>
          </w:tcPr>
          <w:p w14:paraId="7FF84EE9"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8" w:type="dxa"/>
            <w:tcBorders>
              <w:left w:val="nil"/>
              <w:bottom w:val="nil"/>
              <w:right w:val="nil"/>
            </w:tcBorders>
            <w:shd w:val="clear" w:color="000000" w:fill="FFFFFF"/>
            <w:noWrap/>
            <w:vAlign w:val="center"/>
          </w:tcPr>
          <w:p w14:paraId="73F84411" w14:textId="77777777" w:rsidR="002961DC" w:rsidRPr="00A95729" w:rsidRDefault="002961DC" w:rsidP="00E56366">
            <w:pPr>
              <w:spacing w:after="0" w:line="240" w:lineRule="auto"/>
              <w:jc w:val="center"/>
              <w:rPr>
                <w:color w:val="000000"/>
                <w:sz w:val="18"/>
                <w:szCs w:val="18"/>
              </w:rPr>
            </w:pPr>
            <w:r w:rsidRPr="00A95729">
              <w:rPr>
                <w:rFonts w:eastAsia="Times New Roman"/>
                <w:color w:val="000000"/>
                <w:sz w:val="18"/>
                <w:szCs w:val="18"/>
              </w:rPr>
              <w:t>--</w:t>
            </w:r>
          </w:p>
        </w:tc>
        <w:tc>
          <w:tcPr>
            <w:tcW w:w="450" w:type="dxa"/>
            <w:tcBorders>
              <w:left w:val="nil"/>
              <w:bottom w:val="nil"/>
              <w:right w:val="single" w:sz="4" w:space="0" w:color="auto"/>
            </w:tcBorders>
            <w:shd w:val="clear" w:color="000000" w:fill="FFFFFF"/>
            <w:noWrap/>
            <w:vAlign w:val="center"/>
          </w:tcPr>
          <w:p w14:paraId="16583118" w14:textId="77777777" w:rsidR="002961DC" w:rsidRPr="00A95729" w:rsidRDefault="002961DC" w:rsidP="00E56366">
            <w:pPr>
              <w:spacing w:after="0" w:line="240" w:lineRule="auto"/>
              <w:jc w:val="center"/>
              <w:rPr>
                <w:color w:val="000000"/>
                <w:sz w:val="18"/>
                <w:szCs w:val="18"/>
              </w:rPr>
            </w:pPr>
            <w:r w:rsidRPr="00A95729">
              <w:rPr>
                <w:rFonts w:eastAsia="Times New Roman"/>
                <w:color w:val="000000"/>
                <w:sz w:val="18"/>
                <w:szCs w:val="18"/>
              </w:rPr>
              <w:t> </w:t>
            </w:r>
          </w:p>
        </w:tc>
        <w:tc>
          <w:tcPr>
            <w:tcW w:w="540" w:type="dxa"/>
            <w:tcBorders>
              <w:left w:val="nil"/>
              <w:bottom w:val="nil"/>
              <w:right w:val="nil"/>
            </w:tcBorders>
            <w:shd w:val="clear" w:color="000000" w:fill="FFFFFF"/>
            <w:noWrap/>
            <w:vAlign w:val="center"/>
          </w:tcPr>
          <w:p w14:paraId="5060355E"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left w:val="nil"/>
              <w:bottom w:val="nil"/>
              <w:right w:val="single" w:sz="4" w:space="0" w:color="auto"/>
            </w:tcBorders>
            <w:shd w:val="clear" w:color="000000" w:fill="FFFFFF"/>
            <w:noWrap/>
            <w:vAlign w:val="center"/>
          </w:tcPr>
          <w:p w14:paraId="15EC3436"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left w:val="nil"/>
              <w:bottom w:val="nil"/>
              <w:right w:val="nil"/>
            </w:tcBorders>
            <w:shd w:val="clear" w:color="000000" w:fill="FFFFFF"/>
            <w:noWrap/>
            <w:vAlign w:val="center"/>
          </w:tcPr>
          <w:p w14:paraId="219BC606"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left w:val="nil"/>
              <w:bottom w:val="nil"/>
              <w:right w:val="single" w:sz="4" w:space="0" w:color="auto"/>
            </w:tcBorders>
            <w:shd w:val="clear" w:color="000000" w:fill="FFFFFF"/>
            <w:noWrap/>
            <w:vAlign w:val="center"/>
          </w:tcPr>
          <w:p w14:paraId="700895D0"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left w:val="nil"/>
              <w:bottom w:val="nil"/>
              <w:right w:val="nil"/>
            </w:tcBorders>
            <w:shd w:val="clear" w:color="000000" w:fill="FFFFFF"/>
            <w:noWrap/>
            <w:vAlign w:val="center"/>
          </w:tcPr>
          <w:p w14:paraId="14685143" w14:textId="77777777" w:rsidR="002961DC" w:rsidRPr="00A95729" w:rsidRDefault="002961DC" w:rsidP="00E56366">
            <w:pPr>
              <w:spacing w:after="0" w:line="240" w:lineRule="auto"/>
              <w:jc w:val="center"/>
              <w:rPr>
                <w:color w:val="000000"/>
                <w:sz w:val="18"/>
                <w:szCs w:val="18"/>
              </w:rPr>
            </w:pPr>
            <w:r w:rsidRPr="00A95729">
              <w:rPr>
                <w:rFonts w:eastAsia="Times New Roman"/>
                <w:color w:val="000000"/>
                <w:sz w:val="18"/>
                <w:szCs w:val="18"/>
              </w:rPr>
              <w:t>--</w:t>
            </w:r>
          </w:p>
        </w:tc>
        <w:tc>
          <w:tcPr>
            <w:tcW w:w="454" w:type="dxa"/>
            <w:tcBorders>
              <w:left w:val="nil"/>
              <w:bottom w:val="nil"/>
              <w:right w:val="single" w:sz="4" w:space="0" w:color="auto"/>
            </w:tcBorders>
            <w:shd w:val="clear" w:color="000000" w:fill="FFFFFF"/>
            <w:noWrap/>
            <w:vAlign w:val="center"/>
          </w:tcPr>
          <w:p w14:paraId="01024532" w14:textId="77777777" w:rsidR="002961DC" w:rsidRPr="00A95729" w:rsidRDefault="002961DC" w:rsidP="00E56366">
            <w:pPr>
              <w:spacing w:after="0" w:line="240" w:lineRule="auto"/>
              <w:jc w:val="center"/>
              <w:rPr>
                <w:color w:val="000000"/>
                <w:sz w:val="18"/>
                <w:szCs w:val="18"/>
              </w:rPr>
            </w:pPr>
            <w:r w:rsidRPr="00A95729">
              <w:rPr>
                <w:rFonts w:eastAsia="Times New Roman"/>
                <w:color w:val="000000"/>
                <w:sz w:val="18"/>
                <w:szCs w:val="18"/>
              </w:rPr>
              <w:t> </w:t>
            </w:r>
          </w:p>
        </w:tc>
        <w:tc>
          <w:tcPr>
            <w:tcW w:w="540" w:type="dxa"/>
            <w:tcBorders>
              <w:left w:val="nil"/>
              <w:bottom w:val="nil"/>
              <w:right w:val="nil"/>
            </w:tcBorders>
            <w:shd w:val="clear" w:color="000000" w:fill="FFFFFF"/>
            <w:noWrap/>
            <w:vAlign w:val="center"/>
          </w:tcPr>
          <w:p w14:paraId="4F253813"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6" w:type="dxa"/>
            <w:tcBorders>
              <w:left w:val="nil"/>
              <w:bottom w:val="nil"/>
              <w:right w:val="single" w:sz="12" w:space="0" w:color="auto"/>
            </w:tcBorders>
            <w:shd w:val="clear" w:color="000000" w:fill="FFFFFF"/>
            <w:noWrap/>
            <w:vAlign w:val="center"/>
          </w:tcPr>
          <w:p w14:paraId="61E5117C"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left w:val="nil"/>
              <w:bottom w:val="nil"/>
              <w:right w:val="nil"/>
            </w:tcBorders>
            <w:shd w:val="clear" w:color="000000" w:fill="FFFFFF"/>
            <w:vAlign w:val="center"/>
          </w:tcPr>
          <w:p w14:paraId="2BDCAC86"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540" w:type="dxa"/>
            <w:tcBorders>
              <w:left w:val="nil"/>
              <w:bottom w:val="nil"/>
              <w:right w:val="single" w:sz="12" w:space="0" w:color="auto"/>
            </w:tcBorders>
            <w:shd w:val="clear" w:color="000000" w:fill="FFFFFF"/>
            <w:vAlign w:val="center"/>
          </w:tcPr>
          <w:p w14:paraId="4BD3486D"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630" w:type="dxa"/>
            <w:tcBorders>
              <w:left w:val="single" w:sz="12" w:space="0" w:color="auto"/>
              <w:bottom w:val="nil"/>
              <w:right w:val="nil"/>
            </w:tcBorders>
            <w:shd w:val="clear" w:color="000000" w:fill="FFFFFF"/>
            <w:vAlign w:val="center"/>
          </w:tcPr>
          <w:p w14:paraId="038E5CD6"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542" w:type="dxa"/>
            <w:tcBorders>
              <w:left w:val="nil"/>
              <w:bottom w:val="nil"/>
              <w:right w:val="single" w:sz="12" w:space="0" w:color="auto"/>
            </w:tcBorders>
            <w:shd w:val="clear" w:color="000000" w:fill="FFFFFF"/>
            <w:vAlign w:val="center"/>
          </w:tcPr>
          <w:p w14:paraId="078C2C0D" w14:textId="77777777" w:rsidR="002961DC" w:rsidRPr="00A95729" w:rsidRDefault="002961DC" w:rsidP="00E56366">
            <w:pPr>
              <w:spacing w:after="0" w:line="240" w:lineRule="auto"/>
              <w:jc w:val="center"/>
              <w:rPr>
                <w:rFonts w:eastAsia="Times New Roman"/>
                <w:color w:val="000000"/>
                <w:sz w:val="18"/>
                <w:szCs w:val="18"/>
              </w:rPr>
            </w:pPr>
          </w:p>
        </w:tc>
      </w:tr>
      <w:tr w:rsidR="002961DC" w:rsidRPr="00A95729" w14:paraId="58ADDA36" w14:textId="77777777" w:rsidTr="00E56366">
        <w:trPr>
          <w:trHeight w:val="20"/>
          <w:jc w:val="center"/>
        </w:trPr>
        <w:tc>
          <w:tcPr>
            <w:tcW w:w="2411" w:type="dxa"/>
            <w:tcBorders>
              <w:left w:val="single" w:sz="12" w:space="0" w:color="auto"/>
              <w:bottom w:val="nil"/>
              <w:right w:val="single" w:sz="12" w:space="0" w:color="auto"/>
            </w:tcBorders>
            <w:shd w:val="clear" w:color="000000" w:fill="FFFFFF"/>
            <w:noWrap/>
            <w:vAlign w:val="center"/>
          </w:tcPr>
          <w:p w14:paraId="5B0AFF63" w14:textId="77777777" w:rsidR="002961DC" w:rsidRPr="00D33D83" w:rsidRDefault="002961DC" w:rsidP="00E56366">
            <w:pPr>
              <w:spacing w:after="0" w:line="240" w:lineRule="auto"/>
              <w:rPr>
                <w:rFonts w:eastAsia="Times New Roman"/>
                <w:color w:val="000000"/>
                <w:sz w:val="18"/>
                <w:szCs w:val="18"/>
              </w:rPr>
            </w:pPr>
            <w:r>
              <w:rPr>
                <w:rFonts w:eastAsia="Times New Roman"/>
                <w:color w:val="000000"/>
                <w:sz w:val="18"/>
                <w:szCs w:val="18"/>
              </w:rPr>
              <w:t>Not Safe</w:t>
            </w:r>
          </w:p>
        </w:tc>
        <w:tc>
          <w:tcPr>
            <w:tcW w:w="537" w:type="dxa"/>
            <w:tcBorders>
              <w:left w:val="single" w:sz="12" w:space="0" w:color="auto"/>
              <w:bottom w:val="nil"/>
            </w:tcBorders>
            <w:shd w:val="clear" w:color="000000" w:fill="FFFFFF"/>
            <w:vAlign w:val="center"/>
          </w:tcPr>
          <w:p w14:paraId="4FF453B4" w14:textId="77777777" w:rsidR="002961DC" w:rsidRPr="00A95729" w:rsidRDefault="002961DC" w:rsidP="00E56366">
            <w:pPr>
              <w:spacing w:after="0" w:line="240" w:lineRule="auto"/>
              <w:jc w:val="center"/>
              <w:rPr>
                <w:color w:val="000000"/>
                <w:sz w:val="18"/>
                <w:szCs w:val="18"/>
              </w:rPr>
            </w:pPr>
            <w:r>
              <w:rPr>
                <w:rFonts w:eastAsia="Times New Roman"/>
                <w:color w:val="000000"/>
                <w:sz w:val="18"/>
                <w:szCs w:val="18"/>
              </w:rPr>
              <w:t>0.00</w:t>
            </w:r>
          </w:p>
        </w:tc>
        <w:tc>
          <w:tcPr>
            <w:tcW w:w="541" w:type="dxa"/>
            <w:tcBorders>
              <w:left w:val="nil"/>
              <w:bottom w:val="nil"/>
              <w:right w:val="single" w:sz="12" w:space="0" w:color="auto"/>
            </w:tcBorders>
            <w:shd w:val="clear" w:color="000000" w:fill="FFFFFF"/>
            <w:vAlign w:val="center"/>
          </w:tcPr>
          <w:p w14:paraId="6B3BF8F4" w14:textId="77777777" w:rsidR="002961DC" w:rsidRPr="00A95729" w:rsidRDefault="002961DC" w:rsidP="00E56366">
            <w:pPr>
              <w:spacing w:after="0" w:line="240" w:lineRule="auto"/>
              <w:jc w:val="center"/>
              <w:rPr>
                <w:color w:val="000000"/>
                <w:sz w:val="18"/>
                <w:szCs w:val="18"/>
              </w:rPr>
            </w:pPr>
            <w:r>
              <w:rPr>
                <w:rFonts w:eastAsia="Times New Roman"/>
                <w:color w:val="000000"/>
                <w:sz w:val="18"/>
                <w:szCs w:val="18"/>
              </w:rPr>
              <w:t>--</w:t>
            </w:r>
            <w:r w:rsidRPr="00A95729">
              <w:rPr>
                <w:rFonts w:eastAsia="Times New Roman"/>
                <w:color w:val="000000"/>
                <w:sz w:val="18"/>
                <w:szCs w:val="18"/>
              </w:rPr>
              <w:t> </w:t>
            </w:r>
          </w:p>
        </w:tc>
        <w:tc>
          <w:tcPr>
            <w:tcW w:w="539" w:type="dxa"/>
            <w:tcBorders>
              <w:left w:val="single" w:sz="12" w:space="0" w:color="auto"/>
              <w:bottom w:val="nil"/>
              <w:right w:val="nil"/>
            </w:tcBorders>
            <w:shd w:val="clear" w:color="000000" w:fill="FFFFFF"/>
            <w:noWrap/>
            <w:vAlign w:val="center"/>
          </w:tcPr>
          <w:p w14:paraId="76CA9D4D" w14:textId="77777777" w:rsidR="002961DC" w:rsidRPr="00A95729" w:rsidRDefault="002961DC" w:rsidP="00E56366">
            <w:pPr>
              <w:spacing w:after="0" w:line="240" w:lineRule="auto"/>
              <w:jc w:val="center"/>
              <w:rPr>
                <w:rFonts w:eastAsia="Times New Roman"/>
                <w:color w:val="000000"/>
                <w:sz w:val="18"/>
                <w:szCs w:val="18"/>
              </w:rPr>
            </w:pPr>
            <w:r>
              <w:rPr>
                <w:rFonts w:eastAsia="Times New Roman"/>
                <w:color w:val="000000"/>
                <w:sz w:val="18"/>
                <w:szCs w:val="18"/>
              </w:rPr>
              <w:t>1.00</w:t>
            </w:r>
          </w:p>
        </w:tc>
        <w:tc>
          <w:tcPr>
            <w:tcW w:w="449" w:type="dxa"/>
            <w:tcBorders>
              <w:left w:val="nil"/>
              <w:bottom w:val="nil"/>
              <w:right w:val="single" w:sz="4" w:space="0" w:color="auto"/>
            </w:tcBorders>
            <w:shd w:val="clear" w:color="000000" w:fill="FFFFFF"/>
            <w:noWrap/>
            <w:vAlign w:val="center"/>
          </w:tcPr>
          <w:p w14:paraId="56018C21" w14:textId="77777777" w:rsidR="002961DC" w:rsidRPr="00A95729" w:rsidRDefault="002961DC" w:rsidP="00E56366">
            <w:pPr>
              <w:spacing w:after="0" w:line="240" w:lineRule="auto"/>
              <w:jc w:val="center"/>
              <w:rPr>
                <w:rFonts w:eastAsia="Times New Roman"/>
                <w:color w:val="000000"/>
                <w:sz w:val="18"/>
                <w:szCs w:val="18"/>
              </w:rPr>
            </w:pPr>
            <w:r>
              <w:rPr>
                <w:rFonts w:eastAsia="Times New Roman"/>
                <w:color w:val="000000"/>
                <w:sz w:val="18"/>
                <w:szCs w:val="18"/>
              </w:rPr>
              <w:t>--</w:t>
            </w:r>
            <w:r w:rsidRPr="00A95729">
              <w:rPr>
                <w:rFonts w:eastAsia="Times New Roman"/>
                <w:color w:val="000000"/>
                <w:sz w:val="18"/>
                <w:szCs w:val="18"/>
              </w:rPr>
              <w:t> </w:t>
            </w:r>
          </w:p>
        </w:tc>
        <w:tc>
          <w:tcPr>
            <w:tcW w:w="540" w:type="dxa"/>
            <w:tcBorders>
              <w:left w:val="nil"/>
              <w:bottom w:val="nil"/>
              <w:right w:val="nil"/>
            </w:tcBorders>
            <w:shd w:val="clear" w:color="000000" w:fill="FFFFFF"/>
            <w:noWrap/>
            <w:vAlign w:val="center"/>
          </w:tcPr>
          <w:p w14:paraId="1469C341"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left w:val="nil"/>
              <w:bottom w:val="nil"/>
              <w:right w:val="single" w:sz="4" w:space="0" w:color="auto"/>
            </w:tcBorders>
            <w:shd w:val="clear" w:color="000000" w:fill="FFFFFF"/>
            <w:noWrap/>
            <w:vAlign w:val="center"/>
          </w:tcPr>
          <w:p w14:paraId="3874525B"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left w:val="nil"/>
              <w:bottom w:val="nil"/>
              <w:right w:val="nil"/>
            </w:tcBorders>
            <w:shd w:val="clear" w:color="000000" w:fill="FFFFFF"/>
            <w:noWrap/>
            <w:vAlign w:val="center"/>
          </w:tcPr>
          <w:p w14:paraId="61883A4F"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left w:val="nil"/>
              <w:bottom w:val="nil"/>
              <w:right w:val="single" w:sz="4" w:space="0" w:color="auto"/>
            </w:tcBorders>
            <w:shd w:val="clear" w:color="000000" w:fill="FFFFFF"/>
            <w:noWrap/>
            <w:vAlign w:val="center"/>
          </w:tcPr>
          <w:p w14:paraId="4231CCF4"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8" w:type="dxa"/>
            <w:tcBorders>
              <w:left w:val="nil"/>
              <w:bottom w:val="nil"/>
              <w:right w:val="nil"/>
            </w:tcBorders>
            <w:shd w:val="clear" w:color="000000" w:fill="FFFFFF"/>
            <w:noWrap/>
            <w:vAlign w:val="center"/>
          </w:tcPr>
          <w:p w14:paraId="0B9087D5" w14:textId="77777777" w:rsidR="002961DC" w:rsidRPr="00A95729" w:rsidRDefault="002961DC" w:rsidP="00E56366">
            <w:pPr>
              <w:spacing w:after="0" w:line="240" w:lineRule="auto"/>
              <w:jc w:val="center"/>
              <w:rPr>
                <w:color w:val="000000"/>
                <w:sz w:val="18"/>
                <w:szCs w:val="18"/>
              </w:rPr>
            </w:pPr>
            <w:r w:rsidRPr="00A95729">
              <w:rPr>
                <w:rFonts w:eastAsia="Times New Roman"/>
                <w:color w:val="000000"/>
                <w:sz w:val="18"/>
                <w:szCs w:val="18"/>
              </w:rPr>
              <w:t>--</w:t>
            </w:r>
          </w:p>
        </w:tc>
        <w:tc>
          <w:tcPr>
            <w:tcW w:w="450" w:type="dxa"/>
            <w:tcBorders>
              <w:left w:val="nil"/>
              <w:bottom w:val="nil"/>
              <w:right w:val="single" w:sz="4" w:space="0" w:color="auto"/>
            </w:tcBorders>
            <w:shd w:val="clear" w:color="000000" w:fill="FFFFFF"/>
            <w:noWrap/>
            <w:vAlign w:val="center"/>
          </w:tcPr>
          <w:p w14:paraId="42B7AC07" w14:textId="77777777" w:rsidR="002961DC" w:rsidRPr="00A95729" w:rsidRDefault="002961DC" w:rsidP="00E56366">
            <w:pPr>
              <w:spacing w:after="0" w:line="240" w:lineRule="auto"/>
              <w:jc w:val="center"/>
              <w:rPr>
                <w:color w:val="000000"/>
                <w:sz w:val="18"/>
                <w:szCs w:val="18"/>
              </w:rPr>
            </w:pPr>
            <w:r w:rsidRPr="00A95729">
              <w:rPr>
                <w:rFonts w:eastAsia="Times New Roman"/>
                <w:color w:val="000000"/>
                <w:sz w:val="18"/>
                <w:szCs w:val="18"/>
              </w:rPr>
              <w:t> </w:t>
            </w:r>
          </w:p>
        </w:tc>
        <w:tc>
          <w:tcPr>
            <w:tcW w:w="540" w:type="dxa"/>
            <w:tcBorders>
              <w:left w:val="nil"/>
              <w:bottom w:val="nil"/>
              <w:right w:val="nil"/>
            </w:tcBorders>
            <w:shd w:val="clear" w:color="000000" w:fill="FFFFFF"/>
            <w:noWrap/>
            <w:vAlign w:val="center"/>
          </w:tcPr>
          <w:p w14:paraId="1B4F647C"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left w:val="nil"/>
              <w:bottom w:val="nil"/>
              <w:right w:val="single" w:sz="4" w:space="0" w:color="auto"/>
            </w:tcBorders>
            <w:shd w:val="clear" w:color="000000" w:fill="FFFFFF"/>
            <w:noWrap/>
            <w:vAlign w:val="center"/>
          </w:tcPr>
          <w:p w14:paraId="4FCE97A7"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left w:val="nil"/>
              <w:bottom w:val="nil"/>
              <w:right w:val="nil"/>
            </w:tcBorders>
            <w:shd w:val="clear" w:color="000000" w:fill="FFFFFF"/>
            <w:noWrap/>
            <w:vAlign w:val="center"/>
          </w:tcPr>
          <w:p w14:paraId="439CBAC2"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left w:val="nil"/>
              <w:bottom w:val="nil"/>
              <w:right w:val="single" w:sz="4" w:space="0" w:color="auto"/>
            </w:tcBorders>
            <w:shd w:val="clear" w:color="000000" w:fill="FFFFFF"/>
            <w:noWrap/>
            <w:vAlign w:val="center"/>
          </w:tcPr>
          <w:p w14:paraId="6EB57D30"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left w:val="nil"/>
              <w:bottom w:val="nil"/>
              <w:right w:val="nil"/>
            </w:tcBorders>
            <w:shd w:val="clear" w:color="000000" w:fill="FFFFFF"/>
            <w:noWrap/>
            <w:vAlign w:val="center"/>
          </w:tcPr>
          <w:p w14:paraId="43909D0A" w14:textId="77777777" w:rsidR="002961DC" w:rsidRPr="00A95729" w:rsidRDefault="002961DC" w:rsidP="00E56366">
            <w:pPr>
              <w:spacing w:after="0" w:line="240" w:lineRule="auto"/>
              <w:jc w:val="center"/>
              <w:rPr>
                <w:color w:val="000000"/>
                <w:sz w:val="18"/>
                <w:szCs w:val="18"/>
              </w:rPr>
            </w:pPr>
            <w:r w:rsidRPr="00A95729">
              <w:rPr>
                <w:rFonts w:eastAsia="Times New Roman"/>
                <w:color w:val="000000"/>
                <w:sz w:val="18"/>
                <w:szCs w:val="18"/>
              </w:rPr>
              <w:t>--</w:t>
            </w:r>
          </w:p>
        </w:tc>
        <w:tc>
          <w:tcPr>
            <w:tcW w:w="454" w:type="dxa"/>
            <w:tcBorders>
              <w:left w:val="nil"/>
              <w:bottom w:val="nil"/>
              <w:right w:val="single" w:sz="4" w:space="0" w:color="auto"/>
            </w:tcBorders>
            <w:shd w:val="clear" w:color="000000" w:fill="FFFFFF"/>
            <w:noWrap/>
            <w:vAlign w:val="center"/>
          </w:tcPr>
          <w:p w14:paraId="1DE55330" w14:textId="77777777" w:rsidR="002961DC" w:rsidRPr="00A95729" w:rsidRDefault="002961DC" w:rsidP="00E56366">
            <w:pPr>
              <w:spacing w:after="0" w:line="240" w:lineRule="auto"/>
              <w:jc w:val="center"/>
              <w:rPr>
                <w:color w:val="000000"/>
                <w:sz w:val="18"/>
                <w:szCs w:val="18"/>
              </w:rPr>
            </w:pPr>
            <w:r w:rsidRPr="00A95729">
              <w:rPr>
                <w:rFonts w:eastAsia="Times New Roman"/>
                <w:color w:val="000000"/>
                <w:sz w:val="18"/>
                <w:szCs w:val="18"/>
              </w:rPr>
              <w:t> </w:t>
            </w:r>
          </w:p>
        </w:tc>
        <w:tc>
          <w:tcPr>
            <w:tcW w:w="540" w:type="dxa"/>
            <w:tcBorders>
              <w:left w:val="nil"/>
              <w:bottom w:val="nil"/>
              <w:right w:val="nil"/>
            </w:tcBorders>
            <w:shd w:val="clear" w:color="000000" w:fill="FFFFFF"/>
            <w:noWrap/>
            <w:vAlign w:val="center"/>
          </w:tcPr>
          <w:p w14:paraId="01B52804"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6" w:type="dxa"/>
            <w:tcBorders>
              <w:left w:val="nil"/>
              <w:bottom w:val="nil"/>
              <w:right w:val="single" w:sz="12" w:space="0" w:color="auto"/>
            </w:tcBorders>
            <w:shd w:val="clear" w:color="000000" w:fill="FFFFFF"/>
            <w:noWrap/>
            <w:vAlign w:val="center"/>
          </w:tcPr>
          <w:p w14:paraId="1DCCD12F"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left w:val="nil"/>
              <w:bottom w:val="nil"/>
              <w:right w:val="nil"/>
            </w:tcBorders>
            <w:shd w:val="clear" w:color="000000" w:fill="FFFFFF"/>
            <w:vAlign w:val="center"/>
          </w:tcPr>
          <w:p w14:paraId="5581C69A"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540" w:type="dxa"/>
            <w:tcBorders>
              <w:left w:val="nil"/>
              <w:bottom w:val="nil"/>
              <w:right w:val="single" w:sz="12" w:space="0" w:color="auto"/>
            </w:tcBorders>
            <w:shd w:val="clear" w:color="000000" w:fill="FFFFFF"/>
            <w:vAlign w:val="center"/>
          </w:tcPr>
          <w:p w14:paraId="6EACDA35"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630" w:type="dxa"/>
            <w:tcBorders>
              <w:left w:val="single" w:sz="12" w:space="0" w:color="auto"/>
              <w:bottom w:val="nil"/>
              <w:right w:val="nil"/>
            </w:tcBorders>
            <w:shd w:val="clear" w:color="000000" w:fill="FFFFFF"/>
            <w:vAlign w:val="center"/>
          </w:tcPr>
          <w:p w14:paraId="783C2267"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542" w:type="dxa"/>
            <w:tcBorders>
              <w:left w:val="nil"/>
              <w:bottom w:val="nil"/>
              <w:right w:val="single" w:sz="12" w:space="0" w:color="auto"/>
            </w:tcBorders>
            <w:shd w:val="clear" w:color="000000" w:fill="FFFFFF"/>
            <w:vAlign w:val="center"/>
          </w:tcPr>
          <w:p w14:paraId="3600D310" w14:textId="77777777" w:rsidR="002961DC" w:rsidRPr="00A95729" w:rsidRDefault="002961DC" w:rsidP="00E56366">
            <w:pPr>
              <w:spacing w:after="0" w:line="240" w:lineRule="auto"/>
              <w:jc w:val="center"/>
              <w:rPr>
                <w:rFonts w:eastAsia="Times New Roman"/>
                <w:color w:val="000000"/>
                <w:sz w:val="18"/>
                <w:szCs w:val="18"/>
              </w:rPr>
            </w:pPr>
          </w:p>
        </w:tc>
      </w:tr>
      <w:tr w:rsidR="002961DC" w:rsidRPr="00A95729" w14:paraId="1256C522" w14:textId="77777777" w:rsidTr="00E56366">
        <w:trPr>
          <w:trHeight w:val="20"/>
          <w:jc w:val="center"/>
        </w:trPr>
        <w:tc>
          <w:tcPr>
            <w:tcW w:w="2411" w:type="dxa"/>
            <w:tcBorders>
              <w:top w:val="nil"/>
              <w:left w:val="single" w:sz="12" w:space="0" w:color="auto"/>
              <w:bottom w:val="nil"/>
              <w:right w:val="single" w:sz="12" w:space="0" w:color="auto"/>
            </w:tcBorders>
            <w:shd w:val="clear" w:color="000000" w:fill="FFFFFF"/>
            <w:noWrap/>
            <w:vAlign w:val="center"/>
          </w:tcPr>
          <w:p w14:paraId="20993BCF" w14:textId="77777777" w:rsidR="002961DC" w:rsidRPr="00A95729" w:rsidRDefault="002961DC" w:rsidP="00E56366">
            <w:pPr>
              <w:spacing w:after="0" w:line="240" w:lineRule="auto"/>
              <w:rPr>
                <w:rFonts w:eastAsia="Times New Roman"/>
                <w:color w:val="000000"/>
                <w:sz w:val="18"/>
                <w:szCs w:val="18"/>
              </w:rPr>
            </w:pPr>
            <w:r>
              <w:rPr>
                <w:rFonts w:eastAsia="Times New Roman"/>
                <w:color w:val="000000"/>
                <w:sz w:val="18"/>
                <w:szCs w:val="18"/>
              </w:rPr>
              <w:t>Not Clean</w:t>
            </w:r>
          </w:p>
        </w:tc>
        <w:tc>
          <w:tcPr>
            <w:tcW w:w="537" w:type="dxa"/>
            <w:tcBorders>
              <w:top w:val="nil"/>
              <w:left w:val="single" w:sz="12" w:space="0" w:color="auto"/>
              <w:bottom w:val="nil"/>
            </w:tcBorders>
            <w:shd w:val="clear" w:color="000000" w:fill="FFFFFF"/>
            <w:vAlign w:val="center"/>
          </w:tcPr>
          <w:p w14:paraId="31984725" w14:textId="77777777" w:rsidR="002961DC" w:rsidRPr="00A95729" w:rsidRDefault="002961DC" w:rsidP="00E56366">
            <w:pPr>
              <w:spacing w:after="0" w:line="240" w:lineRule="auto"/>
              <w:jc w:val="center"/>
              <w:rPr>
                <w:color w:val="000000"/>
                <w:sz w:val="18"/>
                <w:szCs w:val="18"/>
              </w:rPr>
            </w:pPr>
            <w:r>
              <w:rPr>
                <w:rFonts w:eastAsia="Times New Roman"/>
                <w:color w:val="000000"/>
                <w:sz w:val="18"/>
                <w:szCs w:val="18"/>
              </w:rPr>
              <w:t>0.00</w:t>
            </w:r>
          </w:p>
        </w:tc>
        <w:tc>
          <w:tcPr>
            <w:tcW w:w="541" w:type="dxa"/>
            <w:tcBorders>
              <w:top w:val="nil"/>
              <w:left w:val="nil"/>
              <w:bottom w:val="nil"/>
              <w:right w:val="single" w:sz="12" w:space="0" w:color="auto"/>
            </w:tcBorders>
            <w:shd w:val="clear" w:color="000000" w:fill="FFFFFF"/>
            <w:vAlign w:val="center"/>
          </w:tcPr>
          <w:p w14:paraId="39EE3334" w14:textId="77777777" w:rsidR="002961DC" w:rsidRPr="00A95729" w:rsidRDefault="002961DC" w:rsidP="00E56366">
            <w:pPr>
              <w:spacing w:after="0" w:line="240" w:lineRule="auto"/>
              <w:jc w:val="center"/>
              <w:rPr>
                <w:color w:val="000000"/>
                <w:sz w:val="18"/>
                <w:szCs w:val="18"/>
              </w:rPr>
            </w:pPr>
            <w:r>
              <w:rPr>
                <w:rFonts w:eastAsia="Times New Roman"/>
                <w:color w:val="000000"/>
                <w:sz w:val="18"/>
                <w:szCs w:val="18"/>
              </w:rPr>
              <w:t>--</w:t>
            </w:r>
            <w:r w:rsidRPr="00A95729">
              <w:rPr>
                <w:rFonts w:eastAsia="Times New Roman"/>
                <w:color w:val="000000"/>
                <w:sz w:val="18"/>
                <w:szCs w:val="18"/>
              </w:rPr>
              <w:t> </w:t>
            </w:r>
          </w:p>
        </w:tc>
        <w:tc>
          <w:tcPr>
            <w:tcW w:w="539" w:type="dxa"/>
            <w:tcBorders>
              <w:top w:val="nil"/>
              <w:left w:val="single" w:sz="12" w:space="0" w:color="auto"/>
              <w:bottom w:val="nil"/>
              <w:right w:val="nil"/>
            </w:tcBorders>
            <w:shd w:val="clear" w:color="000000" w:fill="FFFFFF"/>
            <w:noWrap/>
            <w:vAlign w:val="bottom"/>
          </w:tcPr>
          <w:p w14:paraId="022F26CA"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0.66</w:t>
            </w:r>
          </w:p>
        </w:tc>
        <w:tc>
          <w:tcPr>
            <w:tcW w:w="449" w:type="dxa"/>
            <w:tcBorders>
              <w:top w:val="nil"/>
              <w:left w:val="nil"/>
              <w:bottom w:val="nil"/>
              <w:right w:val="single" w:sz="4" w:space="0" w:color="auto"/>
            </w:tcBorders>
            <w:shd w:val="clear" w:color="000000" w:fill="FFFFFF"/>
            <w:noWrap/>
            <w:vAlign w:val="bottom"/>
          </w:tcPr>
          <w:p w14:paraId="65EFBF24"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3.84</w:t>
            </w:r>
          </w:p>
        </w:tc>
        <w:tc>
          <w:tcPr>
            <w:tcW w:w="540" w:type="dxa"/>
            <w:tcBorders>
              <w:top w:val="nil"/>
              <w:left w:val="nil"/>
              <w:bottom w:val="nil"/>
              <w:right w:val="nil"/>
            </w:tcBorders>
            <w:shd w:val="clear" w:color="000000" w:fill="FFFFFF"/>
            <w:noWrap/>
            <w:vAlign w:val="center"/>
          </w:tcPr>
          <w:p w14:paraId="3984A4EB" w14:textId="77777777" w:rsidR="002961DC" w:rsidRPr="00A95729" w:rsidRDefault="002961DC" w:rsidP="00E56366">
            <w:pPr>
              <w:spacing w:after="0" w:line="240" w:lineRule="auto"/>
              <w:jc w:val="center"/>
              <w:rPr>
                <w:rFonts w:eastAsia="Times New Roman"/>
                <w:color w:val="000000"/>
                <w:sz w:val="18"/>
                <w:szCs w:val="18"/>
              </w:rPr>
            </w:pPr>
            <w:r>
              <w:rPr>
                <w:rFonts w:eastAsia="Times New Roman"/>
                <w:color w:val="000000"/>
                <w:sz w:val="18"/>
                <w:szCs w:val="18"/>
              </w:rPr>
              <w:t>1.00</w:t>
            </w:r>
          </w:p>
        </w:tc>
        <w:tc>
          <w:tcPr>
            <w:tcW w:w="450" w:type="dxa"/>
            <w:tcBorders>
              <w:top w:val="nil"/>
              <w:left w:val="nil"/>
              <w:bottom w:val="nil"/>
              <w:right w:val="single" w:sz="4" w:space="0" w:color="auto"/>
            </w:tcBorders>
            <w:shd w:val="clear" w:color="000000" w:fill="FFFFFF"/>
            <w:noWrap/>
            <w:vAlign w:val="center"/>
          </w:tcPr>
          <w:p w14:paraId="30B797E0" w14:textId="77777777" w:rsidR="002961DC" w:rsidRPr="00A95729" w:rsidRDefault="002961DC" w:rsidP="00E56366">
            <w:pPr>
              <w:spacing w:after="0" w:line="240" w:lineRule="auto"/>
              <w:jc w:val="center"/>
              <w:rPr>
                <w:rFonts w:eastAsia="Times New Roman"/>
                <w:color w:val="000000"/>
                <w:sz w:val="18"/>
                <w:szCs w:val="18"/>
              </w:rPr>
            </w:pPr>
            <w:r>
              <w:rPr>
                <w:rFonts w:eastAsia="Times New Roman"/>
                <w:color w:val="000000"/>
                <w:sz w:val="18"/>
                <w:szCs w:val="18"/>
              </w:rPr>
              <w:t>--</w:t>
            </w: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0E4A3150"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tcPr>
          <w:p w14:paraId="4F5281BC"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8" w:type="dxa"/>
            <w:tcBorders>
              <w:top w:val="nil"/>
              <w:left w:val="nil"/>
              <w:bottom w:val="nil"/>
              <w:right w:val="nil"/>
            </w:tcBorders>
            <w:shd w:val="clear" w:color="000000" w:fill="FFFFFF"/>
            <w:noWrap/>
            <w:vAlign w:val="center"/>
          </w:tcPr>
          <w:p w14:paraId="2B47E190" w14:textId="77777777" w:rsidR="002961DC" w:rsidRPr="00A95729" w:rsidRDefault="002961DC" w:rsidP="00E56366">
            <w:pPr>
              <w:spacing w:after="0" w:line="240" w:lineRule="auto"/>
              <w:jc w:val="center"/>
              <w:rPr>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tcPr>
          <w:p w14:paraId="7FA52A19" w14:textId="77777777" w:rsidR="002961DC" w:rsidRPr="00A95729" w:rsidRDefault="002961DC" w:rsidP="00E56366">
            <w:pPr>
              <w:spacing w:after="0" w:line="240" w:lineRule="auto"/>
              <w:jc w:val="center"/>
              <w:rPr>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7E4D0AA6"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tcPr>
          <w:p w14:paraId="6C9E6F06"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1516289A"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tcPr>
          <w:p w14:paraId="0E205352"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09292D2F" w14:textId="77777777" w:rsidR="002961DC" w:rsidRPr="00A95729" w:rsidRDefault="002961DC" w:rsidP="00E56366">
            <w:pPr>
              <w:spacing w:after="0" w:line="240" w:lineRule="auto"/>
              <w:jc w:val="center"/>
              <w:rPr>
                <w:color w:val="000000"/>
                <w:sz w:val="18"/>
                <w:szCs w:val="18"/>
              </w:rPr>
            </w:pPr>
            <w:r w:rsidRPr="00A95729">
              <w:rPr>
                <w:rFonts w:eastAsia="Times New Roman"/>
                <w:color w:val="000000"/>
                <w:sz w:val="18"/>
                <w:szCs w:val="18"/>
              </w:rPr>
              <w:t>--</w:t>
            </w:r>
          </w:p>
        </w:tc>
        <w:tc>
          <w:tcPr>
            <w:tcW w:w="454" w:type="dxa"/>
            <w:tcBorders>
              <w:top w:val="nil"/>
              <w:left w:val="nil"/>
              <w:bottom w:val="nil"/>
              <w:right w:val="single" w:sz="4" w:space="0" w:color="auto"/>
            </w:tcBorders>
            <w:shd w:val="clear" w:color="000000" w:fill="FFFFFF"/>
            <w:noWrap/>
            <w:vAlign w:val="center"/>
          </w:tcPr>
          <w:p w14:paraId="0BB726FD" w14:textId="77777777" w:rsidR="002961DC" w:rsidRPr="00A95729" w:rsidRDefault="002961DC" w:rsidP="00E56366">
            <w:pPr>
              <w:spacing w:after="0" w:line="240" w:lineRule="auto"/>
              <w:jc w:val="center"/>
              <w:rPr>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0C5F7342"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6" w:type="dxa"/>
            <w:tcBorders>
              <w:top w:val="nil"/>
              <w:left w:val="nil"/>
              <w:bottom w:val="nil"/>
              <w:right w:val="single" w:sz="12" w:space="0" w:color="auto"/>
            </w:tcBorders>
            <w:shd w:val="clear" w:color="000000" w:fill="FFFFFF"/>
            <w:noWrap/>
            <w:vAlign w:val="center"/>
          </w:tcPr>
          <w:p w14:paraId="44D5590F"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vAlign w:val="center"/>
          </w:tcPr>
          <w:p w14:paraId="47C66320"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540" w:type="dxa"/>
            <w:tcBorders>
              <w:top w:val="nil"/>
              <w:left w:val="nil"/>
              <w:bottom w:val="nil"/>
              <w:right w:val="single" w:sz="12" w:space="0" w:color="auto"/>
            </w:tcBorders>
            <w:shd w:val="clear" w:color="000000" w:fill="FFFFFF"/>
            <w:vAlign w:val="center"/>
          </w:tcPr>
          <w:p w14:paraId="20D591D4"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630" w:type="dxa"/>
            <w:tcBorders>
              <w:top w:val="nil"/>
              <w:left w:val="single" w:sz="12" w:space="0" w:color="auto"/>
              <w:bottom w:val="nil"/>
              <w:right w:val="nil"/>
            </w:tcBorders>
            <w:shd w:val="clear" w:color="000000" w:fill="FFFFFF"/>
            <w:vAlign w:val="center"/>
          </w:tcPr>
          <w:p w14:paraId="3C482544"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542" w:type="dxa"/>
            <w:tcBorders>
              <w:top w:val="nil"/>
              <w:left w:val="nil"/>
              <w:bottom w:val="nil"/>
              <w:right w:val="single" w:sz="12" w:space="0" w:color="auto"/>
            </w:tcBorders>
            <w:shd w:val="clear" w:color="000000" w:fill="FFFFFF"/>
            <w:vAlign w:val="center"/>
          </w:tcPr>
          <w:p w14:paraId="36CA84D6"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r>
      <w:tr w:rsidR="002961DC" w:rsidRPr="00A95729" w14:paraId="62D2F826" w14:textId="77777777" w:rsidTr="00E56366">
        <w:trPr>
          <w:trHeight w:val="20"/>
          <w:jc w:val="center"/>
        </w:trPr>
        <w:tc>
          <w:tcPr>
            <w:tcW w:w="2411" w:type="dxa"/>
            <w:tcBorders>
              <w:top w:val="nil"/>
              <w:left w:val="single" w:sz="12" w:space="0" w:color="auto"/>
              <w:bottom w:val="nil"/>
              <w:right w:val="single" w:sz="12" w:space="0" w:color="auto"/>
            </w:tcBorders>
            <w:shd w:val="clear" w:color="000000" w:fill="FFFFFF"/>
            <w:noWrap/>
            <w:vAlign w:val="center"/>
          </w:tcPr>
          <w:p w14:paraId="25D57674" w14:textId="77777777" w:rsidR="002961DC" w:rsidRPr="00A95729" w:rsidRDefault="002961DC" w:rsidP="00E56366">
            <w:pPr>
              <w:spacing w:after="0" w:line="240" w:lineRule="auto"/>
              <w:rPr>
                <w:rFonts w:eastAsia="Times New Roman"/>
                <w:color w:val="000000"/>
                <w:sz w:val="18"/>
                <w:szCs w:val="18"/>
              </w:rPr>
            </w:pPr>
            <w:r>
              <w:rPr>
                <w:rFonts w:eastAsia="Times New Roman"/>
                <w:color w:val="000000"/>
                <w:sz w:val="18"/>
                <w:szCs w:val="18"/>
              </w:rPr>
              <w:t>Not Reliable</w:t>
            </w:r>
          </w:p>
        </w:tc>
        <w:tc>
          <w:tcPr>
            <w:tcW w:w="537" w:type="dxa"/>
            <w:tcBorders>
              <w:top w:val="nil"/>
              <w:left w:val="single" w:sz="12" w:space="0" w:color="auto"/>
              <w:bottom w:val="nil"/>
            </w:tcBorders>
            <w:shd w:val="clear" w:color="000000" w:fill="FFFFFF"/>
            <w:vAlign w:val="center"/>
          </w:tcPr>
          <w:p w14:paraId="092E1676" w14:textId="77777777" w:rsidR="002961DC" w:rsidRPr="00A95729" w:rsidRDefault="002961DC" w:rsidP="00E56366">
            <w:pPr>
              <w:spacing w:after="0" w:line="240" w:lineRule="auto"/>
              <w:jc w:val="center"/>
              <w:rPr>
                <w:color w:val="000000"/>
                <w:sz w:val="18"/>
                <w:szCs w:val="18"/>
              </w:rPr>
            </w:pPr>
            <w:r>
              <w:rPr>
                <w:rFonts w:eastAsia="Times New Roman"/>
                <w:color w:val="000000"/>
                <w:sz w:val="18"/>
                <w:szCs w:val="18"/>
              </w:rPr>
              <w:t>0.00</w:t>
            </w:r>
          </w:p>
        </w:tc>
        <w:tc>
          <w:tcPr>
            <w:tcW w:w="541" w:type="dxa"/>
            <w:tcBorders>
              <w:top w:val="nil"/>
              <w:left w:val="nil"/>
              <w:bottom w:val="nil"/>
              <w:right w:val="single" w:sz="12" w:space="0" w:color="auto"/>
            </w:tcBorders>
            <w:shd w:val="clear" w:color="000000" w:fill="FFFFFF"/>
            <w:vAlign w:val="center"/>
          </w:tcPr>
          <w:p w14:paraId="482069EF" w14:textId="77777777" w:rsidR="002961DC" w:rsidRPr="00A95729" w:rsidRDefault="002961DC" w:rsidP="00E56366">
            <w:pPr>
              <w:spacing w:after="0" w:line="240" w:lineRule="auto"/>
              <w:jc w:val="center"/>
              <w:rPr>
                <w:color w:val="000000"/>
                <w:sz w:val="18"/>
                <w:szCs w:val="18"/>
              </w:rPr>
            </w:pPr>
            <w:r>
              <w:rPr>
                <w:rFonts w:eastAsia="Times New Roman"/>
                <w:color w:val="000000"/>
                <w:sz w:val="18"/>
                <w:szCs w:val="18"/>
              </w:rPr>
              <w:t>--</w:t>
            </w:r>
            <w:r w:rsidRPr="00A95729">
              <w:rPr>
                <w:rFonts w:eastAsia="Times New Roman"/>
                <w:color w:val="000000"/>
                <w:sz w:val="18"/>
                <w:szCs w:val="18"/>
              </w:rPr>
              <w:t> </w:t>
            </w:r>
          </w:p>
        </w:tc>
        <w:tc>
          <w:tcPr>
            <w:tcW w:w="539" w:type="dxa"/>
            <w:tcBorders>
              <w:top w:val="nil"/>
              <w:left w:val="single" w:sz="12" w:space="0" w:color="auto"/>
              <w:bottom w:val="nil"/>
              <w:right w:val="nil"/>
            </w:tcBorders>
            <w:shd w:val="clear" w:color="000000" w:fill="FFFFFF"/>
            <w:noWrap/>
            <w:vAlign w:val="bottom"/>
          </w:tcPr>
          <w:p w14:paraId="1E8CD117"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0.32</w:t>
            </w:r>
          </w:p>
        </w:tc>
        <w:tc>
          <w:tcPr>
            <w:tcW w:w="449" w:type="dxa"/>
            <w:tcBorders>
              <w:top w:val="nil"/>
              <w:left w:val="nil"/>
              <w:bottom w:val="nil"/>
              <w:right w:val="single" w:sz="4" w:space="0" w:color="auto"/>
            </w:tcBorders>
            <w:shd w:val="clear" w:color="000000" w:fill="FFFFFF"/>
            <w:noWrap/>
            <w:vAlign w:val="bottom"/>
          </w:tcPr>
          <w:p w14:paraId="1B3E1BFA"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2.28</w:t>
            </w:r>
          </w:p>
        </w:tc>
        <w:tc>
          <w:tcPr>
            <w:tcW w:w="540" w:type="dxa"/>
            <w:tcBorders>
              <w:top w:val="nil"/>
              <w:left w:val="nil"/>
              <w:bottom w:val="nil"/>
              <w:right w:val="nil"/>
            </w:tcBorders>
            <w:shd w:val="clear" w:color="000000" w:fill="FFFFFF"/>
            <w:noWrap/>
            <w:vAlign w:val="bottom"/>
          </w:tcPr>
          <w:p w14:paraId="38C3F746"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0.36</w:t>
            </w:r>
          </w:p>
        </w:tc>
        <w:tc>
          <w:tcPr>
            <w:tcW w:w="450" w:type="dxa"/>
            <w:tcBorders>
              <w:top w:val="nil"/>
              <w:left w:val="nil"/>
              <w:bottom w:val="nil"/>
              <w:right w:val="single" w:sz="4" w:space="0" w:color="auto"/>
            </w:tcBorders>
            <w:shd w:val="clear" w:color="000000" w:fill="FFFFFF"/>
            <w:noWrap/>
            <w:vAlign w:val="bottom"/>
          </w:tcPr>
          <w:p w14:paraId="50F20DC6"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1.79</w:t>
            </w:r>
          </w:p>
        </w:tc>
        <w:tc>
          <w:tcPr>
            <w:tcW w:w="540" w:type="dxa"/>
            <w:tcBorders>
              <w:top w:val="nil"/>
              <w:left w:val="nil"/>
              <w:bottom w:val="nil"/>
              <w:right w:val="nil"/>
            </w:tcBorders>
            <w:shd w:val="clear" w:color="000000" w:fill="FFFFFF"/>
            <w:noWrap/>
            <w:vAlign w:val="center"/>
          </w:tcPr>
          <w:p w14:paraId="71073A7F" w14:textId="77777777" w:rsidR="002961DC" w:rsidRPr="00A95729" w:rsidRDefault="002961DC" w:rsidP="00E56366">
            <w:pPr>
              <w:spacing w:after="0" w:line="240" w:lineRule="auto"/>
              <w:jc w:val="center"/>
              <w:rPr>
                <w:rFonts w:eastAsia="Times New Roman"/>
                <w:color w:val="000000"/>
                <w:sz w:val="18"/>
                <w:szCs w:val="18"/>
              </w:rPr>
            </w:pPr>
            <w:r>
              <w:rPr>
                <w:rFonts w:eastAsia="Times New Roman"/>
                <w:color w:val="000000"/>
                <w:sz w:val="18"/>
                <w:szCs w:val="18"/>
              </w:rPr>
              <w:t>1.00</w:t>
            </w:r>
          </w:p>
        </w:tc>
        <w:tc>
          <w:tcPr>
            <w:tcW w:w="450" w:type="dxa"/>
            <w:tcBorders>
              <w:top w:val="nil"/>
              <w:left w:val="nil"/>
              <w:bottom w:val="nil"/>
              <w:right w:val="single" w:sz="4" w:space="0" w:color="auto"/>
            </w:tcBorders>
            <w:shd w:val="clear" w:color="000000" w:fill="FFFFFF"/>
            <w:noWrap/>
            <w:vAlign w:val="center"/>
          </w:tcPr>
          <w:p w14:paraId="3D5C049C" w14:textId="77777777" w:rsidR="002961DC" w:rsidRPr="00A95729" w:rsidRDefault="002961DC" w:rsidP="00E56366">
            <w:pPr>
              <w:spacing w:after="0" w:line="240" w:lineRule="auto"/>
              <w:jc w:val="center"/>
              <w:rPr>
                <w:rFonts w:eastAsia="Times New Roman"/>
                <w:color w:val="000000"/>
                <w:sz w:val="18"/>
                <w:szCs w:val="18"/>
              </w:rPr>
            </w:pPr>
            <w:r>
              <w:rPr>
                <w:rFonts w:eastAsia="Times New Roman"/>
                <w:color w:val="000000"/>
                <w:sz w:val="18"/>
                <w:szCs w:val="18"/>
              </w:rPr>
              <w:t>--</w:t>
            </w:r>
            <w:r w:rsidRPr="00A95729">
              <w:rPr>
                <w:rFonts w:eastAsia="Times New Roman"/>
                <w:color w:val="000000"/>
                <w:sz w:val="18"/>
                <w:szCs w:val="18"/>
              </w:rPr>
              <w:t> </w:t>
            </w:r>
          </w:p>
        </w:tc>
        <w:tc>
          <w:tcPr>
            <w:tcW w:w="548" w:type="dxa"/>
            <w:tcBorders>
              <w:top w:val="nil"/>
              <w:left w:val="nil"/>
              <w:bottom w:val="nil"/>
              <w:right w:val="nil"/>
            </w:tcBorders>
            <w:shd w:val="clear" w:color="000000" w:fill="FFFFFF"/>
            <w:noWrap/>
            <w:vAlign w:val="center"/>
          </w:tcPr>
          <w:p w14:paraId="0E29B2DC" w14:textId="77777777" w:rsidR="002961DC" w:rsidRPr="00A95729" w:rsidRDefault="002961DC" w:rsidP="00E56366">
            <w:pPr>
              <w:spacing w:after="0" w:line="240" w:lineRule="auto"/>
              <w:jc w:val="center"/>
              <w:rPr>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tcPr>
          <w:p w14:paraId="70BF61C2" w14:textId="77777777" w:rsidR="002961DC" w:rsidRPr="00A95729" w:rsidRDefault="002961DC" w:rsidP="00E56366">
            <w:pPr>
              <w:spacing w:after="0" w:line="240" w:lineRule="auto"/>
              <w:jc w:val="center"/>
              <w:rPr>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79164662"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tcPr>
          <w:p w14:paraId="669727FE"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4FE627FE"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tcPr>
          <w:p w14:paraId="4B992A9E"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4E04C617" w14:textId="77777777" w:rsidR="002961DC" w:rsidRPr="00A95729" w:rsidRDefault="002961DC" w:rsidP="00E56366">
            <w:pPr>
              <w:spacing w:after="0" w:line="240" w:lineRule="auto"/>
              <w:jc w:val="center"/>
              <w:rPr>
                <w:color w:val="000000"/>
                <w:sz w:val="18"/>
                <w:szCs w:val="18"/>
              </w:rPr>
            </w:pPr>
            <w:r w:rsidRPr="00A95729">
              <w:rPr>
                <w:rFonts w:eastAsia="Times New Roman"/>
                <w:color w:val="000000"/>
                <w:sz w:val="18"/>
                <w:szCs w:val="18"/>
              </w:rPr>
              <w:t>--</w:t>
            </w:r>
          </w:p>
        </w:tc>
        <w:tc>
          <w:tcPr>
            <w:tcW w:w="454" w:type="dxa"/>
            <w:tcBorders>
              <w:top w:val="nil"/>
              <w:left w:val="nil"/>
              <w:bottom w:val="nil"/>
              <w:right w:val="single" w:sz="4" w:space="0" w:color="auto"/>
            </w:tcBorders>
            <w:shd w:val="clear" w:color="000000" w:fill="FFFFFF"/>
            <w:noWrap/>
            <w:vAlign w:val="center"/>
          </w:tcPr>
          <w:p w14:paraId="28304044" w14:textId="77777777" w:rsidR="002961DC" w:rsidRPr="00A95729" w:rsidRDefault="002961DC" w:rsidP="00E56366">
            <w:pPr>
              <w:spacing w:after="0" w:line="240" w:lineRule="auto"/>
              <w:jc w:val="center"/>
              <w:rPr>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5E1E375C"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6" w:type="dxa"/>
            <w:tcBorders>
              <w:top w:val="nil"/>
              <w:left w:val="nil"/>
              <w:bottom w:val="nil"/>
              <w:right w:val="single" w:sz="12" w:space="0" w:color="auto"/>
            </w:tcBorders>
            <w:shd w:val="clear" w:color="000000" w:fill="FFFFFF"/>
            <w:noWrap/>
            <w:vAlign w:val="center"/>
          </w:tcPr>
          <w:p w14:paraId="483EA946"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vAlign w:val="center"/>
          </w:tcPr>
          <w:p w14:paraId="26F0CF01"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540" w:type="dxa"/>
            <w:tcBorders>
              <w:top w:val="nil"/>
              <w:left w:val="nil"/>
              <w:bottom w:val="nil"/>
              <w:right w:val="single" w:sz="12" w:space="0" w:color="auto"/>
            </w:tcBorders>
            <w:shd w:val="clear" w:color="000000" w:fill="FFFFFF"/>
            <w:vAlign w:val="center"/>
          </w:tcPr>
          <w:p w14:paraId="7F421467"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630" w:type="dxa"/>
            <w:tcBorders>
              <w:top w:val="nil"/>
              <w:left w:val="single" w:sz="12" w:space="0" w:color="auto"/>
              <w:bottom w:val="nil"/>
              <w:right w:val="nil"/>
            </w:tcBorders>
            <w:shd w:val="clear" w:color="000000" w:fill="FFFFFF"/>
            <w:vAlign w:val="center"/>
          </w:tcPr>
          <w:p w14:paraId="2515B8B8"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542" w:type="dxa"/>
            <w:tcBorders>
              <w:top w:val="nil"/>
              <w:left w:val="nil"/>
              <w:bottom w:val="nil"/>
              <w:right w:val="single" w:sz="12" w:space="0" w:color="auto"/>
            </w:tcBorders>
            <w:shd w:val="clear" w:color="000000" w:fill="FFFFFF"/>
            <w:vAlign w:val="center"/>
          </w:tcPr>
          <w:p w14:paraId="4D5C23B7"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r>
      <w:tr w:rsidR="002961DC" w:rsidRPr="00A95729" w14:paraId="1B00D864" w14:textId="77777777" w:rsidTr="00E56366">
        <w:trPr>
          <w:trHeight w:val="20"/>
          <w:jc w:val="center"/>
        </w:trPr>
        <w:tc>
          <w:tcPr>
            <w:tcW w:w="2411" w:type="dxa"/>
            <w:tcBorders>
              <w:top w:val="nil"/>
              <w:left w:val="single" w:sz="12" w:space="0" w:color="auto"/>
              <w:bottom w:val="nil"/>
              <w:right w:val="single" w:sz="12" w:space="0" w:color="auto"/>
            </w:tcBorders>
            <w:shd w:val="clear" w:color="000000" w:fill="FFFFFF"/>
            <w:noWrap/>
            <w:vAlign w:val="center"/>
          </w:tcPr>
          <w:p w14:paraId="5286AD62" w14:textId="77777777" w:rsidR="002961DC" w:rsidRPr="00A95729" w:rsidRDefault="002961DC" w:rsidP="00E56366">
            <w:pPr>
              <w:spacing w:after="0" w:line="240" w:lineRule="auto"/>
              <w:rPr>
                <w:rFonts w:eastAsia="Times New Roman"/>
                <w:color w:val="000000"/>
                <w:sz w:val="18"/>
                <w:szCs w:val="18"/>
              </w:rPr>
            </w:pPr>
            <w:r>
              <w:rPr>
                <w:rFonts w:eastAsia="Times New Roman"/>
                <w:color w:val="000000"/>
                <w:sz w:val="18"/>
                <w:szCs w:val="18"/>
              </w:rPr>
              <w:t xml:space="preserve">Poor </w:t>
            </w:r>
            <w:r w:rsidRPr="00A95729">
              <w:rPr>
                <w:rFonts w:eastAsia="Times New Roman"/>
                <w:color w:val="000000"/>
                <w:sz w:val="18"/>
                <w:szCs w:val="18"/>
              </w:rPr>
              <w:t>Destination Access</w:t>
            </w:r>
          </w:p>
        </w:tc>
        <w:tc>
          <w:tcPr>
            <w:tcW w:w="537" w:type="dxa"/>
            <w:tcBorders>
              <w:top w:val="nil"/>
              <w:left w:val="single" w:sz="12" w:space="0" w:color="auto"/>
              <w:bottom w:val="nil"/>
            </w:tcBorders>
            <w:shd w:val="clear" w:color="000000" w:fill="FFFFFF"/>
            <w:vAlign w:val="center"/>
          </w:tcPr>
          <w:p w14:paraId="13B671CE" w14:textId="77777777" w:rsidR="002961DC" w:rsidRPr="00A95729" w:rsidRDefault="002961DC" w:rsidP="00E56366">
            <w:pPr>
              <w:spacing w:after="0" w:line="240" w:lineRule="auto"/>
              <w:jc w:val="center"/>
              <w:rPr>
                <w:color w:val="000000"/>
                <w:sz w:val="18"/>
                <w:szCs w:val="18"/>
              </w:rPr>
            </w:pPr>
            <w:r>
              <w:rPr>
                <w:rFonts w:eastAsia="Times New Roman"/>
                <w:color w:val="000000"/>
                <w:sz w:val="18"/>
                <w:szCs w:val="18"/>
              </w:rPr>
              <w:t>0.00</w:t>
            </w:r>
          </w:p>
        </w:tc>
        <w:tc>
          <w:tcPr>
            <w:tcW w:w="541" w:type="dxa"/>
            <w:tcBorders>
              <w:top w:val="nil"/>
              <w:left w:val="nil"/>
              <w:bottom w:val="nil"/>
              <w:right w:val="single" w:sz="12" w:space="0" w:color="auto"/>
            </w:tcBorders>
            <w:shd w:val="clear" w:color="000000" w:fill="FFFFFF"/>
            <w:vAlign w:val="center"/>
          </w:tcPr>
          <w:p w14:paraId="5938A036" w14:textId="77777777" w:rsidR="002961DC" w:rsidRPr="00A95729" w:rsidRDefault="002961DC" w:rsidP="00E56366">
            <w:pPr>
              <w:spacing w:after="0" w:line="240" w:lineRule="auto"/>
              <w:jc w:val="center"/>
              <w:rPr>
                <w:color w:val="000000"/>
                <w:sz w:val="18"/>
                <w:szCs w:val="18"/>
              </w:rPr>
            </w:pPr>
            <w:r>
              <w:rPr>
                <w:rFonts w:eastAsia="Times New Roman"/>
                <w:color w:val="000000"/>
                <w:sz w:val="18"/>
                <w:szCs w:val="18"/>
              </w:rPr>
              <w:t>--</w:t>
            </w:r>
            <w:r w:rsidRPr="00A95729">
              <w:rPr>
                <w:rFonts w:eastAsia="Times New Roman"/>
                <w:color w:val="000000"/>
                <w:sz w:val="18"/>
                <w:szCs w:val="18"/>
              </w:rPr>
              <w:t> </w:t>
            </w:r>
          </w:p>
        </w:tc>
        <w:tc>
          <w:tcPr>
            <w:tcW w:w="539" w:type="dxa"/>
            <w:tcBorders>
              <w:top w:val="nil"/>
              <w:left w:val="single" w:sz="12" w:space="0" w:color="auto"/>
              <w:bottom w:val="nil"/>
              <w:right w:val="nil"/>
            </w:tcBorders>
            <w:shd w:val="clear" w:color="000000" w:fill="FFFFFF"/>
            <w:noWrap/>
            <w:vAlign w:val="bottom"/>
          </w:tcPr>
          <w:p w14:paraId="6C67102E"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0.22</w:t>
            </w:r>
          </w:p>
        </w:tc>
        <w:tc>
          <w:tcPr>
            <w:tcW w:w="449" w:type="dxa"/>
            <w:tcBorders>
              <w:top w:val="nil"/>
              <w:left w:val="nil"/>
              <w:bottom w:val="nil"/>
              <w:right w:val="single" w:sz="4" w:space="0" w:color="auto"/>
            </w:tcBorders>
            <w:shd w:val="clear" w:color="000000" w:fill="FFFFFF"/>
            <w:noWrap/>
            <w:vAlign w:val="bottom"/>
          </w:tcPr>
          <w:p w14:paraId="48E4A960"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1.42</w:t>
            </w:r>
          </w:p>
        </w:tc>
        <w:tc>
          <w:tcPr>
            <w:tcW w:w="540" w:type="dxa"/>
            <w:tcBorders>
              <w:top w:val="nil"/>
              <w:left w:val="nil"/>
              <w:bottom w:val="nil"/>
              <w:right w:val="nil"/>
            </w:tcBorders>
            <w:shd w:val="clear" w:color="000000" w:fill="FFFFFF"/>
            <w:noWrap/>
            <w:vAlign w:val="bottom"/>
          </w:tcPr>
          <w:p w14:paraId="07429AAD"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0.36</w:t>
            </w:r>
          </w:p>
        </w:tc>
        <w:tc>
          <w:tcPr>
            <w:tcW w:w="450" w:type="dxa"/>
            <w:tcBorders>
              <w:top w:val="nil"/>
              <w:left w:val="nil"/>
              <w:bottom w:val="nil"/>
              <w:right w:val="single" w:sz="4" w:space="0" w:color="auto"/>
            </w:tcBorders>
            <w:shd w:val="clear" w:color="000000" w:fill="FFFFFF"/>
            <w:noWrap/>
            <w:vAlign w:val="bottom"/>
          </w:tcPr>
          <w:p w14:paraId="21348750"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1.85</w:t>
            </w:r>
          </w:p>
        </w:tc>
        <w:tc>
          <w:tcPr>
            <w:tcW w:w="540" w:type="dxa"/>
            <w:tcBorders>
              <w:top w:val="nil"/>
              <w:left w:val="nil"/>
              <w:bottom w:val="nil"/>
              <w:right w:val="nil"/>
            </w:tcBorders>
            <w:shd w:val="clear" w:color="000000" w:fill="FFFFFF"/>
            <w:noWrap/>
            <w:vAlign w:val="bottom"/>
          </w:tcPr>
          <w:p w14:paraId="7737BED5"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0.42</w:t>
            </w:r>
          </w:p>
        </w:tc>
        <w:tc>
          <w:tcPr>
            <w:tcW w:w="450" w:type="dxa"/>
            <w:tcBorders>
              <w:top w:val="nil"/>
              <w:left w:val="nil"/>
              <w:bottom w:val="nil"/>
              <w:right w:val="single" w:sz="4" w:space="0" w:color="auto"/>
            </w:tcBorders>
            <w:shd w:val="clear" w:color="000000" w:fill="FFFFFF"/>
            <w:noWrap/>
            <w:vAlign w:val="bottom"/>
          </w:tcPr>
          <w:p w14:paraId="30A0E91E"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2.64</w:t>
            </w:r>
          </w:p>
        </w:tc>
        <w:tc>
          <w:tcPr>
            <w:tcW w:w="548" w:type="dxa"/>
            <w:tcBorders>
              <w:top w:val="nil"/>
              <w:left w:val="nil"/>
              <w:bottom w:val="nil"/>
              <w:right w:val="nil"/>
            </w:tcBorders>
            <w:shd w:val="clear" w:color="000000" w:fill="FFFFFF"/>
            <w:noWrap/>
            <w:vAlign w:val="center"/>
          </w:tcPr>
          <w:p w14:paraId="281BE191" w14:textId="77777777" w:rsidR="002961DC" w:rsidRPr="00A95729" w:rsidRDefault="002961DC" w:rsidP="00E56366">
            <w:pPr>
              <w:spacing w:after="0" w:line="240" w:lineRule="auto"/>
              <w:jc w:val="center"/>
              <w:rPr>
                <w:color w:val="000000"/>
                <w:sz w:val="18"/>
                <w:szCs w:val="18"/>
              </w:rPr>
            </w:pPr>
            <w:r>
              <w:rPr>
                <w:rFonts w:eastAsia="Times New Roman"/>
                <w:color w:val="000000"/>
                <w:sz w:val="18"/>
                <w:szCs w:val="18"/>
              </w:rPr>
              <w:t>1.00</w:t>
            </w:r>
          </w:p>
        </w:tc>
        <w:tc>
          <w:tcPr>
            <w:tcW w:w="450" w:type="dxa"/>
            <w:tcBorders>
              <w:top w:val="nil"/>
              <w:left w:val="nil"/>
              <w:bottom w:val="nil"/>
              <w:right w:val="single" w:sz="4" w:space="0" w:color="auto"/>
            </w:tcBorders>
            <w:shd w:val="clear" w:color="000000" w:fill="FFFFFF"/>
            <w:noWrap/>
            <w:vAlign w:val="center"/>
          </w:tcPr>
          <w:p w14:paraId="50A93DF5" w14:textId="77777777" w:rsidR="002961DC" w:rsidRPr="00A95729" w:rsidRDefault="002961DC" w:rsidP="00E56366">
            <w:pPr>
              <w:spacing w:after="0" w:line="240" w:lineRule="auto"/>
              <w:jc w:val="center"/>
              <w:rPr>
                <w:color w:val="000000"/>
                <w:sz w:val="18"/>
                <w:szCs w:val="18"/>
              </w:rPr>
            </w:pPr>
            <w:r>
              <w:rPr>
                <w:rFonts w:eastAsia="Times New Roman"/>
                <w:color w:val="000000"/>
                <w:sz w:val="18"/>
                <w:szCs w:val="18"/>
              </w:rPr>
              <w:t>--</w:t>
            </w: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07BAC862"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tcPr>
          <w:p w14:paraId="23A60C0E"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34292E42"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tcPr>
          <w:p w14:paraId="2AE06428"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7D6F25A0" w14:textId="77777777" w:rsidR="002961DC" w:rsidRPr="00A95729" w:rsidRDefault="002961DC" w:rsidP="00E56366">
            <w:pPr>
              <w:spacing w:after="0" w:line="240" w:lineRule="auto"/>
              <w:jc w:val="center"/>
              <w:rPr>
                <w:color w:val="000000"/>
                <w:sz w:val="18"/>
                <w:szCs w:val="18"/>
              </w:rPr>
            </w:pPr>
            <w:r w:rsidRPr="00A95729">
              <w:rPr>
                <w:rFonts w:eastAsia="Times New Roman"/>
                <w:color w:val="000000"/>
                <w:sz w:val="18"/>
                <w:szCs w:val="18"/>
              </w:rPr>
              <w:t>--</w:t>
            </w:r>
          </w:p>
        </w:tc>
        <w:tc>
          <w:tcPr>
            <w:tcW w:w="454" w:type="dxa"/>
            <w:tcBorders>
              <w:top w:val="nil"/>
              <w:left w:val="nil"/>
              <w:bottom w:val="nil"/>
              <w:right w:val="single" w:sz="4" w:space="0" w:color="auto"/>
            </w:tcBorders>
            <w:shd w:val="clear" w:color="000000" w:fill="FFFFFF"/>
            <w:noWrap/>
            <w:vAlign w:val="center"/>
          </w:tcPr>
          <w:p w14:paraId="2C0355D3" w14:textId="77777777" w:rsidR="002961DC" w:rsidRPr="00A95729" w:rsidRDefault="002961DC" w:rsidP="00E56366">
            <w:pPr>
              <w:spacing w:after="0" w:line="240" w:lineRule="auto"/>
              <w:jc w:val="center"/>
              <w:rPr>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17004C4F"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6" w:type="dxa"/>
            <w:tcBorders>
              <w:top w:val="nil"/>
              <w:left w:val="nil"/>
              <w:bottom w:val="nil"/>
              <w:right w:val="single" w:sz="12" w:space="0" w:color="auto"/>
            </w:tcBorders>
            <w:shd w:val="clear" w:color="000000" w:fill="FFFFFF"/>
            <w:noWrap/>
            <w:vAlign w:val="center"/>
          </w:tcPr>
          <w:p w14:paraId="017C1F36"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vAlign w:val="center"/>
          </w:tcPr>
          <w:p w14:paraId="11C60A0D"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540" w:type="dxa"/>
            <w:tcBorders>
              <w:top w:val="nil"/>
              <w:left w:val="nil"/>
              <w:bottom w:val="nil"/>
              <w:right w:val="single" w:sz="12" w:space="0" w:color="auto"/>
            </w:tcBorders>
            <w:shd w:val="clear" w:color="000000" w:fill="FFFFFF"/>
            <w:vAlign w:val="center"/>
          </w:tcPr>
          <w:p w14:paraId="757C475F"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630" w:type="dxa"/>
            <w:tcBorders>
              <w:top w:val="nil"/>
              <w:left w:val="single" w:sz="12" w:space="0" w:color="auto"/>
              <w:bottom w:val="nil"/>
              <w:right w:val="nil"/>
            </w:tcBorders>
            <w:shd w:val="clear" w:color="000000" w:fill="FFFFFF"/>
            <w:vAlign w:val="center"/>
          </w:tcPr>
          <w:p w14:paraId="3BCB0B20"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542" w:type="dxa"/>
            <w:tcBorders>
              <w:top w:val="nil"/>
              <w:left w:val="nil"/>
              <w:bottom w:val="nil"/>
              <w:right w:val="single" w:sz="12" w:space="0" w:color="auto"/>
            </w:tcBorders>
            <w:shd w:val="clear" w:color="000000" w:fill="FFFFFF"/>
            <w:vAlign w:val="center"/>
          </w:tcPr>
          <w:p w14:paraId="77769361"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r>
      <w:tr w:rsidR="002961DC" w:rsidRPr="00A95729" w14:paraId="546FFF88" w14:textId="77777777" w:rsidTr="00E56366">
        <w:trPr>
          <w:trHeight w:val="20"/>
          <w:jc w:val="center"/>
        </w:trPr>
        <w:tc>
          <w:tcPr>
            <w:tcW w:w="2411" w:type="dxa"/>
            <w:tcBorders>
              <w:top w:val="nil"/>
              <w:left w:val="single" w:sz="12" w:space="0" w:color="auto"/>
              <w:bottom w:val="nil"/>
              <w:right w:val="single" w:sz="12" w:space="0" w:color="auto"/>
            </w:tcBorders>
            <w:shd w:val="clear" w:color="000000" w:fill="FFFFFF"/>
            <w:noWrap/>
            <w:vAlign w:val="center"/>
          </w:tcPr>
          <w:p w14:paraId="0A7A3A64" w14:textId="77777777" w:rsidR="002961DC" w:rsidRPr="00A95729" w:rsidRDefault="002961DC" w:rsidP="00E56366">
            <w:pPr>
              <w:spacing w:after="0" w:line="240" w:lineRule="auto"/>
              <w:rPr>
                <w:rFonts w:eastAsia="Times New Roman"/>
                <w:color w:val="000000"/>
                <w:sz w:val="18"/>
                <w:szCs w:val="18"/>
              </w:rPr>
            </w:pPr>
            <w:r>
              <w:rPr>
                <w:rFonts w:eastAsia="Times New Roman"/>
                <w:color w:val="000000"/>
                <w:sz w:val="18"/>
                <w:szCs w:val="18"/>
              </w:rPr>
              <w:t>Not Affordable</w:t>
            </w:r>
          </w:p>
        </w:tc>
        <w:tc>
          <w:tcPr>
            <w:tcW w:w="537" w:type="dxa"/>
            <w:tcBorders>
              <w:top w:val="nil"/>
              <w:left w:val="single" w:sz="12" w:space="0" w:color="auto"/>
              <w:bottom w:val="nil"/>
            </w:tcBorders>
            <w:shd w:val="clear" w:color="000000" w:fill="FFFFFF"/>
            <w:vAlign w:val="center"/>
          </w:tcPr>
          <w:p w14:paraId="0E1EBB70" w14:textId="77777777" w:rsidR="002961DC" w:rsidRPr="00A95729" w:rsidRDefault="002961DC" w:rsidP="00E56366">
            <w:pPr>
              <w:spacing w:after="0" w:line="240" w:lineRule="auto"/>
              <w:jc w:val="center"/>
              <w:rPr>
                <w:color w:val="000000"/>
                <w:sz w:val="18"/>
                <w:szCs w:val="18"/>
              </w:rPr>
            </w:pPr>
            <w:r>
              <w:rPr>
                <w:rFonts w:eastAsia="Times New Roman"/>
                <w:color w:val="000000"/>
                <w:sz w:val="18"/>
                <w:szCs w:val="18"/>
              </w:rPr>
              <w:t>0.00</w:t>
            </w:r>
          </w:p>
        </w:tc>
        <w:tc>
          <w:tcPr>
            <w:tcW w:w="541" w:type="dxa"/>
            <w:tcBorders>
              <w:top w:val="nil"/>
              <w:left w:val="nil"/>
              <w:bottom w:val="nil"/>
              <w:right w:val="single" w:sz="12" w:space="0" w:color="auto"/>
            </w:tcBorders>
            <w:shd w:val="clear" w:color="000000" w:fill="FFFFFF"/>
            <w:vAlign w:val="center"/>
          </w:tcPr>
          <w:p w14:paraId="4C097880" w14:textId="77777777" w:rsidR="002961DC" w:rsidRPr="00A95729" w:rsidRDefault="002961DC" w:rsidP="00E56366">
            <w:pPr>
              <w:spacing w:after="0" w:line="240" w:lineRule="auto"/>
              <w:jc w:val="center"/>
              <w:rPr>
                <w:color w:val="000000"/>
                <w:sz w:val="18"/>
                <w:szCs w:val="18"/>
              </w:rPr>
            </w:pPr>
            <w:r>
              <w:rPr>
                <w:rFonts w:eastAsia="Times New Roman"/>
                <w:color w:val="000000"/>
                <w:sz w:val="18"/>
                <w:szCs w:val="18"/>
              </w:rPr>
              <w:t>--</w:t>
            </w:r>
            <w:r w:rsidRPr="00A95729">
              <w:rPr>
                <w:rFonts w:eastAsia="Times New Roman"/>
                <w:color w:val="000000"/>
                <w:sz w:val="18"/>
                <w:szCs w:val="18"/>
              </w:rPr>
              <w:t> </w:t>
            </w:r>
          </w:p>
        </w:tc>
        <w:tc>
          <w:tcPr>
            <w:tcW w:w="539" w:type="dxa"/>
            <w:tcBorders>
              <w:top w:val="nil"/>
              <w:left w:val="single" w:sz="12" w:space="0" w:color="auto"/>
              <w:bottom w:val="nil"/>
              <w:right w:val="nil"/>
            </w:tcBorders>
            <w:shd w:val="clear" w:color="000000" w:fill="FFFFFF"/>
            <w:noWrap/>
            <w:vAlign w:val="center"/>
          </w:tcPr>
          <w:p w14:paraId="2260A4E9" w14:textId="77777777" w:rsidR="002961DC" w:rsidRPr="00A95729" w:rsidRDefault="002961DC" w:rsidP="00E56366">
            <w:pPr>
              <w:spacing w:after="0" w:line="240" w:lineRule="auto"/>
              <w:jc w:val="center"/>
              <w:rPr>
                <w:rFonts w:eastAsia="Times New Roman"/>
                <w:color w:val="000000"/>
                <w:sz w:val="18"/>
                <w:szCs w:val="18"/>
              </w:rPr>
            </w:pPr>
            <w:r>
              <w:rPr>
                <w:rFonts w:eastAsia="Times New Roman"/>
                <w:color w:val="000000"/>
                <w:sz w:val="18"/>
                <w:szCs w:val="18"/>
              </w:rPr>
              <w:t>0.00</w:t>
            </w:r>
          </w:p>
        </w:tc>
        <w:tc>
          <w:tcPr>
            <w:tcW w:w="449" w:type="dxa"/>
            <w:tcBorders>
              <w:top w:val="nil"/>
              <w:left w:val="nil"/>
              <w:bottom w:val="nil"/>
              <w:right w:val="single" w:sz="4" w:space="0" w:color="auto"/>
            </w:tcBorders>
            <w:shd w:val="clear" w:color="000000" w:fill="FFFFFF"/>
            <w:noWrap/>
            <w:vAlign w:val="center"/>
          </w:tcPr>
          <w:p w14:paraId="70A35363" w14:textId="77777777" w:rsidR="002961DC" w:rsidRPr="00A95729" w:rsidRDefault="002961DC" w:rsidP="00E56366">
            <w:pPr>
              <w:spacing w:after="0" w:line="240" w:lineRule="auto"/>
              <w:jc w:val="center"/>
              <w:rPr>
                <w:rFonts w:eastAsia="Times New Roman"/>
                <w:color w:val="000000"/>
                <w:sz w:val="18"/>
                <w:szCs w:val="18"/>
              </w:rPr>
            </w:pPr>
            <w:r>
              <w:rPr>
                <w:rFonts w:eastAsia="Times New Roman"/>
                <w:color w:val="000000"/>
                <w:sz w:val="18"/>
                <w:szCs w:val="18"/>
              </w:rPr>
              <w:t>--</w:t>
            </w: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44C2E783" w14:textId="77777777" w:rsidR="002961DC" w:rsidRPr="00A95729" w:rsidRDefault="002961DC" w:rsidP="00E56366">
            <w:pPr>
              <w:spacing w:after="0" w:line="240" w:lineRule="auto"/>
              <w:jc w:val="center"/>
              <w:rPr>
                <w:rFonts w:eastAsia="Times New Roman"/>
                <w:color w:val="000000"/>
                <w:sz w:val="18"/>
                <w:szCs w:val="18"/>
              </w:rPr>
            </w:pPr>
            <w:r>
              <w:rPr>
                <w:rFonts w:eastAsia="Times New Roman"/>
                <w:color w:val="000000"/>
                <w:sz w:val="18"/>
                <w:szCs w:val="18"/>
              </w:rPr>
              <w:t>0.00</w:t>
            </w:r>
          </w:p>
        </w:tc>
        <w:tc>
          <w:tcPr>
            <w:tcW w:w="450" w:type="dxa"/>
            <w:tcBorders>
              <w:top w:val="nil"/>
              <w:left w:val="nil"/>
              <w:bottom w:val="nil"/>
              <w:right w:val="single" w:sz="4" w:space="0" w:color="auto"/>
            </w:tcBorders>
            <w:shd w:val="clear" w:color="000000" w:fill="FFFFFF"/>
            <w:noWrap/>
            <w:vAlign w:val="center"/>
          </w:tcPr>
          <w:p w14:paraId="043871D2" w14:textId="77777777" w:rsidR="002961DC" w:rsidRPr="00A95729" w:rsidRDefault="002961DC" w:rsidP="00E56366">
            <w:pPr>
              <w:spacing w:after="0" w:line="240" w:lineRule="auto"/>
              <w:jc w:val="center"/>
              <w:rPr>
                <w:rFonts w:eastAsia="Times New Roman"/>
                <w:color w:val="000000"/>
                <w:sz w:val="18"/>
                <w:szCs w:val="18"/>
              </w:rPr>
            </w:pPr>
            <w:r>
              <w:rPr>
                <w:rFonts w:eastAsia="Times New Roman"/>
                <w:color w:val="000000"/>
                <w:sz w:val="18"/>
                <w:szCs w:val="18"/>
              </w:rPr>
              <w:t>--</w:t>
            </w: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bottom"/>
          </w:tcPr>
          <w:p w14:paraId="047347FB"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0.26</w:t>
            </w:r>
          </w:p>
        </w:tc>
        <w:tc>
          <w:tcPr>
            <w:tcW w:w="450" w:type="dxa"/>
            <w:tcBorders>
              <w:top w:val="nil"/>
              <w:left w:val="nil"/>
              <w:bottom w:val="nil"/>
              <w:right w:val="single" w:sz="4" w:space="0" w:color="auto"/>
            </w:tcBorders>
            <w:shd w:val="clear" w:color="000000" w:fill="FFFFFF"/>
            <w:noWrap/>
            <w:vAlign w:val="bottom"/>
          </w:tcPr>
          <w:p w14:paraId="559D0E9F"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1.88</w:t>
            </w:r>
          </w:p>
        </w:tc>
        <w:tc>
          <w:tcPr>
            <w:tcW w:w="548" w:type="dxa"/>
            <w:tcBorders>
              <w:top w:val="nil"/>
              <w:left w:val="nil"/>
              <w:bottom w:val="nil"/>
              <w:right w:val="nil"/>
            </w:tcBorders>
            <w:shd w:val="clear" w:color="000000" w:fill="FFFFFF"/>
            <w:noWrap/>
            <w:vAlign w:val="bottom"/>
          </w:tcPr>
          <w:p w14:paraId="0546CA93" w14:textId="77777777" w:rsidR="002961DC" w:rsidRPr="00A95729" w:rsidRDefault="002961DC" w:rsidP="00E56366">
            <w:pPr>
              <w:spacing w:after="0" w:line="240" w:lineRule="auto"/>
              <w:jc w:val="center"/>
              <w:rPr>
                <w:color w:val="000000"/>
                <w:sz w:val="18"/>
                <w:szCs w:val="18"/>
              </w:rPr>
            </w:pPr>
            <w:r w:rsidRPr="00A95729">
              <w:rPr>
                <w:color w:val="000000"/>
                <w:sz w:val="18"/>
                <w:szCs w:val="18"/>
              </w:rPr>
              <w:t>0.31</w:t>
            </w:r>
          </w:p>
        </w:tc>
        <w:tc>
          <w:tcPr>
            <w:tcW w:w="450" w:type="dxa"/>
            <w:tcBorders>
              <w:top w:val="nil"/>
              <w:left w:val="nil"/>
              <w:bottom w:val="nil"/>
              <w:right w:val="single" w:sz="4" w:space="0" w:color="auto"/>
            </w:tcBorders>
            <w:shd w:val="clear" w:color="000000" w:fill="FFFFFF"/>
            <w:noWrap/>
            <w:vAlign w:val="bottom"/>
          </w:tcPr>
          <w:p w14:paraId="07D61098" w14:textId="77777777" w:rsidR="002961DC" w:rsidRPr="00A95729" w:rsidRDefault="002961DC" w:rsidP="00E56366">
            <w:pPr>
              <w:spacing w:after="0" w:line="240" w:lineRule="auto"/>
              <w:jc w:val="center"/>
              <w:rPr>
                <w:color w:val="000000"/>
                <w:sz w:val="18"/>
                <w:szCs w:val="18"/>
              </w:rPr>
            </w:pPr>
            <w:r w:rsidRPr="00A95729">
              <w:rPr>
                <w:color w:val="000000"/>
                <w:sz w:val="18"/>
                <w:szCs w:val="18"/>
              </w:rPr>
              <w:t>2.07</w:t>
            </w:r>
          </w:p>
        </w:tc>
        <w:tc>
          <w:tcPr>
            <w:tcW w:w="540" w:type="dxa"/>
            <w:tcBorders>
              <w:top w:val="nil"/>
              <w:left w:val="nil"/>
              <w:bottom w:val="nil"/>
              <w:right w:val="nil"/>
            </w:tcBorders>
            <w:shd w:val="clear" w:color="000000" w:fill="FFFFFF"/>
            <w:noWrap/>
            <w:vAlign w:val="center"/>
          </w:tcPr>
          <w:p w14:paraId="3A474A9F" w14:textId="77777777" w:rsidR="002961DC" w:rsidRPr="00A95729" w:rsidRDefault="002961DC" w:rsidP="00E56366">
            <w:pPr>
              <w:spacing w:after="0" w:line="240" w:lineRule="auto"/>
              <w:jc w:val="center"/>
              <w:rPr>
                <w:rFonts w:eastAsia="Times New Roman"/>
                <w:color w:val="000000"/>
                <w:sz w:val="18"/>
                <w:szCs w:val="18"/>
              </w:rPr>
            </w:pPr>
            <w:r>
              <w:rPr>
                <w:rFonts w:eastAsia="Times New Roman"/>
                <w:color w:val="000000"/>
                <w:sz w:val="18"/>
                <w:szCs w:val="18"/>
              </w:rPr>
              <w:t>1.00</w:t>
            </w:r>
          </w:p>
        </w:tc>
        <w:tc>
          <w:tcPr>
            <w:tcW w:w="450" w:type="dxa"/>
            <w:tcBorders>
              <w:top w:val="nil"/>
              <w:left w:val="nil"/>
              <w:bottom w:val="nil"/>
              <w:right w:val="single" w:sz="4" w:space="0" w:color="auto"/>
            </w:tcBorders>
            <w:shd w:val="clear" w:color="000000" w:fill="FFFFFF"/>
            <w:noWrap/>
            <w:vAlign w:val="center"/>
          </w:tcPr>
          <w:p w14:paraId="5C068077" w14:textId="77777777" w:rsidR="002961DC" w:rsidRPr="00A95729" w:rsidRDefault="002961DC" w:rsidP="00E56366">
            <w:pPr>
              <w:spacing w:after="0" w:line="240" w:lineRule="auto"/>
              <w:jc w:val="center"/>
              <w:rPr>
                <w:rFonts w:eastAsia="Times New Roman"/>
                <w:color w:val="000000"/>
                <w:sz w:val="18"/>
                <w:szCs w:val="18"/>
              </w:rPr>
            </w:pPr>
            <w:r>
              <w:rPr>
                <w:rFonts w:eastAsia="Times New Roman"/>
                <w:color w:val="000000"/>
                <w:sz w:val="18"/>
                <w:szCs w:val="18"/>
              </w:rPr>
              <w:t>--</w:t>
            </w: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007B32BF"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0" w:type="dxa"/>
            <w:tcBorders>
              <w:top w:val="nil"/>
              <w:left w:val="nil"/>
              <w:bottom w:val="nil"/>
              <w:right w:val="single" w:sz="4" w:space="0" w:color="auto"/>
            </w:tcBorders>
            <w:shd w:val="clear" w:color="000000" w:fill="FFFFFF"/>
            <w:noWrap/>
            <w:vAlign w:val="center"/>
          </w:tcPr>
          <w:p w14:paraId="115670E1"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3C3510A7" w14:textId="77777777" w:rsidR="002961DC" w:rsidRPr="00A95729" w:rsidRDefault="002961DC" w:rsidP="00E56366">
            <w:pPr>
              <w:spacing w:after="0" w:line="240" w:lineRule="auto"/>
              <w:jc w:val="center"/>
              <w:rPr>
                <w:color w:val="000000"/>
                <w:sz w:val="18"/>
                <w:szCs w:val="18"/>
              </w:rPr>
            </w:pPr>
            <w:r w:rsidRPr="00A95729">
              <w:rPr>
                <w:rFonts w:eastAsia="Times New Roman"/>
                <w:color w:val="000000"/>
                <w:sz w:val="18"/>
                <w:szCs w:val="18"/>
              </w:rPr>
              <w:t>--</w:t>
            </w:r>
          </w:p>
        </w:tc>
        <w:tc>
          <w:tcPr>
            <w:tcW w:w="454" w:type="dxa"/>
            <w:tcBorders>
              <w:top w:val="nil"/>
              <w:left w:val="nil"/>
              <w:bottom w:val="nil"/>
              <w:right w:val="single" w:sz="4" w:space="0" w:color="auto"/>
            </w:tcBorders>
            <w:shd w:val="clear" w:color="000000" w:fill="FFFFFF"/>
            <w:noWrap/>
            <w:vAlign w:val="center"/>
          </w:tcPr>
          <w:p w14:paraId="5ACC9C63" w14:textId="77777777" w:rsidR="002961DC" w:rsidRPr="00A95729" w:rsidRDefault="002961DC" w:rsidP="00E56366">
            <w:pPr>
              <w:spacing w:after="0" w:line="240" w:lineRule="auto"/>
              <w:jc w:val="center"/>
              <w:rPr>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76986FA8"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6" w:type="dxa"/>
            <w:tcBorders>
              <w:top w:val="nil"/>
              <w:left w:val="nil"/>
              <w:bottom w:val="nil"/>
              <w:right w:val="single" w:sz="12" w:space="0" w:color="auto"/>
            </w:tcBorders>
            <w:shd w:val="clear" w:color="000000" w:fill="FFFFFF"/>
            <w:noWrap/>
            <w:vAlign w:val="center"/>
          </w:tcPr>
          <w:p w14:paraId="51007D3C"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vAlign w:val="center"/>
          </w:tcPr>
          <w:p w14:paraId="1AD154B8"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540" w:type="dxa"/>
            <w:tcBorders>
              <w:top w:val="nil"/>
              <w:left w:val="nil"/>
              <w:bottom w:val="nil"/>
              <w:right w:val="single" w:sz="12" w:space="0" w:color="auto"/>
            </w:tcBorders>
            <w:shd w:val="clear" w:color="000000" w:fill="FFFFFF"/>
            <w:vAlign w:val="center"/>
          </w:tcPr>
          <w:p w14:paraId="6BABDC3A"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630" w:type="dxa"/>
            <w:tcBorders>
              <w:top w:val="nil"/>
              <w:left w:val="single" w:sz="12" w:space="0" w:color="auto"/>
              <w:bottom w:val="nil"/>
              <w:right w:val="nil"/>
            </w:tcBorders>
            <w:shd w:val="clear" w:color="000000" w:fill="FFFFFF"/>
            <w:vAlign w:val="center"/>
          </w:tcPr>
          <w:p w14:paraId="3B2C7E8D"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542" w:type="dxa"/>
            <w:tcBorders>
              <w:top w:val="nil"/>
              <w:left w:val="nil"/>
              <w:bottom w:val="nil"/>
              <w:right w:val="single" w:sz="12" w:space="0" w:color="auto"/>
            </w:tcBorders>
            <w:shd w:val="clear" w:color="000000" w:fill="FFFFFF"/>
            <w:vAlign w:val="center"/>
          </w:tcPr>
          <w:p w14:paraId="34FFCD33"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r>
      <w:tr w:rsidR="002961DC" w:rsidRPr="00A95729" w14:paraId="53934611" w14:textId="77777777" w:rsidTr="00E56366">
        <w:trPr>
          <w:trHeight w:val="20"/>
          <w:jc w:val="center"/>
        </w:trPr>
        <w:tc>
          <w:tcPr>
            <w:tcW w:w="2411" w:type="dxa"/>
            <w:tcBorders>
              <w:top w:val="nil"/>
              <w:left w:val="single" w:sz="12" w:space="0" w:color="auto"/>
              <w:bottom w:val="nil"/>
              <w:right w:val="single" w:sz="12" w:space="0" w:color="auto"/>
            </w:tcBorders>
            <w:shd w:val="clear" w:color="000000" w:fill="FFFFFF"/>
            <w:noWrap/>
            <w:vAlign w:val="center"/>
          </w:tcPr>
          <w:p w14:paraId="67AAF4B9" w14:textId="77777777" w:rsidR="002961DC" w:rsidRPr="00A95729" w:rsidRDefault="002961DC" w:rsidP="00E56366">
            <w:pPr>
              <w:spacing w:after="0" w:line="240" w:lineRule="auto"/>
              <w:rPr>
                <w:rFonts w:eastAsia="Times New Roman"/>
                <w:color w:val="000000"/>
                <w:sz w:val="18"/>
                <w:szCs w:val="18"/>
              </w:rPr>
            </w:pPr>
            <w:r w:rsidRPr="00A95729">
              <w:rPr>
                <w:rFonts w:eastAsia="Times New Roman"/>
                <w:color w:val="000000"/>
                <w:sz w:val="18"/>
                <w:szCs w:val="18"/>
              </w:rPr>
              <w:t>Health Problems</w:t>
            </w:r>
          </w:p>
        </w:tc>
        <w:tc>
          <w:tcPr>
            <w:tcW w:w="537" w:type="dxa"/>
            <w:tcBorders>
              <w:top w:val="nil"/>
              <w:left w:val="single" w:sz="12" w:space="0" w:color="auto"/>
              <w:bottom w:val="nil"/>
            </w:tcBorders>
            <w:shd w:val="clear" w:color="000000" w:fill="FFFFFF"/>
            <w:vAlign w:val="center"/>
          </w:tcPr>
          <w:p w14:paraId="247B41C3" w14:textId="77777777" w:rsidR="002961DC" w:rsidRPr="00A95729" w:rsidRDefault="002961DC" w:rsidP="00E56366">
            <w:pPr>
              <w:spacing w:after="0" w:line="240" w:lineRule="auto"/>
              <w:jc w:val="center"/>
              <w:rPr>
                <w:color w:val="000000"/>
                <w:sz w:val="18"/>
                <w:szCs w:val="18"/>
              </w:rPr>
            </w:pPr>
            <w:r>
              <w:rPr>
                <w:rFonts w:eastAsia="Times New Roman"/>
                <w:color w:val="000000"/>
                <w:sz w:val="18"/>
                <w:szCs w:val="18"/>
              </w:rPr>
              <w:t>0.00</w:t>
            </w:r>
          </w:p>
        </w:tc>
        <w:tc>
          <w:tcPr>
            <w:tcW w:w="541" w:type="dxa"/>
            <w:tcBorders>
              <w:top w:val="nil"/>
              <w:left w:val="nil"/>
              <w:bottom w:val="nil"/>
              <w:right w:val="single" w:sz="12" w:space="0" w:color="auto"/>
            </w:tcBorders>
            <w:shd w:val="clear" w:color="000000" w:fill="FFFFFF"/>
            <w:vAlign w:val="center"/>
          </w:tcPr>
          <w:p w14:paraId="2796A68A" w14:textId="77777777" w:rsidR="002961DC" w:rsidRPr="00A95729" w:rsidRDefault="002961DC" w:rsidP="00E56366">
            <w:pPr>
              <w:spacing w:after="0" w:line="240" w:lineRule="auto"/>
              <w:jc w:val="center"/>
              <w:rPr>
                <w:color w:val="000000"/>
                <w:sz w:val="18"/>
                <w:szCs w:val="18"/>
              </w:rPr>
            </w:pPr>
            <w:r>
              <w:rPr>
                <w:rFonts w:eastAsia="Times New Roman"/>
                <w:color w:val="000000"/>
                <w:sz w:val="18"/>
                <w:szCs w:val="18"/>
              </w:rPr>
              <w:t>--</w:t>
            </w:r>
            <w:r w:rsidRPr="00A95729">
              <w:rPr>
                <w:rFonts w:eastAsia="Times New Roman"/>
                <w:color w:val="000000"/>
                <w:sz w:val="18"/>
                <w:szCs w:val="18"/>
              </w:rPr>
              <w:t> </w:t>
            </w:r>
          </w:p>
        </w:tc>
        <w:tc>
          <w:tcPr>
            <w:tcW w:w="539" w:type="dxa"/>
            <w:tcBorders>
              <w:top w:val="nil"/>
              <w:left w:val="single" w:sz="12" w:space="0" w:color="auto"/>
              <w:bottom w:val="nil"/>
              <w:right w:val="nil"/>
            </w:tcBorders>
            <w:shd w:val="clear" w:color="000000" w:fill="FFFFFF"/>
            <w:noWrap/>
            <w:vAlign w:val="bottom"/>
          </w:tcPr>
          <w:p w14:paraId="597FC7A9"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-0.25</w:t>
            </w:r>
          </w:p>
        </w:tc>
        <w:tc>
          <w:tcPr>
            <w:tcW w:w="449" w:type="dxa"/>
            <w:tcBorders>
              <w:top w:val="nil"/>
              <w:left w:val="nil"/>
              <w:bottom w:val="nil"/>
              <w:right w:val="single" w:sz="4" w:space="0" w:color="auto"/>
            </w:tcBorders>
            <w:shd w:val="clear" w:color="000000" w:fill="FFFFFF"/>
            <w:noWrap/>
            <w:vAlign w:val="bottom"/>
          </w:tcPr>
          <w:p w14:paraId="161B7BD5"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-1.42</w:t>
            </w:r>
          </w:p>
        </w:tc>
        <w:tc>
          <w:tcPr>
            <w:tcW w:w="540" w:type="dxa"/>
            <w:tcBorders>
              <w:top w:val="nil"/>
              <w:left w:val="nil"/>
              <w:bottom w:val="nil"/>
              <w:right w:val="nil"/>
            </w:tcBorders>
            <w:shd w:val="clear" w:color="000000" w:fill="FFFFFF"/>
            <w:noWrap/>
            <w:vAlign w:val="center"/>
          </w:tcPr>
          <w:p w14:paraId="376A6143" w14:textId="77777777" w:rsidR="002961DC" w:rsidRPr="00A95729" w:rsidRDefault="002961DC" w:rsidP="00E56366">
            <w:pPr>
              <w:spacing w:after="0" w:line="240" w:lineRule="auto"/>
              <w:jc w:val="center"/>
              <w:rPr>
                <w:rFonts w:eastAsia="Times New Roman"/>
                <w:color w:val="000000"/>
                <w:sz w:val="18"/>
                <w:szCs w:val="18"/>
              </w:rPr>
            </w:pPr>
            <w:r>
              <w:rPr>
                <w:rFonts w:eastAsia="Times New Roman"/>
                <w:color w:val="000000"/>
                <w:sz w:val="18"/>
                <w:szCs w:val="18"/>
              </w:rPr>
              <w:t>0.00</w:t>
            </w:r>
          </w:p>
        </w:tc>
        <w:tc>
          <w:tcPr>
            <w:tcW w:w="450" w:type="dxa"/>
            <w:tcBorders>
              <w:top w:val="nil"/>
              <w:left w:val="nil"/>
              <w:bottom w:val="nil"/>
              <w:right w:val="single" w:sz="4" w:space="0" w:color="auto"/>
            </w:tcBorders>
            <w:shd w:val="clear" w:color="000000" w:fill="FFFFFF"/>
            <w:noWrap/>
            <w:vAlign w:val="center"/>
          </w:tcPr>
          <w:p w14:paraId="07221ABD" w14:textId="77777777" w:rsidR="002961DC" w:rsidRPr="00A95729" w:rsidRDefault="002961DC" w:rsidP="00E56366">
            <w:pPr>
              <w:spacing w:after="0" w:line="240" w:lineRule="auto"/>
              <w:jc w:val="center"/>
              <w:rPr>
                <w:rFonts w:eastAsia="Times New Roman"/>
                <w:color w:val="000000"/>
                <w:sz w:val="18"/>
                <w:szCs w:val="18"/>
              </w:rPr>
            </w:pPr>
            <w:r>
              <w:rPr>
                <w:rFonts w:eastAsia="Times New Roman"/>
                <w:color w:val="000000"/>
                <w:sz w:val="18"/>
                <w:szCs w:val="18"/>
              </w:rPr>
              <w:t>--</w:t>
            </w: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42687E81" w14:textId="77777777" w:rsidR="002961DC" w:rsidRPr="00A95729" w:rsidRDefault="002961DC" w:rsidP="00E56366">
            <w:pPr>
              <w:spacing w:after="0" w:line="240" w:lineRule="auto"/>
              <w:jc w:val="center"/>
              <w:rPr>
                <w:rFonts w:eastAsia="Times New Roman"/>
                <w:color w:val="000000"/>
                <w:sz w:val="18"/>
                <w:szCs w:val="18"/>
              </w:rPr>
            </w:pPr>
            <w:r>
              <w:rPr>
                <w:rFonts w:eastAsia="Times New Roman"/>
                <w:color w:val="000000"/>
                <w:sz w:val="18"/>
                <w:szCs w:val="18"/>
              </w:rPr>
              <w:t>0.00</w:t>
            </w:r>
          </w:p>
        </w:tc>
        <w:tc>
          <w:tcPr>
            <w:tcW w:w="450" w:type="dxa"/>
            <w:tcBorders>
              <w:top w:val="nil"/>
              <w:left w:val="nil"/>
              <w:bottom w:val="nil"/>
              <w:right w:val="single" w:sz="4" w:space="0" w:color="auto"/>
            </w:tcBorders>
            <w:shd w:val="clear" w:color="000000" w:fill="FFFFFF"/>
            <w:noWrap/>
            <w:vAlign w:val="center"/>
          </w:tcPr>
          <w:p w14:paraId="3DC9FD65" w14:textId="77777777" w:rsidR="002961DC" w:rsidRPr="00A95729" w:rsidRDefault="002961DC" w:rsidP="00E56366">
            <w:pPr>
              <w:spacing w:after="0" w:line="240" w:lineRule="auto"/>
              <w:jc w:val="center"/>
              <w:rPr>
                <w:rFonts w:eastAsia="Times New Roman"/>
                <w:color w:val="000000"/>
                <w:sz w:val="18"/>
                <w:szCs w:val="18"/>
              </w:rPr>
            </w:pPr>
            <w:r>
              <w:rPr>
                <w:rFonts w:eastAsia="Times New Roman"/>
                <w:color w:val="000000"/>
                <w:sz w:val="18"/>
                <w:szCs w:val="18"/>
              </w:rPr>
              <w:t>--</w:t>
            </w:r>
            <w:r w:rsidRPr="00A95729">
              <w:rPr>
                <w:rFonts w:eastAsia="Times New Roman"/>
                <w:color w:val="000000"/>
                <w:sz w:val="18"/>
                <w:szCs w:val="18"/>
              </w:rPr>
              <w:t> </w:t>
            </w:r>
          </w:p>
        </w:tc>
        <w:tc>
          <w:tcPr>
            <w:tcW w:w="548" w:type="dxa"/>
            <w:tcBorders>
              <w:top w:val="nil"/>
              <w:left w:val="nil"/>
              <w:bottom w:val="nil"/>
              <w:right w:val="nil"/>
            </w:tcBorders>
            <w:shd w:val="clear" w:color="000000" w:fill="FFFFFF"/>
            <w:noWrap/>
            <w:vAlign w:val="center"/>
          </w:tcPr>
          <w:p w14:paraId="090AE010" w14:textId="77777777" w:rsidR="002961DC" w:rsidRPr="00A95729" w:rsidRDefault="002961DC" w:rsidP="00E56366">
            <w:pPr>
              <w:spacing w:after="0" w:line="240" w:lineRule="auto"/>
              <w:jc w:val="center"/>
              <w:rPr>
                <w:color w:val="000000"/>
                <w:sz w:val="18"/>
                <w:szCs w:val="18"/>
              </w:rPr>
            </w:pPr>
            <w:r>
              <w:rPr>
                <w:rFonts w:eastAsia="Times New Roman"/>
                <w:color w:val="000000"/>
                <w:sz w:val="18"/>
                <w:szCs w:val="18"/>
              </w:rPr>
              <w:t>0.00</w:t>
            </w:r>
          </w:p>
        </w:tc>
        <w:tc>
          <w:tcPr>
            <w:tcW w:w="450" w:type="dxa"/>
            <w:tcBorders>
              <w:top w:val="nil"/>
              <w:left w:val="nil"/>
              <w:bottom w:val="nil"/>
              <w:right w:val="single" w:sz="4" w:space="0" w:color="auto"/>
            </w:tcBorders>
            <w:shd w:val="clear" w:color="000000" w:fill="FFFFFF"/>
            <w:noWrap/>
            <w:vAlign w:val="center"/>
          </w:tcPr>
          <w:p w14:paraId="01428D86" w14:textId="77777777" w:rsidR="002961DC" w:rsidRPr="00A95729" w:rsidRDefault="002961DC" w:rsidP="00E56366">
            <w:pPr>
              <w:spacing w:after="0" w:line="240" w:lineRule="auto"/>
              <w:jc w:val="center"/>
              <w:rPr>
                <w:color w:val="000000"/>
                <w:sz w:val="18"/>
                <w:szCs w:val="18"/>
              </w:rPr>
            </w:pPr>
            <w:r>
              <w:rPr>
                <w:rFonts w:eastAsia="Times New Roman"/>
                <w:color w:val="000000"/>
                <w:sz w:val="18"/>
                <w:szCs w:val="18"/>
              </w:rPr>
              <w:t>--</w:t>
            </w: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713BFAA2" w14:textId="77777777" w:rsidR="002961DC" w:rsidRPr="00A95729" w:rsidRDefault="002961DC" w:rsidP="00E56366">
            <w:pPr>
              <w:spacing w:after="0" w:line="240" w:lineRule="auto"/>
              <w:jc w:val="center"/>
              <w:rPr>
                <w:rFonts w:eastAsia="Times New Roman"/>
                <w:color w:val="000000"/>
                <w:sz w:val="18"/>
                <w:szCs w:val="18"/>
              </w:rPr>
            </w:pPr>
            <w:r>
              <w:rPr>
                <w:rFonts w:eastAsia="Times New Roman"/>
                <w:color w:val="000000"/>
                <w:sz w:val="18"/>
                <w:szCs w:val="18"/>
              </w:rPr>
              <w:t>0.00</w:t>
            </w:r>
          </w:p>
        </w:tc>
        <w:tc>
          <w:tcPr>
            <w:tcW w:w="450" w:type="dxa"/>
            <w:tcBorders>
              <w:top w:val="nil"/>
              <w:left w:val="nil"/>
              <w:bottom w:val="nil"/>
              <w:right w:val="single" w:sz="4" w:space="0" w:color="auto"/>
            </w:tcBorders>
            <w:shd w:val="clear" w:color="000000" w:fill="FFFFFF"/>
            <w:noWrap/>
            <w:vAlign w:val="center"/>
          </w:tcPr>
          <w:p w14:paraId="250B1875" w14:textId="77777777" w:rsidR="002961DC" w:rsidRPr="00A95729" w:rsidRDefault="002961DC" w:rsidP="00E56366">
            <w:pPr>
              <w:spacing w:after="0" w:line="240" w:lineRule="auto"/>
              <w:jc w:val="center"/>
              <w:rPr>
                <w:rFonts w:eastAsia="Times New Roman"/>
                <w:color w:val="000000"/>
                <w:sz w:val="18"/>
                <w:szCs w:val="18"/>
              </w:rPr>
            </w:pPr>
            <w:r>
              <w:rPr>
                <w:rFonts w:eastAsia="Times New Roman"/>
                <w:color w:val="000000"/>
                <w:sz w:val="18"/>
                <w:szCs w:val="18"/>
              </w:rPr>
              <w:t>--</w:t>
            </w: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35B60C68" w14:textId="77777777" w:rsidR="002961DC" w:rsidRPr="00A95729" w:rsidRDefault="002961DC" w:rsidP="00E56366">
            <w:pPr>
              <w:spacing w:after="0" w:line="240" w:lineRule="auto"/>
              <w:jc w:val="center"/>
              <w:rPr>
                <w:rFonts w:eastAsia="Times New Roman"/>
                <w:color w:val="000000"/>
                <w:sz w:val="18"/>
                <w:szCs w:val="18"/>
              </w:rPr>
            </w:pPr>
            <w:r>
              <w:rPr>
                <w:rFonts w:eastAsia="Times New Roman"/>
                <w:color w:val="000000"/>
                <w:sz w:val="18"/>
                <w:szCs w:val="18"/>
              </w:rPr>
              <w:t>1.00</w:t>
            </w:r>
          </w:p>
        </w:tc>
        <w:tc>
          <w:tcPr>
            <w:tcW w:w="450" w:type="dxa"/>
            <w:tcBorders>
              <w:top w:val="nil"/>
              <w:left w:val="nil"/>
              <w:bottom w:val="nil"/>
              <w:right w:val="single" w:sz="4" w:space="0" w:color="auto"/>
            </w:tcBorders>
            <w:shd w:val="clear" w:color="000000" w:fill="FFFFFF"/>
            <w:noWrap/>
            <w:vAlign w:val="center"/>
          </w:tcPr>
          <w:p w14:paraId="2406CBB2" w14:textId="77777777" w:rsidR="002961DC" w:rsidRPr="00A95729" w:rsidRDefault="002961DC" w:rsidP="00E56366">
            <w:pPr>
              <w:spacing w:after="0" w:line="240" w:lineRule="auto"/>
              <w:jc w:val="center"/>
              <w:rPr>
                <w:rFonts w:eastAsia="Times New Roman"/>
                <w:color w:val="000000"/>
                <w:sz w:val="18"/>
                <w:szCs w:val="18"/>
              </w:rPr>
            </w:pPr>
            <w:r>
              <w:rPr>
                <w:rFonts w:eastAsia="Times New Roman"/>
                <w:color w:val="000000"/>
                <w:sz w:val="18"/>
                <w:szCs w:val="18"/>
              </w:rPr>
              <w:t>--</w:t>
            </w: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33C1444E" w14:textId="77777777" w:rsidR="002961DC" w:rsidRPr="00A95729" w:rsidRDefault="002961DC" w:rsidP="00E56366">
            <w:pPr>
              <w:spacing w:after="0" w:line="240" w:lineRule="auto"/>
              <w:jc w:val="center"/>
              <w:rPr>
                <w:color w:val="000000"/>
                <w:sz w:val="18"/>
                <w:szCs w:val="18"/>
              </w:rPr>
            </w:pPr>
            <w:r w:rsidRPr="00A95729">
              <w:rPr>
                <w:rFonts w:eastAsia="Times New Roman"/>
                <w:color w:val="000000"/>
                <w:sz w:val="18"/>
                <w:szCs w:val="18"/>
              </w:rPr>
              <w:t>--</w:t>
            </w:r>
          </w:p>
        </w:tc>
        <w:tc>
          <w:tcPr>
            <w:tcW w:w="454" w:type="dxa"/>
            <w:tcBorders>
              <w:top w:val="nil"/>
              <w:left w:val="nil"/>
              <w:bottom w:val="nil"/>
              <w:right w:val="single" w:sz="4" w:space="0" w:color="auto"/>
            </w:tcBorders>
            <w:shd w:val="clear" w:color="000000" w:fill="FFFFFF"/>
            <w:noWrap/>
            <w:vAlign w:val="center"/>
          </w:tcPr>
          <w:p w14:paraId="1866399B" w14:textId="77777777" w:rsidR="002961DC" w:rsidRPr="00A95729" w:rsidRDefault="002961DC" w:rsidP="00E56366">
            <w:pPr>
              <w:spacing w:after="0" w:line="240" w:lineRule="auto"/>
              <w:jc w:val="center"/>
              <w:rPr>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24BCBDE9"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6" w:type="dxa"/>
            <w:tcBorders>
              <w:top w:val="nil"/>
              <w:left w:val="nil"/>
              <w:bottom w:val="nil"/>
              <w:right w:val="single" w:sz="12" w:space="0" w:color="auto"/>
            </w:tcBorders>
            <w:shd w:val="clear" w:color="000000" w:fill="FFFFFF"/>
            <w:noWrap/>
            <w:vAlign w:val="center"/>
          </w:tcPr>
          <w:p w14:paraId="77CE5BDF"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vAlign w:val="center"/>
          </w:tcPr>
          <w:p w14:paraId="42A77E1C"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540" w:type="dxa"/>
            <w:tcBorders>
              <w:top w:val="nil"/>
              <w:left w:val="nil"/>
              <w:bottom w:val="nil"/>
              <w:right w:val="single" w:sz="12" w:space="0" w:color="auto"/>
            </w:tcBorders>
            <w:shd w:val="clear" w:color="000000" w:fill="FFFFFF"/>
            <w:vAlign w:val="center"/>
          </w:tcPr>
          <w:p w14:paraId="2E9DDB01"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630" w:type="dxa"/>
            <w:tcBorders>
              <w:top w:val="nil"/>
              <w:left w:val="single" w:sz="12" w:space="0" w:color="auto"/>
              <w:bottom w:val="nil"/>
              <w:right w:val="nil"/>
            </w:tcBorders>
            <w:shd w:val="clear" w:color="000000" w:fill="FFFFFF"/>
            <w:vAlign w:val="center"/>
          </w:tcPr>
          <w:p w14:paraId="78E77F3D"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542" w:type="dxa"/>
            <w:tcBorders>
              <w:top w:val="nil"/>
              <w:left w:val="nil"/>
              <w:bottom w:val="nil"/>
              <w:right w:val="single" w:sz="12" w:space="0" w:color="auto"/>
            </w:tcBorders>
            <w:shd w:val="clear" w:color="000000" w:fill="FFFFFF"/>
            <w:vAlign w:val="center"/>
          </w:tcPr>
          <w:p w14:paraId="64094B1B"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r>
      <w:tr w:rsidR="002961DC" w:rsidRPr="00A95729" w14:paraId="423840A3" w14:textId="77777777" w:rsidTr="00E56366">
        <w:trPr>
          <w:trHeight w:val="20"/>
          <w:jc w:val="center"/>
        </w:trPr>
        <w:tc>
          <w:tcPr>
            <w:tcW w:w="2411" w:type="dxa"/>
            <w:tcBorders>
              <w:top w:val="nil"/>
              <w:left w:val="single" w:sz="12" w:space="0" w:color="auto"/>
              <w:bottom w:val="nil"/>
              <w:right w:val="single" w:sz="12" w:space="0" w:color="auto"/>
            </w:tcBorders>
            <w:shd w:val="clear" w:color="000000" w:fill="FFFFFF"/>
            <w:noWrap/>
            <w:vAlign w:val="center"/>
          </w:tcPr>
          <w:p w14:paraId="53F3CC4C" w14:textId="77777777" w:rsidR="002961DC" w:rsidRPr="00A95729" w:rsidRDefault="002961DC" w:rsidP="00E56366">
            <w:pPr>
              <w:spacing w:after="0" w:line="240" w:lineRule="auto"/>
              <w:rPr>
                <w:rFonts w:eastAsia="Times New Roman"/>
                <w:color w:val="000000"/>
                <w:sz w:val="18"/>
                <w:szCs w:val="18"/>
              </w:rPr>
            </w:pPr>
            <w:r>
              <w:rPr>
                <w:rFonts w:eastAsia="Times New Roman"/>
                <w:color w:val="000000"/>
                <w:sz w:val="18"/>
                <w:szCs w:val="18"/>
              </w:rPr>
              <w:t>No Time</w:t>
            </w:r>
          </w:p>
        </w:tc>
        <w:tc>
          <w:tcPr>
            <w:tcW w:w="537" w:type="dxa"/>
            <w:tcBorders>
              <w:top w:val="nil"/>
              <w:left w:val="single" w:sz="12" w:space="0" w:color="auto"/>
              <w:bottom w:val="nil"/>
            </w:tcBorders>
            <w:shd w:val="clear" w:color="000000" w:fill="FFFFFF"/>
            <w:vAlign w:val="center"/>
          </w:tcPr>
          <w:p w14:paraId="4AF15C72" w14:textId="77777777" w:rsidR="002961DC" w:rsidRPr="00A95729" w:rsidRDefault="002961DC" w:rsidP="00E56366">
            <w:pPr>
              <w:spacing w:after="0" w:line="240" w:lineRule="auto"/>
              <w:jc w:val="center"/>
              <w:rPr>
                <w:rFonts w:eastAsia="Times New Roman"/>
                <w:color w:val="000000"/>
                <w:sz w:val="18"/>
                <w:szCs w:val="18"/>
              </w:rPr>
            </w:pPr>
            <w:r>
              <w:rPr>
                <w:rFonts w:eastAsia="Times New Roman"/>
                <w:color w:val="000000"/>
                <w:sz w:val="18"/>
                <w:szCs w:val="18"/>
              </w:rPr>
              <w:t>0.00</w:t>
            </w:r>
          </w:p>
        </w:tc>
        <w:tc>
          <w:tcPr>
            <w:tcW w:w="541" w:type="dxa"/>
            <w:tcBorders>
              <w:top w:val="nil"/>
              <w:left w:val="nil"/>
              <w:bottom w:val="nil"/>
              <w:right w:val="single" w:sz="12" w:space="0" w:color="auto"/>
            </w:tcBorders>
            <w:shd w:val="clear" w:color="000000" w:fill="FFFFFF"/>
            <w:vAlign w:val="center"/>
          </w:tcPr>
          <w:p w14:paraId="28745D47" w14:textId="77777777" w:rsidR="002961DC" w:rsidRPr="00A95729" w:rsidRDefault="002961DC" w:rsidP="00E56366">
            <w:pPr>
              <w:spacing w:after="0" w:line="240" w:lineRule="auto"/>
              <w:jc w:val="center"/>
              <w:rPr>
                <w:rFonts w:eastAsia="Times New Roman"/>
                <w:color w:val="000000"/>
                <w:sz w:val="18"/>
                <w:szCs w:val="18"/>
              </w:rPr>
            </w:pPr>
            <w:r>
              <w:rPr>
                <w:rFonts w:eastAsia="Times New Roman"/>
                <w:color w:val="000000"/>
                <w:sz w:val="18"/>
                <w:szCs w:val="18"/>
              </w:rPr>
              <w:t>--</w:t>
            </w:r>
            <w:r w:rsidRPr="00A95729">
              <w:rPr>
                <w:rFonts w:eastAsia="Times New Roman"/>
                <w:color w:val="000000"/>
                <w:sz w:val="18"/>
                <w:szCs w:val="18"/>
              </w:rPr>
              <w:t> </w:t>
            </w:r>
          </w:p>
        </w:tc>
        <w:tc>
          <w:tcPr>
            <w:tcW w:w="539" w:type="dxa"/>
            <w:tcBorders>
              <w:top w:val="nil"/>
              <w:left w:val="single" w:sz="12" w:space="0" w:color="auto"/>
              <w:bottom w:val="nil"/>
              <w:right w:val="nil"/>
            </w:tcBorders>
            <w:shd w:val="clear" w:color="000000" w:fill="FFFFFF"/>
            <w:noWrap/>
            <w:vAlign w:val="center"/>
          </w:tcPr>
          <w:p w14:paraId="132B3ACC" w14:textId="77777777" w:rsidR="002961DC" w:rsidRPr="00A95729" w:rsidRDefault="002961DC" w:rsidP="00E56366">
            <w:pPr>
              <w:spacing w:after="0" w:line="240" w:lineRule="auto"/>
              <w:jc w:val="center"/>
              <w:rPr>
                <w:color w:val="000000"/>
                <w:sz w:val="18"/>
                <w:szCs w:val="18"/>
              </w:rPr>
            </w:pPr>
            <w:r>
              <w:rPr>
                <w:rFonts w:eastAsia="Times New Roman"/>
                <w:color w:val="000000"/>
                <w:sz w:val="18"/>
                <w:szCs w:val="18"/>
              </w:rPr>
              <w:t>0.00</w:t>
            </w:r>
          </w:p>
        </w:tc>
        <w:tc>
          <w:tcPr>
            <w:tcW w:w="449" w:type="dxa"/>
            <w:tcBorders>
              <w:top w:val="nil"/>
              <w:left w:val="nil"/>
              <w:bottom w:val="nil"/>
              <w:right w:val="single" w:sz="4" w:space="0" w:color="auto"/>
            </w:tcBorders>
            <w:shd w:val="clear" w:color="000000" w:fill="FFFFFF"/>
            <w:noWrap/>
            <w:vAlign w:val="center"/>
          </w:tcPr>
          <w:p w14:paraId="7C7B5AF4" w14:textId="77777777" w:rsidR="002961DC" w:rsidRPr="00A95729" w:rsidRDefault="002961DC" w:rsidP="00E56366">
            <w:pPr>
              <w:spacing w:after="0" w:line="240" w:lineRule="auto"/>
              <w:jc w:val="center"/>
              <w:rPr>
                <w:color w:val="000000"/>
                <w:sz w:val="18"/>
                <w:szCs w:val="18"/>
              </w:rPr>
            </w:pPr>
            <w:r>
              <w:rPr>
                <w:rFonts w:eastAsia="Times New Roman"/>
                <w:color w:val="000000"/>
                <w:sz w:val="18"/>
                <w:szCs w:val="18"/>
              </w:rPr>
              <w:t>--</w:t>
            </w: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235D4159" w14:textId="77777777" w:rsidR="002961DC" w:rsidRPr="00A95729" w:rsidRDefault="002961DC" w:rsidP="00E56366">
            <w:pPr>
              <w:spacing w:after="0" w:line="240" w:lineRule="auto"/>
              <w:jc w:val="center"/>
              <w:rPr>
                <w:rFonts w:eastAsia="Times New Roman"/>
                <w:color w:val="000000"/>
                <w:sz w:val="18"/>
                <w:szCs w:val="18"/>
              </w:rPr>
            </w:pPr>
            <w:r>
              <w:rPr>
                <w:rFonts w:eastAsia="Times New Roman"/>
                <w:color w:val="000000"/>
                <w:sz w:val="18"/>
                <w:szCs w:val="18"/>
              </w:rPr>
              <w:t>0.00</w:t>
            </w:r>
          </w:p>
        </w:tc>
        <w:tc>
          <w:tcPr>
            <w:tcW w:w="450" w:type="dxa"/>
            <w:tcBorders>
              <w:top w:val="nil"/>
              <w:left w:val="nil"/>
              <w:bottom w:val="nil"/>
              <w:right w:val="single" w:sz="4" w:space="0" w:color="auto"/>
            </w:tcBorders>
            <w:shd w:val="clear" w:color="000000" w:fill="FFFFFF"/>
            <w:noWrap/>
            <w:vAlign w:val="center"/>
          </w:tcPr>
          <w:p w14:paraId="4BA0ACCD" w14:textId="77777777" w:rsidR="002961DC" w:rsidRPr="00A95729" w:rsidRDefault="002961DC" w:rsidP="00E56366">
            <w:pPr>
              <w:spacing w:after="0" w:line="240" w:lineRule="auto"/>
              <w:jc w:val="center"/>
              <w:rPr>
                <w:rFonts w:eastAsia="Times New Roman"/>
                <w:color w:val="000000"/>
                <w:sz w:val="18"/>
                <w:szCs w:val="18"/>
              </w:rPr>
            </w:pPr>
            <w:r>
              <w:rPr>
                <w:rFonts w:eastAsia="Times New Roman"/>
                <w:color w:val="000000"/>
                <w:sz w:val="18"/>
                <w:szCs w:val="18"/>
              </w:rPr>
              <w:t>--</w:t>
            </w: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6E121A86" w14:textId="77777777" w:rsidR="002961DC" w:rsidRPr="00A95729" w:rsidRDefault="002961DC" w:rsidP="00E56366">
            <w:pPr>
              <w:spacing w:after="0" w:line="240" w:lineRule="auto"/>
              <w:jc w:val="center"/>
              <w:rPr>
                <w:rFonts w:eastAsia="Times New Roman"/>
                <w:color w:val="000000"/>
                <w:sz w:val="18"/>
                <w:szCs w:val="18"/>
              </w:rPr>
            </w:pPr>
            <w:r>
              <w:rPr>
                <w:rFonts w:eastAsia="Times New Roman"/>
                <w:color w:val="000000"/>
                <w:sz w:val="18"/>
                <w:szCs w:val="18"/>
              </w:rPr>
              <w:t>0.00</w:t>
            </w:r>
          </w:p>
        </w:tc>
        <w:tc>
          <w:tcPr>
            <w:tcW w:w="450" w:type="dxa"/>
            <w:tcBorders>
              <w:top w:val="nil"/>
              <w:left w:val="nil"/>
              <w:bottom w:val="nil"/>
              <w:right w:val="single" w:sz="4" w:space="0" w:color="auto"/>
            </w:tcBorders>
            <w:shd w:val="clear" w:color="000000" w:fill="FFFFFF"/>
            <w:noWrap/>
            <w:vAlign w:val="center"/>
          </w:tcPr>
          <w:p w14:paraId="47906FA7" w14:textId="77777777" w:rsidR="002961DC" w:rsidRPr="00A95729" w:rsidRDefault="002961DC" w:rsidP="00E56366">
            <w:pPr>
              <w:spacing w:after="0" w:line="240" w:lineRule="auto"/>
              <w:jc w:val="center"/>
              <w:rPr>
                <w:rFonts w:eastAsia="Times New Roman"/>
                <w:color w:val="000000"/>
                <w:sz w:val="18"/>
                <w:szCs w:val="18"/>
              </w:rPr>
            </w:pPr>
            <w:r>
              <w:rPr>
                <w:rFonts w:eastAsia="Times New Roman"/>
                <w:color w:val="000000"/>
                <w:sz w:val="18"/>
                <w:szCs w:val="18"/>
              </w:rPr>
              <w:t>--</w:t>
            </w:r>
            <w:r w:rsidRPr="00A95729">
              <w:rPr>
                <w:rFonts w:eastAsia="Times New Roman"/>
                <w:color w:val="000000"/>
                <w:sz w:val="18"/>
                <w:szCs w:val="18"/>
              </w:rPr>
              <w:t> </w:t>
            </w:r>
          </w:p>
        </w:tc>
        <w:tc>
          <w:tcPr>
            <w:tcW w:w="548" w:type="dxa"/>
            <w:tcBorders>
              <w:top w:val="nil"/>
              <w:left w:val="nil"/>
              <w:bottom w:val="nil"/>
              <w:right w:val="nil"/>
            </w:tcBorders>
            <w:shd w:val="clear" w:color="000000" w:fill="FFFFFF"/>
            <w:noWrap/>
            <w:vAlign w:val="center"/>
          </w:tcPr>
          <w:p w14:paraId="0B1845F1" w14:textId="77777777" w:rsidR="002961DC" w:rsidRPr="00A95729" w:rsidRDefault="002961DC" w:rsidP="00E56366">
            <w:pPr>
              <w:spacing w:after="0" w:line="240" w:lineRule="auto"/>
              <w:jc w:val="center"/>
              <w:rPr>
                <w:rFonts w:eastAsia="Times New Roman"/>
                <w:color w:val="000000"/>
                <w:sz w:val="18"/>
                <w:szCs w:val="18"/>
              </w:rPr>
            </w:pPr>
            <w:r>
              <w:rPr>
                <w:rFonts w:eastAsia="Times New Roman"/>
                <w:color w:val="000000"/>
                <w:sz w:val="18"/>
                <w:szCs w:val="18"/>
              </w:rPr>
              <w:t>0.00</w:t>
            </w:r>
          </w:p>
        </w:tc>
        <w:tc>
          <w:tcPr>
            <w:tcW w:w="450" w:type="dxa"/>
            <w:tcBorders>
              <w:top w:val="nil"/>
              <w:left w:val="nil"/>
              <w:bottom w:val="nil"/>
              <w:right w:val="single" w:sz="4" w:space="0" w:color="auto"/>
            </w:tcBorders>
            <w:shd w:val="clear" w:color="000000" w:fill="FFFFFF"/>
            <w:noWrap/>
            <w:vAlign w:val="center"/>
          </w:tcPr>
          <w:p w14:paraId="3D3FF416" w14:textId="77777777" w:rsidR="002961DC" w:rsidRPr="00A95729" w:rsidRDefault="002961DC" w:rsidP="00E56366">
            <w:pPr>
              <w:spacing w:after="0" w:line="240" w:lineRule="auto"/>
              <w:jc w:val="center"/>
              <w:rPr>
                <w:rFonts w:eastAsia="Times New Roman"/>
                <w:color w:val="000000"/>
                <w:sz w:val="18"/>
                <w:szCs w:val="18"/>
              </w:rPr>
            </w:pPr>
            <w:r>
              <w:rPr>
                <w:rFonts w:eastAsia="Times New Roman"/>
                <w:color w:val="000000"/>
                <w:sz w:val="18"/>
                <w:szCs w:val="18"/>
              </w:rPr>
              <w:t>--</w:t>
            </w: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5983B90C" w14:textId="77777777" w:rsidR="002961DC" w:rsidRPr="00A95729" w:rsidRDefault="002961DC" w:rsidP="00E56366">
            <w:pPr>
              <w:spacing w:after="0" w:line="240" w:lineRule="auto"/>
              <w:jc w:val="center"/>
              <w:rPr>
                <w:rFonts w:eastAsia="Times New Roman"/>
                <w:color w:val="000000"/>
                <w:sz w:val="18"/>
                <w:szCs w:val="18"/>
              </w:rPr>
            </w:pPr>
            <w:r>
              <w:rPr>
                <w:rFonts w:eastAsia="Times New Roman"/>
                <w:color w:val="000000"/>
                <w:sz w:val="18"/>
                <w:szCs w:val="18"/>
              </w:rPr>
              <w:t>0.00</w:t>
            </w:r>
          </w:p>
        </w:tc>
        <w:tc>
          <w:tcPr>
            <w:tcW w:w="450" w:type="dxa"/>
            <w:tcBorders>
              <w:top w:val="nil"/>
              <w:left w:val="nil"/>
              <w:bottom w:val="nil"/>
              <w:right w:val="single" w:sz="4" w:space="0" w:color="auto"/>
            </w:tcBorders>
            <w:shd w:val="clear" w:color="000000" w:fill="FFFFFF"/>
            <w:noWrap/>
            <w:vAlign w:val="center"/>
          </w:tcPr>
          <w:p w14:paraId="2D5EDF05" w14:textId="77777777" w:rsidR="002961DC" w:rsidRPr="00A95729" w:rsidRDefault="002961DC" w:rsidP="00E56366">
            <w:pPr>
              <w:spacing w:after="0" w:line="240" w:lineRule="auto"/>
              <w:jc w:val="center"/>
              <w:rPr>
                <w:rFonts w:eastAsia="Times New Roman"/>
                <w:color w:val="000000"/>
                <w:sz w:val="18"/>
                <w:szCs w:val="18"/>
              </w:rPr>
            </w:pPr>
            <w:r>
              <w:rPr>
                <w:rFonts w:eastAsia="Times New Roman"/>
                <w:color w:val="000000"/>
                <w:sz w:val="18"/>
                <w:szCs w:val="18"/>
              </w:rPr>
              <w:t>--</w:t>
            </w: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2B9E9E9B" w14:textId="77777777" w:rsidR="002961DC" w:rsidRPr="00A95729" w:rsidRDefault="002961DC" w:rsidP="00E56366">
            <w:pPr>
              <w:spacing w:after="0" w:line="240" w:lineRule="auto"/>
              <w:jc w:val="center"/>
              <w:rPr>
                <w:rFonts w:eastAsia="Times New Roman"/>
                <w:color w:val="000000"/>
                <w:sz w:val="18"/>
                <w:szCs w:val="18"/>
              </w:rPr>
            </w:pPr>
            <w:r>
              <w:rPr>
                <w:rFonts w:eastAsia="Times New Roman"/>
                <w:color w:val="000000"/>
                <w:sz w:val="18"/>
                <w:szCs w:val="18"/>
              </w:rPr>
              <w:t>0.00</w:t>
            </w:r>
          </w:p>
        </w:tc>
        <w:tc>
          <w:tcPr>
            <w:tcW w:w="450" w:type="dxa"/>
            <w:tcBorders>
              <w:top w:val="nil"/>
              <w:left w:val="nil"/>
              <w:bottom w:val="nil"/>
              <w:right w:val="single" w:sz="4" w:space="0" w:color="auto"/>
            </w:tcBorders>
            <w:shd w:val="clear" w:color="000000" w:fill="FFFFFF"/>
            <w:noWrap/>
            <w:vAlign w:val="center"/>
          </w:tcPr>
          <w:p w14:paraId="7F376756" w14:textId="77777777" w:rsidR="002961DC" w:rsidRPr="00A95729" w:rsidRDefault="002961DC" w:rsidP="00E56366">
            <w:pPr>
              <w:spacing w:after="0" w:line="240" w:lineRule="auto"/>
              <w:jc w:val="center"/>
              <w:rPr>
                <w:rFonts w:eastAsia="Times New Roman"/>
                <w:color w:val="000000"/>
                <w:sz w:val="18"/>
                <w:szCs w:val="18"/>
              </w:rPr>
            </w:pPr>
            <w:r>
              <w:rPr>
                <w:rFonts w:eastAsia="Times New Roman"/>
                <w:color w:val="000000"/>
                <w:sz w:val="18"/>
                <w:szCs w:val="18"/>
              </w:rPr>
              <w:t>--</w:t>
            </w: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0B8455F1" w14:textId="77777777" w:rsidR="002961DC" w:rsidRPr="00A95729" w:rsidRDefault="002961DC" w:rsidP="00E56366">
            <w:pPr>
              <w:spacing w:after="0" w:line="240" w:lineRule="auto"/>
              <w:jc w:val="center"/>
              <w:rPr>
                <w:rFonts w:eastAsia="Times New Roman"/>
                <w:color w:val="000000"/>
                <w:sz w:val="18"/>
                <w:szCs w:val="18"/>
              </w:rPr>
            </w:pPr>
            <w:r>
              <w:rPr>
                <w:rFonts w:eastAsia="Times New Roman"/>
                <w:color w:val="000000"/>
                <w:sz w:val="18"/>
                <w:szCs w:val="18"/>
              </w:rPr>
              <w:t>1.00</w:t>
            </w:r>
          </w:p>
        </w:tc>
        <w:tc>
          <w:tcPr>
            <w:tcW w:w="454" w:type="dxa"/>
            <w:tcBorders>
              <w:top w:val="nil"/>
              <w:left w:val="nil"/>
              <w:bottom w:val="nil"/>
              <w:right w:val="single" w:sz="4" w:space="0" w:color="auto"/>
            </w:tcBorders>
            <w:shd w:val="clear" w:color="000000" w:fill="FFFFFF"/>
            <w:noWrap/>
            <w:vAlign w:val="center"/>
          </w:tcPr>
          <w:p w14:paraId="6EE1B03A" w14:textId="77777777" w:rsidR="002961DC" w:rsidRPr="00A95729" w:rsidRDefault="002961DC" w:rsidP="00E56366">
            <w:pPr>
              <w:spacing w:after="0" w:line="240" w:lineRule="auto"/>
              <w:jc w:val="center"/>
              <w:rPr>
                <w:rFonts w:eastAsia="Times New Roman"/>
                <w:color w:val="000000"/>
                <w:sz w:val="18"/>
                <w:szCs w:val="18"/>
              </w:rPr>
            </w:pPr>
            <w:r>
              <w:rPr>
                <w:rFonts w:eastAsia="Times New Roman"/>
                <w:color w:val="000000"/>
                <w:sz w:val="18"/>
                <w:szCs w:val="18"/>
              </w:rPr>
              <w:t>--</w:t>
            </w: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63328B51"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456" w:type="dxa"/>
            <w:tcBorders>
              <w:top w:val="nil"/>
              <w:left w:val="nil"/>
              <w:bottom w:val="nil"/>
              <w:right w:val="single" w:sz="12" w:space="0" w:color="auto"/>
            </w:tcBorders>
            <w:shd w:val="clear" w:color="000000" w:fill="FFFFFF"/>
            <w:noWrap/>
            <w:vAlign w:val="center"/>
          </w:tcPr>
          <w:p w14:paraId="25179225"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540" w:type="dxa"/>
            <w:tcBorders>
              <w:top w:val="nil"/>
              <w:left w:val="nil"/>
              <w:bottom w:val="nil"/>
              <w:right w:val="nil"/>
            </w:tcBorders>
            <w:shd w:val="clear" w:color="000000" w:fill="FFFFFF"/>
            <w:vAlign w:val="center"/>
          </w:tcPr>
          <w:p w14:paraId="144E689D"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540" w:type="dxa"/>
            <w:tcBorders>
              <w:top w:val="nil"/>
              <w:left w:val="nil"/>
              <w:bottom w:val="nil"/>
              <w:right w:val="single" w:sz="12" w:space="0" w:color="auto"/>
            </w:tcBorders>
            <w:shd w:val="clear" w:color="000000" w:fill="FFFFFF"/>
            <w:vAlign w:val="center"/>
          </w:tcPr>
          <w:p w14:paraId="1F101A57"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630" w:type="dxa"/>
            <w:tcBorders>
              <w:top w:val="nil"/>
              <w:left w:val="single" w:sz="12" w:space="0" w:color="auto"/>
              <w:bottom w:val="nil"/>
              <w:right w:val="nil"/>
            </w:tcBorders>
            <w:shd w:val="clear" w:color="000000" w:fill="FFFFFF"/>
            <w:vAlign w:val="center"/>
          </w:tcPr>
          <w:p w14:paraId="47CF4423"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542" w:type="dxa"/>
            <w:tcBorders>
              <w:top w:val="nil"/>
              <w:left w:val="nil"/>
              <w:bottom w:val="nil"/>
              <w:right w:val="single" w:sz="12" w:space="0" w:color="auto"/>
            </w:tcBorders>
            <w:shd w:val="clear" w:color="000000" w:fill="FFFFFF"/>
            <w:vAlign w:val="center"/>
          </w:tcPr>
          <w:p w14:paraId="7575C5F5"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r>
      <w:tr w:rsidR="002961DC" w:rsidRPr="00A95729" w14:paraId="23038141" w14:textId="77777777" w:rsidTr="00E56366">
        <w:trPr>
          <w:trHeight w:val="20"/>
          <w:jc w:val="center"/>
        </w:trPr>
        <w:tc>
          <w:tcPr>
            <w:tcW w:w="2411" w:type="dxa"/>
            <w:tcBorders>
              <w:top w:val="nil"/>
              <w:left w:val="single" w:sz="12" w:space="0" w:color="auto"/>
              <w:bottom w:val="nil"/>
              <w:right w:val="single" w:sz="12" w:space="0" w:color="auto"/>
            </w:tcBorders>
            <w:shd w:val="clear" w:color="000000" w:fill="FFFFFF"/>
            <w:noWrap/>
            <w:vAlign w:val="center"/>
          </w:tcPr>
          <w:p w14:paraId="03149824" w14:textId="77777777" w:rsidR="002961DC" w:rsidRPr="00A95729" w:rsidRDefault="002961DC" w:rsidP="00E56366">
            <w:pPr>
              <w:spacing w:after="0" w:line="240" w:lineRule="auto"/>
              <w:rPr>
                <w:rFonts w:eastAsia="Times New Roman"/>
                <w:color w:val="000000"/>
                <w:sz w:val="18"/>
                <w:szCs w:val="18"/>
              </w:rPr>
            </w:pPr>
            <w:r w:rsidRPr="00A95729">
              <w:rPr>
                <w:rFonts w:eastAsia="Times New Roman"/>
                <w:color w:val="000000"/>
                <w:sz w:val="18"/>
                <w:szCs w:val="18"/>
              </w:rPr>
              <w:t>COVID</w:t>
            </w:r>
            <w:r>
              <w:rPr>
                <w:rFonts w:eastAsia="Times New Roman"/>
                <w:color w:val="000000"/>
                <w:sz w:val="18"/>
                <w:szCs w:val="18"/>
              </w:rPr>
              <w:t xml:space="preserve"> Concerns</w:t>
            </w:r>
          </w:p>
        </w:tc>
        <w:tc>
          <w:tcPr>
            <w:tcW w:w="537" w:type="dxa"/>
            <w:tcBorders>
              <w:top w:val="nil"/>
              <w:left w:val="single" w:sz="12" w:space="0" w:color="auto"/>
              <w:bottom w:val="nil"/>
            </w:tcBorders>
            <w:shd w:val="clear" w:color="000000" w:fill="FFFFFF"/>
            <w:vAlign w:val="center"/>
          </w:tcPr>
          <w:p w14:paraId="481D5845" w14:textId="77777777" w:rsidR="002961DC" w:rsidRPr="00A95729" w:rsidRDefault="002961DC" w:rsidP="00E56366">
            <w:pPr>
              <w:spacing w:after="0" w:line="240" w:lineRule="auto"/>
              <w:jc w:val="center"/>
              <w:rPr>
                <w:color w:val="000000"/>
                <w:sz w:val="18"/>
                <w:szCs w:val="18"/>
              </w:rPr>
            </w:pPr>
            <w:r>
              <w:rPr>
                <w:rFonts w:eastAsia="Times New Roman"/>
                <w:color w:val="000000"/>
                <w:sz w:val="18"/>
                <w:szCs w:val="18"/>
              </w:rPr>
              <w:t>0.00</w:t>
            </w:r>
          </w:p>
        </w:tc>
        <w:tc>
          <w:tcPr>
            <w:tcW w:w="541" w:type="dxa"/>
            <w:tcBorders>
              <w:top w:val="nil"/>
              <w:left w:val="nil"/>
              <w:bottom w:val="nil"/>
              <w:right w:val="single" w:sz="12" w:space="0" w:color="auto"/>
            </w:tcBorders>
            <w:shd w:val="clear" w:color="000000" w:fill="FFFFFF"/>
            <w:vAlign w:val="center"/>
          </w:tcPr>
          <w:p w14:paraId="28D03BF1" w14:textId="77777777" w:rsidR="002961DC" w:rsidRPr="00A95729" w:rsidRDefault="002961DC" w:rsidP="00E56366">
            <w:pPr>
              <w:spacing w:after="0" w:line="240" w:lineRule="auto"/>
              <w:jc w:val="center"/>
              <w:rPr>
                <w:color w:val="000000"/>
                <w:sz w:val="18"/>
                <w:szCs w:val="18"/>
              </w:rPr>
            </w:pPr>
            <w:r>
              <w:rPr>
                <w:rFonts w:eastAsia="Times New Roman"/>
                <w:color w:val="000000"/>
                <w:sz w:val="18"/>
                <w:szCs w:val="18"/>
              </w:rPr>
              <w:t>--</w:t>
            </w:r>
            <w:r w:rsidRPr="00A95729">
              <w:rPr>
                <w:rFonts w:eastAsia="Times New Roman"/>
                <w:color w:val="000000"/>
                <w:sz w:val="18"/>
                <w:szCs w:val="18"/>
              </w:rPr>
              <w:t> </w:t>
            </w:r>
          </w:p>
        </w:tc>
        <w:tc>
          <w:tcPr>
            <w:tcW w:w="539" w:type="dxa"/>
            <w:tcBorders>
              <w:top w:val="nil"/>
              <w:left w:val="single" w:sz="12" w:space="0" w:color="auto"/>
              <w:bottom w:val="nil"/>
              <w:right w:val="nil"/>
            </w:tcBorders>
            <w:shd w:val="clear" w:color="000000" w:fill="FFFFFF"/>
            <w:noWrap/>
            <w:vAlign w:val="bottom"/>
          </w:tcPr>
          <w:p w14:paraId="5798541B"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0.17</w:t>
            </w:r>
          </w:p>
        </w:tc>
        <w:tc>
          <w:tcPr>
            <w:tcW w:w="449" w:type="dxa"/>
            <w:tcBorders>
              <w:top w:val="nil"/>
              <w:left w:val="nil"/>
              <w:bottom w:val="nil"/>
              <w:right w:val="single" w:sz="4" w:space="0" w:color="auto"/>
            </w:tcBorders>
            <w:shd w:val="clear" w:color="000000" w:fill="FFFFFF"/>
            <w:noWrap/>
            <w:vAlign w:val="bottom"/>
          </w:tcPr>
          <w:p w14:paraId="09DF7B8F"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1.42</w:t>
            </w:r>
          </w:p>
        </w:tc>
        <w:tc>
          <w:tcPr>
            <w:tcW w:w="540" w:type="dxa"/>
            <w:tcBorders>
              <w:top w:val="nil"/>
              <w:left w:val="nil"/>
              <w:bottom w:val="nil"/>
              <w:right w:val="nil"/>
            </w:tcBorders>
            <w:shd w:val="clear" w:color="000000" w:fill="FFFFFF"/>
            <w:noWrap/>
            <w:vAlign w:val="bottom"/>
          </w:tcPr>
          <w:p w14:paraId="5D93D811"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0.38</w:t>
            </w:r>
          </w:p>
        </w:tc>
        <w:tc>
          <w:tcPr>
            <w:tcW w:w="450" w:type="dxa"/>
            <w:tcBorders>
              <w:top w:val="nil"/>
              <w:left w:val="nil"/>
              <w:bottom w:val="nil"/>
              <w:right w:val="single" w:sz="4" w:space="0" w:color="auto"/>
            </w:tcBorders>
            <w:shd w:val="clear" w:color="000000" w:fill="FFFFFF"/>
            <w:noWrap/>
            <w:vAlign w:val="bottom"/>
          </w:tcPr>
          <w:p w14:paraId="0BD4EA15"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2.24</w:t>
            </w:r>
          </w:p>
        </w:tc>
        <w:tc>
          <w:tcPr>
            <w:tcW w:w="540" w:type="dxa"/>
            <w:tcBorders>
              <w:top w:val="nil"/>
              <w:left w:val="nil"/>
              <w:bottom w:val="nil"/>
              <w:right w:val="nil"/>
            </w:tcBorders>
            <w:shd w:val="clear" w:color="000000" w:fill="FFFFFF"/>
            <w:noWrap/>
            <w:vAlign w:val="center"/>
          </w:tcPr>
          <w:p w14:paraId="0224DC4F" w14:textId="77777777" w:rsidR="002961DC" w:rsidRPr="00A95729" w:rsidRDefault="002961DC" w:rsidP="00E56366">
            <w:pPr>
              <w:spacing w:after="0" w:line="240" w:lineRule="auto"/>
              <w:jc w:val="center"/>
              <w:rPr>
                <w:rFonts w:eastAsia="Times New Roman"/>
                <w:color w:val="000000"/>
                <w:sz w:val="18"/>
                <w:szCs w:val="18"/>
              </w:rPr>
            </w:pPr>
            <w:r>
              <w:rPr>
                <w:rFonts w:eastAsia="Times New Roman"/>
                <w:color w:val="000000"/>
                <w:sz w:val="18"/>
                <w:szCs w:val="18"/>
              </w:rPr>
              <w:t>0.00</w:t>
            </w:r>
          </w:p>
        </w:tc>
        <w:tc>
          <w:tcPr>
            <w:tcW w:w="450" w:type="dxa"/>
            <w:tcBorders>
              <w:top w:val="nil"/>
              <w:left w:val="nil"/>
              <w:bottom w:val="nil"/>
              <w:right w:val="single" w:sz="4" w:space="0" w:color="auto"/>
            </w:tcBorders>
            <w:shd w:val="clear" w:color="000000" w:fill="FFFFFF"/>
            <w:noWrap/>
            <w:vAlign w:val="center"/>
          </w:tcPr>
          <w:p w14:paraId="5B246A69" w14:textId="77777777" w:rsidR="002961DC" w:rsidRPr="00A95729" w:rsidRDefault="002961DC" w:rsidP="00E56366">
            <w:pPr>
              <w:spacing w:after="0" w:line="240" w:lineRule="auto"/>
              <w:jc w:val="center"/>
              <w:rPr>
                <w:rFonts w:eastAsia="Times New Roman"/>
                <w:color w:val="000000"/>
                <w:sz w:val="18"/>
                <w:szCs w:val="18"/>
              </w:rPr>
            </w:pPr>
            <w:r>
              <w:rPr>
                <w:rFonts w:eastAsia="Times New Roman"/>
                <w:color w:val="000000"/>
                <w:sz w:val="18"/>
                <w:szCs w:val="18"/>
              </w:rPr>
              <w:t>--</w:t>
            </w:r>
            <w:r w:rsidRPr="00A95729">
              <w:rPr>
                <w:rFonts w:eastAsia="Times New Roman"/>
                <w:color w:val="000000"/>
                <w:sz w:val="18"/>
                <w:szCs w:val="18"/>
              </w:rPr>
              <w:t> </w:t>
            </w:r>
          </w:p>
        </w:tc>
        <w:tc>
          <w:tcPr>
            <w:tcW w:w="548" w:type="dxa"/>
            <w:tcBorders>
              <w:top w:val="nil"/>
              <w:left w:val="nil"/>
              <w:bottom w:val="nil"/>
              <w:right w:val="nil"/>
            </w:tcBorders>
            <w:shd w:val="clear" w:color="000000" w:fill="FFFFFF"/>
            <w:noWrap/>
            <w:vAlign w:val="center"/>
          </w:tcPr>
          <w:p w14:paraId="1F132254" w14:textId="77777777" w:rsidR="002961DC" w:rsidRPr="00A95729" w:rsidRDefault="002961DC" w:rsidP="00E56366">
            <w:pPr>
              <w:spacing w:after="0" w:line="240" w:lineRule="auto"/>
              <w:jc w:val="center"/>
              <w:rPr>
                <w:color w:val="000000"/>
                <w:sz w:val="18"/>
                <w:szCs w:val="18"/>
              </w:rPr>
            </w:pPr>
            <w:r>
              <w:rPr>
                <w:rFonts w:eastAsia="Times New Roman"/>
                <w:color w:val="000000"/>
                <w:sz w:val="18"/>
                <w:szCs w:val="18"/>
              </w:rPr>
              <w:t>0.00</w:t>
            </w:r>
          </w:p>
        </w:tc>
        <w:tc>
          <w:tcPr>
            <w:tcW w:w="450" w:type="dxa"/>
            <w:tcBorders>
              <w:top w:val="nil"/>
              <w:left w:val="nil"/>
              <w:bottom w:val="nil"/>
              <w:right w:val="single" w:sz="4" w:space="0" w:color="auto"/>
            </w:tcBorders>
            <w:shd w:val="clear" w:color="000000" w:fill="FFFFFF"/>
            <w:noWrap/>
            <w:vAlign w:val="center"/>
          </w:tcPr>
          <w:p w14:paraId="3C18B560" w14:textId="77777777" w:rsidR="002961DC" w:rsidRPr="00A95729" w:rsidRDefault="002961DC" w:rsidP="00E56366">
            <w:pPr>
              <w:spacing w:after="0" w:line="240" w:lineRule="auto"/>
              <w:jc w:val="center"/>
              <w:rPr>
                <w:color w:val="000000"/>
                <w:sz w:val="18"/>
                <w:szCs w:val="18"/>
              </w:rPr>
            </w:pPr>
            <w:r>
              <w:rPr>
                <w:rFonts w:eastAsia="Times New Roman"/>
                <w:color w:val="000000"/>
                <w:sz w:val="18"/>
                <w:szCs w:val="18"/>
              </w:rPr>
              <w:t>--</w:t>
            </w: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1AF2FAF2" w14:textId="77777777" w:rsidR="002961DC" w:rsidRPr="00A95729" w:rsidRDefault="002961DC" w:rsidP="00E56366">
            <w:pPr>
              <w:spacing w:after="0" w:line="240" w:lineRule="auto"/>
              <w:jc w:val="center"/>
              <w:rPr>
                <w:rFonts w:eastAsia="Times New Roman"/>
                <w:color w:val="000000"/>
                <w:sz w:val="18"/>
                <w:szCs w:val="18"/>
              </w:rPr>
            </w:pPr>
            <w:r>
              <w:rPr>
                <w:rFonts w:eastAsia="Times New Roman"/>
                <w:color w:val="000000"/>
                <w:sz w:val="18"/>
                <w:szCs w:val="18"/>
              </w:rPr>
              <w:t>0.00</w:t>
            </w:r>
          </w:p>
        </w:tc>
        <w:tc>
          <w:tcPr>
            <w:tcW w:w="450" w:type="dxa"/>
            <w:tcBorders>
              <w:top w:val="nil"/>
              <w:left w:val="nil"/>
              <w:bottom w:val="nil"/>
              <w:right w:val="single" w:sz="4" w:space="0" w:color="auto"/>
            </w:tcBorders>
            <w:shd w:val="clear" w:color="000000" w:fill="FFFFFF"/>
            <w:noWrap/>
            <w:vAlign w:val="center"/>
          </w:tcPr>
          <w:p w14:paraId="7691CBEF" w14:textId="77777777" w:rsidR="002961DC" w:rsidRPr="00A95729" w:rsidRDefault="002961DC" w:rsidP="00E56366">
            <w:pPr>
              <w:spacing w:after="0" w:line="240" w:lineRule="auto"/>
              <w:jc w:val="center"/>
              <w:rPr>
                <w:rFonts w:eastAsia="Times New Roman"/>
                <w:color w:val="000000"/>
                <w:sz w:val="18"/>
                <w:szCs w:val="18"/>
              </w:rPr>
            </w:pPr>
            <w:r>
              <w:rPr>
                <w:rFonts w:eastAsia="Times New Roman"/>
                <w:color w:val="000000"/>
                <w:sz w:val="18"/>
                <w:szCs w:val="18"/>
              </w:rPr>
              <w:t>--</w:t>
            </w: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center"/>
          </w:tcPr>
          <w:p w14:paraId="52498E9A" w14:textId="77777777" w:rsidR="002961DC" w:rsidRPr="00A95729" w:rsidRDefault="002961DC" w:rsidP="00E56366">
            <w:pPr>
              <w:spacing w:after="0" w:line="240" w:lineRule="auto"/>
              <w:jc w:val="center"/>
              <w:rPr>
                <w:rFonts w:eastAsia="Times New Roman"/>
                <w:color w:val="000000"/>
                <w:sz w:val="18"/>
                <w:szCs w:val="18"/>
              </w:rPr>
            </w:pPr>
            <w:r>
              <w:rPr>
                <w:rFonts w:eastAsia="Times New Roman"/>
                <w:color w:val="000000"/>
                <w:sz w:val="18"/>
                <w:szCs w:val="18"/>
              </w:rPr>
              <w:t>0.00</w:t>
            </w:r>
          </w:p>
        </w:tc>
        <w:tc>
          <w:tcPr>
            <w:tcW w:w="450" w:type="dxa"/>
            <w:tcBorders>
              <w:top w:val="nil"/>
              <w:left w:val="nil"/>
              <w:bottom w:val="nil"/>
              <w:right w:val="single" w:sz="4" w:space="0" w:color="auto"/>
            </w:tcBorders>
            <w:shd w:val="clear" w:color="000000" w:fill="FFFFFF"/>
            <w:noWrap/>
            <w:vAlign w:val="center"/>
          </w:tcPr>
          <w:p w14:paraId="6AF090AB" w14:textId="77777777" w:rsidR="002961DC" w:rsidRPr="00A95729" w:rsidRDefault="002961DC" w:rsidP="00E56366">
            <w:pPr>
              <w:spacing w:after="0" w:line="240" w:lineRule="auto"/>
              <w:jc w:val="center"/>
              <w:rPr>
                <w:rFonts w:eastAsia="Times New Roman"/>
                <w:color w:val="000000"/>
                <w:sz w:val="18"/>
                <w:szCs w:val="18"/>
              </w:rPr>
            </w:pPr>
            <w:r>
              <w:rPr>
                <w:rFonts w:eastAsia="Times New Roman"/>
                <w:color w:val="000000"/>
                <w:sz w:val="18"/>
                <w:szCs w:val="18"/>
              </w:rPr>
              <w:t>--</w:t>
            </w:r>
            <w:r w:rsidRPr="00A95729">
              <w:rPr>
                <w:rFonts w:eastAsia="Times New Roman"/>
                <w:color w:val="000000"/>
                <w:sz w:val="18"/>
                <w:szCs w:val="18"/>
              </w:rPr>
              <w:t> </w:t>
            </w:r>
          </w:p>
        </w:tc>
        <w:tc>
          <w:tcPr>
            <w:tcW w:w="540" w:type="dxa"/>
            <w:tcBorders>
              <w:top w:val="nil"/>
              <w:left w:val="nil"/>
              <w:bottom w:val="nil"/>
              <w:right w:val="nil"/>
            </w:tcBorders>
            <w:shd w:val="clear" w:color="000000" w:fill="FFFFFF"/>
            <w:noWrap/>
            <w:vAlign w:val="bottom"/>
          </w:tcPr>
          <w:p w14:paraId="29EAF173" w14:textId="77777777" w:rsidR="002961DC" w:rsidRPr="00A95729" w:rsidRDefault="002961DC" w:rsidP="00E56366">
            <w:pPr>
              <w:spacing w:after="0" w:line="240" w:lineRule="auto"/>
              <w:jc w:val="center"/>
              <w:rPr>
                <w:color w:val="000000"/>
                <w:sz w:val="18"/>
                <w:szCs w:val="18"/>
              </w:rPr>
            </w:pPr>
            <w:r w:rsidRPr="00A95729">
              <w:rPr>
                <w:color w:val="000000"/>
                <w:sz w:val="18"/>
                <w:szCs w:val="18"/>
              </w:rPr>
              <w:t>-0.24</w:t>
            </w:r>
          </w:p>
        </w:tc>
        <w:tc>
          <w:tcPr>
            <w:tcW w:w="454" w:type="dxa"/>
            <w:tcBorders>
              <w:top w:val="nil"/>
              <w:left w:val="nil"/>
              <w:bottom w:val="nil"/>
              <w:right w:val="single" w:sz="4" w:space="0" w:color="auto"/>
            </w:tcBorders>
            <w:shd w:val="clear" w:color="000000" w:fill="FFFFFF"/>
            <w:noWrap/>
            <w:vAlign w:val="bottom"/>
          </w:tcPr>
          <w:p w14:paraId="353D9009" w14:textId="77777777" w:rsidR="002961DC" w:rsidRPr="00A95729" w:rsidRDefault="002961DC" w:rsidP="00E56366">
            <w:pPr>
              <w:spacing w:after="0" w:line="240" w:lineRule="auto"/>
              <w:jc w:val="center"/>
              <w:rPr>
                <w:color w:val="000000"/>
                <w:sz w:val="18"/>
                <w:szCs w:val="18"/>
              </w:rPr>
            </w:pPr>
            <w:r w:rsidRPr="00A95729">
              <w:rPr>
                <w:color w:val="000000"/>
                <w:sz w:val="18"/>
                <w:szCs w:val="18"/>
              </w:rPr>
              <w:t>-1.61</w:t>
            </w:r>
          </w:p>
        </w:tc>
        <w:tc>
          <w:tcPr>
            <w:tcW w:w="540" w:type="dxa"/>
            <w:tcBorders>
              <w:top w:val="nil"/>
              <w:left w:val="nil"/>
              <w:bottom w:val="nil"/>
              <w:right w:val="nil"/>
            </w:tcBorders>
            <w:shd w:val="clear" w:color="000000" w:fill="FFFFFF"/>
            <w:noWrap/>
            <w:vAlign w:val="center"/>
          </w:tcPr>
          <w:p w14:paraId="15CB7925" w14:textId="77777777" w:rsidR="002961DC" w:rsidRPr="00A95729" w:rsidRDefault="002961DC" w:rsidP="00E56366">
            <w:pPr>
              <w:spacing w:after="0" w:line="240" w:lineRule="auto"/>
              <w:jc w:val="center"/>
              <w:rPr>
                <w:rFonts w:eastAsia="Times New Roman"/>
                <w:color w:val="000000"/>
                <w:sz w:val="18"/>
                <w:szCs w:val="18"/>
              </w:rPr>
            </w:pPr>
            <w:r>
              <w:rPr>
                <w:rFonts w:eastAsia="Times New Roman"/>
                <w:color w:val="000000"/>
                <w:sz w:val="18"/>
                <w:szCs w:val="18"/>
              </w:rPr>
              <w:t>1.00</w:t>
            </w:r>
          </w:p>
        </w:tc>
        <w:tc>
          <w:tcPr>
            <w:tcW w:w="456" w:type="dxa"/>
            <w:tcBorders>
              <w:top w:val="nil"/>
              <w:left w:val="nil"/>
              <w:bottom w:val="nil"/>
              <w:right w:val="single" w:sz="12" w:space="0" w:color="auto"/>
            </w:tcBorders>
            <w:shd w:val="clear" w:color="000000" w:fill="FFFFFF"/>
            <w:noWrap/>
            <w:vAlign w:val="center"/>
          </w:tcPr>
          <w:p w14:paraId="39F34C0B" w14:textId="77777777" w:rsidR="002961DC" w:rsidRPr="00A95729" w:rsidRDefault="002961DC" w:rsidP="00E56366">
            <w:pPr>
              <w:spacing w:after="0" w:line="240" w:lineRule="auto"/>
              <w:jc w:val="center"/>
              <w:rPr>
                <w:rFonts w:eastAsia="Times New Roman"/>
                <w:color w:val="000000"/>
                <w:sz w:val="18"/>
                <w:szCs w:val="18"/>
              </w:rPr>
            </w:pPr>
            <w:r>
              <w:rPr>
                <w:rFonts w:eastAsia="Times New Roman"/>
                <w:color w:val="000000"/>
                <w:sz w:val="18"/>
                <w:szCs w:val="18"/>
              </w:rPr>
              <w:t>--</w:t>
            </w:r>
            <w:r w:rsidRPr="00A95729">
              <w:rPr>
                <w:rFonts w:eastAsia="Times New Roman"/>
                <w:color w:val="000000"/>
                <w:sz w:val="18"/>
                <w:szCs w:val="18"/>
              </w:rPr>
              <w:t> </w:t>
            </w:r>
          </w:p>
        </w:tc>
        <w:tc>
          <w:tcPr>
            <w:tcW w:w="540" w:type="dxa"/>
            <w:tcBorders>
              <w:top w:val="nil"/>
              <w:left w:val="nil"/>
              <w:bottom w:val="nil"/>
              <w:right w:val="nil"/>
            </w:tcBorders>
            <w:shd w:val="clear" w:color="000000" w:fill="FFFFFF"/>
            <w:vAlign w:val="center"/>
          </w:tcPr>
          <w:p w14:paraId="45B92666"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540" w:type="dxa"/>
            <w:tcBorders>
              <w:top w:val="nil"/>
              <w:left w:val="nil"/>
              <w:bottom w:val="nil"/>
              <w:right w:val="single" w:sz="12" w:space="0" w:color="auto"/>
            </w:tcBorders>
            <w:shd w:val="clear" w:color="000000" w:fill="FFFFFF"/>
            <w:vAlign w:val="center"/>
          </w:tcPr>
          <w:p w14:paraId="6B03002D"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c>
          <w:tcPr>
            <w:tcW w:w="630" w:type="dxa"/>
            <w:tcBorders>
              <w:top w:val="nil"/>
              <w:left w:val="single" w:sz="12" w:space="0" w:color="auto"/>
              <w:bottom w:val="nil"/>
              <w:right w:val="nil"/>
            </w:tcBorders>
            <w:shd w:val="clear" w:color="000000" w:fill="FFFFFF"/>
            <w:vAlign w:val="center"/>
          </w:tcPr>
          <w:p w14:paraId="6D2AB87A"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542" w:type="dxa"/>
            <w:tcBorders>
              <w:top w:val="nil"/>
              <w:left w:val="nil"/>
              <w:bottom w:val="nil"/>
              <w:right w:val="single" w:sz="12" w:space="0" w:color="auto"/>
            </w:tcBorders>
            <w:shd w:val="clear" w:color="000000" w:fill="FFFFFF"/>
            <w:vAlign w:val="center"/>
          </w:tcPr>
          <w:p w14:paraId="1AF42386"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r>
      <w:tr w:rsidR="002961DC" w:rsidRPr="00A95729" w14:paraId="3FB07DB9" w14:textId="77777777" w:rsidTr="002961DC">
        <w:trPr>
          <w:trHeight w:val="20"/>
          <w:jc w:val="center"/>
        </w:trPr>
        <w:tc>
          <w:tcPr>
            <w:tcW w:w="2411" w:type="dxa"/>
            <w:tcBorders>
              <w:top w:val="nil"/>
              <w:left w:val="single" w:sz="12" w:space="0" w:color="auto"/>
              <w:right w:val="single" w:sz="12" w:space="0" w:color="auto"/>
            </w:tcBorders>
            <w:shd w:val="clear" w:color="000000" w:fill="FFFFFF"/>
            <w:noWrap/>
            <w:vAlign w:val="center"/>
          </w:tcPr>
          <w:p w14:paraId="58826F95" w14:textId="77777777" w:rsidR="002961DC" w:rsidRPr="00A95729" w:rsidRDefault="002961DC" w:rsidP="00E56366">
            <w:pPr>
              <w:spacing w:after="0" w:line="240" w:lineRule="auto"/>
              <w:rPr>
                <w:rFonts w:eastAsia="Times New Roman"/>
                <w:color w:val="000000"/>
                <w:sz w:val="18"/>
                <w:szCs w:val="18"/>
              </w:rPr>
            </w:pPr>
            <w:r w:rsidRPr="00A95729">
              <w:rPr>
                <w:rFonts w:eastAsia="Times New Roman"/>
                <w:color w:val="000000"/>
                <w:sz w:val="18"/>
                <w:szCs w:val="18"/>
              </w:rPr>
              <w:t>Telework</w:t>
            </w:r>
          </w:p>
        </w:tc>
        <w:tc>
          <w:tcPr>
            <w:tcW w:w="537" w:type="dxa"/>
            <w:tcBorders>
              <w:top w:val="nil"/>
              <w:left w:val="single" w:sz="12" w:space="0" w:color="auto"/>
            </w:tcBorders>
            <w:shd w:val="clear" w:color="000000" w:fill="FFFFFF"/>
            <w:vAlign w:val="bottom"/>
          </w:tcPr>
          <w:p w14:paraId="1EFF8039" w14:textId="77777777" w:rsidR="002961DC" w:rsidRPr="00A95729" w:rsidRDefault="002961DC" w:rsidP="00E56366">
            <w:pPr>
              <w:spacing w:after="0" w:line="240" w:lineRule="auto"/>
              <w:jc w:val="center"/>
              <w:rPr>
                <w:color w:val="000000"/>
                <w:sz w:val="18"/>
                <w:szCs w:val="18"/>
              </w:rPr>
            </w:pPr>
            <w:r w:rsidRPr="00A95729">
              <w:rPr>
                <w:color w:val="000000"/>
                <w:sz w:val="18"/>
                <w:szCs w:val="18"/>
              </w:rPr>
              <w:t>0.26</w:t>
            </w:r>
          </w:p>
        </w:tc>
        <w:tc>
          <w:tcPr>
            <w:tcW w:w="541" w:type="dxa"/>
            <w:tcBorders>
              <w:top w:val="nil"/>
              <w:left w:val="nil"/>
              <w:right w:val="single" w:sz="12" w:space="0" w:color="auto"/>
            </w:tcBorders>
            <w:shd w:val="clear" w:color="000000" w:fill="FFFFFF"/>
            <w:vAlign w:val="bottom"/>
          </w:tcPr>
          <w:p w14:paraId="4AE6BD0F" w14:textId="77777777" w:rsidR="002961DC" w:rsidRPr="00A95729" w:rsidRDefault="002961DC" w:rsidP="00E56366">
            <w:pPr>
              <w:spacing w:after="0" w:line="240" w:lineRule="auto"/>
              <w:jc w:val="center"/>
              <w:rPr>
                <w:color w:val="000000"/>
                <w:sz w:val="18"/>
                <w:szCs w:val="18"/>
              </w:rPr>
            </w:pPr>
            <w:r w:rsidRPr="00A95729">
              <w:rPr>
                <w:color w:val="000000"/>
                <w:sz w:val="18"/>
                <w:szCs w:val="18"/>
              </w:rPr>
              <w:t>3.61</w:t>
            </w:r>
          </w:p>
        </w:tc>
        <w:tc>
          <w:tcPr>
            <w:tcW w:w="539" w:type="dxa"/>
            <w:tcBorders>
              <w:top w:val="nil"/>
              <w:left w:val="single" w:sz="12" w:space="0" w:color="auto"/>
              <w:right w:val="nil"/>
            </w:tcBorders>
            <w:shd w:val="clear" w:color="000000" w:fill="FFFFFF"/>
            <w:noWrap/>
            <w:vAlign w:val="center"/>
          </w:tcPr>
          <w:p w14:paraId="10EFC4B0" w14:textId="77777777" w:rsidR="002961DC" w:rsidRPr="00A95729" w:rsidRDefault="002961DC" w:rsidP="00E56366">
            <w:pPr>
              <w:spacing w:after="0" w:line="240" w:lineRule="auto"/>
              <w:jc w:val="center"/>
              <w:rPr>
                <w:rFonts w:eastAsia="Times New Roman"/>
                <w:color w:val="000000"/>
                <w:sz w:val="18"/>
                <w:szCs w:val="18"/>
              </w:rPr>
            </w:pPr>
            <w:r>
              <w:rPr>
                <w:rFonts w:eastAsia="Times New Roman"/>
                <w:color w:val="000000"/>
                <w:sz w:val="18"/>
                <w:szCs w:val="18"/>
              </w:rPr>
              <w:t>0.00</w:t>
            </w:r>
          </w:p>
        </w:tc>
        <w:tc>
          <w:tcPr>
            <w:tcW w:w="449" w:type="dxa"/>
            <w:tcBorders>
              <w:top w:val="nil"/>
              <w:left w:val="nil"/>
              <w:right w:val="single" w:sz="4" w:space="0" w:color="auto"/>
            </w:tcBorders>
            <w:shd w:val="clear" w:color="000000" w:fill="FFFFFF"/>
            <w:noWrap/>
            <w:vAlign w:val="center"/>
          </w:tcPr>
          <w:p w14:paraId="59595E6A" w14:textId="77777777" w:rsidR="002961DC" w:rsidRPr="00A95729" w:rsidRDefault="002961DC" w:rsidP="00E56366">
            <w:pPr>
              <w:spacing w:after="0" w:line="240" w:lineRule="auto"/>
              <w:jc w:val="center"/>
              <w:rPr>
                <w:rFonts w:eastAsia="Times New Roman"/>
                <w:color w:val="000000"/>
                <w:sz w:val="18"/>
                <w:szCs w:val="18"/>
              </w:rPr>
            </w:pPr>
            <w:r>
              <w:rPr>
                <w:rFonts w:eastAsia="Times New Roman"/>
                <w:color w:val="000000"/>
                <w:sz w:val="18"/>
                <w:szCs w:val="18"/>
              </w:rPr>
              <w:t>--</w:t>
            </w:r>
            <w:r w:rsidRPr="00A95729">
              <w:rPr>
                <w:rFonts w:eastAsia="Times New Roman"/>
                <w:color w:val="000000"/>
                <w:sz w:val="18"/>
                <w:szCs w:val="18"/>
              </w:rPr>
              <w:t> </w:t>
            </w:r>
          </w:p>
        </w:tc>
        <w:tc>
          <w:tcPr>
            <w:tcW w:w="540" w:type="dxa"/>
            <w:tcBorders>
              <w:top w:val="nil"/>
              <w:left w:val="nil"/>
              <w:right w:val="nil"/>
            </w:tcBorders>
            <w:shd w:val="clear" w:color="000000" w:fill="FFFFFF"/>
            <w:noWrap/>
            <w:vAlign w:val="center"/>
          </w:tcPr>
          <w:p w14:paraId="5487F77A" w14:textId="77777777" w:rsidR="002961DC" w:rsidRPr="00A95729" w:rsidRDefault="002961DC" w:rsidP="00E56366">
            <w:pPr>
              <w:spacing w:after="0" w:line="240" w:lineRule="auto"/>
              <w:jc w:val="center"/>
              <w:rPr>
                <w:rFonts w:eastAsia="Times New Roman"/>
                <w:color w:val="000000"/>
                <w:sz w:val="18"/>
                <w:szCs w:val="18"/>
              </w:rPr>
            </w:pPr>
            <w:r>
              <w:rPr>
                <w:rFonts w:eastAsia="Times New Roman"/>
                <w:color w:val="000000"/>
                <w:sz w:val="18"/>
                <w:szCs w:val="18"/>
              </w:rPr>
              <w:t>0.00</w:t>
            </w:r>
          </w:p>
        </w:tc>
        <w:tc>
          <w:tcPr>
            <w:tcW w:w="450" w:type="dxa"/>
            <w:tcBorders>
              <w:top w:val="nil"/>
              <w:left w:val="nil"/>
              <w:right w:val="single" w:sz="4" w:space="0" w:color="auto"/>
            </w:tcBorders>
            <w:shd w:val="clear" w:color="000000" w:fill="FFFFFF"/>
            <w:noWrap/>
            <w:vAlign w:val="center"/>
          </w:tcPr>
          <w:p w14:paraId="7F2DDD88" w14:textId="77777777" w:rsidR="002961DC" w:rsidRPr="00A95729" w:rsidRDefault="002961DC" w:rsidP="00E56366">
            <w:pPr>
              <w:spacing w:after="0" w:line="240" w:lineRule="auto"/>
              <w:jc w:val="center"/>
              <w:rPr>
                <w:rFonts w:eastAsia="Times New Roman"/>
                <w:color w:val="000000"/>
                <w:sz w:val="18"/>
                <w:szCs w:val="18"/>
              </w:rPr>
            </w:pPr>
            <w:r>
              <w:rPr>
                <w:rFonts w:eastAsia="Times New Roman"/>
                <w:color w:val="000000"/>
                <w:sz w:val="18"/>
                <w:szCs w:val="18"/>
              </w:rPr>
              <w:t>--</w:t>
            </w:r>
            <w:r w:rsidRPr="00A95729">
              <w:rPr>
                <w:rFonts w:eastAsia="Times New Roman"/>
                <w:color w:val="000000"/>
                <w:sz w:val="18"/>
                <w:szCs w:val="18"/>
              </w:rPr>
              <w:t> </w:t>
            </w:r>
          </w:p>
        </w:tc>
        <w:tc>
          <w:tcPr>
            <w:tcW w:w="540" w:type="dxa"/>
            <w:tcBorders>
              <w:top w:val="nil"/>
              <w:left w:val="nil"/>
              <w:right w:val="nil"/>
            </w:tcBorders>
            <w:shd w:val="clear" w:color="000000" w:fill="FFFFFF"/>
            <w:noWrap/>
            <w:vAlign w:val="center"/>
          </w:tcPr>
          <w:p w14:paraId="1D989EEC" w14:textId="77777777" w:rsidR="002961DC" w:rsidRPr="00A95729" w:rsidRDefault="002961DC" w:rsidP="00E56366">
            <w:pPr>
              <w:spacing w:after="0" w:line="240" w:lineRule="auto"/>
              <w:jc w:val="center"/>
              <w:rPr>
                <w:rFonts w:eastAsia="Times New Roman"/>
                <w:color w:val="000000"/>
                <w:sz w:val="18"/>
                <w:szCs w:val="18"/>
              </w:rPr>
            </w:pPr>
            <w:r>
              <w:rPr>
                <w:rFonts w:eastAsia="Times New Roman"/>
                <w:color w:val="000000"/>
                <w:sz w:val="18"/>
                <w:szCs w:val="18"/>
              </w:rPr>
              <w:t>0.00</w:t>
            </w:r>
          </w:p>
        </w:tc>
        <w:tc>
          <w:tcPr>
            <w:tcW w:w="450" w:type="dxa"/>
            <w:tcBorders>
              <w:top w:val="nil"/>
              <w:left w:val="nil"/>
              <w:right w:val="single" w:sz="4" w:space="0" w:color="auto"/>
            </w:tcBorders>
            <w:shd w:val="clear" w:color="000000" w:fill="FFFFFF"/>
            <w:noWrap/>
            <w:vAlign w:val="center"/>
          </w:tcPr>
          <w:p w14:paraId="03158899" w14:textId="77777777" w:rsidR="002961DC" w:rsidRPr="00A95729" w:rsidRDefault="002961DC" w:rsidP="00E56366">
            <w:pPr>
              <w:spacing w:after="0" w:line="240" w:lineRule="auto"/>
              <w:jc w:val="center"/>
              <w:rPr>
                <w:rFonts w:eastAsia="Times New Roman"/>
                <w:color w:val="000000"/>
                <w:sz w:val="18"/>
                <w:szCs w:val="18"/>
              </w:rPr>
            </w:pPr>
            <w:r>
              <w:rPr>
                <w:rFonts w:eastAsia="Times New Roman"/>
                <w:color w:val="000000"/>
                <w:sz w:val="18"/>
                <w:szCs w:val="18"/>
              </w:rPr>
              <w:t>--</w:t>
            </w:r>
            <w:r w:rsidRPr="00A95729">
              <w:rPr>
                <w:rFonts w:eastAsia="Times New Roman"/>
                <w:color w:val="000000"/>
                <w:sz w:val="18"/>
                <w:szCs w:val="18"/>
              </w:rPr>
              <w:t> </w:t>
            </w:r>
          </w:p>
        </w:tc>
        <w:tc>
          <w:tcPr>
            <w:tcW w:w="548" w:type="dxa"/>
            <w:tcBorders>
              <w:top w:val="nil"/>
              <w:left w:val="nil"/>
              <w:right w:val="nil"/>
            </w:tcBorders>
            <w:shd w:val="clear" w:color="000000" w:fill="FFFFFF"/>
            <w:noWrap/>
            <w:vAlign w:val="center"/>
          </w:tcPr>
          <w:p w14:paraId="6C260648" w14:textId="77777777" w:rsidR="002961DC" w:rsidRPr="00A95729" w:rsidRDefault="002961DC" w:rsidP="00E56366">
            <w:pPr>
              <w:spacing w:after="0" w:line="240" w:lineRule="auto"/>
              <w:jc w:val="center"/>
              <w:rPr>
                <w:color w:val="000000"/>
                <w:sz w:val="18"/>
                <w:szCs w:val="18"/>
              </w:rPr>
            </w:pPr>
            <w:r>
              <w:rPr>
                <w:rFonts w:eastAsia="Times New Roman"/>
                <w:color w:val="000000"/>
                <w:sz w:val="18"/>
                <w:szCs w:val="18"/>
              </w:rPr>
              <w:t>0.00</w:t>
            </w:r>
          </w:p>
        </w:tc>
        <w:tc>
          <w:tcPr>
            <w:tcW w:w="450" w:type="dxa"/>
            <w:tcBorders>
              <w:top w:val="nil"/>
              <w:left w:val="nil"/>
              <w:right w:val="single" w:sz="4" w:space="0" w:color="auto"/>
            </w:tcBorders>
            <w:shd w:val="clear" w:color="000000" w:fill="FFFFFF"/>
            <w:noWrap/>
            <w:vAlign w:val="center"/>
          </w:tcPr>
          <w:p w14:paraId="09CBFAE9" w14:textId="77777777" w:rsidR="002961DC" w:rsidRPr="00A95729" w:rsidRDefault="002961DC" w:rsidP="00E56366">
            <w:pPr>
              <w:spacing w:after="0" w:line="240" w:lineRule="auto"/>
              <w:jc w:val="center"/>
              <w:rPr>
                <w:color w:val="000000"/>
                <w:sz w:val="18"/>
                <w:szCs w:val="18"/>
              </w:rPr>
            </w:pPr>
            <w:r>
              <w:rPr>
                <w:rFonts w:eastAsia="Times New Roman"/>
                <w:color w:val="000000"/>
                <w:sz w:val="18"/>
                <w:szCs w:val="18"/>
              </w:rPr>
              <w:t>--</w:t>
            </w:r>
            <w:r w:rsidRPr="00A95729">
              <w:rPr>
                <w:rFonts w:eastAsia="Times New Roman"/>
                <w:color w:val="000000"/>
                <w:sz w:val="18"/>
                <w:szCs w:val="18"/>
              </w:rPr>
              <w:t> </w:t>
            </w:r>
          </w:p>
        </w:tc>
        <w:tc>
          <w:tcPr>
            <w:tcW w:w="540" w:type="dxa"/>
            <w:tcBorders>
              <w:top w:val="nil"/>
              <w:left w:val="nil"/>
              <w:right w:val="nil"/>
            </w:tcBorders>
            <w:shd w:val="clear" w:color="000000" w:fill="FFFFFF"/>
            <w:noWrap/>
            <w:vAlign w:val="center"/>
          </w:tcPr>
          <w:p w14:paraId="716585B2" w14:textId="77777777" w:rsidR="002961DC" w:rsidRPr="00A95729" w:rsidRDefault="002961DC" w:rsidP="00E56366">
            <w:pPr>
              <w:spacing w:after="0" w:line="240" w:lineRule="auto"/>
              <w:jc w:val="center"/>
              <w:rPr>
                <w:rFonts w:eastAsia="Times New Roman"/>
                <w:color w:val="000000"/>
                <w:sz w:val="18"/>
                <w:szCs w:val="18"/>
              </w:rPr>
            </w:pPr>
            <w:r>
              <w:rPr>
                <w:rFonts w:eastAsia="Times New Roman"/>
                <w:color w:val="000000"/>
                <w:sz w:val="18"/>
                <w:szCs w:val="18"/>
              </w:rPr>
              <w:t>0.00</w:t>
            </w:r>
          </w:p>
        </w:tc>
        <w:tc>
          <w:tcPr>
            <w:tcW w:w="450" w:type="dxa"/>
            <w:tcBorders>
              <w:top w:val="nil"/>
              <w:left w:val="nil"/>
              <w:right w:val="single" w:sz="4" w:space="0" w:color="auto"/>
            </w:tcBorders>
            <w:shd w:val="clear" w:color="000000" w:fill="FFFFFF"/>
            <w:noWrap/>
            <w:vAlign w:val="center"/>
          </w:tcPr>
          <w:p w14:paraId="5EC701B0" w14:textId="77777777" w:rsidR="002961DC" w:rsidRPr="00A95729" w:rsidRDefault="002961DC" w:rsidP="00E56366">
            <w:pPr>
              <w:spacing w:after="0" w:line="240" w:lineRule="auto"/>
              <w:jc w:val="center"/>
              <w:rPr>
                <w:rFonts w:eastAsia="Times New Roman"/>
                <w:color w:val="000000"/>
                <w:sz w:val="18"/>
                <w:szCs w:val="18"/>
              </w:rPr>
            </w:pPr>
            <w:r>
              <w:rPr>
                <w:rFonts w:eastAsia="Times New Roman"/>
                <w:color w:val="000000"/>
                <w:sz w:val="18"/>
                <w:szCs w:val="18"/>
              </w:rPr>
              <w:t>--</w:t>
            </w:r>
            <w:r w:rsidRPr="00A95729">
              <w:rPr>
                <w:rFonts w:eastAsia="Times New Roman"/>
                <w:color w:val="000000"/>
                <w:sz w:val="18"/>
                <w:szCs w:val="18"/>
              </w:rPr>
              <w:t> </w:t>
            </w:r>
          </w:p>
        </w:tc>
        <w:tc>
          <w:tcPr>
            <w:tcW w:w="540" w:type="dxa"/>
            <w:tcBorders>
              <w:top w:val="nil"/>
              <w:left w:val="nil"/>
              <w:right w:val="nil"/>
            </w:tcBorders>
            <w:shd w:val="clear" w:color="000000" w:fill="FFFFFF"/>
            <w:noWrap/>
            <w:vAlign w:val="center"/>
          </w:tcPr>
          <w:p w14:paraId="139898E1" w14:textId="77777777" w:rsidR="002961DC" w:rsidRPr="00A95729" w:rsidRDefault="002961DC" w:rsidP="00E56366">
            <w:pPr>
              <w:spacing w:after="0" w:line="240" w:lineRule="auto"/>
              <w:jc w:val="center"/>
              <w:rPr>
                <w:rFonts w:eastAsia="Times New Roman"/>
                <w:color w:val="000000"/>
                <w:sz w:val="18"/>
                <w:szCs w:val="18"/>
              </w:rPr>
            </w:pPr>
            <w:r>
              <w:rPr>
                <w:rFonts w:eastAsia="Times New Roman"/>
                <w:color w:val="000000"/>
                <w:sz w:val="18"/>
                <w:szCs w:val="18"/>
              </w:rPr>
              <w:t>0.00</w:t>
            </w:r>
          </w:p>
        </w:tc>
        <w:tc>
          <w:tcPr>
            <w:tcW w:w="450" w:type="dxa"/>
            <w:tcBorders>
              <w:top w:val="nil"/>
              <w:left w:val="nil"/>
              <w:right w:val="single" w:sz="4" w:space="0" w:color="auto"/>
            </w:tcBorders>
            <w:shd w:val="clear" w:color="000000" w:fill="FFFFFF"/>
            <w:noWrap/>
            <w:vAlign w:val="center"/>
          </w:tcPr>
          <w:p w14:paraId="602D9E58" w14:textId="77777777" w:rsidR="002961DC" w:rsidRPr="00A95729" w:rsidRDefault="002961DC" w:rsidP="00E56366">
            <w:pPr>
              <w:spacing w:after="0" w:line="240" w:lineRule="auto"/>
              <w:jc w:val="center"/>
              <w:rPr>
                <w:rFonts w:eastAsia="Times New Roman"/>
                <w:color w:val="000000"/>
                <w:sz w:val="18"/>
                <w:szCs w:val="18"/>
              </w:rPr>
            </w:pPr>
            <w:r>
              <w:rPr>
                <w:rFonts w:eastAsia="Times New Roman"/>
                <w:color w:val="000000"/>
                <w:sz w:val="18"/>
                <w:szCs w:val="18"/>
              </w:rPr>
              <w:t>--</w:t>
            </w:r>
            <w:r w:rsidRPr="00A95729">
              <w:rPr>
                <w:rFonts w:eastAsia="Times New Roman"/>
                <w:color w:val="000000"/>
                <w:sz w:val="18"/>
                <w:szCs w:val="18"/>
              </w:rPr>
              <w:t> </w:t>
            </w:r>
          </w:p>
        </w:tc>
        <w:tc>
          <w:tcPr>
            <w:tcW w:w="540" w:type="dxa"/>
            <w:tcBorders>
              <w:top w:val="nil"/>
              <w:left w:val="nil"/>
              <w:right w:val="nil"/>
            </w:tcBorders>
            <w:shd w:val="clear" w:color="000000" w:fill="FFFFFF"/>
            <w:noWrap/>
            <w:vAlign w:val="center"/>
          </w:tcPr>
          <w:p w14:paraId="51206F0F" w14:textId="77777777" w:rsidR="002961DC" w:rsidRPr="00A95729" w:rsidRDefault="002961DC" w:rsidP="00E56366">
            <w:pPr>
              <w:spacing w:after="0" w:line="240" w:lineRule="auto"/>
              <w:jc w:val="center"/>
              <w:rPr>
                <w:color w:val="000000"/>
                <w:sz w:val="18"/>
                <w:szCs w:val="18"/>
              </w:rPr>
            </w:pPr>
            <w:r>
              <w:rPr>
                <w:rFonts w:eastAsia="Times New Roman"/>
                <w:color w:val="000000"/>
                <w:sz w:val="18"/>
                <w:szCs w:val="18"/>
              </w:rPr>
              <w:t>0.00</w:t>
            </w:r>
          </w:p>
        </w:tc>
        <w:tc>
          <w:tcPr>
            <w:tcW w:w="454" w:type="dxa"/>
            <w:tcBorders>
              <w:top w:val="nil"/>
              <w:left w:val="nil"/>
              <w:right w:val="single" w:sz="4" w:space="0" w:color="auto"/>
            </w:tcBorders>
            <w:shd w:val="clear" w:color="000000" w:fill="FFFFFF"/>
            <w:noWrap/>
            <w:vAlign w:val="center"/>
          </w:tcPr>
          <w:p w14:paraId="64516B2A" w14:textId="77777777" w:rsidR="002961DC" w:rsidRPr="00A95729" w:rsidRDefault="002961DC" w:rsidP="00E56366">
            <w:pPr>
              <w:spacing w:after="0" w:line="240" w:lineRule="auto"/>
              <w:jc w:val="center"/>
              <w:rPr>
                <w:color w:val="000000"/>
                <w:sz w:val="18"/>
                <w:szCs w:val="18"/>
              </w:rPr>
            </w:pPr>
            <w:r>
              <w:rPr>
                <w:rFonts w:eastAsia="Times New Roman"/>
                <w:color w:val="000000"/>
                <w:sz w:val="18"/>
                <w:szCs w:val="18"/>
              </w:rPr>
              <w:t>--</w:t>
            </w:r>
            <w:r w:rsidRPr="00A95729">
              <w:rPr>
                <w:rFonts w:eastAsia="Times New Roman"/>
                <w:color w:val="000000"/>
                <w:sz w:val="18"/>
                <w:szCs w:val="18"/>
              </w:rPr>
              <w:t> </w:t>
            </w:r>
          </w:p>
        </w:tc>
        <w:tc>
          <w:tcPr>
            <w:tcW w:w="540" w:type="dxa"/>
            <w:tcBorders>
              <w:top w:val="nil"/>
              <w:left w:val="nil"/>
              <w:right w:val="nil"/>
            </w:tcBorders>
            <w:shd w:val="clear" w:color="000000" w:fill="FFFFFF"/>
            <w:noWrap/>
            <w:vAlign w:val="bottom"/>
          </w:tcPr>
          <w:p w14:paraId="2289067F"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0.24</w:t>
            </w:r>
          </w:p>
        </w:tc>
        <w:tc>
          <w:tcPr>
            <w:tcW w:w="456" w:type="dxa"/>
            <w:tcBorders>
              <w:top w:val="nil"/>
              <w:left w:val="nil"/>
              <w:right w:val="single" w:sz="12" w:space="0" w:color="auto"/>
            </w:tcBorders>
            <w:shd w:val="clear" w:color="000000" w:fill="FFFFFF"/>
            <w:noWrap/>
            <w:vAlign w:val="bottom"/>
          </w:tcPr>
          <w:p w14:paraId="7DCB009D" w14:textId="77777777" w:rsidR="002961DC" w:rsidRPr="00A95729" w:rsidRDefault="002961DC" w:rsidP="00E56366">
            <w:pPr>
              <w:spacing w:after="0" w:line="240" w:lineRule="auto"/>
              <w:jc w:val="center"/>
              <w:rPr>
                <w:rFonts w:eastAsia="Times New Roman"/>
                <w:color w:val="000000"/>
                <w:sz w:val="18"/>
                <w:szCs w:val="18"/>
              </w:rPr>
            </w:pPr>
            <w:r w:rsidRPr="00A95729">
              <w:rPr>
                <w:color w:val="000000"/>
                <w:sz w:val="18"/>
                <w:szCs w:val="18"/>
              </w:rPr>
              <w:t>1.41</w:t>
            </w:r>
          </w:p>
        </w:tc>
        <w:tc>
          <w:tcPr>
            <w:tcW w:w="540" w:type="dxa"/>
            <w:tcBorders>
              <w:top w:val="nil"/>
              <w:left w:val="nil"/>
              <w:right w:val="nil"/>
            </w:tcBorders>
            <w:shd w:val="clear" w:color="000000" w:fill="FFFFFF"/>
            <w:vAlign w:val="center"/>
          </w:tcPr>
          <w:p w14:paraId="6FE37600" w14:textId="77777777" w:rsidR="002961DC" w:rsidRPr="00A95729" w:rsidRDefault="002961DC" w:rsidP="00E56366">
            <w:pPr>
              <w:spacing w:after="0" w:line="240" w:lineRule="auto"/>
              <w:jc w:val="center"/>
              <w:rPr>
                <w:rFonts w:eastAsia="Times New Roman"/>
                <w:color w:val="000000"/>
                <w:sz w:val="18"/>
                <w:szCs w:val="18"/>
              </w:rPr>
            </w:pPr>
            <w:r>
              <w:rPr>
                <w:rFonts w:eastAsia="Times New Roman"/>
                <w:color w:val="000000"/>
                <w:sz w:val="18"/>
                <w:szCs w:val="18"/>
              </w:rPr>
              <w:t>1.00</w:t>
            </w:r>
          </w:p>
        </w:tc>
        <w:tc>
          <w:tcPr>
            <w:tcW w:w="540" w:type="dxa"/>
            <w:tcBorders>
              <w:top w:val="nil"/>
              <w:left w:val="nil"/>
              <w:right w:val="single" w:sz="12" w:space="0" w:color="auto"/>
            </w:tcBorders>
            <w:shd w:val="clear" w:color="000000" w:fill="FFFFFF"/>
            <w:vAlign w:val="center"/>
          </w:tcPr>
          <w:p w14:paraId="0432DEA8" w14:textId="77777777" w:rsidR="002961DC" w:rsidRPr="00A95729" w:rsidRDefault="002961DC" w:rsidP="00E56366">
            <w:pPr>
              <w:spacing w:after="0" w:line="240" w:lineRule="auto"/>
              <w:jc w:val="center"/>
              <w:rPr>
                <w:rFonts w:eastAsia="Times New Roman"/>
                <w:color w:val="000000"/>
                <w:sz w:val="18"/>
                <w:szCs w:val="18"/>
              </w:rPr>
            </w:pPr>
            <w:r>
              <w:rPr>
                <w:rFonts w:eastAsia="Times New Roman"/>
                <w:color w:val="000000"/>
                <w:sz w:val="18"/>
                <w:szCs w:val="18"/>
              </w:rPr>
              <w:t>--</w:t>
            </w:r>
            <w:r w:rsidRPr="00A95729">
              <w:rPr>
                <w:rFonts w:eastAsia="Times New Roman"/>
                <w:color w:val="000000"/>
                <w:sz w:val="18"/>
                <w:szCs w:val="18"/>
              </w:rPr>
              <w:t> </w:t>
            </w:r>
          </w:p>
        </w:tc>
        <w:tc>
          <w:tcPr>
            <w:tcW w:w="630" w:type="dxa"/>
            <w:tcBorders>
              <w:top w:val="nil"/>
              <w:left w:val="single" w:sz="12" w:space="0" w:color="auto"/>
              <w:right w:val="nil"/>
            </w:tcBorders>
            <w:shd w:val="clear" w:color="000000" w:fill="FFFFFF"/>
            <w:vAlign w:val="center"/>
          </w:tcPr>
          <w:p w14:paraId="2E9481DD"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w:t>
            </w:r>
          </w:p>
        </w:tc>
        <w:tc>
          <w:tcPr>
            <w:tcW w:w="542" w:type="dxa"/>
            <w:tcBorders>
              <w:top w:val="nil"/>
              <w:left w:val="nil"/>
              <w:right w:val="single" w:sz="12" w:space="0" w:color="auto"/>
            </w:tcBorders>
            <w:shd w:val="clear" w:color="000000" w:fill="FFFFFF"/>
            <w:vAlign w:val="center"/>
          </w:tcPr>
          <w:p w14:paraId="1246C2EB" w14:textId="77777777" w:rsidR="002961DC" w:rsidRPr="00A95729" w:rsidRDefault="002961DC" w:rsidP="00E56366">
            <w:pPr>
              <w:spacing w:after="0" w:line="240" w:lineRule="auto"/>
              <w:jc w:val="center"/>
              <w:rPr>
                <w:rFonts w:eastAsia="Times New Roman"/>
                <w:color w:val="000000"/>
                <w:sz w:val="18"/>
                <w:szCs w:val="18"/>
              </w:rPr>
            </w:pPr>
            <w:r w:rsidRPr="00A95729">
              <w:rPr>
                <w:rFonts w:eastAsia="Times New Roman"/>
                <w:color w:val="000000"/>
                <w:sz w:val="18"/>
                <w:szCs w:val="18"/>
              </w:rPr>
              <w:t> </w:t>
            </w:r>
          </w:p>
        </w:tc>
      </w:tr>
      <w:tr w:rsidR="002961DC" w:rsidRPr="00A95729" w14:paraId="2303A0F8" w14:textId="77777777" w:rsidTr="002961DC">
        <w:trPr>
          <w:trHeight w:val="20"/>
          <w:jc w:val="center"/>
        </w:trPr>
        <w:tc>
          <w:tcPr>
            <w:tcW w:w="2411" w:type="dxa"/>
            <w:tcBorders>
              <w:top w:val="nil"/>
              <w:left w:val="single" w:sz="12" w:space="0" w:color="auto"/>
              <w:bottom w:val="single" w:sz="12" w:space="0" w:color="auto"/>
              <w:right w:val="single" w:sz="12" w:space="0" w:color="auto"/>
            </w:tcBorders>
            <w:shd w:val="clear" w:color="000000" w:fill="FFFFFF"/>
            <w:noWrap/>
            <w:vAlign w:val="center"/>
          </w:tcPr>
          <w:p w14:paraId="70D3FF91" w14:textId="77777777" w:rsidR="002961DC" w:rsidRPr="00A95729" w:rsidRDefault="002961DC" w:rsidP="00E56366">
            <w:pPr>
              <w:spacing w:after="0" w:line="240" w:lineRule="auto"/>
              <w:rPr>
                <w:rFonts w:eastAsia="Times New Roman"/>
                <w:color w:val="000000"/>
                <w:sz w:val="18"/>
                <w:szCs w:val="18"/>
              </w:rPr>
            </w:pPr>
            <w:r w:rsidRPr="00A95729">
              <w:rPr>
                <w:rFonts w:eastAsia="Times New Roman"/>
                <w:color w:val="000000"/>
                <w:sz w:val="18"/>
                <w:szCs w:val="18"/>
              </w:rPr>
              <w:t>Deliveries</w:t>
            </w:r>
          </w:p>
        </w:tc>
        <w:tc>
          <w:tcPr>
            <w:tcW w:w="537" w:type="dxa"/>
            <w:tcBorders>
              <w:top w:val="nil"/>
              <w:left w:val="single" w:sz="12" w:space="0" w:color="auto"/>
              <w:bottom w:val="single" w:sz="12" w:space="0" w:color="auto"/>
            </w:tcBorders>
            <w:shd w:val="clear" w:color="000000" w:fill="FFFFFF"/>
            <w:vAlign w:val="bottom"/>
          </w:tcPr>
          <w:p w14:paraId="100043F5" w14:textId="77777777" w:rsidR="002961DC" w:rsidRPr="00A95729" w:rsidRDefault="002961DC" w:rsidP="00E56366">
            <w:pPr>
              <w:spacing w:after="0" w:line="240" w:lineRule="auto"/>
              <w:jc w:val="center"/>
              <w:rPr>
                <w:color w:val="000000"/>
                <w:sz w:val="18"/>
                <w:szCs w:val="18"/>
              </w:rPr>
            </w:pPr>
            <w:r w:rsidRPr="00A95729">
              <w:rPr>
                <w:color w:val="000000"/>
                <w:sz w:val="18"/>
                <w:szCs w:val="18"/>
              </w:rPr>
              <w:t>0.33</w:t>
            </w:r>
          </w:p>
        </w:tc>
        <w:tc>
          <w:tcPr>
            <w:tcW w:w="541" w:type="dxa"/>
            <w:tcBorders>
              <w:top w:val="nil"/>
              <w:left w:val="nil"/>
              <w:bottom w:val="single" w:sz="12" w:space="0" w:color="auto"/>
              <w:right w:val="single" w:sz="12" w:space="0" w:color="auto"/>
            </w:tcBorders>
            <w:shd w:val="clear" w:color="000000" w:fill="FFFFFF"/>
            <w:vAlign w:val="bottom"/>
          </w:tcPr>
          <w:p w14:paraId="753BBF3B" w14:textId="77777777" w:rsidR="002961DC" w:rsidRPr="00A95729" w:rsidRDefault="002961DC" w:rsidP="00E56366">
            <w:pPr>
              <w:spacing w:after="0" w:line="240" w:lineRule="auto"/>
              <w:jc w:val="center"/>
              <w:rPr>
                <w:color w:val="000000"/>
                <w:sz w:val="18"/>
                <w:szCs w:val="18"/>
              </w:rPr>
            </w:pPr>
            <w:r w:rsidRPr="00A95729">
              <w:rPr>
                <w:color w:val="000000"/>
                <w:sz w:val="18"/>
                <w:szCs w:val="18"/>
              </w:rPr>
              <w:t>5.94</w:t>
            </w:r>
          </w:p>
        </w:tc>
        <w:tc>
          <w:tcPr>
            <w:tcW w:w="539" w:type="dxa"/>
            <w:tcBorders>
              <w:top w:val="nil"/>
              <w:left w:val="single" w:sz="12" w:space="0" w:color="auto"/>
              <w:bottom w:val="single" w:sz="12" w:space="0" w:color="auto"/>
              <w:right w:val="nil"/>
            </w:tcBorders>
            <w:shd w:val="clear" w:color="000000" w:fill="FFFFFF"/>
            <w:noWrap/>
            <w:vAlign w:val="center"/>
          </w:tcPr>
          <w:p w14:paraId="1024213D" w14:textId="77777777" w:rsidR="002961DC" w:rsidRPr="00A95729" w:rsidRDefault="002961DC" w:rsidP="00E56366">
            <w:pPr>
              <w:spacing w:after="0" w:line="240" w:lineRule="auto"/>
              <w:jc w:val="center"/>
              <w:rPr>
                <w:rFonts w:eastAsia="Times New Roman"/>
                <w:color w:val="000000"/>
                <w:sz w:val="18"/>
                <w:szCs w:val="18"/>
              </w:rPr>
            </w:pPr>
            <w:r>
              <w:rPr>
                <w:rFonts w:eastAsia="Times New Roman"/>
                <w:color w:val="000000"/>
                <w:sz w:val="18"/>
                <w:szCs w:val="18"/>
              </w:rPr>
              <w:t>0.00</w:t>
            </w:r>
          </w:p>
        </w:tc>
        <w:tc>
          <w:tcPr>
            <w:tcW w:w="449" w:type="dxa"/>
            <w:tcBorders>
              <w:top w:val="nil"/>
              <w:left w:val="nil"/>
              <w:bottom w:val="single" w:sz="12" w:space="0" w:color="auto"/>
              <w:right w:val="single" w:sz="4" w:space="0" w:color="auto"/>
            </w:tcBorders>
            <w:shd w:val="clear" w:color="000000" w:fill="FFFFFF"/>
            <w:noWrap/>
            <w:vAlign w:val="center"/>
          </w:tcPr>
          <w:p w14:paraId="551BDCBA" w14:textId="77777777" w:rsidR="002961DC" w:rsidRPr="00A95729" w:rsidRDefault="002961DC" w:rsidP="00E56366">
            <w:pPr>
              <w:spacing w:after="0" w:line="240" w:lineRule="auto"/>
              <w:jc w:val="center"/>
              <w:rPr>
                <w:rFonts w:eastAsia="Times New Roman"/>
                <w:color w:val="000000"/>
                <w:sz w:val="18"/>
                <w:szCs w:val="18"/>
              </w:rPr>
            </w:pPr>
            <w:r>
              <w:rPr>
                <w:rFonts w:eastAsia="Times New Roman"/>
                <w:color w:val="000000"/>
                <w:sz w:val="18"/>
                <w:szCs w:val="18"/>
              </w:rPr>
              <w:t>--</w:t>
            </w:r>
            <w:r w:rsidRPr="00A95729">
              <w:rPr>
                <w:rFonts w:eastAsia="Times New Roman"/>
                <w:color w:val="000000"/>
                <w:sz w:val="18"/>
                <w:szCs w:val="18"/>
              </w:rPr>
              <w:t> </w:t>
            </w:r>
          </w:p>
        </w:tc>
        <w:tc>
          <w:tcPr>
            <w:tcW w:w="540" w:type="dxa"/>
            <w:tcBorders>
              <w:top w:val="nil"/>
              <w:left w:val="nil"/>
              <w:bottom w:val="single" w:sz="12" w:space="0" w:color="auto"/>
              <w:right w:val="nil"/>
            </w:tcBorders>
            <w:shd w:val="clear" w:color="000000" w:fill="FFFFFF"/>
            <w:noWrap/>
            <w:vAlign w:val="center"/>
          </w:tcPr>
          <w:p w14:paraId="28EFB4EC" w14:textId="77777777" w:rsidR="002961DC" w:rsidRPr="00A95729" w:rsidRDefault="002961DC" w:rsidP="00E56366">
            <w:pPr>
              <w:spacing w:after="0" w:line="240" w:lineRule="auto"/>
              <w:jc w:val="center"/>
              <w:rPr>
                <w:rFonts w:eastAsia="Times New Roman"/>
                <w:color w:val="000000"/>
                <w:sz w:val="18"/>
                <w:szCs w:val="18"/>
              </w:rPr>
            </w:pPr>
            <w:r>
              <w:rPr>
                <w:rFonts w:eastAsia="Times New Roman"/>
                <w:color w:val="000000"/>
                <w:sz w:val="18"/>
                <w:szCs w:val="18"/>
              </w:rPr>
              <w:t>0.00</w:t>
            </w:r>
          </w:p>
        </w:tc>
        <w:tc>
          <w:tcPr>
            <w:tcW w:w="450" w:type="dxa"/>
            <w:tcBorders>
              <w:top w:val="nil"/>
              <w:left w:val="nil"/>
              <w:bottom w:val="single" w:sz="12" w:space="0" w:color="auto"/>
              <w:right w:val="single" w:sz="4" w:space="0" w:color="auto"/>
            </w:tcBorders>
            <w:shd w:val="clear" w:color="000000" w:fill="FFFFFF"/>
            <w:noWrap/>
            <w:vAlign w:val="center"/>
          </w:tcPr>
          <w:p w14:paraId="0EFC840D" w14:textId="77777777" w:rsidR="002961DC" w:rsidRPr="00A95729" w:rsidRDefault="002961DC" w:rsidP="00E56366">
            <w:pPr>
              <w:spacing w:after="0" w:line="240" w:lineRule="auto"/>
              <w:jc w:val="center"/>
              <w:rPr>
                <w:rFonts w:eastAsia="Times New Roman"/>
                <w:color w:val="000000"/>
                <w:sz w:val="18"/>
                <w:szCs w:val="18"/>
              </w:rPr>
            </w:pPr>
            <w:r>
              <w:rPr>
                <w:rFonts w:eastAsia="Times New Roman"/>
                <w:color w:val="000000"/>
                <w:sz w:val="18"/>
                <w:szCs w:val="18"/>
              </w:rPr>
              <w:t>--</w:t>
            </w:r>
            <w:r w:rsidRPr="00A95729">
              <w:rPr>
                <w:rFonts w:eastAsia="Times New Roman"/>
                <w:color w:val="000000"/>
                <w:sz w:val="18"/>
                <w:szCs w:val="18"/>
              </w:rPr>
              <w:t> </w:t>
            </w:r>
          </w:p>
        </w:tc>
        <w:tc>
          <w:tcPr>
            <w:tcW w:w="540" w:type="dxa"/>
            <w:tcBorders>
              <w:top w:val="nil"/>
              <w:left w:val="nil"/>
              <w:bottom w:val="single" w:sz="12" w:space="0" w:color="auto"/>
              <w:right w:val="nil"/>
            </w:tcBorders>
            <w:shd w:val="clear" w:color="000000" w:fill="FFFFFF"/>
            <w:noWrap/>
            <w:vAlign w:val="center"/>
          </w:tcPr>
          <w:p w14:paraId="086290B0" w14:textId="77777777" w:rsidR="002961DC" w:rsidRPr="00A95729" w:rsidRDefault="002961DC" w:rsidP="00E56366">
            <w:pPr>
              <w:spacing w:after="0" w:line="240" w:lineRule="auto"/>
              <w:jc w:val="center"/>
              <w:rPr>
                <w:rFonts w:eastAsia="Times New Roman"/>
                <w:color w:val="000000"/>
                <w:sz w:val="18"/>
                <w:szCs w:val="18"/>
              </w:rPr>
            </w:pPr>
            <w:r>
              <w:rPr>
                <w:rFonts w:eastAsia="Times New Roman"/>
                <w:color w:val="000000"/>
                <w:sz w:val="18"/>
                <w:szCs w:val="18"/>
              </w:rPr>
              <w:t>0.00</w:t>
            </w:r>
          </w:p>
        </w:tc>
        <w:tc>
          <w:tcPr>
            <w:tcW w:w="450" w:type="dxa"/>
            <w:tcBorders>
              <w:top w:val="nil"/>
              <w:left w:val="nil"/>
              <w:bottom w:val="single" w:sz="12" w:space="0" w:color="auto"/>
              <w:right w:val="single" w:sz="4" w:space="0" w:color="auto"/>
            </w:tcBorders>
            <w:shd w:val="clear" w:color="000000" w:fill="FFFFFF"/>
            <w:noWrap/>
            <w:vAlign w:val="center"/>
          </w:tcPr>
          <w:p w14:paraId="485558A0" w14:textId="77777777" w:rsidR="002961DC" w:rsidRPr="00A95729" w:rsidRDefault="002961DC" w:rsidP="00E56366">
            <w:pPr>
              <w:spacing w:after="0" w:line="240" w:lineRule="auto"/>
              <w:jc w:val="center"/>
              <w:rPr>
                <w:rFonts w:eastAsia="Times New Roman"/>
                <w:color w:val="000000"/>
                <w:sz w:val="18"/>
                <w:szCs w:val="18"/>
              </w:rPr>
            </w:pPr>
            <w:r>
              <w:rPr>
                <w:rFonts w:eastAsia="Times New Roman"/>
                <w:color w:val="000000"/>
                <w:sz w:val="18"/>
                <w:szCs w:val="18"/>
              </w:rPr>
              <w:t>--</w:t>
            </w:r>
            <w:r w:rsidRPr="00A95729">
              <w:rPr>
                <w:rFonts w:eastAsia="Times New Roman"/>
                <w:color w:val="000000"/>
                <w:sz w:val="18"/>
                <w:szCs w:val="18"/>
              </w:rPr>
              <w:t> </w:t>
            </w:r>
          </w:p>
        </w:tc>
        <w:tc>
          <w:tcPr>
            <w:tcW w:w="548" w:type="dxa"/>
            <w:tcBorders>
              <w:top w:val="nil"/>
              <w:left w:val="nil"/>
              <w:bottom w:val="single" w:sz="12" w:space="0" w:color="auto"/>
              <w:right w:val="nil"/>
            </w:tcBorders>
            <w:shd w:val="clear" w:color="000000" w:fill="FFFFFF"/>
            <w:noWrap/>
            <w:vAlign w:val="center"/>
          </w:tcPr>
          <w:p w14:paraId="0D35BDCE" w14:textId="77777777" w:rsidR="002961DC" w:rsidRPr="00A95729" w:rsidRDefault="002961DC" w:rsidP="00E56366">
            <w:pPr>
              <w:spacing w:after="0" w:line="240" w:lineRule="auto"/>
              <w:jc w:val="center"/>
              <w:rPr>
                <w:rFonts w:eastAsia="Times New Roman"/>
                <w:color w:val="000000"/>
                <w:sz w:val="18"/>
                <w:szCs w:val="18"/>
              </w:rPr>
            </w:pPr>
            <w:r>
              <w:rPr>
                <w:rFonts w:eastAsia="Times New Roman"/>
                <w:color w:val="000000"/>
                <w:sz w:val="18"/>
                <w:szCs w:val="18"/>
              </w:rPr>
              <w:t>0.00</w:t>
            </w:r>
          </w:p>
        </w:tc>
        <w:tc>
          <w:tcPr>
            <w:tcW w:w="450" w:type="dxa"/>
            <w:tcBorders>
              <w:top w:val="nil"/>
              <w:left w:val="nil"/>
              <w:bottom w:val="single" w:sz="12" w:space="0" w:color="auto"/>
              <w:right w:val="single" w:sz="4" w:space="0" w:color="auto"/>
            </w:tcBorders>
            <w:shd w:val="clear" w:color="000000" w:fill="FFFFFF"/>
            <w:noWrap/>
            <w:vAlign w:val="center"/>
          </w:tcPr>
          <w:p w14:paraId="61BF4CD8" w14:textId="77777777" w:rsidR="002961DC" w:rsidRPr="00A95729" w:rsidRDefault="002961DC" w:rsidP="00E56366">
            <w:pPr>
              <w:spacing w:after="0" w:line="240" w:lineRule="auto"/>
              <w:jc w:val="center"/>
              <w:rPr>
                <w:rFonts w:eastAsia="Times New Roman"/>
                <w:color w:val="000000"/>
                <w:sz w:val="18"/>
                <w:szCs w:val="18"/>
              </w:rPr>
            </w:pPr>
            <w:r>
              <w:rPr>
                <w:rFonts w:eastAsia="Times New Roman"/>
                <w:color w:val="000000"/>
                <w:sz w:val="18"/>
                <w:szCs w:val="18"/>
              </w:rPr>
              <w:t>--</w:t>
            </w:r>
            <w:r w:rsidRPr="00A95729">
              <w:rPr>
                <w:rFonts w:eastAsia="Times New Roman"/>
                <w:color w:val="000000"/>
                <w:sz w:val="18"/>
                <w:szCs w:val="18"/>
              </w:rPr>
              <w:t> </w:t>
            </w:r>
          </w:p>
        </w:tc>
        <w:tc>
          <w:tcPr>
            <w:tcW w:w="540" w:type="dxa"/>
            <w:tcBorders>
              <w:top w:val="nil"/>
              <w:left w:val="nil"/>
              <w:bottom w:val="single" w:sz="12" w:space="0" w:color="auto"/>
              <w:right w:val="nil"/>
            </w:tcBorders>
            <w:shd w:val="clear" w:color="000000" w:fill="FFFFFF"/>
            <w:noWrap/>
            <w:vAlign w:val="center"/>
          </w:tcPr>
          <w:p w14:paraId="02F3DF7A" w14:textId="77777777" w:rsidR="002961DC" w:rsidRPr="00A95729" w:rsidRDefault="002961DC" w:rsidP="00E56366">
            <w:pPr>
              <w:spacing w:after="0" w:line="240" w:lineRule="auto"/>
              <w:jc w:val="center"/>
              <w:rPr>
                <w:rFonts w:eastAsia="Times New Roman"/>
                <w:color w:val="000000"/>
                <w:sz w:val="18"/>
                <w:szCs w:val="18"/>
              </w:rPr>
            </w:pPr>
            <w:r>
              <w:rPr>
                <w:rFonts w:eastAsia="Times New Roman"/>
                <w:color w:val="000000"/>
                <w:sz w:val="18"/>
                <w:szCs w:val="18"/>
              </w:rPr>
              <w:t>0.00</w:t>
            </w:r>
          </w:p>
        </w:tc>
        <w:tc>
          <w:tcPr>
            <w:tcW w:w="450" w:type="dxa"/>
            <w:tcBorders>
              <w:top w:val="nil"/>
              <w:left w:val="nil"/>
              <w:bottom w:val="single" w:sz="12" w:space="0" w:color="auto"/>
              <w:right w:val="single" w:sz="4" w:space="0" w:color="auto"/>
            </w:tcBorders>
            <w:shd w:val="clear" w:color="000000" w:fill="FFFFFF"/>
            <w:noWrap/>
            <w:vAlign w:val="center"/>
          </w:tcPr>
          <w:p w14:paraId="60D0F91A" w14:textId="77777777" w:rsidR="002961DC" w:rsidRPr="00A95729" w:rsidRDefault="002961DC" w:rsidP="00E56366">
            <w:pPr>
              <w:spacing w:after="0" w:line="240" w:lineRule="auto"/>
              <w:jc w:val="center"/>
              <w:rPr>
                <w:rFonts w:eastAsia="Times New Roman"/>
                <w:color w:val="000000"/>
                <w:sz w:val="18"/>
                <w:szCs w:val="18"/>
              </w:rPr>
            </w:pPr>
            <w:r>
              <w:rPr>
                <w:rFonts w:eastAsia="Times New Roman"/>
                <w:color w:val="000000"/>
                <w:sz w:val="18"/>
                <w:szCs w:val="18"/>
              </w:rPr>
              <w:t>--</w:t>
            </w:r>
            <w:r w:rsidRPr="00A95729">
              <w:rPr>
                <w:rFonts w:eastAsia="Times New Roman"/>
                <w:color w:val="000000"/>
                <w:sz w:val="18"/>
                <w:szCs w:val="18"/>
              </w:rPr>
              <w:t> </w:t>
            </w:r>
          </w:p>
        </w:tc>
        <w:tc>
          <w:tcPr>
            <w:tcW w:w="540" w:type="dxa"/>
            <w:tcBorders>
              <w:top w:val="nil"/>
              <w:left w:val="nil"/>
              <w:bottom w:val="single" w:sz="12" w:space="0" w:color="auto"/>
              <w:right w:val="nil"/>
            </w:tcBorders>
            <w:shd w:val="clear" w:color="000000" w:fill="FFFFFF"/>
            <w:noWrap/>
            <w:vAlign w:val="center"/>
          </w:tcPr>
          <w:p w14:paraId="4BF1339D" w14:textId="77777777" w:rsidR="002961DC" w:rsidRPr="00A95729" w:rsidRDefault="002961DC" w:rsidP="00E56366">
            <w:pPr>
              <w:spacing w:after="0" w:line="240" w:lineRule="auto"/>
              <w:jc w:val="center"/>
              <w:rPr>
                <w:rFonts w:eastAsia="Times New Roman"/>
                <w:color w:val="000000"/>
                <w:sz w:val="18"/>
                <w:szCs w:val="18"/>
              </w:rPr>
            </w:pPr>
            <w:r>
              <w:rPr>
                <w:rFonts w:eastAsia="Times New Roman"/>
                <w:color w:val="000000"/>
                <w:sz w:val="18"/>
                <w:szCs w:val="18"/>
              </w:rPr>
              <w:t>0.00</w:t>
            </w:r>
          </w:p>
        </w:tc>
        <w:tc>
          <w:tcPr>
            <w:tcW w:w="450" w:type="dxa"/>
            <w:tcBorders>
              <w:top w:val="nil"/>
              <w:left w:val="nil"/>
              <w:bottom w:val="single" w:sz="12" w:space="0" w:color="auto"/>
              <w:right w:val="single" w:sz="4" w:space="0" w:color="auto"/>
            </w:tcBorders>
            <w:shd w:val="clear" w:color="000000" w:fill="FFFFFF"/>
            <w:noWrap/>
            <w:vAlign w:val="center"/>
          </w:tcPr>
          <w:p w14:paraId="7F55DE5B" w14:textId="77777777" w:rsidR="002961DC" w:rsidRPr="00A95729" w:rsidRDefault="002961DC" w:rsidP="00E56366">
            <w:pPr>
              <w:spacing w:after="0" w:line="240" w:lineRule="auto"/>
              <w:jc w:val="center"/>
              <w:rPr>
                <w:rFonts w:eastAsia="Times New Roman"/>
                <w:color w:val="000000"/>
                <w:sz w:val="18"/>
                <w:szCs w:val="18"/>
              </w:rPr>
            </w:pPr>
            <w:r>
              <w:rPr>
                <w:rFonts w:eastAsia="Times New Roman"/>
                <w:color w:val="000000"/>
                <w:sz w:val="18"/>
                <w:szCs w:val="18"/>
              </w:rPr>
              <w:t>--</w:t>
            </w:r>
            <w:r w:rsidRPr="00A95729">
              <w:rPr>
                <w:rFonts w:eastAsia="Times New Roman"/>
                <w:color w:val="000000"/>
                <w:sz w:val="18"/>
                <w:szCs w:val="18"/>
              </w:rPr>
              <w:t> </w:t>
            </w:r>
          </w:p>
        </w:tc>
        <w:tc>
          <w:tcPr>
            <w:tcW w:w="540" w:type="dxa"/>
            <w:tcBorders>
              <w:top w:val="nil"/>
              <w:left w:val="nil"/>
              <w:bottom w:val="single" w:sz="12" w:space="0" w:color="auto"/>
              <w:right w:val="nil"/>
            </w:tcBorders>
            <w:shd w:val="clear" w:color="000000" w:fill="FFFFFF"/>
            <w:noWrap/>
            <w:vAlign w:val="center"/>
          </w:tcPr>
          <w:p w14:paraId="1C403E79" w14:textId="77777777" w:rsidR="002961DC" w:rsidRPr="00A95729" w:rsidRDefault="002961DC" w:rsidP="00E56366">
            <w:pPr>
              <w:spacing w:after="0" w:line="240" w:lineRule="auto"/>
              <w:jc w:val="center"/>
              <w:rPr>
                <w:rFonts w:eastAsia="Times New Roman"/>
                <w:color w:val="000000"/>
                <w:sz w:val="18"/>
                <w:szCs w:val="18"/>
              </w:rPr>
            </w:pPr>
            <w:r>
              <w:rPr>
                <w:rFonts w:eastAsia="Times New Roman"/>
                <w:color w:val="000000"/>
                <w:sz w:val="18"/>
                <w:szCs w:val="18"/>
              </w:rPr>
              <w:t>0.00</w:t>
            </w:r>
          </w:p>
        </w:tc>
        <w:tc>
          <w:tcPr>
            <w:tcW w:w="454" w:type="dxa"/>
            <w:tcBorders>
              <w:top w:val="nil"/>
              <w:left w:val="nil"/>
              <w:bottom w:val="single" w:sz="12" w:space="0" w:color="auto"/>
              <w:right w:val="single" w:sz="4" w:space="0" w:color="auto"/>
            </w:tcBorders>
            <w:shd w:val="clear" w:color="000000" w:fill="FFFFFF"/>
            <w:noWrap/>
            <w:vAlign w:val="center"/>
          </w:tcPr>
          <w:p w14:paraId="67A973B5" w14:textId="77777777" w:rsidR="002961DC" w:rsidRPr="00A95729" w:rsidRDefault="002961DC" w:rsidP="00E56366">
            <w:pPr>
              <w:spacing w:after="0" w:line="240" w:lineRule="auto"/>
              <w:jc w:val="center"/>
              <w:rPr>
                <w:rFonts w:eastAsia="Times New Roman"/>
                <w:color w:val="000000"/>
                <w:sz w:val="18"/>
                <w:szCs w:val="18"/>
              </w:rPr>
            </w:pPr>
            <w:r>
              <w:rPr>
                <w:rFonts w:eastAsia="Times New Roman"/>
                <w:color w:val="000000"/>
                <w:sz w:val="18"/>
                <w:szCs w:val="18"/>
              </w:rPr>
              <w:t>--</w:t>
            </w:r>
            <w:r w:rsidRPr="00A95729">
              <w:rPr>
                <w:rFonts w:eastAsia="Times New Roman"/>
                <w:color w:val="000000"/>
                <w:sz w:val="18"/>
                <w:szCs w:val="18"/>
              </w:rPr>
              <w:t> </w:t>
            </w:r>
          </w:p>
        </w:tc>
        <w:tc>
          <w:tcPr>
            <w:tcW w:w="540" w:type="dxa"/>
            <w:tcBorders>
              <w:top w:val="nil"/>
              <w:left w:val="nil"/>
              <w:bottom w:val="single" w:sz="12" w:space="0" w:color="auto"/>
              <w:right w:val="nil"/>
            </w:tcBorders>
            <w:shd w:val="clear" w:color="000000" w:fill="FFFFFF"/>
            <w:noWrap/>
            <w:vAlign w:val="center"/>
          </w:tcPr>
          <w:p w14:paraId="6AC8D918" w14:textId="77777777" w:rsidR="002961DC" w:rsidRPr="00A95729" w:rsidRDefault="002961DC" w:rsidP="00E56366">
            <w:pPr>
              <w:spacing w:after="0" w:line="240" w:lineRule="auto"/>
              <w:jc w:val="center"/>
              <w:rPr>
                <w:rFonts w:eastAsia="Times New Roman"/>
                <w:color w:val="000000"/>
                <w:sz w:val="18"/>
                <w:szCs w:val="18"/>
              </w:rPr>
            </w:pPr>
            <w:r>
              <w:rPr>
                <w:rFonts w:eastAsia="Times New Roman"/>
                <w:color w:val="000000"/>
                <w:sz w:val="18"/>
                <w:szCs w:val="18"/>
              </w:rPr>
              <w:t>0.00</w:t>
            </w:r>
          </w:p>
        </w:tc>
        <w:tc>
          <w:tcPr>
            <w:tcW w:w="456" w:type="dxa"/>
            <w:tcBorders>
              <w:top w:val="nil"/>
              <w:left w:val="nil"/>
              <w:bottom w:val="single" w:sz="12" w:space="0" w:color="auto"/>
              <w:right w:val="single" w:sz="12" w:space="0" w:color="auto"/>
            </w:tcBorders>
            <w:shd w:val="clear" w:color="000000" w:fill="FFFFFF"/>
            <w:noWrap/>
            <w:vAlign w:val="center"/>
          </w:tcPr>
          <w:p w14:paraId="363D4E9A" w14:textId="77777777" w:rsidR="002961DC" w:rsidRPr="00A95729" w:rsidRDefault="002961DC" w:rsidP="00E56366">
            <w:pPr>
              <w:spacing w:after="0" w:line="240" w:lineRule="auto"/>
              <w:jc w:val="center"/>
              <w:rPr>
                <w:rFonts w:eastAsia="Times New Roman"/>
                <w:color w:val="000000"/>
                <w:sz w:val="18"/>
                <w:szCs w:val="18"/>
              </w:rPr>
            </w:pPr>
            <w:r>
              <w:rPr>
                <w:rFonts w:eastAsia="Times New Roman"/>
                <w:color w:val="000000"/>
                <w:sz w:val="18"/>
                <w:szCs w:val="18"/>
              </w:rPr>
              <w:t>--</w:t>
            </w:r>
            <w:r w:rsidRPr="00A95729">
              <w:rPr>
                <w:rFonts w:eastAsia="Times New Roman"/>
                <w:color w:val="000000"/>
                <w:sz w:val="18"/>
                <w:szCs w:val="18"/>
              </w:rPr>
              <w:t> </w:t>
            </w:r>
          </w:p>
        </w:tc>
        <w:tc>
          <w:tcPr>
            <w:tcW w:w="540" w:type="dxa"/>
            <w:tcBorders>
              <w:top w:val="nil"/>
              <w:left w:val="nil"/>
              <w:bottom w:val="single" w:sz="12" w:space="0" w:color="auto"/>
              <w:right w:val="nil"/>
            </w:tcBorders>
            <w:shd w:val="clear" w:color="000000" w:fill="FFFFFF"/>
            <w:vAlign w:val="bottom"/>
          </w:tcPr>
          <w:p w14:paraId="68FD3E8A" w14:textId="77777777" w:rsidR="002961DC" w:rsidRPr="00A95729" w:rsidRDefault="002961DC" w:rsidP="00E56366">
            <w:pPr>
              <w:spacing w:after="0" w:line="240" w:lineRule="auto"/>
              <w:jc w:val="center"/>
              <w:rPr>
                <w:color w:val="000000"/>
                <w:sz w:val="18"/>
                <w:szCs w:val="18"/>
              </w:rPr>
            </w:pPr>
            <w:r w:rsidRPr="00A95729">
              <w:rPr>
                <w:color w:val="000000"/>
                <w:sz w:val="18"/>
                <w:szCs w:val="18"/>
              </w:rPr>
              <w:t>0.19</w:t>
            </w:r>
          </w:p>
        </w:tc>
        <w:tc>
          <w:tcPr>
            <w:tcW w:w="540" w:type="dxa"/>
            <w:tcBorders>
              <w:top w:val="nil"/>
              <w:left w:val="nil"/>
              <w:bottom w:val="single" w:sz="12" w:space="0" w:color="auto"/>
              <w:right w:val="single" w:sz="12" w:space="0" w:color="auto"/>
            </w:tcBorders>
            <w:shd w:val="clear" w:color="000000" w:fill="FFFFFF"/>
            <w:vAlign w:val="bottom"/>
          </w:tcPr>
          <w:p w14:paraId="565510BE" w14:textId="77777777" w:rsidR="002961DC" w:rsidRPr="00A95729" w:rsidRDefault="002961DC" w:rsidP="00E56366">
            <w:pPr>
              <w:spacing w:after="0" w:line="240" w:lineRule="auto"/>
              <w:jc w:val="center"/>
              <w:rPr>
                <w:color w:val="000000"/>
                <w:sz w:val="18"/>
                <w:szCs w:val="18"/>
              </w:rPr>
            </w:pPr>
            <w:r w:rsidRPr="00A95729">
              <w:rPr>
                <w:color w:val="000000"/>
                <w:sz w:val="18"/>
                <w:szCs w:val="18"/>
              </w:rPr>
              <w:t>3.16</w:t>
            </w:r>
          </w:p>
        </w:tc>
        <w:tc>
          <w:tcPr>
            <w:tcW w:w="630" w:type="dxa"/>
            <w:tcBorders>
              <w:top w:val="nil"/>
              <w:left w:val="single" w:sz="12" w:space="0" w:color="auto"/>
              <w:bottom w:val="single" w:sz="12" w:space="0" w:color="auto"/>
              <w:right w:val="nil"/>
            </w:tcBorders>
            <w:shd w:val="clear" w:color="000000" w:fill="FFFFFF"/>
            <w:vAlign w:val="center"/>
          </w:tcPr>
          <w:p w14:paraId="18703659" w14:textId="77777777" w:rsidR="002961DC" w:rsidRPr="00A95729" w:rsidRDefault="002961DC" w:rsidP="00E56366">
            <w:pPr>
              <w:spacing w:after="0" w:line="240" w:lineRule="auto"/>
              <w:jc w:val="center"/>
              <w:rPr>
                <w:color w:val="000000"/>
                <w:sz w:val="18"/>
                <w:szCs w:val="18"/>
              </w:rPr>
            </w:pPr>
            <w:r>
              <w:rPr>
                <w:rFonts w:eastAsia="Times New Roman"/>
                <w:color w:val="000000"/>
                <w:sz w:val="18"/>
                <w:szCs w:val="18"/>
              </w:rPr>
              <w:t>1.00</w:t>
            </w:r>
          </w:p>
        </w:tc>
        <w:tc>
          <w:tcPr>
            <w:tcW w:w="542" w:type="dxa"/>
            <w:tcBorders>
              <w:top w:val="nil"/>
              <w:left w:val="nil"/>
              <w:bottom w:val="single" w:sz="12" w:space="0" w:color="auto"/>
              <w:right w:val="single" w:sz="12" w:space="0" w:color="auto"/>
            </w:tcBorders>
            <w:shd w:val="clear" w:color="000000" w:fill="FFFFFF"/>
            <w:vAlign w:val="center"/>
          </w:tcPr>
          <w:p w14:paraId="23E1A856" w14:textId="77777777" w:rsidR="002961DC" w:rsidRPr="00A95729" w:rsidRDefault="002961DC" w:rsidP="00E56366">
            <w:pPr>
              <w:spacing w:after="0" w:line="240" w:lineRule="auto"/>
              <w:jc w:val="center"/>
              <w:rPr>
                <w:color w:val="000000"/>
                <w:sz w:val="18"/>
                <w:szCs w:val="18"/>
              </w:rPr>
            </w:pPr>
            <w:r>
              <w:rPr>
                <w:rFonts w:eastAsia="Times New Roman"/>
                <w:color w:val="000000"/>
                <w:sz w:val="18"/>
                <w:szCs w:val="18"/>
              </w:rPr>
              <w:t>--</w:t>
            </w:r>
            <w:r w:rsidRPr="00A95729">
              <w:rPr>
                <w:rFonts w:eastAsia="Times New Roman"/>
                <w:color w:val="000000"/>
                <w:sz w:val="18"/>
                <w:szCs w:val="18"/>
              </w:rPr>
              <w:t> </w:t>
            </w:r>
          </w:p>
        </w:tc>
      </w:tr>
    </w:tbl>
    <w:p w14:paraId="5D4306A2" w14:textId="77777777" w:rsidR="002961DC" w:rsidRDefault="002961DC" w:rsidP="002961DC">
      <w:pPr>
        <w:spacing w:after="0" w:line="240" w:lineRule="auto"/>
        <w:jc w:val="both"/>
        <w:rPr>
          <w:b/>
          <w:bCs/>
          <w:sz w:val="20"/>
          <w:szCs w:val="20"/>
        </w:rPr>
      </w:pPr>
    </w:p>
    <w:p w14:paraId="6F626C0F" w14:textId="77777777" w:rsidR="002961DC" w:rsidRDefault="002961DC" w:rsidP="002961DC">
      <w:pPr>
        <w:spacing w:after="0" w:line="240" w:lineRule="auto"/>
        <w:jc w:val="both"/>
        <w:rPr>
          <w:b/>
          <w:bCs/>
          <w:sz w:val="20"/>
          <w:szCs w:val="20"/>
        </w:rPr>
      </w:pPr>
    </w:p>
    <w:p w14:paraId="2DD87B47" w14:textId="77777777" w:rsidR="002961DC" w:rsidRDefault="002961DC" w:rsidP="002961DC">
      <w:pPr>
        <w:spacing w:after="0" w:line="240" w:lineRule="auto"/>
        <w:jc w:val="both"/>
        <w:rPr>
          <w:b/>
          <w:bCs/>
          <w:sz w:val="20"/>
          <w:szCs w:val="20"/>
        </w:rPr>
      </w:pPr>
    </w:p>
    <w:p w14:paraId="64FE2822" w14:textId="77777777" w:rsidR="002961DC" w:rsidRDefault="002961DC" w:rsidP="002961DC">
      <w:pPr>
        <w:spacing w:after="0" w:line="240" w:lineRule="auto"/>
        <w:jc w:val="both"/>
        <w:rPr>
          <w:b/>
          <w:bCs/>
          <w:sz w:val="20"/>
          <w:szCs w:val="20"/>
        </w:rPr>
        <w:sectPr w:rsidR="002961DC" w:rsidSect="002961DC">
          <w:pgSz w:w="15840" w:h="12240" w:orient="landscape" w:code="1"/>
          <w:pgMar w:top="1440" w:right="1440" w:bottom="1440" w:left="1440" w:header="720" w:footer="720" w:gutter="0"/>
          <w:cols w:space="720"/>
          <w:docGrid w:linePitch="360"/>
        </w:sectPr>
      </w:pPr>
    </w:p>
    <w:p w14:paraId="016D249A" w14:textId="14292ACD" w:rsidR="00FB420E" w:rsidRPr="00687312" w:rsidRDefault="00C261E7" w:rsidP="00687312">
      <w:pPr>
        <w:spacing w:after="120"/>
        <w:rPr>
          <w:b/>
          <w:bCs/>
        </w:rPr>
      </w:pPr>
      <w:r w:rsidRPr="00687312">
        <w:rPr>
          <w:b/>
          <w:bCs/>
        </w:rPr>
        <w:lastRenderedPageBreak/>
        <w:t xml:space="preserve">Table </w:t>
      </w:r>
      <w:r w:rsidR="00DA3B5F" w:rsidRPr="00687312">
        <w:rPr>
          <w:b/>
          <w:bCs/>
        </w:rPr>
        <w:t>4</w:t>
      </w:r>
      <w:r w:rsidR="009D5FFB" w:rsidRPr="00687312">
        <w:rPr>
          <w:b/>
          <w:bCs/>
        </w:rPr>
        <w:t xml:space="preserve"> Model Fit</w:t>
      </w:r>
    </w:p>
    <w:tbl>
      <w:tblPr>
        <w:tblW w:w="9261" w:type="dxa"/>
        <w:jc w:val="center"/>
        <w:tblLook w:val="04A0" w:firstRow="1" w:lastRow="0" w:firstColumn="1" w:lastColumn="0" w:noHBand="0" w:noVBand="1"/>
      </w:tblPr>
      <w:tblGrid>
        <w:gridCol w:w="1128"/>
        <w:gridCol w:w="1061"/>
        <w:gridCol w:w="1356"/>
        <w:gridCol w:w="720"/>
        <w:gridCol w:w="1110"/>
        <w:gridCol w:w="1080"/>
        <w:gridCol w:w="820"/>
        <w:gridCol w:w="1093"/>
        <w:gridCol w:w="887"/>
        <w:gridCol w:w="6"/>
      </w:tblGrid>
      <w:tr w:rsidR="00260D4C" w:rsidRPr="00AE5676" w14:paraId="495916B7" w14:textId="77777777" w:rsidTr="00E56366">
        <w:trPr>
          <w:trHeight w:val="288"/>
          <w:jc w:val="center"/>
        </w:trPr>
        <w:tc>
          <w:tcPr>
            <w:tcW w:w="9261" w:type="dxa"/>
            <w:gridSpan w:val="10"/>
            <w:tcBorders>
              <w:top w:val="single" w:sz="12" w:space="0" w:color="auto"/>
              <w:left w:val="single" w:sz="12" w:space="0" w:color="auto"/>
              <w:bottom w:val="single" w:sz="12" w:space="0" w:color="auto"/>
              <w:right w:val="single" w:sz="12" w:space="0" w:color="auto"/>
            </w:tcBorders>
            <w:shd w:val="clear" w:color="000000" w:fill="FFFFFF"/>
            <w:noWrap/>
            <w:vAlign w:val="center"/>
            <w:hideMark/>
          </w:tcPr>
          <w:p w14:paraId="6E7CEB3B" w14:textId="77777777" w:rsidR="00260D4C" w:rsidRPr="00AE5676" w:rsidRDefault="00260D4C" w:rsidP="00E56366">
            <w:pPr>
              <w:spacing w:after="0" w:line="240" w:lineRule="auto"/>
              <w:jc w:val="center"/>
              <w:rPr>
                <w:rFonts w:eastAsia="Times New Roman"/>
                <w:b/>
                <w:bCs/>
                <w:i/>
                <w:iCs/>
                <w:color w:val="000000"/>
                <w:sz w:val="20"/>
                <w:szCs w:val="20"/>
              </w:rPr>
            </w:pPr>
            <w:r w:rsidRPr="00AE5676">
              <w:rPr>
                <w:rFonts w:eastAsia="Times New Roman"/>
                <w:b/>
                <w:bCs/>
                <w:i/>
                <w:iCs/>
                <w:color w:val="000000"/>
                <w:sz w:val="20"/>
                <w:szCs w:val="20"/>
              </w:rPr>
              <w:t>Disaggregate Fit Measures</w:t>
            </w:r>
          </w:p>
        </w:tc>
      </w:tr>
      <w:tr w:rsidR="00260D4C" w:rsidRPr="00AE5676" w14:paraId="50AB6BC8" w14:textId="77777777" w:rsidTr="00E56366">
        <w:trPr>
          <w:gridAfter w:val="1"/>
          <w:wAfter w:w="6" w:type="dxa"/>
          <w:trHeight w:val="20"/>
          <w:jc w:val="center"/>
        </w:trPr>
        <w:tc>
          <w:tcPr>
            <w:tcW w:w="5375" w:type="dxa"/>
            <w:gridSpan w:val="5"/>
            <w:tcBorders>
              <w:top w:val="single" w:sz="12" w:space="0" w:color="auto"/>
              <w:left w:val="single" w:sz="12" w:space="0" w:color="auto"/>
              <w:bottom w:val="single" w:sz="8" w:space="0" w:color="auto"/>
              <w:right w:val="single" w:sz="8" w:space="0" w:color="000000"/>
            </w:tcBorders>
            <w:shd w:val="clear" w:color="000000" w:fill="FFFFFF"/>
            <w:noWrap/>
            <w:vAlign w:val="bottom"/>
            <w:hideMark/>
          </w:tcPr>
          <w:p w14:paraId="79C9540D" w14:textId="77777777" w:rsidR="00260D4C" w:rsidRPr="00AE5676" w:rsidRDefault="00260D4C" w:rsidP="00E56366">
            <w:pPr>
              <w:spacing w:after="0" w:line="240" w:lineRule="auto"/>
              <w:jc w:val="center"/>
              <w:rPr>
                <w:rFonts w:eastAsia="Times New Roman"/>
                <w:b/>
                <w:bCs/>
                <w:color w:val="000000"/>
                <w:sz w:val="20"/>
                <w:szCs w:val="20"/>
              </w:rPr>
            </w:pPr>
            <w:r w:rsidRPr="00AE5676">
              <w:rPr>
                <w:rFonts w:eastAsia="Times New Roman"/>
                <w:b/>
                <w:bCs/>
                <w:color w:val="000000"/>
                <w:sz w:val="20"/>
                <w:szCs w:val="20"/>
              </w:rPr>
              <w:t>Metric</w:t>
            </w:r>
          </w:p>
        </w:tc>
        <w:tc>
          <w:tcPr>
            <w:tcW w:w="1900" w:type="dxa"/>
            <w:gridSpan w:val="2"/>
            <w:tcBorders>
              <w:top w:val="single" w:sz="12" w:space="0" w:color="auto"/>
              <w:left w:val="nil"/>
              <w:bottom w:val="single" w:sz="8" w:space="0" w:color="auto"/>
              <w:right w:val="nil"/>
            </w:tcBorders>
            <w:shd w:val="clear" w:color="000000" w:fill="FFFFFF"/>
            <w:noWrap/>
            <w:vAlign w:val="bottom"/>
            <w:hideMark/>
          </w:tcPr>
          <w:p w14:paraId="3BAA744E" w14:textId="77777777" w:rsidR="00260D4C" w:rsidRPr="00AE5676" w:rsidRDefault="00260D4C" w:rsidP="00E56366">
            <w:pPr>
              <w:spacing w:after="0" w:line="240" w:lineRule="auto"/>
              <w:jc w:val="center"/>
              <w:rPr>
                <w:rFonts w:eastAsia="Times New Roman"/>
                <w:b/>
                <w:bCs/>
                <w:color w:val="000000"/>
                <w:sz w:val="20"/>
                <w:szCs w:val="20"/>
              </w:rPr>
            </w:pPr>
            <w:r w:rsidRPr="00AE5676">
              <w:rPr>
                <w:rFonts w:eastAsia="Times New Roman"/>
                <w:b/>
                <w:bCs/>
                <w:color w:val="000000"/>
                <w:sz w:val="20"/>
                <w:szCs w:val="20"/>
              </w:rPr>
              <w:t>Proposed Model</w:t>
            </w:r>
          </w:p>
        </w:tc>
        <w:tc>
          <w:tcPr>
            <w:tcW w:w="1980" w:type="dxa"/>
            <w:gridSpan w:val="2"/>
            <w:tcBorders>
              <w:top w:val="single" w:sz="12" w:space="0" w:color="auto"/>
              <w:left w:val="nil"/>
              <w:bottom w:val="single" w:sz="8" w:space="0" w:color="auto"/>
              <w:right w:val="single" w:sz="12" w:space="0" w:color="auto"/>
            </w:tcBorders>
            <w:shd w:val="clear" w:color="000000" w:fill="FFFFFF"/>
            <w:noWrap/>
            <w:vAlign w:val="bottom"/>
            <w:hideMark/>
          </w:tcPr>
          <w:p w14:paraId="153C984D" w14:textId="77777777" w:rsidR="00260D4C" w:rsidRPr="00AE5676" w:rsidRDefault="00260D4C" w:rsidP="00E56366">
            <w:pPr>
              <w:spacing w:after="0" w:line="240" w:lineRule="auto"/>
              <w:jc w:val="center"/>
              <w:rPr>
                <w:rFonts w:eastAsia="Times New Roman"/>
                <w:b/>
                <w:bCs/>
                <w:color w:val="000000"/>
                <w:sz w:val="20"/>
                <w:szCs w:val="20"/>
              </w:rPr>
            </w:pPr>
            <w:r w:rsidRPr="00AE5676">
              <w:rPr>
                <w:rFonts w:eastAsia="Times New Roman"/>
                <w:b/>
                <w:bCs/>
                <w:color w:val="000000"/>
                <w:sz w:val="20"/>
                <w:szCs w:val="20"/>
              </w:rPr>
              <w:t>Independent Model</w:t>
            </w:r>
          </w:p>
        </w:tc>
      </w:tr>
      <w:tr w:rsidR="00260D4C" w:rsidRPr="00AE5676" w14:paraId="5163EFFC" w14:textId="77777777" w:rsidTr="00E56366">
        <w:trPr>
          <w:gridAfter w:val="1"/>
          <w:wAfter w:w="6" w:type="dxa"/>
          <w:trHeight w:val="20"/>
          <w:jc w:val="center"/>
        </w:trPr>
        <w:tc>
          <w:tcPr>
            <w:tcW w:w="5375" w:type="dxa"/>
            <w:gridSpan w:val="5"/>
            <w:tcBorders>
              <w:top w:val="nil"/>
              <w:left w:val="single" w:sz="12" w:space="0" w:color="auto"/>
              <w:bottom w:val="nil"/>
              <w:right w:val="single" w:sz="8" w:space="0" w:color="000000"/>
            </w:tcBorders>
            <w:shd w:val="clear" w:color="000000" w:fill="FFFFFF"/>
            <w:noWrap/>
            <w:vAlign w:val="bottom"/>
            <w:hideMark/>
          </w:tcPr>
          <w:p w14:paraId="5B52BF22"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Log-Likelihood at Convergence</w:t>
            </w:r>
          </w:p>
        </w:tc>
        <w:tc>
          <w:tcPr>
            <w:tcW w:w="1900" w:type="dxa"/>
            <w:gridSpan w:val="2"/>
            <w:tcBorders>
              <w:top w:val="nil"/>
              <w:left w:val="nil"/>
              <w:bottom w:val="nil"/>
              <w:right w:val="nil"/>
            </w:tcBorders>
            <w:shd w:val="clear" w:color="000000" w:fill="FFFFFF"/>
            <w:noWrap/>
            <w:vAlign w:val="bottom"/>
            <w:hideMark/>
          </w:tcPr>
          <w:p w14:paraId="107B4F46" w14:textId="77777777" w:rsidR="00260D4C" w:rsidRPr="00AE5676" w:rsidRDefault="00260D4C" w:rsidP="00E56366">
            <w:pPr>
              <w:spacing w:after="0" w:line="240" w:lineRule="auto"/>
              <w:jc w:val="center"/>
              <w:rPr>
                <w:rFonts w:eastAsia="Times New Roman"/>
                <w:color w:val="000000"/>
                <w:sz w:val="20"/>
                <w:szCs w:val="20"/>
              </w:rPr>
            </w:pPr>
            <w:r w:rsidRPr="00AE5676">
              <w:rPr>
                <w:color w:val="000000"/>
                <w:sz w:val="20"/>
                <w:szCs w:val="20"/>
              </w:rPr>
              <w:t>-36028.55</w:t>
            </w:r>
          </w:p>
        </w:tc>
        <w:tc>
          <w:tcPr>
            <w:tcW w:w="1980" w:type="dxa"/>
            <w:gridSpan w:val="2"/>
            <w:tcBorders>
              <w:top w:val="nil"/>
              <w:left w:val="nil"/>
              <w:bottom w:val="nil"/>
              <w:right w:val="single" w:sz="12" w:space="0" w:color="auto"/>
            </w:tcBorders>
            <w:shd w:val="clear" w:color="000000" w:fill="FFFFFF"/>
            <w:noWrap/>
            <w:vAlign w:val="bottom"/>
            <w:hideMark/>
          </w:tcPr>
          <w:p w14:paraId="659CF4B0" w14:textId="77777777" w:rsidR="00260D4C" w:rsidRPr="00AE5676" w:rsidRDefault="00260D4C" w:rsidP="00E56366">
            <w:pPr>
              <w:spacing w:after="0" w:line="240" w:lineRule="auto"/>
              <w:jc w:val="center"/>
              <w:rPr>
                <w:rFonts w:eastAsia="Times New Roman"/>
                <w:color w:val="000000"/>
                <w:sz w:val="20"/>
                <w:szCs w:val="20"/>
              </w:rPr>
            </w:pPr>
            <w:r w:rsidRPr="00AE5676">
              <w:rPr>
                <w:color w:val="000000"/>
                <w:sz w:val="20"/>
                <w:szCs w:val="20"/>
              </w:rPr>
              <w:t>-36151.62</w:t>
            </w:r>
          </w:p>
        </w:tc>
      </w:tr>
      <w:tr w:rsidR="00260D4C" w:rsidRPr="00AE5676" w14:paraId="5023F4D5" w14:textId="77777777" w:rsidTr="00E56366">
        <w:trPr>
          <w:gridAfter w:val="1"/>
          <w:wAfter w:w="6" w:type="dxa"/>
          <w:trHeight w:val="20"/>
          <w:jc w:val="center"/>
        </w:trPr>
        <w:tc>
          <w:tcPr>
            <w:tcW w:w="5375" w:type="dxa"/>
            <w:gridSpan w:val="5"/>
            <w:tcBorders>
              <w:top w:val="nil"/>
              <w:left w:val="single" w:sz="12" w:space="0" w:color="auto"/>
              <w:bottom w:val="nil"/>
              <w:right w:val="single" w:sz="8" w:space="0" w:color="000000"/>
            </w:tcBorders>
            <w:shd w:val="clear" w:color="000000" w:fill="FFFFFF"/>
            <w:noWrap/>
            <w:vAlign w:val="bottom"/>
            <w:hideMark/>
          </w:tcPr>
          <w:p w14:paraId="01FA6D8B"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Log-Likelihood at Constants</w:t>
            </w:r>
          </w:p>
        </w:tc>
        <w:tc>
          <w:tcPr>
            <w:tcW w:w="1900" w:type="dxa"/>
            <w:gridSpan w:val="2"/>
            <w:tcBorders>
              <w:top w:val="nil"/>
              <w:left w:val="nil"/>
              <w:bottom w:val="nil"/>
              <w:right w:val="nil"/>
            </w:tcBorders>
            <w:shd w:val="clear" w:color="000000" w:fill="FFFFFF"/>
            <w:noWrap/>
            <w:vAlign w:val="bottom"/>
            <w:hideMark/>
          </w:tcPr>
          <w:p w14:paraId="7F491C8C" w14:textId="77777777" w:rsidR="00260D4C" w:rsidRPr="00AE5676" w:rsidRDefault="00260D4C" w:rsidP="00E56366">
            <w:pPr>
              <w:spacing w:after="0" w:line="240" w:lineRule="auto"/>
              <w:jc w:val="center"/>
              <w:rPr>
                <w:rFonts w:eastAsia="Times New Roman"/>
                <w:color w:val="000000"/>
                <w:sz w:val="20"/>
                <w:szCs w:val="20"/>
              </w:rPr>
            </w:pPr>
            <w:r w:rsidRPr="00AE5676">
              <w:rPr>
                <w:color w:val="000000"/>
                <w:sz w:val="20"/>
                <w:szCs w:val="20"/>
              </w:rPr>
              <w:t>-39260.02</w:t>
            </w:r>
          </w:p>
        </w:tc>
        <w:tc>
          <w:tcPr>
            <w:tcW w:w="1980" w:type="dxa"/>
            <w:gridSpan w:val="2"/>
            <w:tcBorders>
              <w:top w:val="nil"/>
              <w:left w:val="nil"/>
              <w:bottom w:val="nil"/>
              <w:right w:val="single" w:sz="12" w:space="0" w:color="auto"/>
            </w:tcBorders>
            <w:shd w:val="clear" w:color="000000" w:fill="FFFFFF"/>
            <w:noWrap/>
            <w:vAlign w:val="bottom"/>
            <w:hideMark/>
          </w:tcPr>
          <w:p w14:paraId="32D929C3" w14:textId="77777777" w:rsidR="00260D4C" w:rsidRPr="00AE5676" w:rsidRDefault="00260D4C" w:rsidP="00E56366">
            <w:pPr>
              <w:spacing w:after="0" w:line="240" w:lineRule="auto"/>
              <w:jc w:val="center"/>
              <w:rPr>
                <w:rFonts w:eastAsia="Times New Roman"/>
                <w:color w:val="000000"/>
                <w:sz w:val="20"/>
                <w:szCs w:val="20"/>
              </w:rPr>
            </w:pPr>
            <w:r w:rsidRPr="00AE5676">
              <w:rPr>
                <w:color w:val="000000"/>
                <w:sz w:val="20"/>
                <w:szCs w:val="20"/>
              </w:rPr>
              <w:t>-39260.02</w:t>
            </w:r>
          </w:p>
        </w:tc>
      </w:tr>
      <w:tr w:rsidR="00260D4C" w:rsidRPr="00AE5676" w14:paraId="27388DBC" w14:textId="77777777" w:rsidTr="00E56366">
        <w:trPr>
          <w:gridAfter w:val="1"/>
          <w:wAfter w:w="6" w:type="dxa"/>
          <w:trHeight w:val="20"/>
          <w:jc w:val="center"/>
        </w:trPr>
        <w:tc>
          <w:tcPr>
            <w:tcW w:w="5375" w:type="dxa"/>
            <w:gridSpan w:val="5"/>
            <w:tcBorders>
              <w:top w:val="nil"/>
              <w:left w:val="single" w:sz="12" w:space="0" w:color="auto"/>
              <w:bottom w:val="nil"/>
              <w:right w:val="single" w:sz="8" w:space="0" w:color="000000"/>
            </w:tcBorders>
            <w:shd w:val="clear" w:color="000000" w:fill="FFFFFF"/>
            <w:noWrap/>
            <w:vAlign w:val="bottom"/>
            <w:hideMark/>
          </w:tcPr>
          <w:p w14:paraId="0E7464CD"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Number of Parameters</w:t>
            </w:r>
          </w:p>
        </w:tc>
        <w:tc>
          <w:tcPr>
            <w:tcW w:w="1900" w:type="dxa"/>
            <w:gridSpan w:val="2"/>
            <w:tcBorders>
              <w:top w:val="nil"/>
              <w:left w:val="nil"/>
              <w:bottom w:val="nil"/>
              <w:right w:val="nil"/>
            </w:tcBorders>
            <w:shd w:val="clear" w:color="000000" w:fill="FFFFFF"/>
            <w:noWrap/>
            <w:vAlign w:val="bottom"/>
            <w:hideMark/>
          </w:tcPr>
          <w:p w14:paraId="224BC2A6" w14:textId="77777777" w:rsidR="00260D4C" w:rsidRPr="00AE5676" w:rsidRDefault="00260D4C" w:rsidP="00E56366">
            <w:pPr>
              <w:spacing w:after="0" w:line="240" w:lineRule="auto"/>
              <w:jc w:val="center"/>
              <w:rPr>
                <w:rFonts w:eastAsia="Times New Roman"/>
                <w:color w:val="000000"/>
                <w:sz w:val="20"/>
                <w:szCs w:val="20"/>
              </w:rPr>
            </w:pPr>
            <w:r w:rsidRPr="00AE5676">
              <w:rPr>
                <w:color w:val="000000"/>
                <w:sz w:val="20"/>
                <w:szCs w:val="20"/>
              </w:rPr>
              <w:t>216</w:t>
            </w:r>
          </w:p>
        </w:tc>
        <w:tc>
          <w:tcPr>
            <w:tcW w:w="1980" w:type="dxa"/>
            <w:gridSpan w:val="2"/>
            <w:tcBorders>
              <w:top w:val="nil"/>
              <w:left w:val="nil"/>
              <w:bottom w:val="nil"/>
              <w:right w:val="single" w:sz="12" w:space="0" w:color="auto"/>
            </w:tcBorders>
            <w:shd w:val="clear" w:color="000000" w:fill="FFFFFF"/>
            <w:noWrap/>
            <w:vAlign w:val="bottom"/>
            <w:hideMark/>
          </w:tcPr>
          <w:p w14:paraId="4F771A4B" w14:textId="77777777" w:rsidR="00260D4C" w:rsidRPr="00AE5676" w:rsidRDefault="00260D4C" w:rsidP="00E56366">
            <w:pPr>
              <w:spacing w:after="0" w:line="240" w:lineRule="auto"/>
              <w:jc w:val="center"/>
              <w:rPr>
                <w:rFonts w:eastAsia="Times New Roman"/>
                <w:color w:val="000000"/>
                <w:sz w:val="20"/>
                <w:szCs w:val="20"/>
              </w:rPr>
            </w:pPr>
            <w:r w:rsidRPr="00AE5676">
              <w:rPr>
                <w:color w:val="000000"/>
                <w:sz w:val="20"/>
                <w:szCs w:val="20"/>
              </w:rPr>
              <w:t>200</w:t>
            </w:r>
          </w:p>
        </w:tc>
      </w:tr>
      <w:tr w:rsidR="00260D4C" w:rsidRPr="00AE5676" w14:paraId="3D583C89" w14:textId="77777777" w:rsidTr="00E56366">
        <w:trPr>
          <w:gridAfter w:val="1"/>
          <w:wAfter w:w="6" w:type="dxa"/>
          <w:trHeight w:val="20"/>
          <w:jc w:val="center"/>
        </w:trPr>
        <w:tc>
          <w:tcPr>
            <w:tcW w:w="5375" w:type="dxa"/>
            <w:gridSpan w:val="5"/>
            <w:tcBorders>
              <w:top w:val="nil"/>
              <w:left w:val="single" w:sz="12" w:space="0" w:color="auto"/>
              <w:bottom w:val="nil"/>
              <w:right w:val="single" w:sz="8" w:space="0" w:color="000000"/>
            </w:tcBorders>
            <w:shd w:val="clear" w:color="000000" w:fill="FFFFFF"/>
            <w:noWrap/>
            <w:vAlign w:val="bottom"/>
            <w:hideMark/>
          </w:tcPr>
          <w:p w14:paraId="3FA21AA5"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Adjusted Likelihood Ratio Index</w:t>
            </w:r>
          </w:p>
        </w:tc>
        <w:tc>
          <w:tcPr>
            <w:tcW w:w="1900" w:type="dxa"/>
            <w:gridSpan w:val="2"/>
            <w:tcBorders>
              <w:top w:val="nil"/>
              <w:left w:val="nil"/>
              <w:bottom w:val="nil"/>
              <w:right w:val="nil"/>
            </w:tcBorders>
            <w:shd w:val="clear" w:color="000000" w:fill="FFFFFF"/>
            <w:noWrap/>
            <w:vAlign w:val="bottom"/>
            <w:hideMark/>
          </w:tcPr>
          <w:p w14:paraId="48E5125E" w14:textId="77777777" w:rsidR="00260D4C" w:rsidRPr="00AE5676" w:rsidRDefault="00260D4C" w:rsidP="00E56366">
            <w:pPr>
              <w:spacing w:after="0" w:line="240" w:lineRule="auto"/>
              <w:jc w:val="center"/>
              <w:rPr>
                <w:rFonts w:eastAsia="Times New Roman"/>
                <w:color w:val="000000"/>
                <w:sz w:val="20"/>
                <w:szCs w:val="20"/>
              </w:rPr>
            </w:pPr>
            <w:r w:rsidRPr="00AE5676">
              <w:rPr>
                <w:color w:val="000000"/>
                <w:sz w:val="20"/>
                <w:szCs w:val="20"/>
              </w:rPr>
              <w:t>0.077</w:t>
            </w:r>
          </w:p>
        </w:tc>
        <w:tc>
          <w:tcPr>
            <w:tcW w:w="1980" w:type="dxa"/>
            <w:gridSpan w:val="2"/>
            <w:tcBorders>
              <w:top w:val="nil"/>
              <w:left w:val="nil"/>
              <w:bottom w:val="nil"/>
              <w:right w:val="single" w:sz="12" w:space="0" w:color="auto"/>
            </w:tcBorders>
            <w:shd w:val="clear" w:color="000000" w:fill="FFFFFF"/>
            <w:noWrap/>
            <w:vAlign w:val="bottom"/>
            <w:hideMark/>
          </w:tcPr>
          <w:p w14:paraId="16FE859B" w14:textId="77777777" w:rsidR="00260D4C" w:rsidRPr="00AE5676" w:rsidRDefault="00260D4C" w:rsidP="00E56366">
            <w:pPr>
              <w:spacing w:after="0" w:line="240" w:lineRule="auto"/>
              <w:jc w:val="center"/>
              <w:rPr>
                <w:rFonts w:eastAsia="Times New Roman"/>
                <w:color w:val="000000"/>
                <w:sz w:val="20"/>
                <w:szCs w:val="20"/>
              </w:rPr>
            </w:pPr>
            <w:r w:rsidRPr="00AE5676">
              <w:rPr>
                <w:color w:val="000000"/>
                <w:sz w:val="20"/>
                <w:szCs w:val="20"/>
              </w:rPr>
              <w:t>0.074</w:t>
            </w:r>
          </w:p>
        </w:tc>
      </w:tr>
      <w:tr w:rsidR="00260D4C" w:rsidRPr="00AE5676" w14:paraId="056C12AD" w14:textId="77777777" w:rsidTr="00E56366">
        <w:trPr>
          <w:gridAfter w:val="1"/>
          <w:wAfter w:w="6" w:type="dxa"/>
          <w:trHeight w:val="20"/>
          <w:jc w:val="center"/>
        </w:trPr>
        <w:tc>
          <w:tcPr>
            <w:tcW w:w="5375" w:type="dxa"/>
            <w:gridSpan w:val="5"/>
            <w:tcBorders>
              <w:top w:val="nil"/>
              <w:left w:val="single" w:sz="12" w:space="0" w:color="auto"/>
              <w:bottom w:val="nil"/>
              <w:right w:val="single" w:sz="8" w:space="0" w:color="000000"/>
            </w:tcBorders>
            <w:shd w:val="clear" w:color="000000" w:fill="FFFFFF"/>
            <w:noWrap/>
            <w:vAlign w:val="bottom"/>
            <w:hideMark/>
          </w:tcPr>
          <w:p w14:paraId="7D173A91"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Bayesian Information Criterion</w:t>
            </w:r>
          </w:p>
        </w:tc>
        <w:tc>
          <w:tcPr>
            <w:tcW w:w="1900" w:type="dxa"/>
            <w:gridSpan w:val="2"/>
            <w:tcBorders>
              <w:top w:val="nil"/>
              <w:left w:val="nil"/>
              <w:bottom w:val="nil"/>
              <w:right w:val="nil"/>
            </w:tcBorders>
            <w:shd w:val="clear" w:color="000000" w:fill="FFFFFF"/>
            <w:noWrap/>
            <w:vAlign w:val="bottom"/>
            <w:hideMark/>
          </w:tcPr>
          <w:p w14:paraId="7F2ED4F8" w14:textId="77777777" w:rsidR="00260D4C" w:rsidRPr="00AE5676" w:rsidRDefault="00260D4C" w:rsidP="00E56366">
            <w:pPr>
              <w:spacing w:after="0" w:line="240" w:lineRule="auto"/>
              <w:jc w:val="center"/>
              <w:rPr>
                <w:rFonts w:eastAsia="Times New Roman"/>
                <w:color w:val="000000"/>
                <w:sz w:val="20"/>
                <w:szCs w:val="20"/>
              </w:rPr>
            </w:pPr>
            <w:r w:rsidRPr="00AE5676">
              <w:rPr>
                <w:color w:val="000000"/>
                <w:sz w:val="20"/>
                <w:szCs w:val="20"/>
              </w:rPr>
              <w:t>36470.90</w:t>
            </w:r>
          </w:p>
        </w:tc>
        <w:tc>
          <w:tcPr>
            <w:tcW w:w="1980" w:type="dxa"/>
            <w:gridSpan w:val="2"/>
            <w:tcBorders>
              <w:top w:val="nil"/>
              <w:left w:val="nil"/>
              <w:bottom w:val="nil"/>
              <w:right w:val="single" w:sz="12" w:space="0" w:color="auto"/>
            </w:tcBorders>
            <w:shd w:val="clear" w:color="000000" w:fill="FFFFFF"/>
            <w:noWrap/>
            <w:vAlign w:val="bottom"/>
            <w:hideMark/>
          </w:tcPr>
          <w:p w14:paraId="42AD1785" w14:textId="77777777" w:rsidR="00260D4C" w:rsidRPr="00AE5676" w:rsidRDefault="00260D4C" w:rsidP="00E56366">
            <w:pPr>
              <w:spacing w:after="0" w:line="240" w:lineRule="auto"/>
              <w:jc w:val="center"/>
              <w:rPr>
                <w:rFonts w:eastAsia="Times New Roman"/>
                <w:color w:val="000000"/>
                <w:sz w:val="20"/>
                <w:szCs w:val="20"/>
              </w:rPr>
            </w:pPr>
            <w:r w:rsidRPr="00AE5676">
              <w:rPr>
                <w:color w:val="000000"/>
                <w:sz w:val="20"/>
                <w:szCs w:val="20"/>
              </w:rPr>
              <w:t>36561.20</w:t>
            </w:r>
          </w:p>
        </w:tc>
      </w:tr>
      <w:tr w:rsidR="00260D4C" w:rsidRPr="00AE5676" w14:paraId="1689052E" w14:textId="77777777" w:rsidTr="00E56366">
        <w:trPr>
          <w:gridAfter w:val="1"/>
          <w:wAfter w:w="6" w:type="dxa"/>
          <w:trHeight w:val="20"/>
          <w:jc w:val="center"/>
        </w:trPr>
        <w:tc>
          <w:tcPr>
            <w:tcW w:w="5375" w:type="dxa"/>
            <w:gridSpan w:val="5"/>
            <w:tcBorders>
              <w:top w:val="nil"/>
              <w:left w:val="single" w:sz="12" w:space="0" w:color="auto"/>
              <w:bottom w:val="nil"/>
              <w:right w:val="single" w:sz="8" w:space="0" w:color="000000"/>
            </w:tcBorders>
            <w:shd w:val="clear" w:color="000000" w:fill="FFFFFF"/>
            <w:noWrap/>
            <w:vAlign w:val="bottom"/>
          </w:tcPr>
          <w:p w14:paraId="1E1523A8"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 xml:space="preserve">Average Probability of a Correct Prediction </w:t>
            </w:r>
          </w:p>
        </w:tc>
        <w:tc>
          <w:tcPr>
            <w:tcW w:w="1900" w:type="dxa"/>
            <w:gridSpan w:val="2"/>
            <w:tcBorders>
              <w:top w:val="nil"/>
              <w:left w:val="nil"/>
              <w:bottom w:val="nil"/>
              <w:right w:val="nil"/>
            </w:tcBorders>
            <w:shd w:val="clear" w:color="000000" w:fill="FFFFFF"/>
            <w:noWrap/>
            <w:vAlign w:val="bottom"/>
          </w:tcPr>
          <w:p w14:paraId="2C05AF56" w14:textId="77777777" w:rsidR="00260D4C" w:rsidRPr="00AE5676" w:rsidRDefault="00260D4C" w:rsidP="00E56366">
            <w:pPr>
              <w:spacing w:after="0" w:line="240" w:lineRule="auto"/>
              <w:jc w:val="center"/>
              <w:rPr>
                <w:rFonts w:eastAsia="Times New Roman"/>
                <w:color w:val="000000"/>
                <w:sz w:val="20"/>
                <w:szCs w:val="20"/>
              </w:rPr>
            </w:pPr>
            <w:r w:rsidRPr="00AE5676">
              <w:rPr>
                <w:color w:val="000000"/>
                <w:sz w:val="20"/>
                <w:szCs w:val="20"/>
              </w:rPr>
              <w:t>0.166</w:t>
            </w:r>
          </w:p>
        </w:tc>
        <w:tc>
          <w:tcPr>
            <w:tcW w:w="1980" w:type="dxa"/>
            <w:gridSpan w:val="2"/>
            <w:tcBorders>
              <w:top w:val="nil"/>
              <w:left w:val="nil"/>
              <w:bottom w:val="nil"/>
              <w:right w:val="single" w:sz="12" w:space="0" w:color="auto"/>
            </w:tcBorders>
            <w:shd w:val="clear" w:color="000000" w:fill="FFFFFF"/>
            <w:noWrap/>
            <w:vAlign w:val="bottom"/>
          </w:tcPr>
          <w:p w14:paraId="71243EC5" w14:textId="77777777" w:rsidR="00260D4C" w:rsidRPr="00AE5676" w:rsidRDefault="00260D4C" w:rsidP="00E56366">
            <w:pPr>
              <w:spacing w:after="0" w:line="240" w:lineRule="auto"/>
              <w:jc w:val="center"/>
              <w:rPr>
                <w:rFonts w:eastAsia="Times New Roman"/>
                <w:color w:val="000000"/>
                <w:sz w:val="20"/>
                <w:szCs w:val="20"/>
              </w:rPr>
            </w:pPr>
            <w:r w:rsidRPr="00AE5676">
              <w:rPr>
                <w:color w:val="000000"/>
                <w:sz w:val="20"/>
                <w:szCs w:val="20"/>
              </w:rPr>
              <w:t>0.164</w:t>
            </w:r>
          </w:p>
        </w:tc>
      </w:tr>
      <w:tr w:rsidR="00260D4C" w:rsidRPr="00AE5676" w14:paraId="13763680" w14:textId="77777777" w:rsidTr="00E56366">
        <w:trPr>
          <w:trHeight w:val="20"/>
          <w:jc w:val="center"/>
        </w:trPr>
        <w:tc>
          <w:tcPr>
            <w:tcW w:w="5375" w:type="dxa"/>
            <w:gridSpan w:val="5"/>
            <w:tcBorders>
              <w:top w:val="nil"/>
              <w:left w:val="single" w:sz="12" w:space="0" w:color="auto"/>
              <w:bottom w:val="single" w:sz="12" w:space="0" w:color="auto"/>
              <w:right w:val="single" w:sz="8" w:space="0" w:color="000000"/>
            </w:tcBorders>
            <w:shd w:val="clear" w:color="000000" w:fill="FFFFFF"/>
            <w:noWrap/>
            <w:vAlign w:val="bottom"/>
            <w:hideMark/>
          </w:tcPr>
          <w:p w14:paraId="219861B2"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Likelihood Ratio Test</w:t>
            </w:r>
          </w:p>
        </w:tc>
        <w:tc>
          <w:tcPr>
            <w:tcW w:w="3886" w:type="dxa"/>
            <w:gridSpan w:val="5"/>
            <w:tcBorders>
              <w:top w:val="nil"/>
              <w:left w:val="nil"/>
              <w:bottom w:val="single" w:sz="12" w:space="0" w:color="auto"/>
              <w:right w:val="single" w:sz="12" w:space="0" w:color="auto"/>
            </w:tcBorders>
            <w:shd w:val="clear" w:color="000000" w:fill="FFFFFF"/>
            <w:noWrap/>
            <w:vAlign w:val="bottom"/>
            <w:hideMark/>
          </w:tcPr>
          <w:p w14:paraId="6DE8B50A" w14:textId="77777777" w:rsidR="00260D4C" w:rsidRPr="00AE5676" w:rsidRDefault="00260D4C" w:rsidP="00E56366">
            <w:pPr>
              <w:spacing w:after="0" w:line="240" w:lineRule="auto"/>
              <w:jc w:val="center"/>
              <w:rPr>
                <w:rFonts w:eastAsia="Times New Roman"/>
                <w:color w:val="000000"/>
                <w:sz w:val="20"/>
                <w:szCs w:val="20"/>
              </w:rPr>
            </w:pPr>
            <w:r w:rsidRPr="00AE5676">
              <w:rPr>
                <w:rFonts w:eastAsia="Times New Roman"/>
                <w:color w:val="000000"/>
                <w:sz w:val="20"/>
                <w:szCs w:val="20"/>
              </w:rPr>
              <w:t>246.14</w:t>
            </w:r>
          </w:p>
        </w:tc>
      </w:tr>
      <w:tr w:rsidR="00260D4C" w:rsidRPr="00AE5676" w14:paraId="07433DDC" w14:textId="77777777" w:rsidTr="00E56366">
        <w:trPr>
          <w:trHeight w:val="288"/>
          <w:jc w:val="center"/>
        </w:trPr>
        <w:tc>
          <w:tcPr>
            <w:tcW w:w="9261" w:type="dxa"/>
            <w:gridSpan w:val="10"/>
            <w:tcBorders>
              <w:top w:val="single" w:sz="12" w:space="0" w:color="auto"/>
              <w:left w:val="single" w:sz="12" w:space="0" w:color="auto"/>
              <w:bottom w:val="single" w:sz="12" w:space="0" w:color="auto"/>
              <w:right w:val="single" w:sz="12" w:space="0" w:color="auto"/>
            </w:tcBorders>
            <w:shd w:val="clear" w:color="000000" w:fill="FFFFFF"/>
            <w:noWrap/>
            <w:vAlign w:val="center"/>
            <w:hideMark/>
          </w:tcPr>
          <w:p w14:paraId="39157556" w14:textId="77777777" w:rsidR="00260D4C" w:rsidRPr="00AE5676" w:rsidRDefault="00260D4C" w:rsidP="00E56366">
            <w:pPr>
              <w:spacing w:after="0" w:line="240" w:lineRule="auto"/>
              <w:jc w:val="center"/>
              <w:rPr>
                <w:rFonts w:eastAsia="Times New Roman"/>
                <w:b/>
                <w:bCs/>
                <w:i/>
                <w:iCs/>
                <w:sz w:val="20"/>
                <w:szCs w:val="20"/>
              </w:rPr>
            </w:pPr>
            <w:r w:rsidRPr="00AE5676">
              <w:rPr>
                <w:rFonts w:eastAsia="Times New Roman"/>
                <w:b/>
                <w:bCs/>
                <w:i/>
                <w:iCs/>
                <w:sz w:val="20"/>
                <w:szCs w:val="20"/>
              </w:rPr>
              <w:t>Aggregate Fit Measures</w:t>
            </w:r>
          </w:p>
        </w:tc>
      </w:tr>
      <w:tr w:rsidR="00260D4C" w:rsidRPr="00AE5676" w14:paraId="264711BB" w14:textId="77777777" w:rsidTr="00E56366">
        <w:trPr>
          <w:gridAfter w:val="1"/>
          <w:wAfter w:w="6" w:type="dxa"/>
          <w:trHeight w:val="20"/>
          <w:jc w:val="center"/>
        </w:trPr>
        <w:tc>
          <w:tcPr>
            <w:tcW w:w="3545" w:type="dxa"/>
            <w:gridSpan w:val="3"/>
            <w:tcBorders>
              <w:top w:val="single" w:sz="12" w:space="0" w:color="auto"/>
              <w:left w:val="single" w:sz="12" w:space="0" w:color="auto"/>
              <w:bottom w:val="nil"/>
              <w:right w:val="single" w:sz="8" w:space="0" w:color="000000"/>
            </w:tcBorders>
            <w:shd w:val="clear" w:color="000000" w:fill="FFFFFF"/>
            <w:noWrap/>
            <w:vAlign w:val="bottom"/>
            <w:hideMark/>
          </w:tcPr>
          <w:p w14:paraId="39A8DDB0" w14:textId="77777777" w:rsidR="00260D4C" w:rsidRPr="00AE5676" w:rsidRDefault="00260D4C" w:rsidP="00E56366">
            <w:pPr>
              <w:spacing w:after="0" w:line="240" w:lineRule="auto"/>
              <w:jc w:val="center"/>
              <w:rPr>
                <w:rFonts w:eastAsia="Times New Roman"/>
                <w:b/>
                <w:bCs/>
                <w:color w:val="000000"/>
                <w:sz w:val="20"/>
                <w:szCs w:val="20"/>
              </w:rPr>
            </w:pPr>
            <w:r w:rsidRPr="00AE5676">
              <w:rPr>
                <w:rFonts w:eastAsia="Times New Roman"/>
                <w:b/>
                <w:bCs/>
                <w:color w:val="000000"/>
                <w:sz w:val="20"/>
                <w:szCs w:val="20"/>
              </w:rPr>
              <w:t>Outcome Combinations</w:t>
            </w:r>
          </w:p>
        </w:tc>
        <w:tc>
          <w:tcPr>
            <w:tcW w:w="1830" w:type="dxa"/>
            <w:gridSpan w:val="2"/>
            <w:tcBorders>
              <w:top w:val="single" w:sz="12" w:space="0" w:color="auto"/>
              <w:left w:val="nil"/>
              <w:bottom w:val="nil"/>
              <w:right w:val="single" w:sz="8" w:space="0" w:color="000000"/>
            </w:tcBorders>
            <w:shd w:val="clear" w:color="000000" w:fill="FFFFFF"/>
            <w:noWrap/>
            <w:vAlign w:val="bottom"/>
            <w:hideMark/>
          </w:tcPr>
          <w:p w14:paraId="1E4D8EB1" w14:textId="77777777" w:rsidR="00260D4C" w:rsidRPr="00AE5676" w:rsidRDefault="00260D4C" w:rsidP="00E56366">
            <w:pPr>
              <w:spacing w:after="0" w:line="240" w:lineRule="auto"/>
              <w:jc w:val="center"/>
              <w:rPr>
                <w:rFonts w:eastAsia="Times New Roman"/>
                <w:b/>
                <w:bCs/>
                <w:color w:val="000000"/>
                <w:sz w:val="20"/>
                <w:szCs w:val="20"/>
              </w:rPr>
            </w:pPr>
            <w:r w:rsidRPr="00AE5676">
              <w:rPr>
                <w:rFonts w:eastAsia="Times New Roman"/>
                <w:b/>
                <w:bCs/>
                <w:color w:val="000000"/>
                <w:sz w:val="20"/>
                <w:szCs w:val="20"/>
              </w:rPr>
              <w:t>Observed</w:t>
            </w:r>
          </w:p>
        </w:tc>
        <w:tc>
          <w:tcPr>
            <w:tcW w:w="1900" w:type="dxa"/>
            <w:gridSpan w:val="2"/>
            <w:tcBorders>
              <w:top w:val="single" w:sz="12" w:space="0" w:color="auto"/>
              <w:left w:val="nil"/>
              <w:bottom w:val="nil"/>
              <w:right w:val="single" w:sz="8" w:space="0" w:color="000000"/>
            </w:tcBorders>
            <w:shd w:val="clear" w:color="000000" w:fill="FFFFFF"/>
            <w:noWrap/>
            <w:vAlign w:val="bottom"/>
            <w:hideMark/>
          </w:tcPr>
          <w:p w14:paraId="2067E967" w14:textId="77777777" w:rsidR="00260D4C" w:rsidRPr="00AE5676" w:rsidRDefault="00260D4C" w:rsidP="00E56366">
            <w:pPr>
              <w:spacing w:after="0" w:line="240" w:lineRule="auto"/>
              <w:jc w:val="center"/>
              <w:rPr>
                <w:rFonts w:eastAsia="Times New Roman"/>
                <w:b/>
                <w:bCs/>
                <w:color w:val="000000"/>
                <w:sz w:val="20"/>
                <w:szCs w:val="20"/>
              </w:rPr>
            </w:pPr>
            <w:r w:rsidRPr="00AE5676">
              <w:rPr>
                <w:rFonts w:eastAsia="Times New Roman"/>
                <w:b/>
                <w:bCs/>
                <w:color w:val="000000"/>
                <w:sz w:val="20"/>
                <w:szCs w:val="20"/>
              </w:rPr>
              <w:t>Proposed Model</w:t>
            </w:r>
          </w:p>
        </w:tc>
        <w:tc>
          <w:tcPr>
            <w:tcW w:w="1980" w:type="dxa"/>
            <w:gridSpan w:val="2"/>
            <w:tcBorders>
              <w:top w:val="single" w:sz="12" w:space="0" w:color="auto"/>
              <w:left w:val="nil"/>
              <w:bottom w:val="nil"/>
              <w:right w:val="single" w:sz="12" w:space="0" w:color="auto"/>
            </w:tcBorders>
            <w:shd w:val="clear" w:color="000000" w:fill="FFFFFF"/>
            <w:noWrap/>
            <w:vAlign w:val="bottom"/>
            <w:hideMark/>
          </w:tcPr>
          <w:p w14:paraId="4D71EABC" w14:textId="77777777" w:rsidR="00260D4C" w:rsidRPr="00AE5676" w:rsidRDefault="00260D4C" w:rsidP="00E56366">
            <w:pPr>
              <w:spacing w:after="0" w:line="240" w:lineRule="auto"/>
              <w:jc w:val="center"/>
              <w:rPr>
                <w:rFonts w:eastAsia="Times New Roman"/>
                <w:b/>
                <w:bCs/>
                <w:color w:val="000000"/>
                <w:sz w:val="20"/>
                <w:szCs w:val="20"/>
              </w:rPr>
            </w:pPr>
            <w:r w:rsidRPr="00AE5676">
              <w:rPr>
                <w:rFonts w:eastAsia="Times New Roman"/>
                <w:b/>
                <w:bCs/>
                <w:color w:val="000000"/>
                <w:sz w:val="20"/>
                <w:szCs w:val="20"/>
              </w:rPr>
              <w:t>Independent Model</w:t>
            </w:r>
          </w:p>
        </w:tc>
      </w:tr>
      <w:tr w:rsidR="00260D4C" w:rsidRPr="00AE5676" w14:paraId="6FF35AFA" w14:textId="77777777" w:rsidTr="00E56366">
        <w:trPr>
          <w:gridAfter w:val="1"/>
          <w:wAfter w:w="6" w:type="dxa"/>
          <w:trHeight w:val="20"/>
          <w:jc w:val="center"/>
        </w:trPr>
        <w:tc>
          <w:tcPr>
            <w:tcW w:w="1128" w:type="dxa"/>
            <w:tcBorders>
              <w:top w:val="nil"/>
              <w:left w:val="single" w:sz="12" w:space="0" w:color="auto"/>
              <w:bottom w:val="single" w:sz="8" w:space="0" w:color="auto"/>
              <w:right w:val="nil"/>
            </w:tcBorders>
            <w:shd w:val="clear" w:color="000000" w:fill="FFFFFF"/>
            <w:vAlign w:val="center"/>
            <w:hideMark/>
          </w:tcPr>
          <w:p w14:paraId="0F7FE7D6" w14:textId="77777777" w:rsidR="00260D4C" w:rsidRPr="00AE5676" w:rsidRDefault="00260D4C" w:rsidP="00E56366">
            <w:pPr>
              <w:spacing w:after="0" w:line="240" w:lineRule="auto"/>
              <w:jc w:val="center"/>
              <w:rPr>
                <w:rFonts w:eastAsia="Times New Roman"/>
                <w:color w:val="000000"/>
                <w:sz w:val="20"/>
                <w:szCs w:val="20"/>
              </w:rPr>
            </w:pPr>
            <w:r w:rsidRPr="00AE5676">
              <w:rPr>
                <w:rFonts w:eastAsia="Times New Roman"/>
                <w:color w:val="000000"/>
                <w:sz w:val="20"/>
                <w:szCs w:val="20"/>
              </w:rPr>
              <w:t>Suppressed Trips</w:t>
            </w:r>
          </w:p>
        </w:tc>
        <w:tc>
          <w:tcPr>
            <w:tcW w:w="1061" w:type="dxa"/>
            <w:tcBorders>
              <w:top w:val="nil"/>
              <w:left w:val="nil"/>
              <w:bottom w:val="single" w:sz="8" w:space="0" w:color="auto"/>
              <w:right w:val="nil"/>
            </w:tcBorders>
            <w:shd w:val="clear" w:color="000000" w:fill="FFFFFF"/>
            <w:vAlign w:val="center"/>
            <w:hideMark/>
          </w:tcPr>
          <w:p w14:paraId="38EDB95C" w14:textId="77777777" w:rsidR="00260D4C" w:rsidRPr="00AE5676" w:rsidRDefault="00260D4C" w:rsidP="00E56366">
            <w:pPr>
              <w:spacing w:after="0" w:line="240" w:lineRule="auto"/>
              <w:jc w:val="center"/>
              <w:rPr>
                <w:rFonts w:eastAsia="Times New Roman"/>
                <w:color w:val="000000"/>
                <w:sz w:val="20"/>
                <w:szCs w:val="20"/>
              </w:rPr>
            </w:pPr>
            <w:r w:rsidRPr="00AE5676">
              <w:rPr>
                <w:rFonts w:eastAsia="Times New Roman"/>
                <w:color w:val="000000"/>
                <w:sz w:val="20"/>
                <w:szCs w:val="20"/>
              </w:rPr>
              <w:t>Telework Frequency</w:t>
            </w:r>
          </w:p>
        </w:tc>
        <w:tc>
          <w:tcPr>
            <w:tcW w:w="1356" w:type="dxa"/>
            <w:tcBorders>
              <w:top w:val="nil"/>
              <w:left w:val="nil"/>
              <w:bottom w:val="single" w:sz="8" w:space="0" w:color="auto"/>
              <w:right w:val="single" w:sz="8" w:space="0" w:color="auto"/>
            </w:tcBorders>
            <w:shd w:val="clear" w:color="000000" w:fill="FFFFFF"/>
            <w:vAlign w:val="center"/>
            <w:hideMark/>
          </w:tcPr>
          <w:p w14:paraId="12ECD63E" w14:textId="77777777" w:rsidR="00260D4C" w:rsidRPr="00AE5676" w:rsidRDefault="00260D4C" w:rsidP="00E56366">
            <w:pPr>
              <w:spacing w:after="0" w:line="240" w:lineRule="auto"/>
              <w:jc w:val="center"/>
              <w:rPr>
                <w:rFonts w:eastAsia="Times New Roman"/>
                <w:color w:val="000000"/>
                <w:sz w:val="20"/>
                <w:szCs w:val="20"/>
              </w:rPr>
            </w:pPr>
            <w:r w:rsidRPr="00AE5676">
              <w:rPr>
                <w:rFonts w:eastAsia="Times New Roman"/>
                <w:color w:val="000000"/>
                <w:sz w:val="20"/>
                <w:szCs w:val="20"/>
              </w:rPr>
              <w:t>Delivery Frequency</w:t>
            </w:r>
          </w:p>
        </w:tc>
        <w:tc>
          <w:tcPr>
            <w:tcW w:w="720" w:type="dxa"/>
            <w:tcBorders>
              <w:top w:val="nil"/>
              <w:left w:val="nil"/>
              <w:bottom w:val="single" w:sz="8" w:space="0" w:color="auto"/>
              <w:right w:val="nil"/>
            </w:tcBorders>
            <w:shd w:val="clear" w:color="000000" w:fill="FFFFFF"/>
            <w:vAlign w:val="center"/>
            <w:hideMark/>
          </w:tcPr>
          <w:p w14:paraId="22E3B781" w14:textId="77777777" w:rsidR="00260D4C" w:rsidRPr="00AE5676" w:rsidRDefault="00260D4C" w:rsidP="00E56366">
            <w:pPr>
              <w:spacing w:after="0" w:line="240" w:lineRule="auto"/>
              <w:jc w:val="center"/>
              <w:rPr>
                <w:rFonts w:eastAsia="Times New Roman"/>
                <w:color w:val="000000"/>
                <w:sz w:val="20"/>
                <w:szCs w:val="20"/>
              </w:rPr>
            </w:pPr>
            <w:r w:rsidRPr="00AE5676">
              <w:rPr>
                <w:rFonts w:eastAsia="Times New Roman"/>
                <w:color w:val="000000"/>
                <w:sz w:val="20"/>
                <w:szCs w:val="20"/>
              </w:rPr>
              <w:t>Count</w:t>
            </w:r>
          </w:p>
        </w:tc>
        <w:tc>
          <w:tcPr>
            <w:tcW w:w="1110" w:type="dxa"/>
            <w:tcBorders>
              <w:top w:val="nil"/>
              <w:left w:val="nil"/>
              <w:bottom w:val="single" w:sz="8" w:space="0" w:color="auto"/>
              <w:right w:val="single" w:sz="8" w:space="0" w:color="auto"/>
            </w:tcBorders>
            <w:shd w:val="clear" w:color="000000" w:fill="FFFFFF"/>
            <w:vAlign w:val="center"/>
            <w:hideMark/>
          </w:tcPr>
          <w:p w14:paraId="1503A56F" w14:textId="77777777" w:rsidR="00260D4C" w:rsidRPr="00AE5676" w:rsidRDefault="00260D4C" w:rsidP="00E56366">
            <w:pPr>
              <w:spacing w:after="0" w:line="240" w:lineRule="auto"/>
              <w:jc w:val="center"/>
              <w:rPr>
                <w:rFonts w:eastAsia="Times New Roman"/>
                <w:color w:val="000000"/>
                <w:sz w:val="20"/>
                <w:szCs w:val="20"/>
              </w:rPr>
            </w:pPr>
            <w:r w:rsidRPr="00AE5676">
              <w:rPr>
                <w:rFonts w:eastAsia="Times New Roman"/>
                <w:color w:val="000000"/>
                <w:sz w:val="20"/>
                <w:szCs w:val="20"/>
              </w:rPr>
              <w:t>Share (%)</w:t>
            </w:r>
          </w:p>
        </w:tc>
        <w:tc>
          <w:tcPr>
            <w:tcW w:w="1080" w:type="dxa"/>
            <w:tcBorders>
              <w:top w:val="nil"/>
              <w:left w:val="nil"/>
              <w:bottom w:val="single" w:sz="8" w:space="0" w:color="auto"/>
              <w:right w:val="nil"/>
            </w:tcBorders>
            <w:shd w:val="clear" w:color="000000" w:fill="FFFFFF"/>
            <w:vAlign w:val="center"/>
            <w:hideMark/>
          </w:tcPr>
          <w:p w14:paraId="47EE576F" w14:textId="77777777" w:rsidR="00260D4C" w:rsidRPr="00AE5676" w:rsidRDefault="00260D4C" w:rsidP="00E56366">
            <w:pPr>
              <w:spacing w:after="0" w:line="240" w:lineRule="auto"/>
              <w:jc w:val="center"/>
              <w:rPr>
                <w:rFonts w:eastAsia="Times New Roman"/>
                <w:color w:val="000000"/>
                <w:sz w:val="20"/>
                <w:szCs w:val="20"/>
              </w:rPr>
            </w:pPr>
            <w:r w:rsidRPr="00AE5676">
              <w:rPr>
                <w:rFonts w:eastAsia="Times New Roman"/>
                <w:color w:val="000000"/>
                <w:sz w:val="20"/>
                <w:szCs w:val="20"/>
              </w:rPr>
              <w:t>Share (%)</w:t>
            </w:r>
          </w:p>
        </w:tc>
        <w:tc>
          <w:tcPr>
            <w:tcW w:w="820" w:type="dxa"/>
            <w:tcBorders>
              <w:top w:val="nil"/>
              <w:left w:val="nil"/>
              <w:bottom w:val="single" w:sz="8" w:space="0" w:color="auto"/>
              <w:right w:val="single" w:sz="8" w:space="0" w:color="auto"/>
            </w:tcBorders>
            <w:shd w:val="clear" w:color="000000" w:fill="FFFFFF"/>
            <w:vAlign w:val="center"/>
            <w:hideMark/>
          </w:tcPr>
          <w:p w14:paraId="1D9D1B70" w14:textId="77777777" w:rsidR="00260D4C" w:rsidRPr="00AE5676" w:rsidRDefault="00260D4C" w:rsidP="00E56366">
            <w:pPr>
              <w:spacing w:after="0" w:line="240" w:lineRule="auto"/>
              <w:jc w:val="center"/>
              <w:rPr>
                <w:rFonts w:eastAsia="Times New Roman"/>
                <w:color w:val="000000"/>
                <w:sz w:val="20"/>
                <w:szCs w:val="20"/>
              </w:rPr>
            </w:pPr>
            <w:r w:rsidRPr="00AE5676">
              <w:rPr>
                <w:rFonts w:eastAsia="Times New Roman"/>
                <w:color w:val="000000"/>
                <w:sz w:val="20"/>
                <w:szCs w:val="20"/>
              </w:rPr>
              <w:t>APE</w:t>
            </w:r>
          </w:p>
        </w:tc>
        <w:tc>
          <w:tcPr>
            <w:tcW w:w="1093" w:type="dxa"/>
            <w:tcBorders>
              <w:top w:val="nil"/>
              <w:left w:val="nil"/>
              <w:bottom w:val="single" w:sz="8" w:space="0" w:color="auto"/>
              <w:right w:val="nil"/>
            </w:tcBorders>
            <w:shd w:val="clear" w:color="000000" w:fill="FFFFFF"/>
            <w:vAlign w:val="center"/>
            <w:hideMark/>
          </w:tcPr>
          <w:p w14:paraId="2F32508F" w14:textId="77777777" w:rsidR="00260D4C" w:rsidRPr="00AE5676" w:rsidRDefault="00260D4C" w:rsidP="00E56366">
            <w:pPr>
              <w:spacing w:after="0" w:line="240" w:lineRule="auto"/>
              <w:jc w:val="center"/>
              <w:rPr>
                <w:rFonts w:eastAsia="Times New Roman"/>
                <w:color w:val="000000"/>
                <w:sz w:val="20"/>
                <w:szCs w:val="20"/>
              </w:rPr>
            </w:pPr>
            <w:r w:rsidRPr="00AE5676">
              <w:rPr>
                <w:rFonts w:eastAsia="Times New Roman"/>
                <w:color w:val="000000"/>
                <w:sz w:val="20"/>
                <w:szCs w:val="20"/>
              </w:rPr>
              <w:t>Share (%)</w:t>
            </w:r>
          </w:p>
        </w:tc>
        <w:tc>
          <w:tcPr>
            <w:tcW w:w="887" w:type="dxa"/>
            <w:tcBorders>
              <w:top w:val="nil"/>
              <w:left w:val="nil"/>
              <w:bottom w:val="single" w:sz="8" w:space="0" w:color="auto"/>
              <w:right w:val="single" w:sz="12" w:space="0" w:color="auto"/>
            </w:tcBorders>
            <w:shd w:val="clear" w:color="000000" w:fill="FFFFFF"/>
            <w:vAlign w:val="center"/>
            <w:hideMark/>
          </w:tcPr>
          <w:p w14:paraId="3849529E" w14:textId="77777777" w:rsidR="00260D4C" w:rsidRPr="00AE5676" w:rsidRDefault="00260D4C" w:rsidP="00E56366">
            <w:pPr>
              <w:spacing w:after="0" w:line="240" w:lineRule="auto"/>
              <w:jc w:val="center"/>
              <w:rPr>
                <w:rFonts w:eastAsia="Times New Roman"/>
                <w:color w:val="000000"/>
                <w:sz w:val="20"/>
                <w:szCs w:val="20"/>
              </w:rPr>
            </w:pPr>
            <w:r w:rsidRPr="00AE5676">
              <w:rPr>
                <w:rFonts w:eastAsia="Times New Roman"/>
                <w:color w:val="000000"/>
                <w:sz w:val="20"/>
                <w:szCs w:val="20"/>
              </w:rPr>
              <w:t>APE</w:t>
            </w:r>
          </w:p>
        </w:tc>
      </w:tr>
      <w:tr w:rsidR="00260D4C" w:rsidRPr="00AE5676" w14:paraId="7CD7B6A7" w14:textId="77777777" w:rsidTr="00E56366">
        <w:trPr>
          <w:gridAfter w:val="1"/>
          <w:wAfter w:w="6" w:type="dxa"/>
          <w:trHeight w:val="20"/>
          <w:jc w:val="center"/>
        </w:trPr>
        <w:tc>
          <w:tcPr>
            <w:tcW w:w="1128" w:type="dxa"/>
            <w:tcBorders>
              <w:top w:val="nil"/>
              <w:left w:val="single" w:sz="12" w:space="0" w:color="auto"/>
              <w:bottom w:val="nil"/>
              <w:right w:val="nil"/>
            </w:tcBorders>
            <w:shd w:val="clear" w:color="000000" w:fill="FFFFFF"/>
            <w:noWrap/>
            <w:vAlign w:val="center"/>
            <w:hideMark/>
          </w:tcPr>
          <w:p w14:paraId="65F61205"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No</w:t>
            </w:r>
          </w:p>
        </w:tc>
        <w:tc>
          <w:tcPr>
            <w:tcW w:w="1061" w:type="dxa"/>
            <w:tcBorders>
              <w:top w:val="nil"/>
              <w:left w:val="nil"/>
              <w:bottom w:val="nil"/>
              <w:right w:val="nil"/>
            </w:tcBorders>
            <w:shd w:val="clear" w:color="000000" w:fill="FFFFFF"/>
            <w:noWrap/>
            <w:vAlign w:val="center"/>
            <w:hideMark/>
          </w:tcPr>
          <w:p w14:paraId="2C1E248E"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N/A</w:t>
            </w:r>
          </w:p>
        </w:tc>
        <w:tc>
          <w:tcPr>
            <w:tcW w:w="1356" w:type="dxa"/>
            <w:tcBorders>
              <w:top w:val="nil"/>
              <w:left w:val="nil"/>
              <w:bottom w:val="nil"/>
              <w:right w:val="single" w:sz="8" w:space="0" w:color="auto"/>
            </w:tcBorders>
            <w:shd w:val="clear" w:color="000000" w:fill="FFFFFF"/>
            <w:noWrap/>
            <w:vAlign w:val="center"/>
            <w:hideMark/>
          </w:tcPr>
          <w:p w14:paraId="1B6D3427"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0</w:t>
            </w:r>
          </w:p>
        </w:tc>
        <w:tc>
          <w:tcPr>
            <w:tcW w:w="720" w:type="dxa"/>
            <w:tcBorders>
              <w:top w:val="nil"/>
              <w:left w:val="nil"/>
              <w:bottom w:val="nil"/>
              <w:right w:val="nil"/>
            </w:tcBorders>
            <w:shd w:val="clear" w:color="000000" w:fill="FFFFFF"/>
            <w:noWrap/>
            <w:vAlign w:val="center"/>
            <w:hideMark/>
          </w:tcPr>
          <w:p w14:paraId="47768A78" w14:textId="77777777" w:rsidR="00260D4C" w:rsidRPr="00AE5676" w:rsidRDefault="00260D4C" w:rsidP="00E56366">
            <w:pPr>
              <w:tabs>
                <w:tab w:val="decimal" w:pos="386"/>
              </w:tabs>
              <w:spacing w:after="0" w:line="240" w:lineRule="auto"/>
              <w:jc w:val="center"/>
              <w:rPr>
                <w:rFonts w:eastAsia="Times New Roman"/>
                <w:color w:val="000000"/>
                <w:sz w:val="20"/>
                <w:szCs w:val="20"/>
              </w:rPr>
            </w:pPr>
            <w:r w:rsidRPr="00AE5676">
              <w:rPr>
                <w:color w:val="000000"/>
                <w:sz w:val="20"/>
                <w:szCs w:val="20"/>
              </w:rPr>
              <w:t>1476</w:t>
            </w:r>
          </w:p>
        </w:tc>
        <w:tc>
          <w:tcPr>
            <w:tcW w:w="1110" w:type="dxa"/>
            <w:tcBorders>
              <w:top w:val="nil"/>
              <w:left w:val="nil"/>
              <w:bottom w:val="nil"/>
              <w:right w:val="single" w:sz="8" w:space="0" w:color="auto"/>
            </w:tcBorders>
            <w:shd w:val="clear" w:color="000000" w:fill="FFFFFF"/>
            <w:noWrap/>
            <w:vAlign w:val="center"/>
            <w:hideMark/>
          </w:tcPr>
          <w:p w14:paraId="29AAF051"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11.84</w:t>
            </w:r>
          </w:p>
        </w:tc>
        <w:tc>
          <w:tcPr>
            <w:tcW w:w="1080" w:type="dxa"/>
            <w:tcBorders>
              <w:top w:val="nil"/>
              <w:left w:val="nil"/>
              <w:bottom w:val="nil"/>
              <w:right w:val="nil"/>
            </w:tcBorders>
            <w:shd w:val="clear" w:color="000000" w:fill="FFFFFF"/>
            <w:noWrap/>
            <w:vAlign w:val="center"/>
            <w:hideMark/>
          </w:tcPr>
          <w:p w14:paraId="1DD21B49"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10.93</w:t>
            </w:r>
          </w:p>
        </w:tc>
        <w:tc>
          <w:tcPr>
            <w:tcW w:w="820" w:type="dxa"/>
            <w:tcBorders>
              <w:top w:val="nil"/>
              <w:left w:val="nil"/>
              <w:bottom w:val="nil"/>
              <w:right w:val="single" w:sz="8" w:space="0" w:color="auto"/>
            </w:tcBorders>
            <w:shd w:val="clear" w:color="000000" w:fill="FFFFFF"/>
            <w:noWrap/>
            <w:vAlign w:val="center"/>
            <w:hideMark/>
          </w:tcPr>
          <w:p w14:paraId="206D7A6A"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7.63</w:t>
            </w:r>
          </w:p>
        </w:tc>
        <w:tc>
          <w:tcPr>
            <w:tcW w:w="1093" w:type="dxa"/>
            <w:tcBorders>
              <w:top w:val="nil"/>
              <w:left w:val="nil"/>
              <w:bottom w:val="nil"/>
              <w:right w:val="nil"/>
            </w:tcBorders>
            <w:shd w:val="clear" w:color="000000" w:fill="FFFFFF"/>
            <w:noWrap/>
            <w:vAlign w:val="center"/>
            <w:hideMark/>
          </w:tcPr>
          <w:p w14:paraId="22FE0582"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11.85</w:t>
            </w:r>
          </w:p>
        </w:tc>
        <w:tc>
          <w:tcPr>
            <w:tcW w:w="887" w:type="dxa"/>
            <w:tcBorders>
              <w:top w:val="nil"/>
              <w:left w:val="nil"/>
              <w:bottom w:val="nil"/>
              <w:right w:val="single" w:sz="12" w:space="0" w:color="auto"/>
            </w:tcBorders>
            <w:shd w:val="clear" w:color="000000" w:fill="FFFFFF"/>
            <w:noWrap/>
            <w:vAlign w:val="center"/>
            <w:hideMark/>
          </w:tcPr>
          <w:p w14:paraId="06260D45"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0.13</w:t>
            </w:r>
          </w:p>
        </w:tc>
      </w:tr>
      <w:tr w:rsidR="00260D4C" w:rsidRPr="00AE5676" w14:paraId="7C911B4F" w14:textId="77777777" w:rsidTr="00E56366">
        <w:trPr>
          <w:gridAfter w:val="1"/>
          <w:wAfter w:w="6" w:type="dxa"/>
          <w:trHeight w:val="20"/>
          <w:jc w:val="center"/>
        </w:trPr>
        <w:tc>
          <w:tcPr>
            <w:tcW w:w="1128" w:type="dxa"/>
            <w:tcBorders>
              <w:top w:val="nil"/>
              <w:left w:val="single" w:sz="12" w:space="0" w:color="auto"/>
              <w:bottom w:val="nil"/>
              <w:right w:val="nil"/>
            </w:tcBorders>
            <w:shd w:val="clear" w:color="000000" w:fill="FFFFFF"/>
            <w:noWrap/>
            <w:vAlign w:val="center"/>
            <w:hideMark/>
          </w:tcPr>
          <w:p w14:paraId="7A871369"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No</w:t>
            </w:r>
          </w:p>
        </w:tc>
        <w:tc>
          <w:tcPr>
            <w:tcW w:w="1061" w:type="dxa"/>
            <w:tcBorders>
              <w:top w:val="nil"/>
              <w:left w:val="nil"/>
              <w:bottom w:val="nil"/>
              <w:right w:val="nil"/>
            </w:tcBorders>
            <w:shd w:val="clear" w:color="000000" w:fill="FFFFFF"/>
            <w:noWrap/>
            <w:vAlign w:val="center"/>
            <w:hideMark/>
          </w:tcPr>
          <w:p w14:paraId="2B008EF8"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N/A</w:t>
            </w:r>
          </w:p>
        </w:tc>
        <w:tc>
          <w:tcPr>
            <w:tcW w:w="1356" w:type="dxa"/>
            <w:tcBorders>
              <w:top w:val="nil"/>
              <w:left w:val="nil"/>
              <w:bottom w:val="nil"/>
              <w:right w:val="single" w:sz="8" w:space="0" w:color="auto"/>
            </w:tcBorders>
            <w:shd w:val="clear" w:color="000000" w:fill="FFFFFF"/>
            <w:noWrap/>
            <w:vAlign w:val="center"/>
            <w:hideMark/>
          </w:tcPr>
          <w:p w14:paraId="4F798241"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1-5</w:t>
            </w:r>
          </w:p>
        </w:tc>
        <w:tc>
          <w:tcPr>
            <w:tcW w:w="720" w:type="dxa"/>
            <w:tcBorders>
              <w:top w:val="nil"/>
              <w:left w:val="nil"/>
              <w:bottom w:val="nil"/>
              <w:right w:val="nil"/>
            </w:tcBorders>
            <w:shd w:val="clear" w:color="000000" w:fill="FFFFFF"/>
            <w:noWrap/>
            <w:vAlign w:val="center"/>
            <w:hideMark/>
          </w:tcPr>
          <w:p w14:paraId="0386E05E" w14:textId="77777777" w:rsidR="00260D4C" w:rsidRPr="00AE5676" w:rsidRDefault="00260D4C" w:rsidP="00E56366">
            <w:pPr>
              <w:tabs>
                <w:tab w:val="decimal" w:pos="386"/>
              </w:tabs>
              <w:spacing w:after="0" w:line="240" w:lineRule="auto"/>
              <w:jc w:val="center"/>
              <w:rPr>
                <w:rFonts w:eastAsia="Times New Roman"/>
                <w:color w:val="000000"/>
                <w:sz w:val="20"/>
                <w:szCs w:val="20"/>
              </w:rPr>
            </w:pPr>
            <w:r w:rsidRPr="00AE5676">
              <w:rPr>
                <w:color w:val="000000"/>
                <w:sz w:val="20"/>
                <w:szCs w:val="20"/>
              </w:rPr>
              <w:t>1788</w:t>
            </w:r>
          </w:p>
        </w:tc>
        <w:tc>
          <w:tcPr>
            <w:tcW w:w="1110" w:type="dxa"/>
            <w:tcBorders>
              <w:top w:val="nil"/>
              <w:left w:val="nil"/>
              <w:bottom w:val="nil"/>
              <w:right w:val="single" w:sz="8" w:space="0" w:color="auto"/>
            </w:tcBorders>
            <w:shd w:val="clear" w:color="000000" w:fill="FFFFFF"/>
            <w:noWrap/>
            <w:vAlign w:val="center"/>
            <w:hideMark/>
          </w:tcPr>
          <w:p w14:paraId="685A2713"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14.34</w:t>
            </w:r>
          </w:p>
        </w:tc>
        <w:tc>
          <w:tcPr>
            <w:tcW w:w="1080" w:type="dxa"/>
            <w:tcBorders>
              <w:top w:val="nil"/>
              <w:left w:val="nil"/>
              <w:bottom w:val="nil"/>
              <w:right w:val="nil"/>
            </w:tcBorders>
            <w:shd w:val="clear" w:color="000000" w:fill="FFFFFF"/>
            <w:noWrap/>
            <w:vAlign w:val="center"/>
            <w:hideMark/>
          </w:tcPr>
          <w:p w14:paraId="6599F531"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14.86</w:t>
            </w:r>
          </w:p>
        </w:tc>
        <w:tc>
          <w:tcPr>
            <w:tcW w:w="820" w:type="dxa"/>
            <w:tcBorders>
              <w:top w:val="nil"/>
              <w:left w:val="nil"/>
              <w:bottom w:val="nil"/>
              <w:right w:val="single" w:sz="8" w:space="0" w:color="auto"/>
            </w:tcBorders>
            <w:shd w:val="clear" w:color="000000" w:fill="FFFFFF"/>
            <w:noWrap/>
            <w:vAlign w:val="center"/>
            <w:hideMark/>
          </w:tcPr>
          <w:p w14:paraId="5E604B37"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3.62</w:t>
            </w:r>
          </w:p>
        </w:tc>
        <w:tc>
          <w:tcPr>
            <w:tcW w:w="1093" w:type="dxa"/>
            <w:tcBorders>
              <w:top w:val="nil"/>
              <w:left w:val="nil"/>
              <w:bottom w:val="nil"/>
              <w:right w:val="nil"/>
            </w:tcBorders>
            <w:shd w:val="clear" w:color="000000" w:fill="FFFFFF"/>
            <w:noWrap/>
            <w:vAlign w:val="center"/>
            <w:hideMark/>
          </w:tcPr>
          <w:p w14:paraId="2F3264D5"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14.79</w:t>
            </w:r>
          </w:p>
        </w:tc>
        <w:tc>
          <w:tcPr>
            <w:tcW w:w="887" w:type="dxa"/>
            <w:tcBorders>
              <w:top w:val="nil"/>
              <w:left w:val="nil"/>
              <w:bottom w:val="nil"/>
              <w:right w:val="single" w:sz="12" w:space="0" w:color="auto"/>
            </w:tcBorders>
            <w:shd w:val="clear" w:color="000000" w:fill="FFFFFF"/>
            <w:noWrap/>
            <w:vAlign w:val="center"/>
            <w:hideMark/>
          </w:tcPr>
          <w:p w14:paraId="3B530FC7"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3.16</w:t>
            </w:r>
          </w:p>
        </w:tc>
      </w:tr>
      <w:tr w:rsidR="00260D4C" w:rsidRPr="00AE5676" w14:paraId="48088044" w14:textId="77777777" w:rsidTr="00E56366">
        <w:trPr>
          <w:gridAfter w:val="1"/>
          <w:wAfter w:w="6" w:type="dxa"/>
          <w:trHeight w:val="20"/>
          <w:jc w:val="center"/>
        </w:trPr>
        <w:tc>
          <w:tcPr>
            <w:tcW w:w="1128" w:type="dxa"/>
            <w:tcBorders>
              <w:top w:val="nil"/>
              <w:left w:val="single" w:sz="12" w:space="0" w:color="auto"/>
              <w:bottom w:val="nil"/>
              <w:right w:val="nil"/>
            </w:tcBorders>
            <w:shd w:val="clear" w:color="000000" w:fill="FFFFFF"/>
            <w:noWrap/>
            <w:vAlign w:val="center"/>
            <w:hideMark/>
          </w:tcPr>
          <w:p w14:paraId="65D1939E"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No</w:t>
            </w:r>
          </w:p>
        </w:tc>
        <w:tc>
          <w:tcPr>
            <w:tcW w:w="1061" w:type="dxa"/>
            <w:tcBorders>
              <w:top w:val="nil"/>
              <w:left w:val="nil"/>
              <w:bottom w:val="nil"/>
              <w:right w:val="nil"/>
            </w:tcBorders>
            <w:shd w:val="clear" w:color="000000" w:fill="FFFFFF"/>
            <w:noWrap/>
            <w:vAlign w:val="center"/>
            <w:hideMark/>
          </w:tcPr>
          <w:p w14:paraId="34190039"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N/A</w:t>
            </w:r>
          </w:p>
        </w:tc>
        <w:tc>
          <w:tcPr>
            <w:tcW w:w="1356" w:type="dxa"/>
            <w:tcBorders>
              <w:top w:val="nil"/>
              <w:left w:val="nil"/>
              <w:bottom w:val="nil"/>
              <w:right w:val="single" w:sz="8" w:space="0" w:color="auto"/>
            </w:tcBorders>
            <w:shd w:val="clear" w:color="000000" w:fill="FFFFFF"/>
            <w:noWrap/>
            <w:vAlign w:val="center"/>
            <w:hideMark/>
          </w:tcPr>
          <w:p w14:paraId="3E2A4CCB"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6-10</w:t>
            </w:r>
          </w:p>
        </w:tc>
        <w:tc>
          <w:tcPr>
            <w:tcW w:w="720" w:type="dxa"/>
            <w:tcBorders>
              <w:top w:val="nil"/>
              <w:left w:val="nil"/>
              <w:bottom w:val="nil"/>
              <w:right w:val="nil"/>
            </w:tcBorders>
            <w:shd w:val="clear" w:color="000000" w:fill="FFFFFF"/>
            <w:noWrap/>
            <w:vAlign w:val="center"/>
            <w:hideMark/>
          </w:tcPr>
          <w:p w14:paraId="77D0E986" w14:textId="77777777" w:rsidR="00260D4C" w:rsidRPr="00AE5676" w:rsidRDefault="00260D4C" w:rsidP="00E56366">
            <w:pPr>
              <w:tabs>
                <w:tab w:val="decimal" w:pos="386"/>
              </w:tabs>
              <w:spacing w:after="0" w:line="240" w:lineRule="auto"/>
              <w:jc w:val="center"/>
              <w:rPr>
                <w:rFonts w:eastAsia="Times New Roman"/>
                <w:color w:val="000000"/>
                <w:sz w:val="20"/>
                <w:szCs w:val="20"/>
              </w:rPr>
            </w:pPr>
            <w:r w:rsidRPr="00AE5676">
              <w:rPr>
                <w:color w:val="000000"/>
                <w:sz w:val="20"/>
                <w:szCs w:val="20"/>
              </w:rPr>
              <w:t>648</w:t>
            </w:r>
          </w:p>
        </w:tc>
        <w:tc>
          <w:tcPr>
            <w:tcW w:w="1110" w:type="dxa"/>
            <w:tcBorders>
              <w:top w:val="nil"/>
              <w:left w:val="nil"/>
              <w:bottom w:val="nil"/>
              <w:right w:val="single" w:sz="8" w:space="0" w:color="auto"/>
            </w:tcBorders>
            <w:shd w:val="clear" w:color="000000" w:fill="FFFFFF"/>
            <w:noWrap/>
            <w:vAlign w:val="center"/>
            <w:hideMark/>
          </w:tcPr>
          <w:p w14:paraId="249BBB75"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5.20</w:t>
            </w:r>
          </w:p>
        </w:tc>
        <w:tc>
          <w:tcPr>
            <w:tcW w:w="1080" w:type="dxa"/>
            <w:tcBorders>
              <w:top w:val="nil"/>
              <w:left w:val="nil"/>
              <w:bottom w:val="nil"/>
              <w:right w:val="nil"/>
            </w:tcBorders>
            <w:shd w:val="clear" w:color="000000" w:fill="FFFFFF"/>
            <w:noWrap/>
            <w:vAlign w:val="center"/>
            <w:hideMark/>
          </w:tcPr>
          <w:p w14:paraId="05734210"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5.15</w:t>
            </w:r>
          </w:p>
        </w:tc>
        <w:tc>
          <w:tcPr>
            <w:tcW w:w="820" w:type="dxa"/>
            <w:tcBorders>
              <w:top w:val="nil"/>
              <w:left w:val="nil"/>
              <w:bottom w:val="nil"/>
              <w:right w:val="single" w:sz="8" w:space="0" w:color="auto"/>
            </w:tcBorders>
            <w:shd w:val="clear" w:color="000000" w:fill="FFFFFF"/>
            <w:noWrap/>
            <w:vAlign w:val="center"/>
            <w:hideMark/>
          </w:tcPr>
          <w:p w14:paraId="31BA0906"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0.99</w:t>
            </w:r>
          </w:p>
        </w:tc>
        <w:tc>
          <w:tcPr>
            <w:tcW w:w="1093" w:type="dxa"/>
            <w:tcBorders>
              <w:top w:val="nil"/>
              <w:left w:val="nil"/>
              <w:bottom w:val="nil"/>
              <w:right w:val="nil"/>
            </w:tcBorders>
            <w:shd w:val="clear" w:color="000000" w:fill="FFFFFF"/>
            <w:noWrap/>
            <w:vAlign w:val="center"/>
            <w:hideMark/>
          </w:tcPr>
          <w:p w14:paraId="48F90146"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5.59</w:t>
            </w:r>
          </w:p>
        </w:tc>
        <w:tc>
          <w:tcPr>
            <w:tcW w:w="887" w:type="dxa"/>
            <w:tcBorders>
              <w:top w:val="nil"/>
              <w:left w:val="nil"/>
              <w:bottom w:val="nil"/>
              <w:right w:val="single" w:sz="12" w:space="0" w:color="auto"/>
            </w:tcBorders>
            <w:shd w:val="clear" w:color="000000" w:fill="FFFFFF"/>
            <w:noWrap/>
            <w:vAlign w:val="center"/>
            <w:hideMark/>
          </w:tcPr>
          <w:p w14:paraId="13B2A8F5"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7.61</w:t>
            </w:r>
          </w:p>
        </w:tc>
      </w:tr>
      <w:tr w:rsidR="00260D4C" w:rsidRPr="00AE5676" w14:paraId="7FB4F96A" w14:textId="77777777" w:rsidTr="00E56366">
        <w:trPr>
          <w:gridAfter w:val="1"/>
          <w:wAfter w:w="6" w:type="dxa"/>
          <w:trHeight w:val="20"/>
          <w:jc w:val="center"/>
        </w:trPr>
        <w:tc>
          <w:tcPr>
            <w:tcW w:w="1128" w:type="dxa"/>
            <w:tcBorders>
              <w:top w:val="nil"/>
              <w:left w:val="single" w:sz="12" w:space="0" w:color="auto"/>
              <w:bottom w:val="nil"/>
              <w:right w:val="nil"/>
            </w:tcBorders>
            <w:shd w:val="clear" w:color="000000" w:fill="FFFFFF"/>
            <w:noWrap/>
            <w:vAlign w:val="center"/>
            <w:hideMark/>
          </w:tcPr>
          <w:p w14:paraId="092D9290"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No</w:t>
            </w:r>
          </w:p>
        </w:tc>
        <w:tc>
          <w:tcPr>
            <w:tcW w:w="1061" w:type="dxa"/>
            <w:tcBorders>
              <w:top w:val="nil"/>
              <w:left w:val="nil"/>
              <w:bottom w:val="nil"/>
              <w:right w:val="nil"/>
            </w:tcBorders>
            <w:shd w:val="clear" w:color="000000" w:fill="FFFFFF"/>
            <w:noWrap/>
            <w:vAlign w:val="center"/>
            <w:hideMark/>
          </w:tcPr>
          <w:p w14:paraId="345C5A55"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N/A</w:t>
            </w:r>
          </w:p>
        </w:tc>
        <w:tc>
          <w:tcPr>
            <w:tcW w:w="1356" w:type="dxa"/>
            <w:tcBorders>
              <w:top w:val="nil"/>
              <w:left w:val="nil"/>
              <w:bottom w:val="nil"/>
              <w:right w:val="single" w:sz="8" w:space="0" w:color="auto"/>
            </w:tcBorders>
            <w:shd w:val="clear" w:color="000000" w:fill="FFFFFF"/>
            <w:noWrap/>
            <w:vAlign w:val="center"/>
            <w:hideMark/>
          </w:tcPr>
          <w:p w14:paraId="5602354F"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More than 10</w:t>
            </w:r>
          </w:p>
        </w:tc>
        <w:tc>
          <w:tcPr>
            <w:tcW w:w="720" w:type="dxa"/>
            <w:tcBorders>
              <w:top w:val="nil"/>
              <w:left w:val="nil"/>
              <w:bottom w:val="nil"/>
              <w:right w:val="nil"/>
            </w:tcBorders>
            <w:shd w:val="clear" w:color="000000" w:fill="FFFFFF"/>
            <w:noWrap/>
            <w:vAlign w:val="center"/>
            <w:hideMark/>
          </w:tcPr>
          <w:p w14:paraId="2DC40E03" w14:textId="77777777" w:rsidR="00260D4C" w:rsidRPr="00AE5676" w:rsidRDefault="00260D4C" w:rsidP="00E56366">
            <w:pPr>
              <w:tabs>
                <w:tab w:val="decimal" w:pos="386"/>
              </w:tabs>
              <w:spacing w:after="0" w:line="240" w:lineRule="auto"/>
              <w:jc w:val="center"/>
              <w:rPr>
                <w:rFonts w:eastAsia="Times New Roman"/>
                <w:color w:val="000000"/>
                <w:sz w:val="20"/>
                <w:szCs w:val="20"/>
              </w:rPr>
            </w:pPr>
            <w:r w:rsidRPr="00AE5676">
              <w:rPr>
                <w:color w:val="000000"/>
                <w:sz w:val="20"/>
                <w:szCs w:val="20"/>
              </w:rPr>
              <w:t>434</w:t>
            </w:r>
          </w:p>
        </w:tc>
        <w:tc>
          <w:tcPr>
            <w:tcW w:w="1110" w:type="dxa"/>
            <w:tcBorders>
              <w:top w:val="nil"/>
              <w:left w:val="nil"/>
              <w:bottom w:val="nil"/>
              <w:right w:val="single" w:sz="8" w:space="0" w:color="auto"/>
            </w:tcBorders>
            <w:shd w:val="clear" w:color="000000" w:fill="FFFFFF"/>
            <w:noWrap/>
            <w:vAlign w:val="center"/>
            <w:hideMark/>
          </w:tcPr>
          <w:p w14:paraId="555A5BA9"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3.48</w:t>
            </w:r>
          </w:p>
        </w:tc>
        <w:tc>
          <w:tcPr>
            <w:tcW w:w="1080" w:type="dxa"/>
            <w:tcBorders>
              <w:top w:val="nil"/>
              <w:left w:val="nil"/>
              <w:bottom w:val="nil"/>
              <w:right w:val="nil"/>
            </w:tcBorders>
            <w:shd w:val="clear" w:color="000000" w:fill="FFFFFF"/>
            <w:noWrap/>
            <w:vAlign w:val="center"/>
            <w:hideMark/>
          </w:tcPr>
          <w:p w14:paraId="067B42AE"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3.16</w:t>
            </w:r>
          </w:p>
        </w:tc>
        <w:tc>
          <w:tcPr>
            <w:tcW w:w="820" w:type="dxa"/>
            <w:tcBorders>
              <w:top w:val="nil"/>
              <w:left w:val="nil"/>
              <w:bottom w:val="nil"/>
              <w:right w:val="single" w:sz="8" w:space="0" w:color="auto"/>
            </w:tcBorders>
            <w:shd w:val="clear" w:color="000000" w:fill="FFFFFF"/>
            <w:noWrap/>
            <w:vAlign w:val="center"/>
            <w:hideMark/>
          </w:tcPr>
          <w:p w14:paraId="41B9D059"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9.28</w:t>
            </w:r>
          </w:p>
        </w:tc>
        <w:tc>
          <w:tcPr>
            <w:tcW w:w="1093" w:type="dxa"/>
            <w:tcBorders>
              <w:top w:val="nil"/>
              <w:left w:val="nil"/>
              <w:bottom w:val="nil"/>
              <w:right w:val="nil"/>
            </w:tcBorders>
            <w:shd w:val="clear" w:color="000000" w:fill="FFFFFF"/>
            <w:noWrap/>
            <w:vAlign w:val="center"/>
            <w:hideMark/>
          </w:tcPr>
          <w:p w14:paraId="107AB695"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3.37</w:t>
            </w:r>
          </w:p>
        </w:tc>
        <w:tc>
          <w:tcPr>
            <w:tcW w:w="887" w:type="dxa"/>
            <w:tcBorders>
              <w:top w:val="nil"/>
              <w:left w:val="nil"/>
              <w:bottom w:val="nil"/>
              <w:right w:val="single" w:sz="12" w:space="0" w:color="auto"/>
            </w:tcBorders>
            <w:shd w:val="clear" w:color="000000" w:fill="FFFFFF"/>
            <w:noWrap/>
            <w:vAlign w:val="center"/>
            <w:hideMark/>
          </w:tcPr>
          <w:p w14:paraId="4EBB3A36"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3.15</w:t>
            </w:r>
          </w:p>
        </w:tc>
      </w:tr>
      <w:tr w:rsidR="00260D4C" w:rsidRPr="00AE5676" w14:paraId="3BC12E01" w14:textId="77777777" w:rsidTr="00E56366">
        <w:trPr>
          <w:gridAfter w:val="1"/>
          <w:wAfter w:w="6" w:type="dxa"/>
          <w:trHeight w:val="20"/>
          <w:jc w:val="center"/>
        </w:trPr>
        <w:tc>
          <w:tcPr>
            <w:tcW w:w="1128" w:type="dxa"/>
            <w:tcBorders>
              <w:top w:val="nil"/>
              <w:left w:val="single" w:sz="12" w:space="0" w:color="auto"/>
              <w:bottom w:val="nil"/>
              <w:right w:val="nil"/>
            </w:tcBorders>
            <w:shd w:val="clear" w:color="000000" w:fill="FFFFFF"/>
            <w:noWrap/>
            <w:vAlign w:val="center"/>
            <w:hideMark/>
          </w:tcPr>
          <w:p w14:paraId="5CD14281"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No</w:t>
            </w:r>
          </w:p>
        </w:tc>
        <w:tc>
          <w:tcPr>
            <w:tcW w:w="1061" w:type="dxa"/>
            <w:tcBorders>
              <w:top w:val="nil"/>
              <w:left w:val="nil"/>
              <w:bottom w:val="nil"/>
              <w:right w:val="nil"/>
            </w:tcBorders>
            <w:shd w:val="clear" w:color="000000" w:fill="FFFFFF"/>
            <w:noWrap/>
            <w:vAlign w:val="center"/>
            <w:hideMark/>
          </w:tcPr>
          <w:p w14:paraId="62F13763"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0 days</w:t>
            </w:r>
          </w:p>
        </w:tc>
        <w:tc>
          <w:tcPr>
            <w:tcW w:w="1356" w:type="dxa"/>
            <w:tcBorders>
              <w:top w:val="nil"/>
              <w:left w:val="nil"/>
              <w:bottom w:val="nil"/>
              <w:right w:val="single" w:sz="8" w:space="0" w:color="auto"/>
            </w:tcBorders>
            <w:shd w:val="clear" w:color="000000" w:fill="FFFFFF"/>
            <w:noWrap/>
            <w:vAlign w:val="center"/>
            <w:hideMark/>
          </w:tcPr>
          <w:p w14:paraId="5AE6B9B7"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0</w:t>
            </w:r>
          </w:p>
        </w:tc>
        <w:tc>
          <w:tcPr>
            <w:tcW w:w="720" w:type="dxa"/>
            <w:tcBorders>
              <w:top w:val="nil"/>
              <w:left w:val="nil"/>
              <w:bottom w:val="nil"/>
              <w:right w:val="nil"/>
            </w:tcBorders>
            <w:shd w:val="clear" w:color="000000" w:fill="FFFFFF"/>
            <w:noWrap/>
            <w:vAlign w:val="center"/>
            <w:hideMark/>
          </w:tcPr>
          <w:p w14:paraId="606F78C5" w14:textId="77777777" w:rsidR="00260D4C" w:rsidRPr="00AE5676" w:rsidRDefault="00260D4C" w:rsidP="00E56366">
            <w:pPr>
              <w:tabs>
                <w:tab w:val="decimal" w:pos="386"/>
              </w:tabs>
              <w:spacing w:after="0" w:line="240" w:lineRule="auto"/>
              <w:jc w:val="center"/>
              <w:rPr>
                <w:rFonts w:eastAsia="Times New Roman"/>
                <w:color w:val="000000"/>
                <w:sz w:val="20"/>
                <w:szCs w:val="20"/>
              </w:rPr>
            </w:pPr>
            <w:r w:rsidRPr="00AE5676">
              <w:rPr>
                <w:color w:val="000000"/>
                <w:sz w:val="20"/>
                <w:szCs w:val="20"/>
              </w:rPr>
              <w:t>783</w:t>
            </w:r>
          </w:p>
        </w:tc>
        <w:tc>
          <w:tcPr>
            <w:tcW w:w="1110" w:type="dxa"/>
            <w:tcBorders>
              <w:top w:val="nil"/>
              <w:left w:val="nil"/>
              <w:bottom w:val="nil"/>
              <w:right w:val="single" w:sz="8" w:space="0" w:color="auto"/>
            </w:tcBorders>
            <w:shd w:val="clear" w:color="000000" w:fill="FFFFFF"/>
            <w:noWrap/>
            <w:vAlign w:val="center"/>
            <w:hideMark/>
          </w:tcPr>
          <w:p w14:paraId="2F790EDC"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6.28</w:t>
            </w:r>
          </w:p>
        </w:tc>
        <w:tc>
          <w:tcPr>
            <w:tcW w:w="1080" w:type="dxa"/>
            <w:tcBorders>
              <w:top w:val="nil"/>
              <w:left w:val="nil"/>
              <w:bottom w:val="nil"/>
              <w:right w:val="nil"/>
            </w:tcBorders>
            <w:shd w:val="clear" w:color="000000" w:fill="FFFFFF"/>
            <w:noWrap/>
            <w:vAlign w:val="center"/>
            <w:hideMark/>
          </w:tcPr>
          <w:p w14:paraId="523BD9F9"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6.70</w:t>
            </w:r>
          </w:p>
        </w:tc>
        <w:tc>
          <w:tcPr>
            <w:tcW w:w="820" w:type="dxa"/>
            <w:tcBorders>
              <w:top w:val="nil"/>
              <w:left w:val="nil"/>
              <w:bottom w:val="nil"/>
              <w:right w:val="single" w:sz="8" w:space="0" w:color="auto"/>
            </w:tcBorders>
            <w:shd w:val="clear" w:color="000000" w:fill="FFFFFF"/>
            <w:noWrap/>
            <w:vAlign w:val="center"/>
            <w:hideMark/>
          </w:tcPr>
          <w:p w14:paraId="5D260D4E"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6.69</w:t>
            </w:r>
          </w:p>
        </w:tc>
        <w:tc>
          <w:tcPr>
            <w:tcW w:w="1093" w:type="dxa"/>
            <w:tcBorders>
              <w:top w:val="nil"/>
              <w:left w:val="nil"/>
              <w:bottom w:val="nil"/>
              <w:right w:val="nil"/>
            </w:tcBorders>
            <w:shd w:val="clear" w:color="000000" w:fill="FFFFFF"/>
            <w:noWrap/>
            <w:vAlign w:val="center"/>
            <w:hideMark/>
          </w:tcPr>
          <w:p w14:paraId="17D9601A"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5.41</w:t>
            </w:r>
          </w:p>
        </w:tc>
        <w:tc>
          <w:tcPr>
            <w:tcW w:w="887" w:type="dxa"/>
            <w:tcBorders>
              <w:top w:val="nil"/>
              <w:left w:val="nil"/>
              <w:bottom w:val="nil"/>
              <w:right w:val="single" w:sz="12" w:space="0" w:color="auto"/>
            </w:tcBorders>
            <w:shd w:val="clear" w:color="000000" w:fill="FFFFFF"/>
            <w:noWrap/>
            <w:vAlign w:val="center"/>
            <w:hideMark/>
          </w:tcPr>
          <w:p w14:paraId="0948751A"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13.82</w:t>
            </w:r>
          </w:p>
        </w:tc>
      </w:tr>
      <w:tr w:rsidR="00260D4C" w:rsidRPr="00AE5676" w14:paraId="1762CB35" w14:textId="77777777" w:rsidTr="00E56366">
        <w:trPr>
          <w:gridAfter w:val="1"/>
          <w:wAfter w:w="6" w:type="dxa"/>
          <w:trHeight w:val="20"/>
          <w:jc w:val="center"/>
        </w:trPr>
        <w:tc>
          <w:tcPr>
            <w:tcW w:w="1128" w:type="dxa"/>
            <w:tcBorders>
              <w:top w:val="nil"/>
              <w:left w:val="single" w:sz="12" w:space="0" w:color="auto"/>
              <w:bottom w:val="nil"/>
              <w:right w:val="nil"/>
            </w:tcBorders>
            <w:shd w:val="clear" w:color="000000" w:fill="FFFFFF"/>
            <w:noWrap/>
            <w:vAlign w:val="center"/>
            <w:hideMark/>
          </w:tcPr>
          <w:p w14:paraId="7D0EA1BE"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No</w:t>
            </w:r>
          </w:p>
        </w:tc>
        <w:tc>
          <w:tcPr>
            <w:tcW w:w="1061" w:type="dxa"/>
            <w:tcBorders>
              <w:top w:val="nil"/>
              <w:left w:val="nil"/>
              <w:bottom w:val="nil"/>
              <w:right w:val="nil"/>
            </w:tcBorders>
            <w:shd w:val="clear" w:color="000000" w:fill="FFFFFF"/>
            <w:noWrap/>
            <w:vAlign w:val="center"/>
            <w:hideMark/>
          </w:tcPr>
          <w:p w14:paraId="355FFDDF"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0 days</w:t>
            </w:r>
          </w:p>
        </w:tc>
        <w:tc>
          <w:tcPr>
            <w:tcW w:w="1356" w:type="dxa"/>
            <w:tcBorders>
              <w:top w:val="nil"/>
              <w:left w:val="nil"/>
              <w:bottom w:val="nil"/>
              <w:right w:val="single" w:sz="8" w:space="0" w:color="auto"/>
            </w:tcBorders>
            <w:shd w:val="clear" w:color="000000" w:fill="FFFFFF"/>
            <w:noWrap/>
            <w:vAlign w:val="center"/>
            <w:hideMark/>
          </w:tcPr>
          <w:p w14:paraId="3E9B13A0"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1-5</w:t>
            </w:r>
          </w:p>
        </w:tc>
        <w:tc>
          <w:tcPr>
            <w:tcW w:w="720" w:type="dxa"/>
            <w:tcBorders>
              <w:top w:val="nil"/>
              <w:left w:val="nil"/>
              <w:bottom w:val="nil"/>
              <w:right w:val="nil"/>
            </w:tcBorders>
            <w:shd w:val="clear" w:color="000000" w:fill="FFFFFF"/>
            <w:noWrap/>
            <w:vAlign w:val="center"/>
            <w:hideMark/>
          </w:tcPr>
          <w:p w14:paraId="5E4CC321" w14:textId="77777777" w:rsidR="00260D4C" w:rsidRPr="00AE5676" w:rsidRDefault="00260D4C" w:rsidP="00E56366">
            <w:pPr>
              <w:tabs>
                <w:tab w:val="decimal" w:pos="386"/>
              </w:tabs>
              <w:spacing w:after="0" w:line="240" w:lineRule="auto"/>
              <w:jc w:val="center"/>
              <w:rPr>
                <w:rFonts w:eastAsia="Times New Roman"/>
                <w:color w:val="000000"/>
                <w:sz w:val="20"/>
                <w:szCs w:val="20"/>
              </w:rPr>
            </w:pPr>
            <w:r w:rsidRPr="00AE5676">
              <w:rPr>
                <w:color w:val="000000"/>
                <w:sz w:val="20"/>
                <w:szCs w:val="20"/>
              </w:rPr>
              <w:t>1405</w:t>
            </w:r>
          </w:p>
        </w:tc>
        <w:tc>
          <w:tcPr>
            <w:tcW w:w="1110" w:type="dxa"/>
            <w:tcBorders>
              <w:top w:val="nil"/>
              <w:left w:val="nil"/>
              <w:bottom w:val="nil"/>
              <w:right w:val="single" w:sz="8" w:space="0" w:color="auto"/>
            </w:tcBorders>
            <w:shd w:val="clear" w:color="000000" w:fill="FFFFFF"/>
            <w:noWrap/>
            <w:vAlign w:val="center"/>
            <w:hideMark/>
          </w:tcPr>
          <w:p w14:paraId="41E6B94E"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11.27</w:t>
            </w:r>
          </w:p>
        </w:tc>
        <w:tc>
          <w:tcPr>
            <w:tcW w:w="1080" w:type="dxa"/>
            <w:tcBorders>
              <w:top w:val="nil"/>
              <w:left w:val="nil"/>
              <w:bottom w:val="nil"/>
              <w:right w:val="nil"/>
            </w:tcBorders>
            <w:shd w:val="clear" w:color="000000" w:fill="FFFFFF"/>
            <w:noWrap/>
            <w:vAlign w:val="center"/>
            <w:hideMark/>
          </w:tcPr>
          <w:p w14:paraId="4B5FC9E4"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11.21</w:t>
            </w:r>
          </w:p>
        </w:tc>
        <w:tc>
          <w:tcPr>
            <w:tcW w:w="820" w:type="dxa"/>
            <w:tcBorders>
              <w:top w:val="nil"/>
              <w:left w:val="nil"/>
              <w:bottom w:val="nil"/>
              <w:right w:val="single" w:sz="8" w:space="0" w:color="auto"/>
            </w:tcBorders>
            <w:shd w:val="clear" w:color="000000" w:fill="FFFFFF"/>
            <w:noWrap/>
            <w:vAlign w:val="center"/>
            <w:hideMark/>
          </w:tcPr>
          <w:p w14:paraId="34D10087"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0.50</w:t>
            </w:r>
          </w:p>
        </w:tc>
        <w:tc>
          <w:tcPr>
            <w:tcW w:w="1093" w:type="dxa"/>
            <w:tcBorders>
              <w:top w:val="nil"/>
              <w:left w:val="nil"/>
              <w:bottom w:val="nil"/>
              <w:right w:val="nil"/>
            </w:tcBorders>
            <w:shd w:val="clear" w:color="000000" w:fill="FFFFFF"/>
            <w:noWrap/>
            <w:vAlign w:val="center"/>
            <w:hideMark/>
          </w:tcPr>
          <w:p w14:paraId="510E0692"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10.32</w:t>
            </w:r>
          </w:p>
        </w:tc>
        <w:tc>
          <w:tcPr>
            <w:tcW w:w="887" w:type="dxa"/>
            <w:tcBorders>
              <w:top w:val="nil"/>
              <w:left w:val="nil"/>
              <w:bottom w:val="nil"/>
              <w:right w:val="single" w:sz="12" w:space="0" w:color="auto"/>
            </w:tcBorders>
            <w:shd w:val="clear" w:color="000000" w:fill="FFFFFF"/>
            <w:noWrap/>
            <w:vAlign w:val="center"/>
            <w:hideMark/>
          </w:tcPr>
          <w:p w14:paraId="221EEC7A"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8.38</w:t>
            </w:r>
          </w:p>
        </w:tc>
      </w:tr>
      <w:tr w:rsidR="00260D4C" w:rsidRPr="00AE5676" w14:paraId="46AA5E19" w14:textId="77777777" w:rsidTr="00E56366">
        <w:trPr>
          <w:gridAfter w:val="1"/>
          <w:wAfter w:w="6" w:type="dxa"/>
          <w:trHeight w:val="20"/>
          <w:jc w:val="center"/>
        </w:trPr>
        <w:tc>
          <w:tcPr>
            <w:tcW w:w="1128" w:type="dxa"/>
            <w:tcBorders>
              <w:top w:val="nil"/>
              <w:left w:val="single" w:sz="12" w:space="0" w:color="auto"/>
              <w:bottom w:val="nil"/>
              <w:right w:val="nil"/>
            </w:tcBorders>
            <w:shd w:val="clear" w:color="000000" w:fill="FFFFFF"/>
            <w:noWrap/>
            <w:vAlign w:val="center"/>
            <w:hideMark/>
          </w:tcPr>
          <w:p w14:paraId="441A5D49"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No</w:t>
            </w:r>
          </w:p>
        </w:tc>
        <w:tc>
          <w:tcPr>
            <w:tcW w:w="1061" w:type="dxa"/>
            <w:tcBorders>
              <w:top w:val="nil"/>
              <w:left w:val="nil"/>
              <w:bottom w:val="nil"/>
              <w:right w:val="nil"/>
            </w:tcBorders>
            <w:shd w:val="clear" w:color="000000" w:fill="FFFFFF"/>
            <w:noWrap/>
            <w:vAlign w:val="center"/>
            <w:hideMark/>
          </w:tcPr>
          <w:p w14:paraId="427999BA"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0 days</w:t>
            </w:r>
          </w:p>
        </w:tc>
        <w:tc>
          <w:tcPr>
            <w:tcW w:w="1356" w:type="dxa"/>
            <w:tcBorders>
              <w:top w:val="nil"/>
              <w:left w:val="nil"/>
              <w:bottom w:val="nil"/>
              <w:right w:val="single" w:sz="8" w:space="0" w:color="auto"/>
            </w:tcBorders>
            <w:shd w:val="clear" w:color="000000" w:fill="FFFFFF"/>
            <w:noWrap/>
            <w:vAlign w:val="center"/>
            <w:hideMark/>
          </w:tcPr>
          <w:p w14:paraId="4E0B571A"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6-10</w:t>
            </w:r>
          </w:p>
        </w:tc>
        <w:tc>
          <w:tcPr>
            <w:tcW w:w="720" w:type="dxa"/>
            <w:tcBorders>
              <w:top w:val="nil"/>
              <w:left w:val="nil"/>
              <w:bottom w:val="nil"/>
              <w:right w:val="nil"/>
            </w:tcBorders>
            <w:shd w:val="clear" w:color="000000" w:fill="FFFFFF"/>
            <w:noWrap/>
            <w:vAlign w:val="center"/>
            <w:hideMark/>
          </w:tcPr>
          <w:p w14:paraId="241954D1" w14:textId="77777777" w:rsidR="00260D4C" w:rsidRPr="00AE5676" w:rsidRDefault="00260D4C" w:rsidP="00E56366">
            <w:pPr>
              <w:tabs>
                <w:tab w:val="decimal" w:pos="386"/>
              </w:tabs>
              <w:spacing w:after="0" w:line="240" w:lineRule="auto"/>
              <w:jc w:val="center"/>
              <w:rPr>
                <w:rFonts w:eastAsia="Times New Roman"/>
                <w:color w:val="000000"/>
                <w:sz w:val="20"/>
                <w:szCs w:val="20"/>
              </w:rPr>
            </w:pPr>
            <w:r w:rsidRPr="00AE5676">
              <w:rPr>
                <w:color w:val="000000"/>
                <w:sz w:val="20"/>
                <w:szCs w:val="20"/>
              </w:rPr>
              <w:t>602</w:t>
            </w:r>
          </w:p>
        </w:tc>
        <w:tc>
          <w:tcPr>
            <w:tcW w:w="1110" w:type="dxa"/>
            <w:tcBorders>
              <w:top w:val="nil"/>
              <w:left w:val="nil"/>
              <w:bottom w:val="nil"/>
              <w:right w:val="single" w:sz="8" w:space="0" w:color="auto"/>
            </w:tcBorders>
            <w:shd w:val="clear" w:color="000000" w:fill="FFFFFF"/>
            <w:noWrap/>
            <w:vAlign w:val="center"/>
            <w:hideMark/>
          </w:tcPr>
          <w:p w14:paraId="7AD79DA1"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4.83</w:t>
            </w:r>
          </w:p>
        </w:tc>
        <w:tc>
          <w:tcPr>
            <w:tcW w:w="1080" w:type="dxa"/>
            <w:tcBorders>
              <w:top w:val="nil"/>
              <w:left w:val="nil"/>
              <w:bottom w:val="nil"/>
              <w:right w:val="nil"/>
            </w:tcBorders>
            <w:shd w:val="clear" w:color="000000" w:fill="FFFFFF"/>
            <w:noWrap/>
            <w:vAlign w:val="center"/>
            <w:hideMark/>
          </w:tcPr>
          <w:p w14:paraId="3CC7232C"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4.88</w:t>
            </w:r>
          </w:p>
        </w:tc>
        <w:tc>
          <w:tcPr>
            <w:tcW w:w="820" w:type="dxa"/>
            <w:tcBorders>
              <w:top w:val="nil"/>
              <w:left w:val="nil"/>
              <w:bottom w:val="nil"/>
              <w:right w:val="single" w:sz="8" w:space="0" w:color="auto"/>
            </w:tcBorders>
            <w:shd w:val="clear" w:color="000000" w:fill="FFFFFF"/>
            <w:noWrap/>
            <w:vAlign w:val="center"/>
            <w:hideMark/>
          </w:tcPr>
          <w:p w14:paraId="3E9D2839"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1.16</w:t>
            </w:r>
          </w:p>
        </w:tc>
        <w:tc>
          <w:tcPr>
            <w:tcW w:w="1093" w:type="dxa"/>
            <w:tcBorders>
              <w:top w:val="nil"/>
              <w:left w:val="nil"/>
              <w:bottom w:val="nil"/>
              <w:right w:val="nil"/>
            </w:tcBorders>
            <w:shd w:val="clear" w:color="000000" w:fill="FFFFFF"/>
            <w:noWrap/>
            <w:vAlign w:val="center"/>
            <w:hideMark/>
          </w:tcPr>
          <w:p w14:paraId="2E1CF95C"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5.23</w:t>
            </w:r>
          </w:p>
        </w:tc>
        <w:tc>
          <w:tcPr>
            <w:tcW w:w="887" w:type="dxa"/>
            <w:tcBorders>
              <w:top w:val="nil"/>
              <w:left w:val="nil"/>
              <w:bottom w:val="nil"/>
              <w:right w:val="single" w:sz="12" w:space="0" w:color="auto"/>
            </w:tcBorders>
            <w:shd w:val="clear" w:color="000000" w:fill="FFFFFF"/>
            <w:noWrap/>
            <w:vAlign w:val="center"/>
            <w:hideMark/>
          </w:tcPr>
          <w:p w14:paraId="2897126B"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8.28</w:t>
            </w:r>
          </w:p>
        </w:tc>
      </w:tr>
      <w:tr w:rsidR="00260D4C" w:rsidRPr="00AE5676" w14:paraId="67ADD75C" w14:textId="77777777" w:rsidTr="00E56366">
        <w:trPr>
          <w:gridAfter w:val="1"/>
          <w:wAfter w:w="6" w:type="dxa"/>
          <w:trHeight w:val="20"/>
          <w:jc w:val="center"/>
        </w:trPr>
        <w:tc>
          <w:tcPr>
            <w:tcW w:w="1128" w:type="dxa"/>
            <w:tcBorders>
              <w:top w:val="nil"/>
              <w:left w:val="single" w:sz="12" w:space="0" w:color="auto"/>
              <w:bottom w:val="nil"/>
              <w:right w:val="nil"/>
            </w:tcBorders>
            <w:shd w:val="clear" w:color="000000" w:fill="FFFFFF"/>
            <w:noWrap/>
            <w:vAlign w:val="center"/>
            <w:hideMark/>
          </w:tcPr>
          <w:p w14:paraId="10E8CD03"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No</w:t>
            </w:r>
          </w:p>
        </w:tc>
        <w:tc>
          <w:tcPr>
            <w:tcW w:w="1061" w:type="dxa"/>
            <w:tcBorders>
              <w:top w:val="nil"/>
              <w:left w:val="nil"/>
              <w:bottom w:val="nil"/>
              <w:right w:val="nil"/>
            </w:tcBorders>
            <w:shd w:val="clear" w:color="000000" w:fill="FFFFFF"/>
            <w:noWrap/>
            <w:vAlign w:val="center"/>
            <w:hideMark/>
          </w:tcPr>
          <w:p w14:paraId="4E0D9D18"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0 days</w:t>
            </w:r>
          </w:p>
        </w:tc>
        <w:tc>
          <w:tcPr>
            <w:tcW w:w="1356" w:type="dxa"/>
            <w:tcBorders>
              <w:top w:val="nil"/>
              <w:left w:val="nil"/>
              <w:bottom w:val="nil"/>
              <w:right w:val="single" w:sz="8" w:space="0" w:color="auto"/>
            </w:tcBorders>
            <w:shd w:val="clear" w:color="000000" w:fill="FFFFFF"/>
            <w:noWrap/>
            <w:vAlign w:val="center"/>
            <w:hideMark/>
          </w:tcPr>
          <w:p w14:paraId="7B50739D"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More than 10</w:t>
            </w:r>
          </w:p>
        </w:tc>
        <w:tc>
          <w:tcPr>
            <w:tcW w:w="720" w:type="dxa"/>
            <w:tcBorders>
              <w:top w:val="nil"/>
              <w:left w:val="nil"/>
              <w:bottom w:val="nil"/>
              <w:right w:val="nil"/>
            </w:tcBorders>
            <w:shd w:val="clear" w:color="000000" w:fill="FFFFFF"/>
            <w:noWrap/>
            <w:vAlign w:val="center"/>
            <w:hideMark/>
          </w:tcPr>
          <w:p w14:paraId="58703C54" w14:textId="77777777" w:rsidR="00260D4C" w:rsidRPr="00AE5676" w:rsidRDefault="00260D4C" w:rsidP="00E56366">
            <w:pPr>
              <w:tabs>
                <w:tab w:val="decimal" w:pos="386"/>
              </w:tabs>
              <w:spacing w:after="0" w:line="240" w:lineRule="auto"/>
              <w:jc w:val="center"/>
              <w:rPr>
                <w:rFonts w:eastAsia="Times New Roman"/>
                <w:color w:val="000000"/>
                <w:sz w:val="20"/>
                <w:szCs w:val="20"/>
              </w:rPr>
            </w:pPr>
            <w:r w:rsidRPr="00AE5676">
              <w:rPr>
                <w:color w:val="000000"/>
                <w:sz w:val="20"/>
                <w:szCs w:val="20"/>
              </w:rPr>
              <w:t>438</w:t>
            </w:r>
          </w:p>
        </w:tc>
        <w:tc>
          <w:tcPr>
            <w:tcW w:w="1110" w:type="dxa"/>
            <w:tcBorders>
              <w:top w:val="nil"/>
              <w:left w:val="nil"/>
              <w:bottom w:val="nil"/>
              <w:right w:val="single" w:sz="8" w:space="0" w:color="auto"/>
            </w:tcBorders>
            <w:shd w:val="clear" w:color="000000" w:fill="FFFFFF"/>
            <w:noWrap/>
            <w:vAlign w:val="center"/>
            <w:hideMark/>
          </w:tcPr>
          <w:p w14:paraId="64C74ABD"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3.51</w:t>
            </w:r>
          </w:p>
        </w:tc>
        <w:tc>
          <w:tcPr>
            <w:tcW w:w="1080" w:type="dxa"/>
            <w:tcBorders>
              <w:top w:val="nil"/>
              <w:left w:val="nil"/>
              <w:bottom w:val="nil"/>
              <w:right w:val="nil"/>
            </w:tcBorders>
            <w:shd w:val="clear" w:color="000000" w:fill="FFFFFF"/>
            <w:noWrap/>
            <w:vAlign w:val="center"/>
            <w:hideMark/>
          </w:tcPr>
          <w:p w14:paraId="4C8B27E6"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3.23</w:t>
            </w:r>
          </w:p>
        </w:tc>
        <w:tc>
          <w:tcPr>
            <w:tcW w:w="820" w:type="dxa"/>
            <w:tcBorders>
              <w:top w:val="nil"/>
              <w:left w:val="nil"/>
              <w:bottom w:val="nil"/>
              <w:right w:val="single" w:sz="8" w:space="0" w:color="auto"/>
            </w:tcBorders>
            <w:shd w:val="clear" w:color="000000" w:fill="FFFFFF"/>
            <w:noWrap/>
            <w:vAlign w:val="center"/>
            <w:hideMark/>
          </w:tcPr>
          <w:p w14:paraId="11868A55"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8.03</w:t>
            </w:r>
          </w:p>
        </w:tc>
        <w:tc>
          <w:tcPr>
            <w:tcW w:w="1093" w:type="dxa"/>
            <w:tcBorders>
              <w:top w:val="nil"/>
              <w:left w:val="nil"/>
              <w:bottom w:val="nil"/>
              <w:right w:val="nil"/>
            </w:tcBorders>
            <w:shd w:val="clear" w:color="000000" w:fill="FFFFFF"/>
            <w:noWrap/>
            <w:vAlign w:val="center"/>
            <w:hideMark/>
          </w:tcPr>
          <w:p w14:paraId="7175A84E"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4.20</w:t>
            </w:r>
          </w:p>
        </w:tc>
        <w:tc>
          <w:tcPr>
            <w:tcW w:w="887" w:type="dxa"/>
            <w:tcBorders>
              <w:top w:val="nil"/>
              <w:left w:val="nil"/>
              <w:bottom w:val="nil"/>
              <w:right w:val="single" w:sz="12" w:space="0" w:color="auto"/>
            </w:tcBorders>
            <w:shd w:val="clear" w:color="000000" w:fill="FFFFFF"/>
            <w:noWrap/>
            <w:vAlign w:val="center"/>
            <w:hideMark/>
          </w:tcPr>
          <w:p w14:paraId="49C6B8D6"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19.55</w:t>
            </w:r>
          </w:p>
        </w:tc>
      </w:tr>
      <w:tr w:rsidR="00260D4C" w:rsidRPr="00AE5676" w14:paraId="63FABB92" w14:textId="77777777" w:rsidTr="00E56366">
        <w:trPr>
          <w:gridAfter w:val="1"/>
          <w:wAfter w:w="6" w:type="dxa"/>
          <w:trHeight w:val="20"/>
          <w:jc w:val="center"/>
        </w:trPr>
        <w:tc>
          <w:tcPr>
            <w:tcW w:w="1128" w:type="dxa"/>
            <w:tcBorders>
              <w:top w:val="nil"/>
              <w:left w:val="single" w:sz="12" w:space="0" w:color="auto"/>
              <w:bottom w:val="nil"/>
              <w:right w:val="nil"/>
            </w:tcBorders>
            <w:shd w:val="clear" w:color="000000" w:fill="FFFFFF"/>
            <w:noWrap/>
            <w:vAlign w:val="center"/>
            <w:hideMark/>
          </w:tcPr>
          <w:p w14:paraId="132BDAA9"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No</w:t>
            </w:r>
          </w:p>
        </w:tc>
        <w:tc>
          <w:tcPr>
            <w:tcW w:w="1061" w:type="dxa"/>
            <w:tcBorders>
              <w:top w:val="nil"/>
              <w:left w:val="nil"/>
              <w:bottom w:val="nil"/>
              <w:right w:val="nil"/>
            </w:tcBorders>
            <w:shd w:val="clear" w:color="000000" w:fill="FFFFFF"/>
            <w:noWrap/>
            <w:vAlign w:val="center"/>
            <w:hideMark/>
          </w:tcPr>
          <w:p w14:paraId="14705100"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1-2 days</w:t>
            </w:r>
          </w:p>
        </w:tc>
        <w:tc>
          <w:tcPr>
            <w:tcW w:w="1356" w:type="dxa"/>
            <w:tcBorders>
              <w:top w:val="nil"/>
              <w:left w:val="nil"/>
              <w:bottom w:val="nil"/>
              <w:right w:val="single" w:sz="8" w:space="0" w:color="auto"/>
            </w:tcBorders>
            <w:shd w:val="clear" w:color="000000" w:fill="FFFFFF"/>
            <w:noWrap/>
            <w:vAlign w:val="center"/>
            <w:hideMark/>
          </w:tcPr>
          <w:p w14:paraId="33E02B0B"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0</w:t>
            </w:r>
          </w:p>
        </w:tc>
        <w:tc>
          <w:tcPr>
            <w:tcW w:w="720" w:type="dxa"/>
            <w:tcBorders>
              <w:top w:val="nil"/>
              <w:left w:val="nil"/>
              <w:bottom w:val="nil"/>
              <w:right w:val="nil"/>
            </w:tcBorders>
            <w:shd w:val="clear" w:color="000000" w:fill="FFFFFF"/>
            <w:noWrap/>
            <w:vAlign w:val="center"/>
            <w:hideMark/>
          </w:tcPr>
          <w:p w14:paraId="39E007C2" w14:textId="77777777" w:rsidR="00260D4C" w:rsidRPr="00AE5676" w:rsidRDefault="00260D4C" w:rsidP="00E56366">
            <w:pPr>
              <w:tabs>
                <w:tab w:val="decimal" w:pos="386"/>
              </w:tabs>
              <w:spacing w:after="0" w:line="240" w:lineRule="auto"/>
              <w:jc w:val="center"/>
              <w:rPr>
                <w:rFonts w:eastAsia="Times New Roman"/>
                <w:color w:val="000000"/>
                <w:sz w:val="20"/>
                <w:szCs w:val="20"/>
              </w:rPr>
            </w:pPr>
            <w:r w:rsidRPr="00AE5676">
              <w:rPr>
                <w:color w:val="000000"/>
                <w:sz w:val="20"/>
                <w:szCs w:val="20"/>
              </w:rPr>
              <w:t>86</w:t>
            </w:r>
          </w:p>
        </w:tc>
        <w:tc>
          <w:tcPr>
            <w:tcW w:w="1110" w:type="dxa"/>
            <w:tcBorders>
              <w:top w:val="nil"/>
              <w:left w:val="nil"/>
              <w:bottom w:val="nil"/>
              <w:right w:val="single" w:sz="8" w:space="0" w:color="auto"/>
            </w:tcBorders>
            <w:shd w:val="clear" w:color="000000" w:fill="FFFFFF"/>
            <w:noWrap/>
            <w:vAlign w:val="center"/>
            <w:hideMark/>
          </w:tcPr>
          <w:p w14:paraId="6296713F"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0.69</w:t>
            </w:r>
          </w:p>
        </w:tc>
        <w:tc>
          <w:tcPr>
            <w:tcW w:w="1080" w:type="dxa"/>
            <w:tcBorders>
              <w:top w:val="nil"/>
              <w:left w:val="nil"/>
              <w:bottom w:val="nil"/>
              <w:right w:val="nil"/>
            </w:tcBorders>
            <w:shd w:val="clear" w:color="000000" w:fill="FFFFFF"/>
            <w:noWrap/>
            <w:vAlign w:val="center"/>
            <w:hideMark/>
          </w:tcPr>
          <w:p w14:paraId="40835A93"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0.77</w:t>
            </w:r>
          </w:p>
        </w:tc>
        <w:tc>
          <w:tcPr>
            <w:tcW w:w="820" w:type="dxa"/>
            <w:tcBorders>
              <w:top w:val="nil"/>
              <w:left w:val="nil"/>
              <w:bottom w:val="nil"/>
              <w:right w:val="single" w:sz="8" w:space="0" w:color="auto"/>
            </w:tcBorders>
            <w:shd w:val="clear" w:color="000000" w:fill="FFFFFF"/>
            <w:noWrap/>
            <w:vAlign w:val="center"/>
            <w:hideMark/>
          </w:tcPr>
          <w:p w14:paraId="0A368755"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11.61</w:t>
            </w:r>
          </w:p>
        </w:tc>
        <w:tc>
          <w:tcPr>
            <w:tcW w:w="1093" w:type="dxa"/>
            <w:tcBorders>
              <w:top w:val="nil"/>
              <w:left w:val="nil"/>
              <w:bottom w:val="nil"/>
              <w:right w:val="nil"/>
            </w:tcBorders>
            <w:shd w:val="clear" w:color="000000" w:fill="FFFFFF"/>
            <w:noWrap/>
            <w:vAlign w:val="center"/>
            <w:hideMark/>
          </w:tcPr>
          <w:p w14:paraId="68F277C2"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1.05</w:t>
            </w:r>
          </w:p>
        </w:tc>
        <w:tc>
          <w:tcPr>
            <w:tcW w:w="887" w:type="dxa"/>
            <w:tcBorders>
              <w:top w:val="nil"/>
              <w:left w:val="nil"/>
              <w:bottom w:val="nil"/>
              <w:right w:val="single" w:sz="12" w:space="0" w:color="auto"/>
            </w:tcBorders>
            <w:shd w:val="clear" w:color="000000" w:fill="FFFFFF"/>
            <w:noWrap/>
            <w:vAlign w:val="center"/>
            <w:hideMark/>
          </w:tcPr>
          <w:p w14:paraId="38E929F0"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52.17</w:t>
            </w:r>
          </w:p>
        </w:tc>
      </w:tr>
      <w:tr w:rsidR="00260D4C" w:rsidRPr="00AE5676" w14:paraId="1593BDB8" w14:textId="77777777" w:rsidTr="00E56366">
        <w:trPr>
          <w:gridAfter w:val="1"/>
          <w:wAfter w:w="6" w:type="dxa"/>
          <w:trHeight w:val="20"/>
          <w:jc w:val="center"/>
        </w:trPr>
        <w:tc>
          <w:tcPr>
            <w:tcW w:w="1128" w:type="dxa"/>
            <w:tcBorders>
              <w:top w:val="nil"/>
              <w:left w:val="single" w:sz="12" w:space="0" w:color="auto"/>
              <w:bottom w:val="nil"/>
              <w:right w:val="nil"/>
            </w:tcBorders>
            <w:shd w:val="clear" w:color="000000" w:fill="FFFFFF"/>
            <w:noWrap/>
            <w:vAlign w:val="center"/>
            <w:hideMark/>
          </w:tcPr>
          <w:p w14:paraId="24FAB2A6"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No</w:t>
            </w:r>
          </w:p>
        </w:tc>
        <w:tc>
          <w:tcPr>
            <w:tcW w:w="1061" w:type="dxa"/>
            <w:tcBorders>
              <w:top w:val="nil"/>
              <w:left w:val="nil"/>
              <w:bottom w:val="nil"/>
              <w:right w:val="nil"/>
            </w:tcBorders>
            <w:shd w:val="clear" w:color="000000" w:fill="FFFFFF"/>
            <w:noWrap/>
            <w:vAlign w:val="center"/>
            <w:hideMark/>
          </w:tcPr>
          <w:p w14:paraId="40A43F47"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1-2 days</w:t>
            </w:r>
          </w:p>
        </w:tc>
        <w:tc>
          <w:tcPr>
            <w:tcW w:w="1356" w:type="dxa"/>
            <w:tcBorders>
              <w:top w:val="nil"/>
              <w:left w:val="nil"/>
              <w:bottom w:val="nil"/>
              <w:right w:val="single" w:sz="8" w:space="0" w:color="auto"/>
            </w:tcBorders>
            <w:shd w:val="clear" w:color="000000" w:fill="FFFFFF"/>
            <w:noWrap/>
            <w:vAlign w:val="center"/>
            <w:hideMark/>
          </w:tcPr>
          <w:p w14:paraId="781C70BD"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1-5</w:t>
            </w:r>
          </w:p>
        </w:tc>
        <w:tc>
          <w:tcPr>
            <w:tcW w:w="720" w:type="dxa"/>
            <w:tcBorders>
              <w:top w:val="nil"/>
              <w:left w:val="nil"/>
              <w:bottom w:val="nil"/>
              <w:right w:val="nil"/>
            </w:tcBorders>
            <w:shd w:val="clear" w:color="000000" w:fill="FFFFFF"/>
            <w:noWrap/>
            <w:vAlign w:val="center"/>
            <w:hideMark/>
          </w:tcPr>
          <w:p w14:paraId="761DFCB7" w14:textId="77777777" w:rsidR="00260D4C" w:rsidRPr="00AE5676" w:rsidRDefault="00260D4C" w:rsidP="00E56366">
            <w:pPr>
              <w:tabs>
                <w:tab w:val="decimal" w:pos="386"/>
              </w:tabs>
              <w:spacing w:after="0" w:line="240" w:lineRule="auto"/>
              <w:jc w:val="center"/>
              <w:rPr>
                <w:rFonts w:eastAsia="Times New Roman"/>
                <w:color w:val="000000"/>
                <w:sz w:val="20"/>
                <w:szCs w:val="20"/>
              </w:rPr>
            </w:pPr>
            <w:r w:rsidRPr="00AE5676">
              <w:rPr>
                <w:color w:val="000000"/>
                <w:sz w:val="20"/>
                <w:szCs w:val="20"/>
              </w:rPr>
              <w:t>307</w:t>
            </w:r>
          </w:p>
        </w:tc>
        <w:tc>
          <w:tcPr>
            <w:tcW w:w="1110" w:type="dxa"/>
            <w:tcBorders>
              <w:top w:val="nil"/>
              <w:left w:val="nil"/>
              <w:bottom w:val="nil"/>
              <w:right w:val="single" w:sz="8" w:space="0" w:color="auto"/>
            </w:tcBorders>
            <w:shd w:val="clear" w:color="000000" w:fill="FFFFFF"/>
            <w:noWrap/>
            <w:vAlign w:val="center"/>
            <w:hideMark/>
          </w:tcPr>
          <w:p w14:paraId="7774F4A2"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2.46</w:t>
            </w:r>
          </w:p>
        </w:tc>
        <w:tc>
          <w:tcPr>
            <w:tcW w:w="1080" w:type="dxa"/>
            <w:tcBorders>
              <w:top w:val="nil"/>
              <w:left w:val="nil"/>
              <w:bottom w:val="nil"/>
              <w:right w:val="nil"/>
            </w:tcBorders>
            <w:shd w:val="clear" w:color="000000" w:fill="FFFFFF"/>
            <w:noWrap/>
            <w:vAlign w:val="center"/>
            <w:hideMark/>
          </w:tcPr>
          <w:p w14:paraId="5CD9EA4E"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2.74</w:t>
            </w:r>
          </w:p>
        </w:tc>
        <w:tc>
          <w:tcPr>
            <w:tcW w:w="820" w:type="dxa"/>
            <w:tcBorders>
              <w:top w:val="nil"/>
              <w:left w:val="nil"/>
              <w:bottom w:val="nil"/>
              <w:right w:val="single" w:sz="8" w:space="0" w:color="auto"/>
            </w:tcBorders>
            <w:shd w:val="clear" w:color="000000" w:fill="FFFFFF"/>
            <w:noWrap/>
            <w:vAlign w:val="center"/>
            <w:hideMark/>
          </w:tcPr>
          <w:p w14:paraId="2EFE8B21"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11.34</w:t>
            </w:r>
          </w:p>
        </w:tc>
        <w:tc>
          <w:tcPr>
            <w:tcW w:w="1093" w:type="dxa"/>
            <w:tcBorders>
              <w:top w:val="nil"/>
              <w:left w:val="nil"/>
              <w:bottom w:val="nil"/>
              <w:right w:val="nil"/>
            </w:tcBorders>
            <w:shd w:val="clear" w:color="000000" w:fill="FFFFFF"/>
            <w:noWrap/>
            <w:vAlign w:val="center"/>
            <w:hideMark/>
          </w:tcPr>
          <w:p w14:paraId="762C2DD4"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2.44</w:t>
            </w:r>
          </w:p>
        </w:tc>
        <w:tc>
          <w:tcPr>
            <w:tcW w:w="887" w:type="dxa"/>
            <w:tcBorders>
              <w:top w:val="nil"/>
              <w:left w:val="nil"/>
              <w:bottom w:val="nil"/>
              <w:right w:val="single" w:sz="12" w:space="0" w:color="auto"/>
            </w:tcBorders>
            <w:shd w:val="clear" w:color="000000" w:fill="FFFFFF"/>
            <w:noWrap/>
            <w:vAlign w:val="center"/>
            <w:hideMark/>
          </w:tcPr>
          <w:p w14:paraId="17E70ABD"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0.82</w:t>
            </w:r>
          </w:p>
        </w:tc>
      </w:tr>
      <w:tr w:rsidR="00260D4C" w:rsidRPr="00AE5676" w14:paraId="3C271E7B" w14:textId="77777777" w:rsidTr="00E56366">
        <w:trPr>
          <w:gridAfter w:val="1"/>
          <w:wAfter w:w="6" w:type="dxa"/>
          <w:trHeight w:val="20"/>
          <w:jc w:val="center"/>
        </w:trPr>
        <w:tc>
          <w:tcPr>
            <w:tcW w:w="1128" w:type="dxa"/>
            <w:tcBorders>
              <w:top w:val="nil"/>
              <w:left w:val="single" w:sz="12" w:space="0" w:color="auto"/>
              <w:bottom w:val="nil"/>
              <w:right w:val="nil"/>
            </w:tcBorders>
            <w:shd w:val="clear" w:color="000000" w:fill="FFFFFF"/>
            <w:noWrap/>
            <w:vAlign w:val="center"/>
            <w:hideMark/>
          </w:tcPr>
          <w:p w14:paraId="5FE1F324"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No</w:t>
            </w:r>
          </w:p>
        </w:tc>
        <w:tc>
          <w:tcPr>
            <w:tcW w:w="1061" w:type="dxa"/>
            <w:tcBorders>
              <w:top w:val="nil"/>
              <w:left w:val="nil"/>
              <w:bottom w:val="nil"/>
              <w:right w:val="nil"/>
            </w:tcBorders>
            <w:shd w:val="clear" w:color="000000" w:fill="FFFFFF"/>
            <w:noWrap/>
            <w:vAlign w:val="center"/>
            <w:hideMark/>
          </w:tcPr>
          <w:p w14:paraId="7A3987DD"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1-2 days</w:t>
            </w:r>
          </w:p>
        </w:tc>
        <w:tc>
          <w:tcPr>
            <w:tcW w:w="1356" w:type="dxa"/>
            <w:tcBorders>
              <w:top w:val="nil"/>
              <w:left w:val="nil"/>
              <w:bottom w:val="nil"/>
              <w:right w:val="single" w:sz="8" w:space="0" w:color="auto"/>
            </w:tcBorders>
            <w:shd w:val="clear" w:color="000000" w:fill="FFFFFF"/>
            <w:noWrap/>
            <w:vAlign w:val="center"/>
            <w:hideMark/>
          </w:tcPr>
          <w:p w14:paraId="0C1E16AF"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6-10</w:t>
            </w:r>
          </w:p>
        </w:tc>
        <w:tc>
          <w:tcPr>
            <w:tcW w:w="720" w:type="dxa"/>
            <w:tcBorders>
              <w:top w:val="nil"/>
              <w:left w:val="nil"/>
              <w:bottom w:val="nil"/>
              <w:right w:val="nil"/>
            </w:tcBorders>
            <w:shd w:val="clear" w:color="000000" w:fill="FFFFFF"/>
            <w:noWrap/>
            <w:vAlign w:val="center"/>
            <w:hideMark/>
          </w:tcPr>
          <w:p w14:paraId="7958F28A" w14:textId="77777777" w:rsidR="00260D4C" w:rsidRPr="00AE5676" w:rsidRDefault="00260D4C" w:rsidP="00E56366">
            <w:pPr>
              <w:tabs>
                <w:tab w:val="decimal" w:pos="386"/>
              </w:tabs>
              <w:spacing w:after="0" w:line="240" w:lineRule="auto"/>
              <w:jc w:val="center"/>
              <w:rPr>
                <w:rFonts w:eastAsia="Times New Roman"/>
                <w:color w:val="000000"/>
                <w:sz w:val="20"/>
                <w:szCs w:val="20"/>
              </w:rPr>
            </w:pPr>
            <w:r w:rsidRPr="00AE5676">
              <w:rPr>
                <w:color w:val="000000"/>
                <w:sz w:val="20"/>
                <w:szCs w:val="20"/>
              </w:rPr>
              <w:t>212</w:t>
            </w:r>
          </w:p>
        </w:tc>
        <w:tc>
          <w:tcPr>
            <w:tcW w:w="1110" w:type="dxa"/>
            <w:tcBorders>
              <w:top w:val="nil"/>
              <w:left w:val="nil"/>
              <w:bottom w:val="nil"/>
              <w:right w:val="single" w:sz="8" w:space="0" w:color="auto"/>
            </w:tcBorders>
            <w:shd w:val="clear" w:color="000000" w:fill="FFFFFF"/>
            <w:noWrap/>
            <w:vAlign w:val="center"/>
            <w:hideMark/>
          </w:tcPr>
          <w:p w14:paraId="645D9676"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1.70</w:t>
            </w:r>
          </w:p>
        </w:tc>
        <w:tc>
          <w:tcPr>
            <w:tcW w:w="1080" w:type="dxa"/>
            <w:tcBorders>
              <w:top w:val="nil"/>
              <w:left w:val="nil"/>
              <w:bottom w:val="nil"/>
              <w:right w:val="nil"/>
            </w:tcBorders>
            <w:shd w:val="clear" w:color="000000" w:fill="FFFFFF"/>
            <w:noWrap/>
            <w:vAlign w:val="center"/>
            <w:hideMark/>
          </w:tcPr>
          <w:p w14:paraId="7562104B"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1.55</w:t>
            </w:r>
          </w:p>
        </w:tc>
        <w:tc>
          <w:tcPr>
            <w:tcW w:w="820" w:type="dxa"/>
            <w:tcBorders>
              <w:top w:val="nil"/>
              <w:left w:val="nil"/>
              <w:bottom w:val="nil"/>
              <w:right w:val="single" w:sz="8" w:space="0" w:color="auto"/>
            </w:tcBorders>
            <w:shd w:val="clear" w:color="000000" w:fill="FFFFFF"/>
            <w:noWrap/>
            <w:vAlign w:val="center"/>
            <w:hideMark/>
          </w:tcPr>
          <w:p w14:paraId="4E180EDF"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8.70</w:t>
            </w:r>
          </w:p>
        </w:tc>
        <w:tc>
          <w:tcPr>
            <w:tcW w:w="1093" w:type="dxa"/>
            <w:tcBorders>
              <w:top w:val="nil"/>
              <w:left w:val="nil"/>
              <w:bottom w:val="nil"/>
              <w:right w:val="nil"/>
            </w:tcBorders>
            <w:shd w:val="clear" w:color="000000" w:fill="FFFFFF"/>
            <w:noWrap/>
            <w:vAlign w:val="center"/>
            <w:hideMark/>
          </w:tcPr>
          <w:p w14:paraId="0BFF6425"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1.38</w:t>
            </w:r>
          </w:p>
        </w:tc>
        <w:tc>
          <w:tcPr>
            <w:tcW w:w="887" w:type="dxa"/>
            <w:tcBorders>
              <w:top w:val="nil"/>
              <w:left w:val="nil"/>
              <w:bottom w:val="nil"/>
              <w:right w:val="single" w:sz="12" w:space="0" w:color="auto"/>
            </w:tcBorders>
            <w:shd w:val="clear" w:color="000000" w:fill="FFFFFF"/>
            <w:noWrap/>
            <w:vAlign w:val="center"/>
            <w:hideMark/>
          </w:tcPr>
          <w:p w14:paraId="5FB19ED4"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18.78</w:t>
            </w:r>
          </w:p>
        </w:tc>
      </w:tr>
      <w:tr w:rsidR="00260D4C" w:rsidRPr="00AE5676" w14:paraId="5FE111C2" w14:textId="77777777" w:rsidTr="00E56366">
        <w:trPr>
          <w:gridAfter w:val="1"/>
          <w:wAfter w:w="6" w:type="dxa"/>
          <w:trHeight w:val="20"/>
          <w:jc w:val="center"/>
        </w:trPr>
        <w:tc>
          <w:tcPr>
            <w:tcW w:w="1128" w:type="dxa"/>
            <w:tcBorders>
              <w:top w:val="nil"/>
              <w:left w:val="single" w:sz="12" w:space="0" w:color="auto"/>
              <w:bottom w:val="nil"/>
              <w:right w:val="nil"/>
            </w:tcBorders>
            <w:shd w:val="clear" w:color="000000" w:fill="FFFFFF"/>
            <w:noWrap/>
            <w:vAlign w:val="center"/>
            <w:hideMark/>
          </w:tcPr>
          <w:p w14:paraId="43C92B00"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No</w:t>
            </w:r>
          </w:p>
        </w:tc>
        <w:tc>
          <w:tcPr>
            <w:tcW w:w="1061" w:type="dxa"/>
            <w:tcBorders>
              <w:top w:val="nil"/>
              <w:left w:val="nil"/>
              <w:bottom w:val="nil"/>
              <w:right w:val="nil"/>
            </w:tcBorders>
            <w:shd w:val="clear" w:color="000000" w:fill="FFFFFF"/>
            <w:noWrap/>
            <w:vAlign w:val="center"/>
            <w:hideMark/>
          </w:tcPr>
          <w:p w14:paraId="1783826F"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1-2 days</w:t>
            </w:r>
          </w:p>
        </w:tc>
        <w:tc>
          <w:tcPr>
            <w:tcW w:w="1356" w:type="dxa"/>
            <w:tcBorders>
              <w:top w:val="nil"/>
              <w:left w:val="nil"/>
              <w:bottom w:val="nil"/>
              <w:right w:val="single" w:sz="8" w:space="0" w:color="auto"/>
            </w:tcBorders>
            <w:shd w:val="clear" w:color="000000" w:fill="FFFFFF"/>
            <w:noWrap/>
            <w:vAlign w:val="center"/>
            <w:hideMark/>
          </w:tcPr>
          <w:p w14:paraId="2B2F913A"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More than 10</w:t>
            </w:r>
          </w:p>
        </w:tc>
        <w:tc>
          <w:tcPr>
            <w:tcW w:w="720" w:type="dxa"/>
            <w:tcBorders>
              <w:top w:val="nil"/>
              <w:left w:val="nil"/>
              <w:bottom w:val="nil"/>
              <w:right w:val="nil"/>
            </w:tcBorders>
            <w:shd w:val="clear" w:color="000000" w:fill="FFFFFF"/>
            <w:noWrap/>
            <w:vAlign w:val="center"/>
            <w:hideMark/>
          </w:tcPr>
          <w:p w14:paraId="5AE31AB0" w14:textId="77777777" w:rsidR="00260D4C" w:rsidRPr="00AE5676" w:rsidRDefault="00260D4C" w:rsidP="00E56366">
            <w:pPr>
              <w:tabs>
                <w:tab w:val="decimal" w:pos="386"/>
              </w:tabs>
              <w:spacing w:after="0" w:line="240" w:lineRule="auto"/>
              <w:jc w:val="center"/>
              <w:rPr>
                <w:rFonts w:eastAsia="Times New Roman"/>
                <w:color w:val="000000"/>
                <w:sz w:val="20"/>
                <w:szCs w:val="20"/>
              </w:rPr>
            </w:pPr>
            <w:r w:rsidRPr="00AE5676">
              <w:rPr>
                <w:color w:val="000000"/>
                <w:sz w:val="20"/>
                <w:szCs w:val="20"/>
              </w:rPr>
              <w:t>182</w:t>
            </w:r>
          </w:p>
        </w:tc>
        <w:tc>
          <w:tcPr>
            <w:tcW w:w="1110" w:type="dxa"/>
            <w:tcBorders>
              <w:top w:val="nil"/>
              <w:left w:val="nil"/>
              <w:bottom w:val="nil"/>
              <w:right w:val="single" w:sz="8" w:space="0" w:color="auto"/>
            </w:tcBorders>
            <w:shd w:val="clear" w:color="000000" w:fill="FFFFFF"/>
            <w:noWrap/>
            <w:vAlign w:val="center"/>
            <w:hideMark/>
          </w:tcPr>
          <w:p w14:paraId="5583A9C1"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1.46</w:t>
            </w:r>
          </w:p>
        </w:tc>
        <w:tc>
          <w:tcPr>
            <w:tcW w:w="1080" w:type="dxa"/>
            <w:tcBorders>
              <w:top w:val="nil"/>
              <w:left w:val="nil"/>
              <w:bottom w:val="nil"/>
              <w:right w:val="nil"/>
            </w:tcBorders>
            <w:shd w:val="clear" w:color="000000" w:fill="FFFFFF"/>
            <w:noWrap/>
            <w:vAlign w:val="center"/>
            <w:hideMark/>
          </w:tcPr>
          <w:p w14:paraId="37142675"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1.30</w:t>
            </w:r>
          </w:p>
        </w:tc>
        <w:tc>
          <w:tcPr>
            <w:tcW w:w="820" w:type="dxa"/>
            <w:tcBorders>
              <w:top w:val="nil"/>
              <w:left w:val="nil"/>
              <w:bottom w:val="nil"/>
              <w:right w:val="single" w:sz="8" w:space="0" w:color="auto"/>
            </w:tcBorders>
            <w:shd w:val="clear" w:color="000000" w:fill="FFFFFF"/>
            <w:noWrap/>
            <w:vAlign w:val="center"/>
            <w:hideMark/>
          </w:tcPr>
          <w:p w14:paraId="1B142C13"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11.04</w:t>
            </w:r>
          </w:p>
        </w:tc>
        <w:tc>
          <w:tcPr>
            <w:tcW w:w="1093" w:type="dxa"/>
            <w:tcBorders>
              <w:top w:val="nil"/>
              <w:left w:val="nil"/>
              <w:bottom w:val="nil"/>
              <w:right w:val="nil"/>
            </w:tcBorders>
            <w:shd w:val="clear" w:color="000000" w:fill="FFFFFF"/>
            <w:noWrap/>
            <w:vAlign w:val="center"/>
            <w:hideMark/>
          </w:tcPr>
          <w:p w14:paraId="6FEB9902"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1.21</w:t>
            </w:r>
          </w:p>
        </w:tc>
        <w:tc>
          <w:tcPr>
            <w:tcW w:w="887" w:type="dxa"/>
            <w:tcBorders>
              <w:top w:val="nil"/>
              <w:left w:val="nil"/>
              <w:bottom w:val="nil"/>
              <w:right w:val="single" w:sz="12" w:space="0" w:color="auto"/>
            </w:tcBorders>
            <w:shd w:val="clear" w:color="000000" w:fill="FFFFFF"/>
            <w:noWrap/>
            <w:vAlign w:val="center"/>
            <w:hideMark/>
          </w:tcPr>
          <w:p w14:paraId="3C59E633"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17.18</w:t>
            </w:r>
          </w:p>
        </w:tc>
      </w:tr>
      <w:tr w:rsidR="00260D4C" w:rsidRPr="00AE5676" w14:paraId="5EEF9FD5" w14:textId="77777777" w:rsidTr="00E56366">
        <w:trPr>
          <w:gridAfter w:val="1"/>
          <w:wAfter w:w="6" w:type="dxa"/>
          <w:trHeight w:val="20"/>
          <w:jc w:val="center"/>
        </w:trPr>
        <w:tc>
          <w:tcPr>
            <w:tcW w:w="1128" w:type="dxa"/>
            <w:tcBorders>
              <w:top w:val="nil"/>
              <w:left w:val="single" w:sz="12" w:space="0" w:color="auto"/>
              <w:bottom w:val="nil"/>
              <w:right w:val="nil"/>
            </w:tcBorders>
            <w:shd w:val="clear" w:color="000000" w:fill="FFFFFF"/>
            <w:noWrap/>
            <w:vAlign w:val="center"/>
            <w:hideMark/>
          </w:tcPr>
          <w:p w14:paraId="58733A82"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No</w:t>
            </w:r>
          </w:p>
        </w:tc>
        <w:tc>
          <w:tcPr>
            <w:tcW w:w="1061" w:type="dxa"/>
            <w:tcBorders>
              <w:top w:val="nil"/>
              <w:left w:val="nil"/>
              <w:bottom w:val="nil"/>
              <w:right w:val="nil"/>
            </w:tcBorders>
            <w:shd w:val="clear" w:color="000000" w:fill="FFFFFF"/>
            <w:noWrap/>
            <w:vAlign w:val="center"/>
            <w:hideMark/>
          </w:tcPr>
          <w:p w14:paraId="579870CE"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3-4 days</w:t>
            </w:r>
          </w:p>
        </w:tc>
        <w:tc>
          <w:tcPr>
            <w:tcW w:w="1356" w:type="dxa"/>
            <w:tcBorders>
              <w:top w:val="nil"/>
              <w:left w:val="nil"/>
              <w:bottom w:val="nil"/>
              <w:right w:val="single" w:sz="8" w:space="0" w:color="auto"/>
            </w:tcBorders>
            <w:shd w:val="clear" w:color="000000" w:fill="FFFFFF"/>
            <w:noWrap/>
            <w:vAlign w:val="center"/>
            <w:hideMark/>
          </w:tcPr>
          <w:p w14:paraId="0E2C780A"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0</w:t>
            </w:r>
          </w:p>
        </w:tc>
        <w:tc>
          <w:tcPr>
            <w:tcW w:w="720" w:type="dxa"/>
            <w:tcBorders>
              <w:top w:val="nil"/>
              <w:left w:val="nil"/>
              <w:bottom w:val="nil"/>
              <w:right w:val="nil"/>
            </w:tcBorders>
            <w:shd w:val="clear" w:color="000000" w:fill="FFFFFF"/>
            <w:noWrap/>
            <w:vAlign w:val="center"/>
            <w:hideMark/>
          </w:tcPr>
          <w:p w14:paraId="5B05CC02" w14:textId="77777777" w:rsidR="00260D4C" w:rsidRPr="00AE5676" w:rsidRDefault="00260D4C" w:rsidP="00E56366">
            <w:pPr>
              <w:tabs>
                <w:tab w:val="decimal" w:pos="386"/>
              </w:tabs>
              <w:spacing w:after="0" w:line="240" w:lineRule="auto"/>
              <w:jc w:val="center"/>
              <w:rPr>
                <w:rFonts w:eastAsia="Times New Roman"/>
                <w:color w:val="000000"/>
                <w:sz w:val="20"/>
                <w:szCs w:val="20"/>
              </w:rPr>
            </w:pPr>
            <w:r w:rsidRPr="00AE5676">
              <w:rPr>
                <w:color w:val="000000"/>
                <w:sz w:val="20"/>
                <w:szCs w:val="20"/>
              </w:rPr>
              <w:t>40</w:t>
            </w:r>
          </w:p>
        </w:tc>
        <w:tc>
          <w:tcPr>
            <w:tcW w:w="1110" w:type="dxa"/>
            <w:tcBorders>
              <w:top w:val="nil"/>
              <w:left w:val="nil"/>
              <w:bottom w:val="nil"/>
              <w:right w:val="single" w:sz="8" w:space="0" w:color="auto"/>
            </w:tcBorders>
            <w:shd w:val="clear" w:color="000000" w:fill="FFFFFF"/>
            <w:noWrap/>
            <w:vAlign w:val="center"/>
            <w:hideMark/>
          </w:tcPr>
          <w:p w14:paraId="0870414C"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0.32</w:t>
            </w:r>
          </w:p>
        </w:tc>
        <w:tc>
          <w:tcPr>
            <w:tcW w:w="1080" w:type="dxa"/>
            <w:tcBorders>
              <w:top w:val="nil"/>
              <w:left w:val="nil"/>
              <w:bottom w:val="nil"/>
              <w:right w:val="nil"/>
            </w:tcBorders>
            <w:shd w:val="clear" w:color="000000" w:fill="FFFFFF"/>
            <w:noWrap/>
            <w:vAlign w:val="center"/>
            <w:hideMark/>
          </w:tcPr>
          <w:p w14:paraId="5585A88C"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0.37</w:t>
            </w:r>
          </w:p>
        </w:tc>
        <w:tc>
          <w:tcPr>
            <w:tcW w:w="820" w:type="dxa"/>
            <w:tcBorders>
              <w:top w:val="nil"/>
              <w:left w:val="nil"/>
              <w:bottom w:val="nil"/>
              <w:right w:val="single" w:sz="8" w:space="0" w:color="auto"/>
            </w:tcBorders>
            <w:shd w:val="clear" w:color="000000" w:fill="FFFFFF"/>
            <w:noWrap/>
            <w:vAlign w:val="center"/>
            <w:hideMark/>
          </w:tcPr>
          <w:p w14:paraId="039FD596"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14.54</w:t>
            </w:r>
          </w:p>
        </w:tc>
        <w:tc>
          <w:tcPr>
            <w:tcW w:w="1093" w:type="dxa"/>
            <w:tcBorders>
              <w:top w:val="nil"/>
              <w:left w:val="nil"/>
              <w:bottom w:val="nil"/>
              <w:right w:val="nil"/>
            </w:tcBorders>
            <w:shd w:val="clear" w:color="000000" w:fill="FFFFFF"/>
            <w:noWrap/>
            <w:vAlign w:val="center"/>
            <w:hideMark/>
          </w:tcPr>
          <w:p w14:paraId="25D17CFD"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0.54</w:t>
            </w:r>
          </w:p>
        </w:tc>
        <w:tc>
          <w:tcPr>
            <w:tcW w:w="887" w:type="dxa"/>
            <w:tcBorders>
              <w:top w:val="nil"/>
              <w:left w:val="nil"/>
              <w:bottom w:val="nil"/>
              <w:right w:val="single" w:sz="12" w:space="0" w:color="auto"/>
            </w:tcBorders>
            <w:shd w:val="clear" w:color="000000" w:fill="FFFFFF"/>
            <w:noWrap/>
            <w:vAlign w:val="center"/>
            <w:hideMark/>
          </w:tcPr>
          <w:p w14:paraId="70B4B0CD"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68.68</w:t>
            </w:r>
          </w:p>
        </w:tc>
      </w:tr>
      <w:tr w:rsidR="00260D4C" w:rsidRPr="00AE5676" w14:paraId="45599CC3" w14:textId="77777777" w:rsidTr="00E56366">
        <w:trPr>
          <w:gridAfter w:val="1"/>
          <w:wAfter w:w="6" w:type="dxa"/>
          <w:trHeight w:val="20"/>
          <w:jc w:val="center"/>
        </w:trPr>
        <w:tc>
          <w:tcPr>
            <w:tcW w:w="1128" w:type="dxa"/>
            <w:tcBorders>
              <w:top w:val="nil"/>
              <w:left w:val="single" w:sz="12" w:space="0" w:color="auto"/>
              <w:bottom w:val="nil"/>
              <w:right w:val="nil"/>
            </w:tcBorders>
            <w:shd w:val="clear" w:color="000000" w:fill="FFFFFF"/>
            <w:noWrap/>
            <w:vAlign w:val="center"/>
            <w:hideMark/>
          </w:tcPr>
          <w:p w14:paraId="29D395DB"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No</w:t>
            </w:r>
          </w:p>
        </w:tc>
        <w:tc>
          <w:tcPr>
            <w:tcW w:w="1061" w:type="dxa"/>
            <w:tcBorders>
              <w:top w:val="nil"/>
              <w:left w:val="nil"/>
              <w:bottom w:val="nil"/>
              <w:right w:val="nil"/>
            </w:tcBorders>
            <w:shd w:val="clear" w:color="000000" w:fill="FFFFFF"/>
            <w:noWrap/>
            <w:vAlign w:val="center"/>
            <w:hideMark/>
          </w:tcPr>
          <w:p w14:paraId="3528C67B"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3-4 days</w:t>
            </w:r>
          </w:p>
        </w:tc>
        <w:tc>
          <w:tcPr>
            <w:tcW w:w="1356" w:type="dxa"/>
            <w:tcBorders>
              <w:top w:val="nil"/>
              <w:left w:val="nil"/>
              <w:bottom w:val="nil"/>
              <w:right w:val="single" w:sz="8" w:space="0" w:color="auto"/>
            </w:tcBorders>
            <w:shd w:val="clear" w:color="000000" w:fill="FFFFFF"/>
            <w:noWrap/>
            <w:vAlign w:val="center"/>
            <w:hideMark/>
          </w:tcPr>
          <w:p w14:paraId="785320F1"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1-5</w:t>
            </w:r>
          </w:p>
        </w:tc>
        <w:tc>
          <w:tcPr>
            <w:tcW w:w="720" w:type="dxa"/>
            <w:tcBorders>
              <w:top w:val="nil"/>
              <w:left w:val="nil"/>
              <w:bottom w:val="nil"/>
              <w:right w:val="nil"/>
            </w:tcBorders>
            <w:shd w:val="clear" w:color="000000" w:fill="FFFFFF"/>
            <w:noWrap/>
            <w:vAlign w:val="center"/>
            <w:hideMark/>
          </w:tcPr>
          <w:p w14:paraId="2823A999" w14:textId="77777777" w:rsidR="00260D4C" w:rsidRPr="00AE5676" w:rsidRDefault="00260D4C" w:rsidP="00E56366">
            <w:pPr>
              <w:tabs>
                <w:tab w:val="decimal" w:pos="386"/>
              </w:tabs>
              <w:spacing w:after="0" w:line="240" w:lineRule="auto"/>
              <w:jc w:val="center"/>
              <w:rPr>
                <w:rFonts w:eastAsia="Times New Roman"/>
                <w:color w:val="000000"/>
                <w:sz w:val="20"/>
                <w:szCs w:val="20"/>
              </w:rPr>
            </w:pPr>
            <w:r w:rsidRPr="00AE5676">
              <w:rPr>
                <w:color w:val="000000"/>
                <w:sz w:val="20"/>
                <w:szCs w:val="20"/>
              </w:rPr>
              <w:t>182</w:t>
            </w:r>
          </w:p>
        </w:tc>
        <w:tc>
          <w:tcPr>
            <w:tcW w:w="1110" w:type="dxa"/>
            <w:tcBorders>
              <w:top w:val="nil"/>
              <w:left w:val="nil"/>
              <w:bottom w:val="nil"/>
              <w:right w:val="single" w:sz="8" w:space="0" w:color="auto"/>
            </w:tcBorders>
            <w:shd w:val="clear" w:color="000000" w:fill="FFFFFF"/>
            <w:noWrap/>
            <w:vAlign w:val="center"/>
            <w:hideMark/>
          </w:tcPr>
          <w:p w14:paraId="7B2E29B8"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1.46</w:t>
            </w:r>
          </w:p>
        </w:tc>
        <w:tc>
          <w:tcPr>
            <w:tcW w:w="1080" w:type="dxa"/>
            <w:tcBorders>
              <w:top w:val="nil"/>
              <w:left w:val="nil"/>
              <w:bottom w:val="nil"/>
              <w:right w:val="nil"/>
            </w:tcBorders>
            <w:shd w:val="clear" w:color="000000" w:fill="FFFFFF"/>
            <w:noWrap/>
            <w:vAlign w:val="center"/>
            <w:hideMark/>
          </w:tcPr>
          <w:p w14:paraId="35038190"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1.39</w:t>
            </w:r>
          </w:p>
        </w:tc>
        <w:tc>
          <w:tcPr>
            <w:tcW w:w="820" w:type="dxa"/>
            <w:tcBorders>
              <w:top w:val="nil"/>
              <w:left w:val="nil"/>
              <w:bottom w:val="nil"/>
              <w:right w:val="single" w:sz="8" w:space="0" w:color="auto"/>
            </w:tcBorders>
            <w:shd w:val="clear" w:color="000000" w:fill="FFFFFF"/>
            <w:noWrap/>
            <w:vAlign w:val="center"/>
            <w:hideMark/>
          </w:tcPr>
          <w:p w14:paraId="628E45C1"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4.96</w:t>
            </w:r>
          </w:p>
        </w:tc>
        <w:tc>
          <w:tcPr>
            <w:tcW w:w="1093" w:type="dxa"/>
            <w:tcBorders>
              <w:top w:val="nil"/>
              <w:left w:val="nil"/>
              <w:bottom w:val="nil"/>
              <w:right w:val="nil"/>
            </w:tcBorders>
            <w:shd w:val="clear" w:color="000000" w:fill="FFFFFF"/>
            <w:noWrap/>
            <w:vAlign w:val="center"/>
            <w:hideMark/>
          </w:tcPr>
          <w:p w14:paraId="0716F228"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1.32</w:t>
            </w:r>
          </w:p>
        </w:tc>
        <w:tc>
          <w:tcPr>
            <w:tcW w:w="887" w:type="dxa"/>
            <w:tcBorders>
              <w:top w:val="nil"/>
              <w:left w:val="nil"/>
              <w:bottom w:val="nil"/>
              <w:right w:val="single" w:sz="12" w:space="0" w:color="auto"/>
            </w:tcBorders>
            <w:shd w:val="clear" w:color="000000" w:fill="FFFFFF"/>
            <w:noWrap/>
            <w:vAlign w:val="center"/>
            <w:hideMark/>
          </w:tcPr>
          <w:p w14:paraId="1654915F"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9.67</w:t>
            </w:r>
          </w:p>
        </w:tc>
      </w:tr>
      <w:tr w:rsidR="00260D4C" w:rsidRPr="00AE5676" w14:paraId="6EE5D4E2" w14:textId="77777777" w:rsidTr="00E56366">
        <w:trPr>
          <w:gridAfter w:val="1"/>
          <w:wAfter w:w="6" w:type="dxa"/>
          <w:trHeight w:val="20"/>
          <w:jc w:val="center"/>
        </w:trPr>
        <w:tc>
          <w:tcPr>
            <w:tcW w:w="1128" w:type="dxa"/>
            <w:tcBorders>
              <w:top w:val="nil"/>
              <w:left w:val="single" w:sz="12" w:space="0" w:color="auto"/>
              <w:bottom w:val="nil"/>
              <w:right w:val="nil"/>
            </w:tcBorders>
            <w:shd w:val="clear" w:color="000000" w:fill="FFFFFF"/>
            <w:noWrap/>
            <w:vAlign w:val="center"/>
            <w:hideMark/>
          </w:tcPr>
          <w:p w14:paraId="19DFC7F9"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No</w:t>
            </w:r>
          </w:p>
        </w:tc>
        <w:tc>
          <w:tcPr>
            <w:tcW w:w="1061" w:type="dxa"/>
            <w:tcBorders>
              <w:top w:val="nil"/>
              <w:left w:val="nil"/>
              <w:bottom w:val="nil"/>
              <w:right w:val="nil"/>
            </w:tcBorders>
            <w:shd w:val="clear" w:color="000000" w:fill="FFFFFF"/>
            <w:noWrap/>
            <w:vAlign w:val="center"/>
            <w:hideMark/>
          </w:tcPr>
          <w:p w14:paraId="39075AD9"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3-4 days</w:t>
            </w:r>
          </w:p>
        </w:tc>
        <w:tc>
          <w:tcPr>
            <w:tcW w:w="1356" w:type="dxa"/>
            <w:tcBorders>
              <w:top w:val="nil"/>
              <w:left w:val="nil"/>
              <w:bottom w:val="nil"/>
              <w:right w:val="single" w:sz="8" w:space="0" w:color="auto"/>
            </w:tcBorders>
            <w:shd w:val="clear" w:color="000000" w:fill="FFFFFF"/>
            <w:noWrap/>
            <w:vAlign w:val="center"/>
            <w:hideMark/>
          </w:tcPr>
          <w:p w14:paraId="6A3503EE"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6-10</w:t>
            </w:r>
          </w:p>
        </w:tc>
        <w:tc>
          <w:tcPr>
            <w:tcW w:w="720" w:type="dxa"/>
            <w:tcBorders>
              <w:top w:val="nil"/>
              <w:left w:val="nil"/>
              <w:bottom w:val="nil"/>
              <w:right w:val="nil"/>
            </w:tcBorders>
            <w:shd w:val="clear" w:color="000000" w:fill="FFFFFF"/>
            <w:noWrap/>
            <w:vAlign w:val="center"/>
            <w:hideMark/>
          </w:tcPr>
          <w:p w14:paraId="0EE4BE25" w14:textId="77777777" w:rsidR="00260D4C" w:rsidRPr="00AE5676" w:rsidRDefault="00260D4C" w:rsidP="00E56366">
            <w:pPr>
              <w:tabs>
                <w:tab w:val="decimal" w:pos="386"/>
              </w:tabs>
              <w:spacing w:after="0" w:line="240" w:lineRule="auto"/>
              <w:jc w:val="center"/>
              <w:rPr>
                <w:rFonts w:eastAsia="Times New Roman"/>
                <w:color w:val="000000"/>
                <w:sz w:val="20"/>
                <w:szCs w:val="20"/>
              </w:rPr>
            </w:pPr>
            <w:r w:rsidRPr="00AE5676">
              <w:rPr>
                <w:color w:val="000000"/>
                <w:sz w:val="20"/>
                <w:szCs w:val="20"/>
              </w:rPr>
              <w:t>88</w:t>
            </w:r>
          </w:p>
        </w:tc>
        <w:tc>
          <w:tcPr>
            <w:tcW w:w="1110" w:type="dxa"/>
            <w:tcBorders>
              <w:top w:val="nil"/>
              <w:left w:val="nil"/>
              <w:bottom w:val="nil"/>
              <w:right w:val="single" w:sz="8" w:space="0" w:color="auto"/>
            </w:tcBorders>
            <w:shd w:val="clear" w:color="000000" w:fill="FFFFFF"/>
            <w:noWrap/>
            <w:vAlign w:val="center"/>
            <w:hideMark/>
          </w:tcPr>
          <w:p w14:paraId="785F4E81"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0.71</w:t>
            </w:r>
          </w:p>
        </w:tc>
        <w:tc>
          <w:tcPr>
            <w:tcW w:w="1080" w:type="dxa"/>
            <w:tcBorders>
              <w:top w:val="nil"/>
              <w:left w:val="nil"/>
              <w:bottom w:val="nil"/>
              <w:right w:val="nil"/>
            </w:tcBorders>
            <w:shd w:val="clear" w:color="000000" w:fill="FFFFFF"/>
            <w:noWrap/>
            <w:vAlign w:val="center"/>
            <w:hideMark/>
          </w:tcPr>
          <w:p w14:paraId="7B53AC7C"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0.75</w:t>
            </w:r>
          </w:p>
        </w:tc>
        <w:tc>
          <w:tcPr>
            <w:tcW w:w="820" w:type="dxa"/>
            <w:tcBorders>
              <w:top w:val="nil"/>
              <w:left w:val="nil"/>
              <w:bottom w:val="nil"/>
              <w:right w:val="single" w:sz="8" w:space="0" w:color="auto"/>
            </w:tcBorders>
            <w:shd w:val="clear" w:color="000000" w:fill="FFFFFF"/>
            <w:noWrap/>
            <w:vAlign w:val="center"/>
            <w:hideMark/>
          </w:tcPr>
          <w:p w14:paraId="540D1A8A"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6.57</w:t>
            </w:r>
          </w:p>
        </w:tc>
        <w:tc>
          <w:tcPr>
            <w:tcW w:w="1093" w:type="dxa"/>
            <w:tcBorders>
              <w:top w:val="nil"/>
              <w:left w:val="nil"/>
              <w:bottom w:val="nil"/>
              <w:right w:val="nil"/>
            </w:tcBorders>
            <w:shd w:val="clear" w:color="000000" w:fill="FFFFFF"/>
            <w:noWrap/>
            <w:vAlign w:val="center"/>
            <w:hideMark/>
          </w:tcPr>
          <w:p w14:paraId="15C005F7"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0.76</w:t>
            </w:r>
          </w:p>
        </w:tc>
        <w:tc>
          <w:tcPr>
            <w:tcW w:w="887" w:type="dxa"/>
            <w:tcBorders>
              <w:top w:val="nil"/>
              <w:left w:val="nil"/>
              <w:bottom w:val="nil"/>
              <w:right w:val="single" w:sz="12" w:space="0" w:color="auto"/>
            </w:tcBorders>
            <w:shd w:val="clear" w:color="000000" w:fill="FFFFFF"/>
            <w:noWrap/>
            <w:vAlign w:val="center"/>
            <w:hideMark/>
          </w:tcPr>
          <w:p w14:paraId="02B18271"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8.23</w:t>
            </w:r>
          </w:p>
        </w:tc>
      </w:tr>
      <w:tr w:rsidR="00260D4C" w:rsidRPr="00AE5676" w14:paraId="459855CE" w14:textId="77777777" w:rsidTr="00E56366">
        <w:trPr>
          <w:gridAfter w:val="1"/>
          <w:wAfter w:w="6" w:type="dxa"/>
          <w:trHeight w:val="20"/>
          <w:jc w:val="center"/>
        </w:trPr>
        <w:tc>
          <w:tcPr>
            <w:tcW w:w="1128" w:type="dxa"/>
            <w:tcBorders>
              <w:top w:val="nil"/>
              <w:left w:val="single" w:sz="12" w:space="0" w:color="auto"/>
              <w:bottom w:val="nil"/>
              <w:right w:val="nil"/>
            </w:tcBorders>
            <w:shd w:val="clear" w:color="000000" w:fill="FFFFFF"/>
            <w:noWrap/>
            <w:vAlign w:val="center"/>
            <w:hideMark/>
          </w:tcPr>
          <w:p w14:paraId="0224C5EA"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No</w:t>
            </w:r>
          </w:p>
        </w:tc>
        <w:tc>
          <w:tcPr>
            <w:tcW w:w="1061" w:type="dxa"/>
            <w:tcBorders>
              <w:top w:val="nil"/>
              <w:left w:val="nil"/>
              <w:bottom w:val="nil"/>
              <w:right w:val="nil"/>
            </w:tcBorders>
            <w:shd w:val="clear" w:color="000000" w:fill="FFFFFF"/>
            <w:noWrap/>
            <w:vAlign w:val="center"/>
            <w:hideMark/>
          </w:tcPr>
          <w:p w14:paraId="57C94419"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3-4 days</w:t>
            </w:r>
          </w:p>
        </w:tc>
        <w:tc>
          <w:tcPr>
            <w:tcW w:w="1356" w:type="dxa"/>
            <w:tcBorders>
              <w:top w:val="nil"/>
              <w:left w:val="nil"/>
              <w:bottom w:val="nil"/>
              <w:right w:val="single" w:sz="8" w:space="0" w:color="auto"/>
            </w:tcBorders>
            <w:shd w:val="clear" w:color="000000" w:fill="FFFFFF"/>
            <w:noWrap/>
            <w:vAlign w:val="center"/>
            <w:hideMark/>
          </w:tcPr>
          <w:p w14:paraId="5F4665B9"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More than 10</w:t>
            </w:r>
          </w:p>
        </w:tc>
        <w:tc>
          <w:tcPr>
            <w:tcW w:w="720" w:type="dxa"/>
            <w:tcBorders>
              <w:top w:val="nil"/>
              <w:left w:val="nil"/>
              <w:bottom w:val="nil"/>
              <w:right w:val="nil"/>
            </w:tcBorders>
            <w:shd w:val="clear" w:color="000000" w:fill="FFFFFF"/>
            <w:noWrap/>
            <w:vAlign w:val="center"/>
            <w:hideMark/>
          </w:tcPr>
          <w:p w14:paraId="2AB9579B" w14:textId="77777777" w:rsidR="00260D4C" w:rsidRPr="00AE5676" w:rsidRDefault="00260D4C" w:rsidP="00E56366">
            <w:pPr>
              <w:tabs>
                <w:tab w:val="decimal" w:pos="386"/>
              </w:tabs>
              <w:spacing w:after="0" w:line="240" w:lineRule="auto"/>
              <w:jc w:val="center"/>
              <w:rPr>
                <w:rFonts w:eastAsia="Times New Roman"/>
                <w:color w:val="000000"/>
                <w:sz w:val="20"/>
                <w:szCs w:val="20"/>
              </w:rPr>
            </w:pPr>
            <w:r w:rsidRPr="00AE5676">
              <w:rPr>
                <w:color w:val="000000"/>
                <w:sz w:val="20"/>
                <w:szCs w:val="20"/>
              </w:rPr>
              <w:t>103</w:t>
            </w:r>
          </w:p>
        </w:tc>
        <w:tc>
          <w:tcPr>
            <w:tcW w:w="1110" w:type="dxa"/>
            <w:tcBorders>
              <w:top w:val="nil"/>
              <w:left w:val="nil"/>
              <w:bottom w:val="nil"/>
              <w:right w:val="single" w:sz="8" w:space="0" w:color="auto"/>
            </w:tcBorders>
            <w:shd w:val="clear" w:color="000000" w:fill="FFFFFF"/>
            <w:noWrap/>
            <w:vAlign w:val="center"/>
            <w:hideMark/>
          </w:tcPr>
          <w:p w14:paraId="23629047"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0.83</w:t>
            </w:r>
          </w:p>
        </w:tc>
        <w:tc>
          <w:tcPr>
            <w:tcW w:w="1080" w:type="dxa"/>
            <w:tcBorders>
              <w:top w:val="nil"/>
              <w:left w:val="nil"/>
              <w:bottom w:val="nil"/>
              <w:right w:val="nil"/>
            </w:tcBorders>
            <w:shd w:val="clear" w:color="000000" w:fill="FFFFFF"/>
            <w:noWrap/>
            <w:vAlign w:val="center"/>
            <w:hideMark/>
          </w:tcPr>
          <w:p w14:paraId="1745CBC3"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0.65</w:t>
            </w:r>
          </w:p>
        </w:tc>
        <w:tc>
          <w:tcPr>
            <w:tcW w:w="820" w:type="dxa"/>
            <w:tcBorders>
              <w:top w:val="nil"/>
              <w:left w:val="nil"/>
              <w:bottom w:val="nil"/>
              <w:right w:val="single" w:sz="8" w:space="0" w:color="auto"/>
            </w:tcBorders>
            <w:shd w:val="clear" w:color="000000" w:fill="FFFFFF"/>
            <w:noWrap/>
            <w:vAlign w:val="center"/>
            <w:hideMark/>
          </w:tcPr>
          <w:p w14:paraId="6BA6B4C1"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20.74</w:t>
            </w:r>
          </w:p>
        </w:tc>
        <w:tc>
          <w:tcPr>
            <w:tcW w:w="1093" w:type="dxa"/>
            <w:tcBorders>
              <w:top w:val="nil"/>
              <w:left w:val="nil"/>
              <w:bottom w:val="nil"/>
              <w:right w:val="nil"/>
            </w:tcBorders>
            <w:shd w:val="clear" w:color="000000" w:fill="FFFFFF"/>
            <w:noWrap/>
            <w:vAlign w:val="center"/>
            <w:hideMark/>
          </w:tcPr>
          <w:p w14:paraId="757143CD"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0.68</w:t>
            </w:r>
          </w:p>
        </w:tc>
        <w:tc>
          <w:tcPr>
            <w:tcW w:w="887" w:type="dxa"/>
            <w:tcBorders>
              <w:top w:val="nil"/>
              <w:left w:val="nil"/>
              <w:bottom w:val="nil"/>
              <w:right w:val="single" w:sz="12" w:space="0" w:color="auto"/>
            </w:tcBorders>
            <w:shd w:val="clear" w:color="000000" w:fill="FFFFFF"/>
            <w:noWrap/>
            <w:vAlign w:val="center"/>
            <w:hideMark/>
          </w:tcPr>
          <w:p w14:paraId="1542FAB3"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17.49</w:t>
            </w:r>
          </w:p>
        </w:tc>
      </w:tr>
      <w:tr w:rsidR="00260D4C" w:rsidRPr="00AE5676" w14:paraId="1411A42F" w14:textId="77777777" w:rsidTr="00E56366">
        <w:trPr>
          <w:gridAfter w:val="1"/>
          <w:wAfter w:w="6" w:type="dxa"/>
          <w:trHeight w:val="20"/>
          <w:jc w:val="center"/>
        </w:trPr>
        <w:tc>
          <w:tcPr>
            <w:tcW w:w="1128" w:type="dxa"/>
            <w:tcBorders>
              <w:top w:val="nil"/>
              <w:left w:val="single" w:sz="12" w:space="0" w:color="auto"/>
              <w:bottom w:val="nil"/>
              <w:right w:val="nil"/>
            </w:tcBorders>
            <w:shd w:val="clear" w:color="000000" w:fill="FFFFFF"/>
            <w:noWrap/>
            <w:vAlign w:val="center"/>
            <w:hideMark/>
          </w:tcPr>
          <w:p w14:paraId="0020A332"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No</w:t>
            </w:r>
          </w:p>
        </w:tc>
        <w:tc>
          <w:tcPr>
            <w:tcW w:w="1061" w:type="dxa"/>
            <w:tcBorders>
              <w:top w:val="nil"/>
              <w:left w:val="nil"/>
              <w:bottom w:val="nil"/>
              <w:right w:val="nil"/>
            </w:tcBorders>
            <w:shd w:val="clear" w:color="000000" w:fill="FFFFFF"/>
            <w:noWrap/>
            <w:vAlign w:val="center"/>
            <w:hideMark/>
          </w:tcPr>
          <w:p w14:paraId="7F216317"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5+ days</w:t>
            </w:r>
          </w:p>
        </w:tc>
        <w:tc>
          <w:tcPr>
            <w:tcW w:w="1356" w:type="dxa"/>
            <w:tcBorders>
              <w:top w:val="nil"/>
              <w:left w:val="nil"/>
              <w:bottom w:val="nil"/>
              <w:right w:val="single" w:sz="8" w:space="0" w:color="auto"/>
            </w:tcBorders>
            <w:shd w:val="clear" w:color="000000" w:fill="FFFFFF"/>
            <w:noWrap/>
            <w:vAlign w:val="center"/>
            <w:hideMark/>
          </w:tcPr>
          <w:p w14:paraId="3EE376D2"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0</w:t>
            </w:r>
          </w:p>
        </w:tc>
        <w:tc>
          <w:tcPr>
            <w:tcW w:w="720" w:type="dxa"/>
            <w:tcBorders>
              <w:top w:val="nil"/>
              <w:left w:val="nil"/>
              <w:bottom w:val="nil"/>
              <w:right w:val="nil"/>
            </w:tcBorders>
            <w:shd w:val="clear" w:color="000000" w:fill="FFFFFF"/>
            <w:noWrap/>
            <w:vAlign w:val="center"/>
            <w:hideMark/>
          </w:tcPr>
          <w:p w14:paraId="37523C1E" w14:textId="77777777" w:rsidR="00260D4C" w:rsidRPr="00AE5676" w:rsidRDefault="00260D4C" w:rsidP="00E56366">
            <w:pPr>
              <w:tabs>
                <w:tab w:val="decimal" w:pos="386"/>
              </w:tabs>
              <w:spacing w:after="0" w:line="240" w:lineRule="auto"/>
              <w:jc w:val="center"/>
              <w:rPr>
                <w:rFonts w:eastAsia="Times New Roman"/>
                <w:color w:val="000000"/>
                <w:sz w:val="20"/>
                <w:szCs w:val="20"/>
              </w:rPr>
            </w:pPr>
            <w:r w:rsidRPr="00AE5676">
              <w:rPr>
                <w:color w:val="000000"/>
                <w:sz w:val="20"/>
                <w:szCs w:val="20"/>
              </w:rPr>
              <w:t>139</w:t>
            </w:r>
          </w:p>
        </w:tc>
        <w:tc>
          <w:tcPr>
            <w:tcW w:w="1110" w:type="dxa"/>
            <w:tcBorders>
              <w:top w:val="nil"/>
              <w:left w:val="nil"/>
              <w:bottom w:val="nil"/>
              <w:right w:val="single" w:sz="8" w:space="0" w:color="auto"/>
            </w:tcBorders>
            <w:shd w:val="clear" w:color="000000" w:fill="FFFFFF"/>
            <w:noWrap/>
            <w:vAlign w:val="center"/>
            <w:hideMark/>
          </w:tcPr>
          <w:p w14:paraId="68D91EF7"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1.11</w:t>
            </w:r>
          </w:p>
        </w:tc>
        <w:tc>
          <w:tcPr>
            <w:tcW w:w="1080" w:type="dxa"/>
            <w:tcBorders>
              <w:top w:val="nil"/>
              <w:left w:val="nil"/>
              <w:bottom w:val="nil"/>
              <w:right w:val="nil"/>
            </w:tcBorders>
            <w:shd w:val="clear" w:color="000000" w:fill="FFFFFF"/>
            <w:noWrap/>
            <w:vAlign w:val="center"/>
            <w:hideMark/>
          </w:tcPr>
          <w:p w14:paraId="6C85E24A"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0.97</w:t>
            </w:r>
          </w:p>
        </w:tc>
        <w:tc>
          <w:tcPr>
            <w:tcW w:w="820" w:type="dxa"/>
            <w:tcBorders>
              <w:top w:val="nil"/>
              <w:left w:val="nil"/>
              <w:bottom w:val="nil"/>
              <w:right w:val="single" w:sz="8" w:space="0" w:color="auto"/>
            </w:tcBorders>
            <w:shd w:val="clear" w:color="000000" w:fill="FFFFFF"/>
            <w:noWrap/>
            <w:vAlign w:val="center"/>
            <w:hideMark/>
          </w:tcPr>
          <w:p w14:paraId="674714AF"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12.57</w:t>
            </w:r>
          </w:p>
        </w:tc>
        <w:tc>
          <w:tcPr>
            <w:tcW w:w="1093" w:type="dxa"/>
            <w:tcBorders>
              <w:top w:val="nil"/>
              <w:left w:val="nil"/>
              <w:bottom w:val="nil"/>
              <w:right w:val="nil"/>
            </w:tcBorders>
            <w:shd w:val="clear" w:color="000000" w:fill="FFFFFF"/>
            <w:noWrap/>
            <w:vAlign w:val="center"/>
            <w:hideMark/>
          </w:tcPr>
          <w:p w14:paraId="2CF17BAE"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1.39</w:t>
            </w:r>
          </w:p>
        </w:tc>
        <w:tc>
          <w:tcPr>
            <w:tcW w:w="887" w:type="dxa"/>
            <w:tcBorders>
              <w:top w:val="nil"/>
              <w:left w:val="nil"/>
              <w:bottom w:val="nil"/>
              <w:right w:val="single" w:sz="12" w:space="0" w:color="auto"/>
            </w:tcBorders>
            <w:shd w:val="clear" w:color="000000" w:fill="FFFFFF"/>
            <w:noWrap/>
            <w:vAlign w:val="center"/>
            <w:hideMark/>
          </w:tcPr>
          <w:p w14:paraId="47229096"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24.79</w:t>
            </w:r>
          </w:p>
        </w:tc>
      </w:tr>
      <w:tr w:rsidR="00260D4C" w:rsidRPr="00AE5676" w14:paraId="5DEDAEB0" w14:textId="77777777" w:rsidTr="00E56366">
        <w:trPr>
          <w:gridAfter w:val="1"/>
          <w:wAfter w:w="6" w:type="dxa"/>
          <w:trHeight w:val="20"/>
          <w:jc w:val="center"/>
        </w:trPr>
        <w:tc>
          <w:tcPr>
            <w:tcW w:w="1128" w:type="dxa"/>
            <w:tcBorders>
              <w:top w:val="nil"/>
              <w:left w:val="single" w:sz="12" w:space="0" w:color="auto"/>
              <w:bottom w:val="nil"/>
              <w:right w:val="nil"/>
            </w:tcBorders>
            <w:shd w:val="clear" w:color="000000" w:fill="FFFFFF"/>
            <w:noWrap/>
            <w:vAlign w:val="center"/>
            <w:hideMark/>
          </w:tcPr>
          <w:p w14:paraId="03D462D0"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No</w:t>
            </w:r>
          </w:p>
        </w:tc>
        <w:tc>
          <w:tcPr>
            <w:tcW w:w="1061" w:type="dxa"/>
            <w:tcBorders>
              <w:top w:val="nil"/>
              <w:left w:val="nil"/>
              <w:bottom w:val="nil"/>
              <w:right w:val="nil"/>
            </w:tcBorders>
            <w:shd w:val="clear" w:color="000000" w:fill="FFFFFF"/>
            <w:noWrap/>
            <w:vAlign w:val="center"/>
            <w:hideMark/>
          </w:tcPr>
          <w:p w14:paraId="05DF80D6"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5+ days</w:t>
            </w:r>
          </w:p>
        </w:tc>
        <w:tc>
          <w:tcPr>
            <w:tcW w:w="1356" w:type="dxa"/>
            <w:tcBorders>
              <w:top w:val="nil"/>
              <w:left w:val="nil"/>
              <w:bottom w:val="nil"/>
              <w:right w:val="single" w:sz="8" w:space="0" w:color="auto"/>
            </w:tcBorders>
            <w:shd w:val="clear" w:color="000000" w:fill="FFFFFF"/>
            <w:noWrap/>
            <w:vAlign w:val="center"/>
            <w:hideMark/>
          </w:tcPr>
          <w:p w14:paraId="6A5E38DA"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1-5</w:t>
            </w:r>
          </w:p>
        </w:tc>
        <w:tc>
          <w:tcPr>
            <w:tcW w:w="720" w:type="dxa"/>
            <w:tcBorders>
              <w:top w:val="nil"/>
              <w:left w:val="nil"/>
              <w:bottom w:val="nil"/>
              <w:right w:val="nil"/>
            </w:tcBorders>
            <w:shd w:val="clear" w:color="000000" w:fill="FFFFFF"/>
            <w:noWrap/>
            <w:vAlign w:val="center"/>
            <w:hideMark/>
          </w:tcPr>
          <w:p w14:paraId="3BB7FC5B" w14:textId="77777777" w:rsidR="00260D4C" w:rsidRPr="00AE5676" w:rsidRDefault="00260D4C" w:rsidP="00E56366">
            <w:pPr>
              <w:tabs>
                <w:tab w:val="decimal" w:pos="386"/>
              </w:tabs>
              <w:spacing w:after="0" w:line="240" w:lineRule="auto"/>
              <w:jc w:val="center"/>
              <w:rPr>
                <w:rFonts w:eastAsia="Times New Roman"/>
                <w:color w:val="000000"/>
                <w:sz w:val="20"/>
                <w:szCs w:val="20"/>
              </w:rPr>
            </w:pPr>
            <w:r w:rsidRPr="00AE5676">
              <w:rPr>
                <w:color w:val="000000"/>
                <w:sz w:val="20"/>
                <w:szCs w:val="20"/>
              </w:rPr>
              <w:t>469</w:t>
            </w:r>
          </w:p>
        </w:tc>
        <w:tc>
          <w:tcPr>
            <w:tcW w:w="1110" w:type="dxa"/>
            <w:tcBorders>
              <w:top w:val="nil"/>
              <w:left w:val="nil"/>
              <w:bottom w:val="nil"/>
              <w:right w:val="single" w:sz="8" w:space="0" w:color="auto"/>
            </w:tcBorders>
            <w:shd w:val="clear" w:color="000000" w:fill="FFFFFF"/>
            <w:noWrap/>
            <w:vAlign w:val="center"/>
            <w:hideMark/>
          </w:tcPr>
          <w:p w14:paraId="1C58FDE3"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3.76</w:t>
            </w:r>
          </w:p>
        </w:tc>
        <w:tc>
          <w:tcPr>
            <w:tcW w:w="1080" w:type="dxa"/>
            <w:tcBorders>
              <w:top w:val="nil"/>
              <w:left w:val="nil"/>
              <w:bottom w:val="nil"/>
              <w:right w:val="nil"/>
            </w:tcBorders>
            <w:shd w:val="clear" w:color="000000" w:fill="FFFFFF"/>
            <w:noWrap/>
            <w:vAlign w:val="center"/>
            <w:hideMark/>
          </w:tcPr>
          <w:p w14:paraId="1D10A43D"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3.40</w:t>
            </w:r>
          </w:p>
        </w:tc>
        <w:tc>
          <w:tcPr>
            <w:tcW w:w="820" w:type="dxa"/>
            <w:tcBorders>
              <w:top w:val="nil"/>
              <w:left w:val="nil"/>
              <w:bottom w:val="nil"/>
              <w:right w:val="single" w:sz="8" w:space="0" w:color="auto"/>
            </w:tcBorders>
            <w:shd w:val="clear" w:color="000000" w:fill="FFFFFF"/>
            <w:noWrap/>
            <w:vAlign w:val="center"/>
            <w:hideMark/>
          </w:tcPr>
          <w:p w14:paraId="22798989"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9.53</w:t>
            </w:r>
          </w:p>
        </w:tc>
        <w:tc>
          <w:tcPr>
            <w:tcW w:w="1093" w:type="dxa"/>
            <w:tcBorders>
              <w:top w:val="nil"/>
              <w:left w:val="nil"/>
              <w:bottom w:val="nil"/>
              <w:right w:val="nil"/>
            </w:tcBorders>
            <w:shd w:val="clear" w:color="000000" w:fill="FFFFFF"/>
            <w:noWrap/>
            <w:vAlign w:val="center"/>
            <w:hideMark/>
          </w:tcPr>
          <w:p w14:paraId="2B9E0A4A"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3.67</w:t>
            </w:r>
          </w:p>
        </w:tc>
        <w:tc>
          <w:tcPr>
            <w:tcW w:w="887" w:type="dxa"/>
            <w:tcBorders>
              <w:top w:val="nil"/>
              <w:left w:val="nil"/>
              <w:bottom w:val="nil"/>
              <w:right w:val="single" w:sz="12" w:space="0" w:color="auto"/>
            </w:tcBorders>
            <w:shd w:val="clear" w:color="000000" w:fill="FFFFFF"/>
            <w:noWrap/>
            <w:vAlign w:val="center"/>
            <w:hideMark/>
          </w:tcPr>
          <w:p w14:paraId="68FD713A"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2.54</w:t>
            </w:r>
          </w:p>
        </w:tc>
      </w:tr>
      <w:tr w:rsidR="00260D4C" w:rsidRPr="00AE5676" w14:paraId="527CE5B0" w14:textId="77777777" w:rsidTr="00E56366">
        <w:trPr>
          <w:gridAfter w:val="1"/>
          <w:wAfter w:w="6" w:type="dxa"/>
          <w:trHeight w:val="20"/>
          <w:jc w:val="center"/>
        </w:trPr>
        <w:tc>
          <w:tcPr>
            <w:tcW w:w="1128" w:type="dxa"/>
            <w:tcBorders>
              <w:top w:val="nil"/>
              <w:left w:val="single" w:sz="12" w:space="0" w:color="auto"/>
              <w:bottom w:val="nil"/>
              <w:right w:val="nil"/>
            </w:tcBorders>
            <w:shd w:val="clear" w:color="000000" w:fill="FFFFFF"/>
            <w:noWrap/>
            <w:vAlign w:val="center"/>
            <w:hideMark/>
          </w:tcPr>
          <w:p w14:paraId="02537001"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No</w:t>
            </w:r>
          </w:p>
        </w:tc>
        <w:tc>
          <w:tcPr>
            <w:tcW w:w="1061" w:type="dxa"/>
            <w:tcBorders>
              <w:top w:val="nil"/>
              <w:left w:val="nil"/>
              <w:bottom w:val="nil"/>
              <w:right w:val="nil"/>
            </w:tcBorders>
            <w:shd w:val="clear" w:color="000000" w:fill="FFFFFF"/>
            <w:noWrap/>
            <w:vAlign w:val="center"/>
            <w:hideMark/>
          </w:tcPr>
          <w:p w14:paraId="55FC9693"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5+ days</w:t>
            </w:r>
          </w:p>
        </w:tc>
        <w:tc>
          <w:tcPr>
            <w:tcW w:w="1356" w:type="dxa"/>
            <w:tcBorders>
              <w:top w:val="nil"/>
              <w:left w:val="nil"/>
              <w:bottom w:val="nil"/>
              <w:right w:val="single" w:sz="8" w:space="0" w:color="auto"/>
            </w:tcBorders>
            <w:shd w:val="clear" w:color="000000" w:fill="FFFFFF"/>
            <w:noWrap/>
            <w:vAlign w:val="center"/>
            <w:hideMark/>
          </w:tcPr>
          <w:p w14:paraId="562978CB"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6-10</w:t>
            </w:r>
          </w:p>
        </w:tc>
        <w:tc>
          <w:tcPr>
            <w:tcW w:w="720" w:type="dxa"/>
            <w:tcBorders>
              <w:top w:val="nil"/>
              <w:left w:val="nil"/>
              <w:bottom w:val="nil"/>
              <w:right w:val="nil"/>
            </w:tcBorders>
            <w:shd w:val="clear" w:color="000000" w:fill="FFFFFF"/>
            <w:noWrap/>
            <w:vAlign w:val="center"/>
            <w:hideMark/>
          </w:tcPr>
          <w:p w14:paraId="100BEA1A" w14:textId="77777777" w:rsidR="00260D4C" w:rsidRPr="00AE5676" w:rsidRDefault="00260D4C" w:rsidP="00E56366">
            <w:pPr>
              <w:tabs>
                <w:tab w:val="decimal" w:pos="386"/>
              </w:tabs>
              <w:spacing w:after="0" w:line="240" w:lineRule="auto"/>
              <w:jc w:val="center"/>
              <w:rPr>
                <w:rFonts w:eastAsia="Times New Roman"/>
                <w:color w:val="000000"/>
                <w:sz w:val="20"/>
                <w:szCs w:val="20"/>
              </w:rPr>
            </w:pPr>
            <w:r w:rsidRPr="00AE5676">
              <w:rPr>
                <w:color w:val="000000"/>
                <w:sz w:val="20"/>
                <w:szCs w:val="20"/>
              </w:rPr>
              <w:t>273</w:t>
            </w:r>
          </w:p>
        </w:tc>
        <w:tc>
          <w:tcPr>
            <w:tcW w:w="1110" w:type="dxa"/>
            <w:tcBorders>
              <w:top w:val="nil"/>
              <w:left w:val="nil"/>
              <w:bottom w:val="nil"/>
              <w:right w:val="single" w:sz="8" w:space="0" w:color="auto"/>
            </w:tcBorders>
            <w:shd w:val="clear" w:color="000000" w:fill="FFFFFF"/>
            <w:noWrap/>
            <w:vAlign w:val="center"/>
            <w:hideMark/>
          </w:tcPr>
          <w:p w14:paraId="34209F91"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2.19</w:t>
            </w:r>
          </w:p>
        </w:tc>
        <w:tc>
          <w:tcPr>
            <w:tcW w:w="1080" w:type="dxa"/>
            <w:tcBorders>
              <w:top w:val="nil"/>
              <w:left w:val="nil"/>
              <w:bottom w:val="nil"/>
              <w:right w:val="nil"/>
            </w:tcBorders>
            <w:shd w:val="clear" w:color="000000" w:fill="FFFFFF"/>
            <w:noWrap/>
            <w:vAlign w:val="center"/>
            <w:hideMark/>
          </w:tcPr>
          <w:p w14:paraId="62965963"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2.10</w:t>
            </w:r>
          </w:p>
        </w:tc>
        <w:tc>
          <w:tcPr>
            <w:tcW w:w="820" w:type="dxa"/>
            <w:tcBorders>
              <w:top w:val="nil"/>
              <w:left w:val="nil"/>
              <w:bottom w:val="nil"/>
              <w:right w:val="single" w:sz="8" w:space="0" w:color="auto"/>
            </w:tcBorders>
            <w:shd w:val="clear" w:color="000000" w:fill="FFFFFF"/>
            <w:noWrap/>
            <w:vAlign w:val="center"/>
            <w:hideMark/>
          </w:tcPr>
          <w:p w14:paraId="3CF01164"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4.19</w:t>
            </w:r>
          </w:p>
        </w:tc>
        <w:tc>
          <w:tcPr>
            <w:tcW w:w="1093" w:type="dxa"/>
            <w:tcBorders>
              <w:top w:val="nil"/>
              <w:left w:val="nil"/>
              <w:bottom w:val="nil"/>
              <w:right w:val="nil"/>
            </w:tcBorders>
            <w:shd w:val="clear" w:color="000000" w:fill="FFFFFF"/>
            <w:noWrap/>
            <w:vAlign w:val="center"/>
            <w:hideMark/>
          </w:tcPr>
          <w:p w14:paraId="60D80EC8"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2.21</w:t>
            </w:r>
          </w:p>
        </w:tc>
        <w:tc>
          <w:tcPr>
            <w:tcW w:w="887" w:type="dxa"/>
            <w:tcBorders>
              <w:top w:val="nil"/>
              <w:left w:val="nil"/>
              <w:bottom w:val="nil"/>
              <w:right w:val="single" w:sz="12" w:space="0" w:color="auto"/>
            </w:tcBorders>
            <w:shd w:val="clear" w:color="000000" w:fill="FFFFFF"/>
            <w:noWrap/>
            <w:vAlign w:val="center"/>
            <w:hideMark/>
          </w:tcPr>
          <w:p w14:paraId="5BBBE63F"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1.03</w:t>
            </w:r>
          </w:p>
        </w:tc>
      </w:tr>
      <w:tr w:rsidR="00260D4C" w:rsidRPr="00AE5676" w14:paraId="55B3E343" w14:textId="77777777" w:rsidTr="00E56366">
        <w:trPr>
          <w:gridAfter w:val="1"/>
          <w:wAfter w:w="6" w:type="dxa"/>
          <w:trHeight w:val="20"/>
          <w:jc w:val="center"/>
        </w:trPr>
        <w:tc>
          <w:tcPr>
            <w:tcW w:w="1128" w:type="dxa"/>
            <w:tcBorders>
              <w:top w:val="nil"/>
              <w:left w:val="single" w:sz="12" w:space="0" w:color="auto"/>
              <w:bottom w:val="nil"/>
              <w:right w:val="nil"/>
            </w:tcBorders>
            <w:shd w:val="clear" w:color="000000" w:fill="FFFFFF"/>
            <w:noWrap/>
            <w:vAlign w:val="center"/>
            <w:hideMark/>
          </w:tcPr>
          <w:p w14:paraId="1C8472DF"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No</w:t>
            </w:r>
          </w:p>
        </w:tc>
        <w:tc>
          <w:tcPr>
            <w:tcW w:w="1061" w:type="dxa"/>
            <w:tcBorders>
              <w:top w:val="nil"/>
              <w:left w:val="nil"/>
              <w:bottom w:val="nil"/>
              <w:right w:val="nil"/>
            </w:tcBorders>
            <w:shd w:val="clear" w:color="000000" w:fill="FFFFFF"/>
            <w:noWrap/>
            <w:vAlign w:val="center"/>
            <w:hideMark/>
          </w:tcPr>
          <w:p w14:paraId="20379800"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5+ days</w:t>
            </w:r>
          </w:p>
        </w:tc>
        <w:tc>
          <w:tcPr>
            <w:tcW w:w="1356" w:type="dxa"/>
            <w:tcBorders>
              <w:top w:val="nil"/>
              <w:left w:val="nil"/>
              <w:bottom w:val="nil"/>
              <w:right w:val="single" w:sz="8" w:space="0" w:color="auto"/>
            </w:tcBorders>
            <w:shd w:val="clear" w:color="000000" w:fill="FFFFFF"/>
            <w:noWrap/>
            <w:vAlign w:val="center"/>
            <w:hideMark/>
          </w:tcPr>
          <w:p w14:paraId="0FCEFA51"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More than 10</w:t>
            </w:r>
          </w:p>
        </w:tc>
        <w:tc>
          <w:tcPr>
            <w:tcW w:w="720" w:type="dxa"/>
            <w:tcBorders>
              <w:top w:val="nil"/>
              <w:left w:val="nil"/>
              <w:bottom w:val="nil"/>
              <w:right w:val="nil"/>
            </w:tcBorders>
            <w:shd w:val="clear" w:color="000000" w:fill="FFFFFF"/>
            <w:noWrap/>
            <w:vAlign w:val="center"/>
            <w:hideMark/>
          </w:tcPr>
          <w:p w14:paraId="12659F64" w14:textId="77777777" w:rsidR="00260D4C" w:rsidRPr="00AE5676" w:rsidRDefault="00260D4C" w:rsidP="00E56366">
            <w:pPr>
              <w:tabs>
                <w:tab w:val="decimal" w:pos="386"/>
              </w:tabs>
              <w:spacing w:after="0" w:line="240" w:lineRule="auto"/>
              <w:jc w:val="center"/>
              <w:rPr>
                <w:rFonts w:eastAsia="Times New Roman"/>
                <w:color w:val="000000"/>
                <w:sz w:val="20"/>
                <w:szCs w:val="20"/>
              </w:rPr>
            </w:pPr>
            <w:r w:rsidRPr="00AE5676">
              <w:rPr>
                <w:color w:val="000000"/>
                <w:sz w:val="20"/>
                <w:szCs w:val="20"/>
              </w:rPr>
              <w:t>261</w:t>
            </w:r>
          </w:p>
        </w:tc>
        <w:tc>
          <w:tcPr>
            <w:tcW w:w="1110" w:type="dxa"/>
            <w:tcBorders>
              <w:top w:val="nil"/>
              <w:left w:val="nil"/>
              <w:bottom w:val="nil"/>
              <w:right w:val="single" w:sz="8" w:space="0" w:color="auto"/>
            </w:tcBorders>
            <w:shd w:val="clear" w:color="000000" w:fill="FFFFFF"/>
            <w:noWrap/>
            <w:vAlign w:val="center"/>
            <w:hideMark/>
          </w:tcPr>
          <w:p w14:paraId="5FA06803"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2.09</w:t>
            </w:r>
          </w:p>
        </w:tc>
        <w:tc>
          <w:tcPr>
            <w:tcW w:w="1080" w:type="dxa"/>
            <w:tcBorders>
              <w:top w:val="nil"/>
              <w:left w:val="nil"/>
              <w:bottom w:val="nil"/>
              <w:right w:val="nil"/>
            </w:tcBorders>
            <w:shd w:val="clear" w:color="000000" w:fill="FFFFFF"/>
            <w:noWrap/>
            <w:vAlign w:val="center"/>
            <w:hideMark/>
          </w:tcPr>
          <w:p w14:paraId="27C32D22"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2.09</w:t>
            </w:r>
          </w:p>
        </w:tc>
        <w:tc>
          <w:tcPr>
            <w:tcW w:w="820" w:type="dxa"/>
            <w:tcBorders>
              <w:top w:val="nil"/>
              <w:left w:val="nil"/>
              <w:bottom w:val="nil"/>
              <w:right w:val="single" w:sz="8" w:space="0" w:color="auto"/>
            </w:tcBorders>
            <w:shd w:val="clear" w:color="000000" w:fill="FFFFFF"/>
            <w:noWrap/>
            <w:vAlign w:val="center"/>
            <w:hideMark/>
          </w:tcPr>
          <w:p w14:paraId="05A7365D"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0.29</w:t>
            </w:r>
          </w:p>
        </w:tc>
        <w:tc>
          <w:tcPr>
            <w:tcW w:w="1093" w:type="dxa"/>
            <w:tcBorders>
              <w:top w:val="nil"/>
              <w:left w:val="nil"/>
              <w:bottom w:val="nil"/>
              <w:right w:val="nil"/>
            </w:tcBorders>
            <w:shd w:val="clear" w:color="000000" w:fill="FFFFFF"/>
            <w:noWrap/>
            <w:vAlign w:val="center"/>
            <w:hideMark/>
          </w:tcPr>
          <w:p w14:paraId="7ADD4C6C"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2.04</w:t>
            </w:r>
          </w:p>
        </w:tc>
        <w:tc>
          <w:tcPr>
            <w:tcW w:w="887" w:type="dxa"/>
            <w:tcBorders>
              <w:top w:val="nil"/>
              <w:left w:val="nil"/>
              <w:bottom w:val="nil"/>
              <w:right w:val="single" w:sz="12" w:space="0" w:color="auto"/>
            </w:tcBorders>
            <w:shd w:val="clear" w:color="000000" w:fill="FFFFFF"/>
            <w:noWrap/>
            <w:vAlign w:val="center"/>
            <w:hideMark/>
          </w:tcPr>
          <w:p w14:paraId="16C9C5BF"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2.59</w:t>
            </w:r>
          </w:p>
        </w:tc>
      </w:tr>
      <w:tr w:rsidR="00260D4C" w:rsidRPr="00AE5676" w14:paraId="22FC0CC3" w14:textId="77777777" w:rsidTr="00E56366">
        <w:trPr>
          <w:gridAfter w:val="1"/>
          <w:wAfter w:w="6" w:type="dxa"/>
          <w:trHeight w:val="20"/>
          <w:jc w:val="center"/>
        </w:trPr>
        <w:tc>
          <w:tcPr>
            <w:tcW w:w="1128" w:type="dxa"/>
            <w:tcBorders>
              <w:top w:val="nil"/>
              <w:left w:val="single" w:sz="12" w:space="0" w:color="auto"/>
              <w:bottom w:val="nil"/>
              <w:right w:val="nil"/>
            </w:tcBorders>
            <w:shd w:val="clear" w:color="000000" w:fill="FFFFFF"/>
            <w:noWrap/>
            <w:vAlign w:val="center"/>
            <w:hideMark/>
          </w:tcPr>
          <w:p w14:paraId="712267FD"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Yes</w:t>
            </w:r>
          </w:p>
        </w:tc>
        <w:tc>
          <w:tcPr>
            <w:tcW w:w="1061" w:type="dxa"/>
            <w:tcBorders>
              <w:top w:val="nil"/>
              <w:left w:val="nil"/>
              <w:bottom w:val="nil"/>
              <w:right w:val="nil"/>
            </w:tcBorders>
            <w:shd w:val="clear" w:color="000000" w:fill="FFFFFF"/>
            <w:noWrap/>
            <w:vAlign w:val="center"/>
            <w:hideMark/>
          </w:tcPr>
          <w:p w14:paraId="4FFC4F44"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N/A</w:t>
            </w:r>
          </w:p>
        </w:tc>
        <w:tc>
          <w:tcPr>
            <w:tcW w:w="1356" w:type="dxa"/>
            <w:tcBorders>
              <w:top w:val="nil"/>
              <w:left w:val="nil"/>
              <w:bottom w:val="nil"/>
              <w:right w:val="single" w:sz="8" w:space="0" w:color="auto"/>
            </w:tcBorders>
            <w:shd w:val="clear" w:color="000000" w:fill="FFFFFF"/>
            <w:noWrap/>
            <w:vAlign w:val="center"/>
            <w:hideMark/>
          </w:tcPr>
          <w:p w14:paraId="1D79D55F"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0</w:t>
            </w:r>
          </w:p>
        </w:tc>
        <w:tc>
          <w:tcPr>
            <w:tcW w:w="720" w:type="dxa"/>
            <w:tcBorders>
              <w:top w:val="nil"/>
              <w:left w:val="nil"/>
              <w:bottom w:val="nil"/>
              <w:right w:val="nil"/>
            </w:tcBorders>
            <w:shd w:val="clear" w:color="000000" w:fill="FFFFFF"/>
            <w:noWrap/>
            <w:vAlign w:val="center"/>
            <w:hideMark/>
          </w:tcPr>
          <w:p w14:paraId="65FB660A" w14:textId="77777777" w:rsidR="00260D4C" w:rsidRPr="00AE5676" w:rsidRDefault="00260D4C" w:rsidP="00E56366">
            <w:pPr>
              <w:tabs>
                <w:tab w:val="decimal" w:pos="386"/>
              </w:tabs>
              <w:spacing w:after="0" w:line="240" w:lineRule="auto"/>
              <w:jc w:val="center"/>
              <w:rPr>
                <w:rFonts w:eastAsia="Times New Roman"/>
                <w:color w:val="000000"/>
                <w:sz w:val="20"/>
                <w:szCs w:val="20"/>
              </w:rPr>
            </w:pPr>
            <w:r w:rsidRPr="00AE5676">
              <w:rPr>
                <w:color w:val="000000"/>
                <w:sz w:val="20"/>
                <w:szCs w:val="20"/>
              </w:rPr>
              <w:t>426</w:t>
            </w:r>
          </w:p>
        </w:tc>
        <w:tc>
          <w:tcPr>
            <w:tcW w:w="1110" w:type="dxa"/>
            <w:tcBorders>
              <w:top w:val="nil"/>
              <w:left w:val="nil"/>
              <w:bottom w:val="nil"/>
              <w:right w:val="single" w:sz="8" w:space="0" w:color="auto"/>
            </w:tcBorders>
            <w:shd w:val="clear" w:color="000000" w:fill="FFFFFF"/>
            <w:noWrap/>
            <w:vAlign w:val="center"/>
            <w:hideMark/>
          </w:tcPr>
          <w:p w14:paraId="7886873D"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3.42</w:t>
            </w:r>
          </w:p>
        </w:tc>
        <w:tc>
          <w:tcPr>
            <w:tcW w:w="1080" w:type="dxa"/>
            <w:tcBorders>
              <w:top w:val="nil"/>
              <w:left w:val="nil"/>
              <w:bottom w:val="nil"/>
              <w:right w:val="nil"/>
            </w:tcBorders>
            <w:shd w:val="clear" w:color="000000" w:fill="FFFFFF"/>
            <w:noWrap/>
            <w:vAlign w:val="center"/>
            <w:hideMark/>
          </w:tcPr>
          <w:p w14:paraId="5BFF27CB"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3.38</w:t>
            </w:r>
          </w:p>
        </w:tc>
        <w:tc>
          <w:tcPr>
            <w:tcW w:w="820" w:type="dxa"/>
            <w:tcBorders>
              <w:top w:val="nil"/>
              <w:left w:val="nil"/>
              <w:bottom w:val="nil"/>
              <w:right w:val="single" w:sz="8" w:space="0" w:color="auto"/>
            </w:tcBorders>
            <w:shd w:val="clear" w:color="000000" w:fill="FFFFFF"/>
            <w:noWrap/>
            <w:vAlign w:val="center"/>
            <w:hideMark/>
          </w:tcPr>
          <w:p w14:paraId="66A681AB"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1.07</w:t>
            </w:r>
          </w:p>
        </w:tc>
        <w:tc>
          <w:tcPr>
            <w:tcW w:w="1093" w:type="dxa"/>
            <w:tcBorders>
              <w:top w:val="nil"/>
              <w:left w:val="nil"/>
              <w:bottom w:val="nil"/>
              <w:right w:val="nil"/>
            </w:tcBorders>
            <w:shd w:val="clear" w:color="000000" w:fill="FFFFFF"/>
            <w:noWrap/>
            <w:vAlign w:val="center"/>
            <w:hideMark/>
          </w:tcPr>
          <w:p w14:paraId="1CC95EAE"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3.38</w:t>
            </w:r>
          </w:p>
        </w:tc>
        <w:tc>
          <w:tcPr>
            <w:tcW w:w="887" w:type="dxa"/>
            <w:tcBorders>
              <w:top w:val="nil"/>
              <w:left w:val="nil"/>
              <w:bottom w:val="nil"/>
              <w:right w:val="single" w:sz="12" w:space="0" w:color="auto"/>
            </w:tcBorders>
            <w:shd w:val="clear" w:color="000000" w:fill="FFFFFF"/>
            <w:noWrap/>
            <w:vAlign w:val="center"/>
            <w:hideMark/>
          </w:tcPr>
          <w:p w14:paraId="7441FFB7"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1.16</w:t>
            </w:r>
          </w:p>
        </w:tc>
      </w:tr>
      <w:tr w:rsidR="00260D4C" w:rsidRPr="00AE5676" w14:paraId="6F9CA785" w14:textId="77777777" w:rsidTr="00E56366">
        <w:trPr>
          <w:gridAfter w:val="1"/>
          <w:wAfter w:w="6" w:type="dxa"/>
          <w:trHeight w:val="20"/>
          <w:jc w:val="center"/>
        </w:trPr>
        <w:tc>
          <w:tcPr>
            <w:tcW w:w="1128" w:type="dxa"/>
            <w:tcBorders>
              <w:top w:val="nil"/>
              <w:left w:val="single" w:sz="12" w:space="0" w:color="auto"/>
              <w:bottom w:val="nil"/>
              <w:right w:val="nil"/>
            </w:tcBorders>
            <w:shd w:val="clear" w:color="000000" w:fill="FFFFFF"/>
            <w:noWrap/>
            <w:vAlign w:val="center"/>
            <w:hideMark/>
          </w:tcPr>
          <w:p w14:paraId="3A82634A"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Yes</w:t>
            </w:r>
          </w:p>
        </w:tc>
        <w:tc>
          <w:tcPr>
            <w:tcW w:w="1061" w:type="dxa"/>
            <w:tcBorders>
              <w:top w:val="nil"/>
              <w:left w:val="nil"/>
              <w:bottom w:val="nil"/>
              <w:right w:val="nil"/>
            </w:tcBorders>
            <w:shd w:val="clear" w:color="000000" w:fill="FFFFFF"/>
            <w:noWrap/>
            <w:vAlign w:val="center"/>
            <w:hideMark/>
          </w:tcPr>
          <w:p w14:paraId="3727EE8B"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N/A</w:t>
            </w:r>
          </w:p>
        </w:tc>
        <w:tc>
          <w:tcPr>
            <w:tcW w:w="1356" w:type="dxa"/>
            <w:tcBorders>
              <w:top w:val="nil"/>
              <w:left w:val="nil"/>
              <w:bottom w:val="nil"/>
              <w:right w:val="single" w:sz="8" w:space="0" w:color="auto"/>
            </w:tcBorders>
            <w:shd w:val="clear" w:color="000000" w:fill="FFFFFF"/>
            <w:noWrap/>
            <w:vAlign w:val="center"/>
            <w:hideMark/>
          </w:tcPr>
          <w:p w14:paraId="11F70A1D"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1-5</w:t>
            </w:r>
          </w:p>
        </w:tc>
        <w:tc>
          <w:tcPr>
            <w:tcW w:w="720" w:type="dxa"/>
            <w:tcBorders>
              <w:top w:val="nil"/>
              <w:left w:val="nil"/>
              <w:bottom w:val="nil"/>
              <w:right w:val="nil"/>
            </w:tcBorders>
            <w:shd w:val="clear" w:color="000000" w:fill="FFFFFF"/>
            <w:noWrap/>
            <w:vAlign w:val="center"/>
            <w:hideMark/>
          </w:tcPr>
          <w:p w14:paraId="4D4BB62D" w14:textId="77777777" w:rsidR="00260D4C" w:rsidRPr="00AE5676" w:rsidRDefault="00260D4C" w:rsidP="00E56366">
            <w:pPr>
              <w:tabs>
                <w:tab w:val="decimal" w:pos="386"/>
              </w:tabs>
              <w:spacing w:after="0" w:line="240" w:lineRule="auto"/>
              <w:jc w:val="center"/>
              <w:rPr>
                <w:rFonts w:eastAsia="Times New Roman"/>
                <w:color w:val="000000"/>
                <w:sz w:val="20"/>
                <w:szCs w:val="20"/>
              </w:rPr>
            </w:pPr>
            <w:r w:rsidRPr="00AE5676">
              <w:rPr>
                <w:color w:val="000000"/>
                <w:sz w:val="20"/>
                <w:szCs w:val="20"/>
              </w:rPr>
              <w:t>561</w:t>
            </w:r>
          </w:p>
        </w:tc>
        <w:tc>
          <w:tcPr>
            <w:tcW w:w="1110" w:type="dxa"/>
            <w:tcBorders>
              <w:top w:val="nil"/>
              <w:left w:val="nil"/>
              <w:bottom w:val="nil"/>
              <w:right w:val="single" w:sz="8" w:space="0" w:color="auto"/>
            </w:tcBorders>
            <w:shd w:val="clear" w:color="000000" w:fill="FFFFFF"/>
            <w:noWrap/>
            <w:vAlign w:val="center"/>
            <w:hideMark/>
          </w:tcPr>
          <w:p w14:paraId="6C98CCAA"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4.50</w:t>
            </w:r>
          </w:p>
        </w:tc>
        <w:tc>
          <w:tcPr>
            <w:tcW w:w="1080" w:type="dxa"/>
            <w:tcBorders>
              <w:top w:val="nil"/>
              <w:left w:val="nil"/>
              <w:bottom w:val="nil"/>
              <w:right w:val="nil"/>
            </w:tcBorders>
            <w:shd w:val="clear" w:color="000000" w:fill="FFFFFF"/>
            <w:noWrap/>
            <w:vAlign w:val="center"/>
            <w:hideMark/>
          </w:tcPr>
          <w:p w14:paraId="3CF07A50"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4.82</w:t>
            </w:r>
          </w:p>
        </w:tc>
        <w:tc>
          <w:tcPr>
            <w:tcW w:w="820" w:type="dxa"/>
            <w:tcBorders>
              <w:top w:val="nil"/>
              <w:left w:val="nil"/>
              <w:bottom w:val="nil"/>
              <w:right w:val="single" w:sz="8" w:space="0" w:color="auto"/>
            </w:tcBorders>
            <w:shd w:val="clear" w:color="000000" w:fill="FFFFFF"/>
            <w:noWrap/>
            <w:vAlign w:val="center"/>
            <w:hideMark/>
          </w:tcPr>
          <w:p w14:paraId="70911FE8"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7.24</w:t>
            </w:r>
          </w:p>
        </w:tc>
        <w:tc>
          <w:tcPr>
            <w:tcW w:w="1093" w:type="dxa"/>
            <w:tcBorders>
              <w:top w:val="nil"/>
              <w:left w:val="nil"/>
              <w:bottom w:val="nil"/>
              <w:right w:val="nil"/>
            </w:tcBorders>
            <w:shd w:val="clear" w:color="000000" w:fill="FFFFFF"/>
            <w:noWrap/>
            <w:vAlign w:val="center"/>
            <w:hideMark/>
          </w:tcPr>
          <w:p w14:paraId="0A82071D"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4.21</w:t>
            </w:r>
          </w:p>
        </w:tc>
        <w:tc>
          <w:tcPr>
            <w:tcW w:w="887" w:type="dxa"/>
            <w:tcBorders>
              <w:top w:val="nil"/>
              <w:left w:val="nil"/>
              <w:bottom w:val="nil"/>
              <w:right w:val="single" w:sz="12" w:space="0" w:color="auto"/>
            </w:tcBorders>
            <w:shd w:val="clear" w:color="000000" w:fill="FFFFFF"/>
            <w:noWrap/>
            <w:vAlign w:val="center"/>
            <w:hideMark/>
          </w:tcPr>
          <w:p w14:paraId="39579284"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6.44</w:t>
            </w:r>
          </w:p>
        </w:tc>
      </w:tr>
      <w:tr w:rsidR="00260D4C" w:rsidRPr="00AE5676" w14:paraId="5B71A2F6" w14:textId="77777777" w:rsidTr="00E56366">
        <w:trPr>
          <w:gridAfter w:val="1"/>
          <w:wAfter w:w="6" w:type="dxa"/>
          <w:trHeight w:val="20"/>
          <w:jc w:val="center"/>
        </w:trPr>
        <w:tc>
          <w:tcPr>
            <w:tcW w:w="1128" w:type="dxa"/>
            <w:tcBorders>
              <w:top w:val="nil"/>
              <w:left w:val="single" w:sz="12" w:space="0" w:color="auto"/>
              <w:bottom w:val="nil"/>
              <w:right w:val="nil"/>
            </w:tcBorders>
            <w:shd w:val="clear" w:color="000000" w:fill="FFFFFF"/>
            <w:noWrap/>
            <w:vAlign w:val="center"/>
            <w:hideMark/>
          </w:tcPr>
          <w:p w14:paraId="67D383CA"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Yes</w:t>
            </w:r>
          </w:p>
        </w:tc>
        <w:tc>
          <w:tcPr>
            <w:tcW w:w="1061" w:type="dxa"/>
            <w:tcBorders>
              <w:top w:val="nil"/>
              <w:left w:val="nil"/>
              <w:bottom w:val="nil"/>
              <w:right w:val="nil"/>
            </w:tcBorders>
            <w:shd w:val="clear" w:color="000000" w:fill="FFFFFF"/>
            <w:noWrap/>
            <w:vAlign w:val="center"/>
            <w:hideMark/>
          </w:tcPr>
          <w:p w14:paraId="3873BA92"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N/A</w:t>
            </w:r>
          </w:p>
        </w:tc>
        <w:tc>
          <w:tcPr>
            <w:tcW w:w="1356" w:type="dxa"/>
            <w:tcBorders>
              <w:top w:val="nil"/>
              <w:left w:val="nil"/>
              <w:bottom w:val="nil"/>
              <w:right w:val="single" w:sz="8" w:space="0" w:color="auto"/>
            </w:tcBorders>
            <w:shd w:val="clear" w:color="000000" w:fill="FFFFFF"/>
            <w:noWrap/>
            <w:vAlign w:val="center"/>
            <w:hideMark/>
          </w:tcPr>
          <w:p w14:paraId="4AC932E1"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6-10</w:t>
            </w:r>
          </w:p>
        </w:tc>
        <w:tc>
          <w:tcPr>
            <w:tcW w:w="720" w:type="dxa"/>
            <w:tcBorders>
              <w:top w:val="nil"/>
              <w:left w:val="nil"/>
              <w:bottom w:val="nil"/>
              <w:right w:val="nil"/>
            </w:tcBorders>
            <w:shd w:val="clear" w:color="000000" w:fill="FFFFFF"/>
            <w:noWrap/>
            <w:vAlign w:val="center"/>
            <w:hideMark/>
          </w:tcPr>
          <w:p w14:paraId="23B1B24A" w14:textId="77777777" w:rsidR="00260D4C" w:rsidRPr="00AE5676" w:rsidRDefault="00260D4C" w:rsidP="00E56366">
            <w:pPr>
              <w:tabs>
                <w:tab w:val="decimal" w:pos="386"/>
              </w:tabs>
              <w:spacing w:after="0" w:line="240" w:lineRule="auto"/>
              <w:jc w:val="center"/>
              <w:rPr>
                <w:rFonts w:eastAsia="Times New Roman"/>
                <w:color w:val="000000"/>
                <w:sz w:val="20"/>
                <w:szCs w:val="20"/>
              </w:rPr>
            </w:pPr>
            <w:r w:rsidRPr="00AE5676">
              <w:rPr>
                <w:color w:val="000000"/>
                <w:sz w:val="20"/>
                <w:szCs w:val="20"/>
              </w:rPr>
              <w:t>225</w:t>
            </w:r>
          </w:p>
        </w:tc>
        <w:tc>
          <w:tcPr>
            <w:tcW w:w="1110" w:type="dxa"/>
            <w:tcBorders>
              <w:top w:val="nil"/>
              <w:left w:val="nil"/>
              <w:bottom w:val="nil"/>
              <w:right w:val="single" w:sz="8" w:space="0" w:color="auto"/>
            </w:tcBorders>
            <w:shd w:val="clear" w:color="000000" w:fill="FFFFFF"/>
            <w:noWrap/>
            <w:vAlign w:val="center"/>
            <w:hideMark/>
          </w:tcPr>
          <w:p w14:paraId="73117E79"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1.80</w:t>
            </w:r>
          </w:p>
        </w:tc>
        <w:tc>
          <w:tcPr>
            <w:tcW w:w="1080" w:type="dxa"/>
            <w:tcBorders>
              <w:top w:val="nil"/>
              <w:left w:val="nil"/>
              <w:bottom w:val="nil"/>
              <w:right w:val="nil"/>
            </w:tcBorders>
            <w:shd w:val="clear" w:color="000000" w:fill="FFFFFF"/>
            <w:noWrap/>
            <w:vAlign w:val="center"/>
            <w:hideMark/>
          </w:tcPr>
          <w:p w14:paraId="012DCDA4"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2.11</w:t>
            </w:r>
          </w:p>
        </w:tc>
        <w:tc>
          <w:tcPr>
            <w:tcW w:w="820" w:type="dxa"/>
            <w:tcBorders>
              <w:top w:val="nil"/>
              <w:left w:val="nil"/>
              <w:bottom w:val="nil"/>
              <w:right w:val="single" w:sz="8" w:space="0" w:color="auto"/>
            </w:tcBorders>
            <w:shd w:val="clear" w:color="000000" w:fill="FFFFFF"/>
            <w:noWrap/>
            <w:vAlign w:val="center"/>
            <w:hideMark/>
          </w:tcPr>
          <w:p w14:paraId="5536AC6C"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16.92</w:t>
            </w:r>
          </w:p>
        </w:tc>
        <w:tc>
          <w:tcPr>
            <w:tcW w:w="1093" w:type="dxa"/>
            <w:tcBorders>
              <w:top w:val="nil"/>
              <w:left w:val="nil"/>
              <w:bottom w:val="nil"/>
              <w:right w:val="nil"/>
            </w:tcBorders>
            <w:shd w:val="clear" w:color="000000" w:fill="FFFFFF"/>
            <w:noWrap/>
            <w:vAlign w:val="center"/>
            <w:hideMark/>
          </w:tcPr>
          <w:p w14:paraId="2D818CA5"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1.55</w:t>
            </w:r>
          </w:p>
        </w:tc>
        <w:tc>
          <w:tcPr>
            <w:tcW w:w="887" w:type="dxa"/>
            <w:tcBorders>
              <w:top w:val="nil"/>
              <w:left w:val="nil"/>
              <w:bottom w:val="nil"/>
              <w:right w:val="single" w:sz="12" w:space="0" w:color="auto"/>
            </w:tcBorders>
            <w:shd w:val="clear" w:color="000000" w:fill="FFFFFF"/>
            <w:noWrap/>
            <w:vAlign w:val="center"/>
            <w:hideMark/>
          </w:tcPr>
          <w:p w14:paraId="5DFD59FA"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13.85</w:t>
            </w:r>
          </w:p>
        </w:tc>
      </w:tr>
      <w:tr w:rsidR="00260D4C" w:rsidRPr="00AE5676" w14:paraId="73E0D2AB" w14:textId="77777777" w:rsidTr="00E56366">
        <w:trPr>
          <w:gridAfter w:val="1"/>
          <w:wAfter w:w="6" w:type="dxa"/>
          <w:trHeight w:val="20"/>
          <w:jc w:val="center"/>
        </w:trPr>
        <w:tc>
          <w:tcPr>
            <w:tcW w:w="1128" w:type="dxa"/>
            <w:tcBorders>
              <w:top w:val="nil"/>
              <w:left w:val="single" w:sz="12" w:space="0" w:color="auto"/>
              <w:bottom w:val="nil"/>
              <w:right w:val="nil"/>
            </w:tcBorders>
            <w:shd w:val="clear" w:color="000000" w:fill="FFFFFF"/>
            <w:noWrap/>
            <w:vAlign w:val="center"/>
            <w:hideMark/>
          </w:tcPr>
          <w:p w14:paraId="31859AB9"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Yes</w:t>
            </w:r>
          </w:p>
        </w:tc>
        <w:tc>
          <w:tcPr>
            <w:tcW w:w="1061" w:type="dxa"/>
            <w:tcBorders>
              <w:top w:val="nil"/>
              <w:left w:val="nil"/>
              <w:bottom w:val="nil"/>
              <w:right w:val="nil"/>
            </w:tcBorders>
            <w:shd w:val="clear" w:color="000000" w:fill="FFFFFF"/>
            <w:noWrap/>
            <w:vAlign w:val="center"/>
            <w:hideMark/>
          </w:tcPr>
          <w:p w14:paraId="6D8D7F80"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N/A</w:t>
            </w:r>
          </w:p>
        </w:tc>
        <w:tc>
          <w:tcPr>
            <w:tcW w:w="1356" w:type="dxa"/>
            <w:tcBorders>
              <w:top w:val="nil"/>
              <w:left w:val="nil"/>
              <w:bottom w:val="nil"/>
              <w:right w:val="single" w:sz="8" w:space="0" w:color="auto"/>
            </w:tcBorders>
            <w:shd w:val="clear" w:color="000000" w:fill="FFFFFF"/>
            <w:noWrap/>
            <w:vAlign w:val="center"/>
            <w:hideMark/>
          </w:tcPr>
          <w:p w14:paraId="68613899"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More than 10</w:t>
            </w:r>
          </w:p>
        </w:tc>
        <w:tc>
          <w:tcPr>
            <w:tcW w:w="720" w:type="dxa"/>
            <w:tcBorders>
              <w:top w:val="nil"/>
              <w:left w:val="nil"/>
              <w:bottom w:val="nil"/>
              <w:right w:val="nil"/>
            </w:tcBorders>
            <w:shd w:val="clear" w:color="000000" w:fill="FFFFFF"/>
            <w:noWrap/>
            <w:vAlign w:val="center"/>
            <w:hideMark/>
          </w:tcPr>
          <w:p w14:paraId="74C54362" w14:textId="77777777" w:rsidR="00260D4C" w:rsidRPr="00AE5676" w:rsidRDefault="00260D4C" w:rsidP="00E56366">
            <w:pPr>
              <w:tabs>
                <w:tab w:val="decimal" w:pos="386"/>
              </w:tabs>
              <w:spacing w:after="0" w:line="240" w:lineRule="auto"/>
              <w:jc w:val="center"/>
              <w:rPr>
                <w:rFonts w:eastAsia="Times New Roman"/>
                <w:color w:val="000000"/>
                <w:sz w:val="20"/>
                <w:szCs w:val="20"/>
              </w:rPr>
            </w:pPr>
            <w:r w:rsidRPr="00AE5676">
              <w:rPr>
                <w:color w:val="000000"/>
                <w:sz w:val="20"/>
                <w:szCs w:val="20"/>
              </w:rPr>
              <w:t>135</w:t>
            </w:r>
          </w:p>
        </w:tc>
        <w:tc>
          <w:tcPr>
            <w:tcW w:w="1110" w:type="dxa"/>
            <w:tcBorders>
              <w:top w:val="nil"/>
              <w:left w:val="nil"/>
              <w:bottom w:val="nil"/>
              <w:right w:val="single" w:sz="8" w:space="0" w:color="auto"/>
            </w:tcBorders>
            <w:shd w:val="clear" w:color="000000" w:fill="FFFFFF"/>
            <w:noWrap/>
            <w:vAlign w:val="center"/>
            <w:hideMark/>
          </w:tcPr>
          <w:p w14:paraId="4EB705D4"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1.08</w:t>
            </w:r>
          </w:p>
        </w:tc>
        <w:tc>
          <w:tcPr>
            <w:tcW w:w="1080" w:type="dxa"/>
            <w:tcBorders>
              <w:top w:val="nil"/>
              <w:left w:val="nil"/>
              <w:bottom w:val="nil"/>
              <w:right w:val="nil"/>
            </w:tcBorders>
            <w:shd w:val="clear" w:color="000000" w:fill="FFFFFF"/>
            <w:noWrap/>
            <w:vAlign w:val="center"/>
            <w:hideMark/>
          </w:tcPr>
          <w:p w14:paraId="5E678056"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1.25</w:t>
            </w:r>
          </w:p>
        </w:tc>
        <w:tc>
          <w:tcPr>
            <w:tcW w:w="820" w:type="dxa"/>
            <w:tcBorders>
              <w:top w:val="nil"/>
              <w:left w:val="nil"/>
              <w:bottom w:val="nil"/>
              <w:right w:val="single" w:sz="8" w:space="0" w:color="auto"/>
            </w:tcBorders>
            <w:shd w:val="clear" w:color="000000" w:fill="FFFFFF"/>
            <w:noWrap/>
            <w:vAlign w:val="center"/>
            <w:hideMark/>
          </w:tcPr>
          <w:p w14:paraId="43B359C7"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15.19</w:t>
            </w:r>
          </w:p>
        </w:tc>
        <w:tc>
          <w:tcPr>
            <w:tcW w:w="1093" w:type="dxa"/>
            <w:tcBorders>
              <w:top w:val="nil"/>
              <w:left w:val="nil"/>
              <w:bottom w:val="nil"/>
              <w:right w:val="nil"/>
            </w:tcBorders>
            <w:shd w:val="clear" w:color="000000" w:fill="FFFFFF"/>
            <w:noWrap/>
            <w:vAlign w:val="center"/>
            <w:hideMark/>
          </w:tcPr>
          <w:p w14:paraId="52880EC5"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0.91</w:t>
            </w:r>
          </w:p>
        </w:tc>
        <w:tc>
          <w:tcPr>
            <w:tcW w:w="887" w:type="dxa"/>
            <w:tcBorders>
              <w:top w:val="nil"/>
              <w:left w:val="nil"/>
              <w:bottom w:val="nil"/>
              <w:right w:val="single" w:sz="12" w:space="0" w:color="auto"/>
            </w:tcBorders>
            <w:shd w:val="clear" w:color="000000" w:fill="FFFFFF"/>
            <w:noWrap/>
            <w:vAlign w:val="center"/>
            <w:hideMark/>
          </w:tcPr>
          <w:p w14:paraId="48AB6F7C"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16.19</w:t>
            </w:r>
          </w:p>
        </w:tc>
      </w:tr>
      <w:tr w:rsidR="00260D4C" w:rsidRPr="00AE5676" w14:paraId="0EDFB103" w14:textId="77777777" w:rsidTr="00E56366">
        <w:trPr>
          <w:gridAfter w:val="1"/>
          <w:wAfter w:w="6" w:type="dxa"/>
          <w:trHeight w:val="20"/>
          <w:jc w:val="center"/>
        </w:trPr>
        <w:tc>
          <w:tcPr>
            <w:tcW w:w="1128" w:type="dxa"/>
            <w:tcBorders>
              <w:top w:val="nil"/>
              <w:left w:val="single" w:sz="12" w:space="0" w:color="auto"/>
              <w:bottom w:val="nil"/>
              <w:right w:val="nil"/>
            </w:tcBorders>
            <w:shd w:val="clear" w:color="000000" w:fill="FFFFFF"/>
            <w:noWrap/>
            <w:vAlign w:val="center"/>
            <w:hideMark/>
          </w:tcPr>
          <w:p w14:paraId="12FED62C"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Yes</w:t>
            </w:r>
          </w:p>
        </w:tc>
        <w:tc>
          <w:tcPr>
            <w:tcW w:w="1061" w:type="dxa"/>
            <w:tcBorders>
              <w:top w:val="nil"/>
              <w:left w:val="nil"/>
              <w:bottom w:val="nil"/>
              <w:right w:val="nil"/>
            </w:tcBorders>
            <w:shd w:val="clear" w:color="000000" w:fill="FFFFFF"/>
            <w:noWrap/>
            <w:vAlign w:val="center"/>
            <w:hideMark/>
          </w:tcPr>
          <w:p w14:paraId="556B06C3"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0 days</w:t>
            </w:r>
          </w:p>
        </w:tc>
        <w:tc>
          <w:tcPr>
            <w:tcW w:w="1356" w:type="dxa"/>
            <w:tcBorders>
              <w:top w:val="nil"/>
              <w:left w:val="nil"/>
              <w:bottom w:val="nil"/>
              <w:right w:val="single" w:sz="8" w:space="0" w:color="auto"/>
            </w:tcBorders>
            <w:shd w:val="clear" w:color="000000" w:fill="FFFFFF"/>
            <w:noWrap/>
            <w:vAlign w:val="center"/>
            <w:hideMark/>
          </w:tcPr>
          <w:p w14:paraId="05EF4A33"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0</w:t>
            </w:r>
          </w:p>
        </w:tc>
        <w:tc>
          <w:tcPr>
            <w:tcW w:w="720" w:type="dxa"/>
            <w:tcBorders>
              <w:top w:val="nil"/>
              <w:left w:val="nil"/>
              <w:bottom w:val="nil"/>
              <w:right w:val="nil"/>
            </w:tcBorders>
            <w:shd w:val="clear" w:color="000000" w:fill="FFFFFF"/>
            <w:noWrap/>
            <w:vAlign w:val="center"/>
            <w:hideMark/>
          </w:tcPr>
          <w:p w14:paraId="47FE3475" w14:textId="77777777" w:rsidR="00260D4C" w:rsidRPr="00AE5676" w:rsidRDefault="00260D4C" w:rsidP="00E56366">
            <w:pPr>
              <w:tabs>
                <w:tab w:val="decimal" w:pos="386"/>
              </w:tabs>
              <w:spacing w:after="0" w:line="240" w:lineRule="auto"/>
              <w:jc w:val="center"/>
              <w:rPr>
                <w:rFonts w:eastAsia="Times New Roman"/>
                <w:color w:val="000000"/>
                <w:sz w:val="20"/>
                <w:szCs w:val="20"/>
              </w:rPr>
            </w:pPr>
            <w:r w:rsidRPr="00AE5676">
              <w:rPr>
                <w:color w:val="000000"/>
                <w:sz w:val="20"/>
                <w:szCs w:val="20"/>
              </w:rPr>
              <w:t>127</w:t>
            </w:r>
          </w:p>
        </w:tc>
        <w:tc>
          <w:tcPr>
            <w:tcW w:w="1110" w:type="dxa"/>
            <w:tcBorders>
              <w:top w:val="nil"/>
              <w:left w:val="nil"/>
              <w:bottom w:val="nil"/>
              <w:right w:val="single" w:sz="8" w:space="0" w:color="auto"/>
            </w:tcBorders>
            <w:shd w:val="clear" w:color="000000" w:fill="FFFFFF"/>
            <w:noWrap/>
            <w:vAlign w:val="center"/>
            <w:hideMark/>
          </w:tcPr>
          <w:p w14:paraId="7E2F539A"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1.02</w:t>
            </w:r>
          </w:p>
        </w:tc>
        <w:tc>
          <w:tcPr>
            <w:tcW w:w="1080" w:type="dxa"/>
            <w:tcBorders>
              <w:top w:val="nil"/>
              <w:left w:val="nil"/>
              <w:bottom w:val="nil"/>
              <w:right w:val="nil"/>
            </w:tcBorders>
            <w:shd w:val="clear" w:color="000000" w:fill="FFFFFF"/>
            <w:noWrap/>
            <w:vAlign w:val="center"/>
            <w:hideMark/>
          </w:tcPr>
          <w:p w14:paraId="78A738BF"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1.02</w:t>
            </w:r>
          </w:p>
        </w:tc>
        <w:tc>
          <w:tcPr>
            <w:tcW w:w="820" w:type="dxa"/>
            <w:tcBorders>
              <w:top w:val="nil"/>
              <w:left w:val="nil"/>
              <w:bottom w:val="nil"/>
              <w:right w:val="single" w:sz="8" w:space="0" w:color="auto"/>
            </w:tcBorders>
            <w:shd w:val="clear" w:color="000000" w:fill="FFFFFF"/>
            <w:noWrap/>
            <w:vAlign w:val="center"/>
            <w:hideMark/>
          </w:tcPr>
          <w:p w14:paraId="4238F6B1"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0.20</w:t>
            </w:r>
          </w:p>
        </w:tc>
        <w:tc>
          <w:tcPr>
            <w:tcW w:w="1093" w:type="dxa"/>
            <w:tcBorders>
              <w:top w:val="nil"/>
              <w:left w:val="nil"/>
              <w:bottom w:val="nil"/>
              <w:right w:val="nil"/>
            </w:tcBorders>
            <w:shd w:val="clear" w:color="000000" w:fill="FFFFFF"/>
            <w:noWrap/>
            <w:vAlign w:val="center"/>
            <w:hideMark/>
          </w:tcPr>
          <w:p w14:paraId="1E5CAF28"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1.25</w:t>
            </w:r>
          </w:p>
        </w:tc>
        <w:tc>
          <w:tcPr>
            <w:tcW w:w="887" w:type="dxa"/>
            <w:tcBorders>
              <w:top w:val="nil"/>
              <w:left w:val="nil"/>
              <w:bottom w:val="nil"/>
              <w:right w:val="single" w:sz="12" w:space="0" w:color="auto"/>
            </w:tcBorders>
            <w:shd w:val="clear" w:color="000000" w:fill="FFFFFF"/>
            <w:noWrap/>
            <w:vAlign w:val="center"/>
            <w:hideMark/>
          </w:tcPr>
          <w:p w14:paraId="64B8569D"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22.91</w:t>
            </w:r>
          </w:p>
        </w:tc>
      </w:tr>
      <w:tr w:rsidR="00260D4C" w:rsidRPr="00AE5676" w14:paraId="3DB43833" w14:textId="77777777" w:rsidTr="00E56366">
        <w:trPr>
          <w:gridAfter w:val="1"/>
          <w:wAfter w:w="6" w:type="dxa"/>
          <w:trHeight w:val="20"/>
          <w:jc w:val="center"/>
        </w:trPr>
        <w:tc>
          <w:tcPr>
            <w:tcW w:w="1128" w:type="dxa"/>
            <w:tcBorders>
              <w:top w:val="nil"/>
              <w:left w:val="single" w:sz="12" w:space="0" w:color="auto"/>
              <w:bottom w:val="nil"/>
              <w:right w:val="nil"/>
            </w:tcBorders>
            <w:shd w:val="clear" w:color="000000" w:fill="FFFFFF"/>
            <w:noWrap/>
            <w:vAlign w:val="center"/>
            <w:hideMark/>
          </w:tcPr>
          <w:p w14:paraId="369669C0"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Yes</w:t>
            </w:r>
          </w:p>
        </w:tc>
        <w:tc>
          <w:tcPr>
            <w:tcW w:w="1061" w:type="dxa"/>
            <w:tcBorders>
              <w:top w:val="nil"/>
              <w:left w:val="nil"/>
              <w:bottom w:val="nil"/>
              <w:right w:val="nil"/>
            </w:tcBorders>
            <w:shd w:val="clear" w:color="000000" w:fill="FFFFFF"/>
            <w:noWrap/>
            <w:vAlign w:val="center"/>
            <w:hideMark/>
          </w:tcPr>
          <w:p w14:paraId="4363C44A"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0 days</w:t>
            </w:r>
          </w:p>
        </w:tc>
        <w:tc>
          <w:tcPr>
            <w:tcW w:w="1356" w:type="dxa"/>
            <w:tcBorders>
              <w:top w:val="nil"/>
              <w:left w:val="nil"/>
              <w:bottom w:val="nil"/>
              <w:right w:val="single" w:sz="8" w:space="0" w:color="auto"/>
            </w:tcBorders>
            <w:shd w:val="clear" w:color="000000" w:fill="FFFFFF"/>
            <w:noWrap/>
            <w:vAlign w:val="center"/>
            <w:hideMark/>
          </w:tcPr>
          <w:p w14:paraId="656E270B"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1-5</w:t>
            </w:r>
          </w:p>
        </w:tc>
        <w:tc>
          <w:tcPr>
            <w:tcW w:w="720" w:type="dxa"/>
            <w:tcBorders>
              <w:top w:val="nil"/>
              <w:left w:val="nil"/>
              <w:bottom w:val="nil"/>
              <w:right w:val="nil"/>
            </w:tcBorders>
            <w:shd w:val="clear" w:color="000000" w:fill="FFFFFF"/>
            <w:noWrap/>
            <w:vAlign w:val="center"/>
            <w:hideMark/>
          </w:tcPr>
          <w:p w14:paraId="4DDCBADF" w14:textId="77777777" w:rsidR="00260D4C" w:rsidRPr="00AE5676" w:rsidRDefault="00260D4C" w:rsidP="00E56366">
            <w:pPr>
              <w:tabs>
                <w:tab w:val="decimal" w:pos="386"/>
              </w:tabs>
              <w:spacing w:after="0" w:line="240" w:lineRule="auto"/>
              <w:jc w:val="center"/>
              <w:rPr>
                <w:rFonts w:eastAsia="Times New Roman"/>
                <w:color w:val="000000"/>
                <w:sz w:val="20"/>
                <w:szCs w:val="20"/>
              </w:rPr>
            </w:pPr>
            <w:r w:rsidRPr="00AE5676">
              <w:rPr>
                <w:color w:val="000000"/>
                <w:sz w:val="20"/>
                <w:szCs w:val="20"/>
              </w:rPr>
              <w:t>261</w:t>
            </w:r>
          </w:p>
        </w:tc>
        <w:tc>
          <w:tcPr>
            <w:tcW w:w="1110" w:type="dxa"/>
            <w:tcBorders>
              <w:top w:val="nil"/>
              <w:left w:val="nil"/>
              <w:bottom w:val="nil"/>
              <w:right w:val="single" w:sz="8" w:space="0" w:color="auto"/>
            </w:tcBorders>
            <w:shd w:val="clear" w:color="000000" w:fill="FFFFFF"/>
            <w:noWrap/>
            <w:vAlign w:val="center"/>
            <w:hideMark/>
          </w:tcPr>
          <w:p w14:paraId="27F9C9BD"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2.09</w:t>
            </w:r>
          </w:p>
        </w:tc>
        <w:tc>
          <w:tcPr>
            <w:tcW w:w="1080" w:type="dxa"/>
            <w:tcBorders>
              <w:top w:val="nil"/>
              <w:left w:val="nil"/>
              <w:bottom w:val="nil"/>
              <w:right w:val="nil"/>
            </w:tcBorders>
            <w:shd w:val="clear" w:color="000000" w:fill="FFFFFF"/>
            <w:noWrap/>
            <w:vAlign w:val="center"/>
            <w:hideMark/>
          </w:tcPr>
          <w:p w14:paraId="34BD3180"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1.80</w:t>
            </w:r>
          </w:p>
        </w:tc>
        <w:tc>
          <w:tcPr>
            <w:tcW w:w="820" w:type="dxa"/>
            <w:tcBorders>
              <w:top w:val="nil"/>
              <w:left w:val="nil"/>
              <w:bottom w:val="nil"/>
              <w:right w:val="single" w:sz="8" w:space="0" w:color="auto"/>
            </w:tcBorders>
            <w:shd w:val="clear" w:color="000000" w:fill="FFFFFF"/>
            <w:noWrap/>
            <w:vAlign w:val="center"/>
            <w:hideMark/>
          </w:tcPr>
          <w:p w14:paraId="5920CD2C"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13.79</w:t>
            </w:r>
          </w:p>
        </w:tc>
        <w:tc>
          <w:tcPr>
            <w:tcW w:w="1093" w:type="dxa"/>
            <w:tcBorders>
              <w:top w:val="nil"/>
              <w:left w:val="nil"/>
              <w:bottom w:val="nil"/>
              <w:right w:val="nil"/>
            </w:tcBorders>
            <w:shd w:val="clear" w:color="000000" w:fill="FFFFFF"/>
            <w:noWrap/>
            <w:vAlign w:val="center"/>
            <w:hideMark/>
          </w:tcPr>
          <w:p w14:paraId="5A6BEA5F"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2.42</w:t>
            </w:r>
          </w:p>
        </w:tc>
        <w:tc>
          <w:tcPr>
            <w:tcW w:w="887" w:type="dxa"/>
            <w:tcBorders>
              <w:top w:val="nil"/>
              <w:left w:val="nil"/>
              <w:bottom w:val="nil"/>
              <w:right w:val="single" w:sz="12" w:space="0" w:color="auto"/>
            </w:tcBorders>
            <w:shd w:val="clear" w:color="000000" w:fill="FFFFFF"/>
            <w:noWrap/>
            <w:vAlign w:val="center"/>
            <w:hideMark/>
          </w:tcPr>
          <w:p w14:paraId="790B3319"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15.73</w:t>
            </w:r>
          </w:p>
        </w:tc>
      </w:tr>
      <w:tr w:rsidR="00260D4C" w:rsidRPr="00AE5676" w14:paraId="156AB078" w14:textId="77777777" w:rsidTr="00E56366">
        <w:trPr>
          <w:gridAfter w:val="1"/>
          <w:wAfter w:w="6" w:type="dxa"/>
          <w:trHeight w:val="20"/>
          <w:jc w:val="center"/>
        </w:trPr>
        <w:tc>
          <w:tcPr>
            <w:tcW w:w="1128" w:type="dxa"/>
            <w:tcBorders>
              <w:top w:val="nil"/>
              <w:left w:val="single" w:sz="12" w:space="0" w:color="auto"/>
              <w:bottom w:val="nil"/>
              <w:right w:val="nil"/>
            </w:tcBorders>
            <w:shd w:val="clear" w:color="000000" w:fill="FFFFFF"/>
            <w:noWrap/>
            <w:vAlign w:val="center"/>
            <w:hideMark/>
          </w:tcPr>
          <w:p w14:paraId="45DCC894"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Yes</w:t>
            </w:r>
          </w:p>
        </w:tc>
        <w:tc>
          <w:tcPr>
            <w:tcW w:w="1061" w:type="dxa"/>
            <w:tcBorders>
              <w:top w:val="nil"/>
              <w:left w:val="nil"/>
              <w:bottom w:val="nil"/>
              <w:right w:val="nil"/>
            </w:tcBorders>
            <w:shd w:val="clear" w:color="000000" w:fill="FFFFFF"/>
            <w:noWrap/>
            <w:vAlign w:val="center"/>
            <w:hideMark/>
          </w:tcPr>
          <w:p w14:paraId="4207BD9E"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0 days</w:t>
            </w:r>
          </w:p>
        </w:tc>
        <w:tc>
          <w:tcPr>
            <w:tcW w:w="1356" w:type="dxa"/>
            <w:tcBorders>
              <w:top w:val="nil"/>
              <w:left w:val="nil"/>
              <w:bottom w:val="nil"/>
              <w:right w:val="single" w:sz="8" w:space="0" w:color="auto"/>
            </w:tcBorders>
            <w:shd w:val="clear" w:color="000000" w:fill="FFFFFF"/>
            <w:noWrap/>
            <w:vAlign w:val="center"/>
            <w:hideMark/>
          </w:tcPr>
          <w:p w14:paraId="3E0226CC"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6-10</w:t>
            </w:r>
          </w:p>
        </w:tc>
        <w:tc>
          <w:tcPr>
            <w:tcW w:w="720" w:type="dxa"/>
            <w:tcBorders>
              <w:top w:val="nil"/>
              <w:left w:val="nil"/>
              <w:bottom w:val="nil"/>
              <w:right w:val="nil"/>
            </w:tcBorders>
            <w:shd w:val="clear" w:color="000000" w:fill="FFFFFF"/>
            <w:noWrap/>
            <w:vAlign w:val="center"/>
            <w:hideMark/>
          </w:tcPr>
          <w:p w14:paraId="73973620" w14:textId="77777777" w:rsidR="00260D4C" w:rsidRPr="00AE5676" w:rsidRDefault="00260D4C" w:rsidP="00E56366">
            <w:pPr>
              <w:tabs>
                <w:tab w:val="decimal" w:pos="386"/>
              </w:tabs>
              <w:spacing w:after="0" w:line="240" w:lineRule="auto"/>
              <w:jc w:val="center"/>
              <w:rPr>
                <w:rFonts w:eastAsia="Times New Roman"/>
                <w:color w:val="000000"/>
                <w:sz w:val="20"/>
                <w:szCs w:val="20"/>
              </w:rPr>
            </w:pPr>
            <w:r w:rsidRPr="00AE5676">
              <w:rPr>
                <w:color w:val="000000"/>
                <w:sz w:val="20"/>
                <w:szCs w:val="20"/>
              </w:rPr>
              <w:t>119</w:t>
            </w:r>
          </w:p>
        </w:tc>
        <w:tc>
          <w:tcPr>
            <w:tcW w:w="1110" w:type="dxa"/>
            <w:tcBorders>
              <w:top w:val="nil"/>
              <w:left w:val="nil"/>
              <w:bottom w:val="nil"/>
              <w:right w:val="single" w:sz="8" w:space="0" w:color="auto"/>
            </w:tcBorders>
            <w:shd w:val="clear" w:color="000000" w:fill="FFFFFF"/>
            <w:noWrap/>
            <w:vAlign w:val="center"/>
            <w:hideMark/>
          </w:tcPr>
          <w:p w14:paraId="0B04578C"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0.95</w:t>
            </w:r>
          </w:p>
        </w:tc>
        <w:tc>
          <w:tcPr>
            <w:tcW w:w="1080" w:type="dxa"/>
            <w:tcBorders>
              <w:top w:val="nil"/>
              <w:left w:val="nil"/>
              <w:bottom w:val="nil"/>
              <w:right w:val="nil"/>
            </w:tcBorders>
            <w:shd w:val="clear" w:color="000000" w:fill="FFFFFF"/>
            <w:noWrap/>
            <w:vAlign w:val="center"/>
            <w:hideMark/>
          </w:tcPr>
          <w:p w14:paraId="409F5B51"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1.04</w:t>
            </w:r>
          </w:p>
        </w:tc>
        <w:tc>
          <w:tcPr>
            <w:tcW w:w="820" w:type="dxa"/>
            <w:tcBorders>
              <w:top w:val="nil"/>
              <w:left w:val="nil"/>
              <w:bottom w:val="nil"/>
              <w:right w:val="single" w:sz="8" w:space="0" w:color="auto"/>
            </w:tcBorders>
            <w:shd w:val="clear" w:color="000000" w:fill="FFFFFF"/>
            <w:noWrap/>
            <w:vAlign w:val="center"/>
            <w:hideMark/>
          </w:tcPr>
          <w:p w14:paraId="3C7F1AE0"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8.60</w:t>
            </w:r>
          </w:p>
        </w:tc>
        <w:tc>
          <w:tcPr>
            <w:tcW w:w="1093" w:type="dxa"/>
            <w:tcBorders>
              <w:top w:val="nil"/>
              <w:left w:val="nil"/>
              <w:bottom w:val="nil"/>
              <w:right w:val="nil"/>
            </w:tcBorders>
            <w:shd w:val="clear" w:color="000000" w:fill="FFFFFF"/>
            <w:noWrap/>
            <w:vAlign w:val="center"/>
            <w:hideMark/>
          </w:tcPr>
          <w:p w14:paraId="7336E527"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1.23</w:t>
            </w:r>
          </w:p>
        </w:tc>
        <w:tc>
          <w:tcPr>
            <w:tcW w:w="887" w:type="dxa"/>
            <w:tcBorders>
              <w:top w:val="nil"/>
              <w:left w:val="nil"/>
              <w:bottom w:val="nil"/>
              <w:right w:val="single" w:sz="12" w:space="0" w:color="auto"/>
            </w:tcBorders>
            <w:shd w:val="clear" w:color="000000" w:fill="FFFFFF"/>
            <w:noWrap/>
            <w:vAlign w:val="center"/>
            <w:hideMark/>
          </w:tcPr>
          <w:p w14:paraId="1C020AF2"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28.90</w:t>
            </w:r>
          </w:p>
        </w:tc>
      </w:tr>
      <w:tr w:rsidR="00260D4C" w:rsidRPr="00AE5676" w14:paraId="0E1D36BF" w14:textId="77777777" w:rsidTr="00E56366">
        <w:trPr>
          <w:gridAfter w:val="1"/>
          <w:wAfter w:w="6" w:type="dxa"/>
          <w:trHeight w:val="20"/>
          <w:jc w:val="center"/>
        </w:trPr>
        <w:tc>
          <w:tcPr>
            <w:tcW w:w="1128" w:type="dxa"/>
            <w:tcBorders>
              <w:top w:val="nil"/>
              <w:left w:val="single" w:sz="12" w:space="0" w:color="auto"/>
              <w:bottom w:val="nil"/>
              <w:right w:val="nil"/>
            </w:tcBorders>
            <w:shd w:val="clear" w:color="000000" w:fill="FFFFFF"/>
            <w:noWrap/>
            <w:vAlign w:val="center"/>
            <w:hideMark/>
          </w:tcPr>
          <w:p w14:paraId="3900BB2B"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Yes</w:t>
            </w:r>
          </w:p>
        </w:tc>
        <w:tc>
          <w:tcPr>
            <w:tcW w:w="1061" w:type="dxa"/>
            <w:tcBorders>
              <w:top w:val="nil"/>
              <w:left w:val="nil"/>
              <w:bottom w:val="nil"/>
              <w:right w:val="nil"/>
            </w:tcBorders>
            <w:shd w:val="clear" w:color="000000" w:fill="FFFFFF"/>
            <w:noWrap/>
            <w:vAlign w:val="center"/>
            <w:hideMark/>
          </w:tcPr>
          <w:p w14:paraId="6C1936B6"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0 days</w:t>
            </w:r>
          </w:p>
        </w:tc>
        <w:tc>
          <w:tcPr>
            <w:tcW w:w="1356" w:type="dxa"/>
            <w:tcBorders>
              <w:top w:val="nil"/>
              <w:left w:val="nil"/>
              <w:bottom w:val="nil"/>
              <w:right w:val="single" w:sz="8" w:space="0" w:color="auto"/>
            </w:tcBorders>
            <w:shd w:val="clear" w:color="000000" w:fill="FFFFFF"/>
            <w:noWrap/>
            <w:vAlign w:val="center"/>
            <w:hideMark/>
          </w:tcPr>
          <w:p w14:paraId="1E54D902"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More than 10</w:t>
            </w:r>
          </w:p>
        </w:tc>
        <w:tc>
          <w:tcPr>
            <w:tcW w:w="720" w:type="dxa"/>
            <w:tcBorders>
              <w:top w:val="nil"/>
              <w:left w:val="nil"/>
              <w:bottom w:val="nil"/>
              <w:right w:val="nil"/>
            </w:tcBorders>
            <w:shd w:val="clear" w:color="000000" w:fill="FFFFFF"/>
            <w:noWrap/>
            <w:vAlign w:val="center"/>
            <w:hideMark/>
          </w:tcPr>
          <w:p w14:paraId="3815E2FD" w14:textId="77777777" w:rsidR="00260D4C" w:rsidRPr="00AE5676" w:rsidRDefault="00260D4C" w:rsidP="00E56366">
            <w:pPr>
              <w:tabs>
                <w:tab w:val="decimal" w:pos="386"/>
              </w:tabs>
              <w:spacing w:after="0" w:line="240" w:lineRule="auto"/>
              <w:jc w:val="center"/>
              <w:rPr>
                <w:rFonts w:eastAsia="Times New Roman"/>
                <w:color w:val="000000"/>
                <w:sz w:val="20"/>
                <w:szCs w:val="20"/>
              </w:rPr>
            </w:pPr>
            <w:r w:rsidRPr="00AE5676">
              <w:rPr>
                <w:color w:val="000000"/>
                <w:sz w:val="20"/>
                <w:szCs w:val="20"/>
              </w:rPr>
              <w:t>86</w:t>
            </w:r>
          </w:p>
        </w:tc>
        <w:tc>
          <w:tcPr>
            <w:tcW w:w="1110" w:type="dxa"/>
            <w:tcBorders>
              <w:top w:val="nil"/>
              <w:left w:val="nil"/>
              <w:bottom w:val="nil"/>
              <w:right w:val="single" w:sz="8" w:space="0" w:color="auto"/>
            </w:tcBorders>
            <w:shd w:val="clear" w:color="000000" w:fill="FFFFFF"/>
            <w:noWrap/>
            <w:vAlign w:val="center"/>
            <w:hideMark/>
          </w:tcPr>
          <w:p w14:paraId="3AB1E5C4"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0.69</w:t>
            </w:r>
          </w:p>
        </w:tc>
        <w:tc>
          <w:tcPr>
            <w:tcW w:w="1080" w:type="dxa"/>
            <w:tcBorders>
              <w:top w:val="nil"/>
              <w:left w:val="nil"/>
              <w:bottom w:val="nil"/>
              <w:right w:val="nil"/>
            </w:tcBorders>
            <w:shd w:val="clear" w:color="000000" w:fill="FFFFFF"/>
            <w:noWrap/>
            <w:vAlign w:val="center"/>
            <w:hideMark/>
          </w:tcPr>
          <w:p w14:paraId="55C87295"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0.91</w:t>
            </w:r>
          </w:p>
        </w:tc>
        <w:tc>
          <w:tcPr>
            <w:tcW w:w="820" w:type="dxa"/>
            <w:tcBorders>
              <w:top w:val="nil"/>
              <w:left w:val="nil"/>
              <w:bottom w:val="nil"/>
              <w:right w:val="single" w:sz="8" w:space="0" w:color="auto"/>
            </w:tcBorders>
            <w:shd w:val="clear" w:color="000000" w:fill="FFFFFF"/>
            <w:noWrap/>
            <w:vAlign w:val="center"/>
            <w:hideMark/>
          </w:tcPr>
          <w:p w14:paraId="05E0AAEE"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31.60</w:t>
            </w:r>
          </w:p>
        </w:tc>
        <w:tc>
          <w:tcPr>
            <w:tcW w:w="1093" w:type="dxa"/>
            <w:tcBorders>
              <w:top w:val="nil"/>
              <w:left w:val="nil"/>
              <w:bottom w:val="nil"/>
              <w:right w:val="nil"/>
            </w:tcBorders>
            <w:shd w:val="clear" w:color="000000" w:fill="FFFFFF"/>
            <w:noWrap/>
            <w:vAlign w:val="center"/>
            <w:hideMark/>
          </w:tcPr>
          <w:p w14:paraId="170A160D"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0.99</w:t>
            </w:r>
          </w:p>
        </w:tc>
        <w:tc>
          <w:tcPr>
            <w:tcW w:w="887" w:type="dxa"/>
            <w:tcBorders>
              <w:top w:val="nil"/>
              <w:left w:val="nil"/>
              <w:bottom w:val="nil"/>
              <w:right w:val="single" w:sz="12" w:space="0" w:color="auto"/>
            </w:tcBorders>
            <w:shd w:val="clear" w:color="000000" w:fill="FFFFFF"/>
            <w:noWrap/>
            <w:vAlign w:val="center"/>
            <w:hideMark/>
          </w:tcPr>
          <w:p w14:paraId="78FC9CED"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42.83</w:t>
            </w:r>
          </w:p>
        </w:tc>
      </w:tr>
      <w:tr w:rsidR="00260D4C" w:rsidRPr="00AE5676" w14:paraId="6348E46C" w14:textId="77777777" w:rsidTr="00E56366">
        <w:trPr>
          <w:gridAfter w:val="1"/>
          <w:wAfter w:w="6" w:type="dxa"/>
          <w:trHeight w:val="20"/>
          <w:jc w:val="center"/>
        </w:trPr>
        <w:tc>
          <w:tcPr>
            <w:tcW w:w="1128" w:type="dxa"/>
            <w:tcBorders>
              <w:top w:val="nil"/>
              <w:left w:val="single" w:sz="12" w:space="0" w:color="auto"/>
              <w:bottom w:val="nil"/>
              <w:right w:val="nil"/>
            </w:tcBorders>
            <w:shd w:val="clear" w:color="000000" w:fill="FFFFFF"/>
            <w:noWrap/>
            <w:vAlign w:val="center"/>
            <w:hideMark/>
          </w:tcPr>
          <w:p w14:paraId="11CA009A"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Yes</w:t>
            </w:r>
          </w:p>
        </w:tc>
        <w:tc>
          <w:tcPr>
            <w:tcW w:w="1061" w:type="dxa"/>
            <w:tcBorders>
              <w:top w:val="nil"/>
              <w:left w:val="nil"/>
              <w:bottom w:val="nil"/>
              <w:right w:val="nil"/>
            </w:tcBorders>
            <w:shd w:val="clear" w:color="000000" w:fill="FFFFFF"/>
            <w:noWrap/>
            <w:vAlign w:val="center"/>
            <w:hideMark/>
          </w:tcPr>
          <w:p w14:paraId="0D85C4CD"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1-2 days</w:t>
            </w:r>
          </w:p>
        </w:tc>
        <w:tc>
          <w:tcPr>
            <w:tcW w:w="1356" w:type="dxa"/>
            <w:tcBorders>
              <w:top w:val="nil"/>
              <w:left w:val="nil"/>
              <w:bottom w:val="nil"/>
              <w:right w:val="single" w:sz="8" w:space="0" w:color="auto"/>
            </w:tcBorders>
            <w:shd w:val="clear" w:color="000000" w:fill="FFFFFF"/>
            <w:noWrap/>
            <w:vAlign w:val="center"/>
            <w:hideMark/>
          </w:tcPr>
          <w:p w14:paraId="5FDBB06E"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0</w:t>
            </w:r>
          </w:p>
        </w:tc>
        <w:tc>
          <w:tcPr>
            <w:tcW w:w="720" w:type="dxa"/>
            <w:tcBorders>
              <w:top w:val="nil"/>
              <w:left w:val="nil"/>
              <w:bottom w:val="nil"/>
              <w:right w:val="nil"/>
            </w:tcBorders>
            <w:shd w:val="clear" w:color="000000" w:fill="FFFFFF"/>
            <w:noWrap/>
            <w:vAlign w:val="center"/>
            <w:hideMark/>
          </w:tcPr>
          <w:p w14:paraId="0A0C6280" w14:textId="77777777" w:rsidR="00260D4C" w:rsidRPr="00AE5676" w:rsidRDefault="00260D4C" w:rsidP="00E56366">
            <w:pPr>
              <w:tabs>
                <w:tab w:val="decimal" w:pos="386"/>
              </w:tabs>
              <w:spacing w:after="0" w:line="240" w:lineRule="auto"/>
              <w:jc w:val="center"/>
              <w:rPr>
                <w:rFonts w:eastAsia="Times New Roman"/>
                <w:color w:val="000000"/>
                <w:sz w:val="20"/>
                <w:szCs w:val="20"/>
              </w:rPr>
            </w:pPr>
            <w:r w:rsidRPr="00AE5676">
              <w:rPr>
                <w:color w:val="000000"/>
                <w:sz w:val="20"/>
                <w:szCs w:val="20"/>
              </w:rPr>
              <w:t>16</w:t>
            </w:r>
          </w:p>
        </w:tc>
        <w:tc>
          <w:tcPr>
            <w:tcW w:w="1110" w:type="dxa"/>
            <w:tcBorders>
              <w:top w:val="nil"/>
              <w:left w:val="nil"/>
              <w:bottom w:val="nil"/>
              <w:right w:val="single" w:sz="8" w:space="0" w:color="auto"/>
            </w:tcBorders>
            <w:shd w:val="clear" w:color="000000" w:fill="FFFFFF"/>
            <w:noWrap/>
            <w:vAlign w:val="center"/>
            <w:hideMark/>
          </w:tcPr>
          <w:p w14:paraId="182B899E"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0.13</w:t>
            </w:r>
          </w:p>
        </w:tc>
        <w:tc>
          <w:tcPr>
            <w:tcW w:w="1080" w:type="dxa"/>
            <w:tcBorders>
              <w:top w:val="nil"/>
              <w:left w:val="nil"/>
              <w:bottom w:val="nil"/>
              <w:right w:val="nil"/>
            </w:tcBorders>
            <w:shd w:val="clear" w:color="000000" w:fill="FFFFFF"/>
            <w:noWrap/>
            <w:vAlign w:val="center"/>
            <w:hideMark/>
          </w:tcPr>
          <w:p w14:paraId="594B1FF4"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0.13</w:t>
            </w:r>
          </w:p>
        </w:tc>
        <w:tc>
          <w:tcPr>
            <w:tcW w:w="820" w:type="dxa"/>
            <w:tcBorders>
              <w:top w:val="nil"/>
              <w:left w:val="nil"/>
              <w:bottom w:val="nil"/>
              <w:right w:val="single" w:sz="8" w:space="0" w:color="auto"/>
            </w:tcBorders>
            <w:shd w:val="clear" w:color="000000" w:fill="FFFFFF"/>
            <w:noWrap/>
            <w:vAlign w:val="center"/>
            <w:hideMark/>
          </w:tcPr>
          <w:p w14:paraId="3215BE44"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4.11</w:t>
            </w:r>
          </w:p>
        </w:tc>
        <w:tc>
          <w:tcPr>
            <w:tcW w:w="1093" w:type="dxa"/>
            <w:tcBorders>
              <w:top w:val="nil"/>
              <w:left w:val="nil"/>
              <w:bottom w:val="nil"/>
              <w:right w:val="nil"/>
            </w:tcBorders>
            <w:shd w:val="clear" w:color="000000" w:fill="FFFFFF"/>
            <w:noWrap/>
            <w:vAlign w:val="center"/>
            <w:hideMark/>
          </w:tcPr>
          <w:p w14:paraId="0730FC64"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0.26</w:t>
            </w:r>
          </w:p>
        </w:tc>
        <w:tc>
          <w:tcPr>
            <w:tcW w:w="887" w:type="dxa"/>
            <w:tcBorders>
              <w:top w:val="nil"/>
              <w:left w:val="nil"/>
              <w:bottom w:val="nil"/>
              <w:right w:val="single" w:sz="12" w:space="0" w:color="auto"/>
            </w:tcBorders>
            <w:shd w:val="clear" w:color="000000" w:fill="FFFFFF"/>
            <w:noWrap/>
            <w:vAlign w:val="center"/>
            <w:hideMark/>
          </w:tcPr>
          <w:p w14:paraId="7D4F38F4"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102.16</w:t>
            </w:r>
          </w:p>
        </w:tc>
      </w:tr>
      <w:tr w:rsidR="00260D4C" w:rsidRPr="00AE5676" w14:paraId="0019A9FE" w14:textId="77777777" w:rsidTr="00E56366">
        <w:trPr>
          <w:gridAfter w:val="1"/>
          <w:wAfter w:w="6" w:type="dxa"/>
          <w:trHeight w:val="20"/>
          <w:jc w:val="center"/>
        </w:trPr>
        <w:tc>
          <w:tcPr>
            <w:tcW w:w="1128" w:type="dxa"/>
            <w:tcBorders>
              <w:top w:val="nil"/>
              <w:left w:val="single" w:sz="12" w:space="0" w:color="auto"/>
              <w:bottom w:val="nil"/>
              <w:right w:val="nil"/>
            </w:tcBorders>
            <w:shd w:val="clear" w:color="000000" w:fill="FFFFFF"/>
            <w:noWrap/>
            <w:vAlign w:val="center"/>
            <w:hideMark/>
          </w:tcPr>
          <w:p w14:paraId="7E6FDFC4"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Yes</w:t>
            </w:r>
          </w:p>
        </w:tc>
        <w:tc>
          <w:tcPr>
            <w:tcW w:w="1061" w:type="dxa"/>
            <w:tcBorders>
              <w:top w:val="nil"/>
              <w:left w:val="nil"/>
              <w:bottom w:val="nil"/>
              <w:right w:val="nil"/>
            </w:tcBorders>
            <w:shd w:val="clear" w:color="000000" w:fill="FFFFFF"/>
            <w:noWrap/>
            <w:vAlign w:val="center"/>
            <w:hideMark/>
          </w:tcPr>
          <w:p w14:paraId="24E86EEC"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1-2 days</w:t>
            </w:r>
          </w:p>
        </w:tc>
        <w:tc>
          <w:tcPr>
            <w:tcW w:w="1356" w:type="dxa"/>
            <w:tcBorders>
              <w:top w:val="nil"/>
              <w:left w:val="nil"/>
              <w:bottom w:val="nil"/>
              <w:right w:val="single" w:sz="8" w:space="0" w:color="auto"/>
            </w:tcBorders>
            <w:shd w:val="clear" w:color="000000" w:fill="FFFFFF"/>
            <w:noWrap/>
            <w:vAlign w:val="center"/>
            <w:hideMark/>
          </w:tcPr>
          <w:p w14:paraId="03F40C02"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1-5</w:t>
            </w:r>
          </w:p>
        </w:tc>
        <w:tc>
          <w:tcPr>
            <w:tcW w:w="720" w:type="dxa"/>
            <w:tcBorders>
              <w:top w:val="nil"/>
              <w:left w:val="nil"/>
              <w:bottom w:val="nil"/>
              <w:right w:val="nil"/>
            </w:tcBorders>
            <w:shd w:val="clear" w:color="000000" w:fill="FFFFFF"/>
            <w:noWrap/>
            <w:vAlign w:val="center"/>
            <w:hideMark/>
          </w:tcPr>
          <w:p w14:paraId="447D6C03" w14:textId="77777777" w:rsidR="00260D4C" w:rsidRPr="00AE5676" w:rsidRDefault="00260D4C" w:rsidP="00E56366">
            <w:pPr>
              <w:tabs>
                <w:tab w:val="decimal" w:pos="386"/>
              </w:tabs>
              <w:spacing w:after="0" w:line="240" w:lineRule="auto"/>
              <w:jc w:val="center"/>
              <w:rPr>
                <w:rFonts w:eastAsia="Times New Roman"/>
                <w:color w:val="000000"/>
                <w:sz w:val="20"/>
                <w:szCs w:val="20"/>
              </w:rPr>
            </w:pPr>
            <w:r w:rsidRPr="00AE5676">
              <w:rPr>
                <w:color w:val="000000"/>
                <w:sz w:val="20"/>
                <w:szCs w:val="20"/>
              </w:rPr>
              <w:t>83</w:t>
            </w:r>
          </w:p>
        </w:tc>
        <w:tc>
          <w:tcPr>
            <w:tcW w:w="1110" w:type="dxa"/>
            <w:tcBorders>
              <w:top w:val="nil"/>
              <w:left w:val="nil"/>
              <w:bottom w:val="nil"/>
              <w:right w:val="single" w:sz="8" w:space="0" w:color="auto"/>
            </w:tcBorders>
            <w:shd w:val="clear" w:color="000000" w:fill="FFFFFF"/>
            <w:noWrap/>
            <w:vAlign w:val="center"/>
            <w:hideMark/>
          </w:tcPr>
          <w:p w14:paraId="1AA58D47"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0.67</w:t>
            </w:r>
          </w:p>
        </w:tc>
        <w:tc>
          <w:tcPr>
            <w:tcW w:w="1080" w:type="dxa"/>
            <w:tcBorders>
              <w:top w:val="nil"/>
              <w:left w:val="nil"/>
              <w:bottom w:val="nil"/>
              <w:right w:val="nil"/>
            </w:tcBorders>
            <w:shd w:val="clear" w:color="000000" w:fill="FFFFFF"/>
            <w:noWrap/>
            <w:vAlign w:val="center"/>
            <w:hideMark/>
          </w:tcPr>
          <w:p w14:paraId="5C299CA1"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0.56</w:t>
            </w:r>
          </w:p>
        </w:tc>
        <w:tc>
          <w:tcPr>
            <w:tcW w:w="820" w:type="dxa"/>
            <w:tcBorders>
              <w:top w:val="nil"/>
              <w:left w:val="nil"/>
              <w:bottom w:val="nil"/>
              <w:right w:val="single" w:sz="8" w:space="0" w:color="auto"/>
            </w:tcBorders>
            <w:shd w:val="clear" w:color="000000" w:fill="FFFFFF"/>
            <w:noWrap/>
            <w:vAlign w:val="center"/>
            <w:hideMark/>
          </w:tcPr>
          <w:p w14:paraId="436AC366"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16.62</w:t>
            </w:r>
          </w:p>
        </w:tc>
        <w:tc>
          <w:tcPr>
            <w:tcW w:w="1093" w:type="dxa"/>
            <w:tcBorders>
              <w:top w:val="nil"/>
              <w:left w:val="nil"/>
              <w:bottom w:val="nil"/>
              <w:right w:val="nil"/>
            </w:tcBorders>
            <w:shd w:val="clear" w:color="000000" w:fill="FFFFFF"/>
            <w:noWrap/>
            <w:vAlign w:val="center"/>
            <w:hideMark/>
          </w:tcPr>
          <w:p w14:paraId="71D70402"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0.60</w:t>
            </w:r>
          </w:p>
        </w:tc>
        <w:tc>
          <w:tcPr>
            <w:tcW w:w="887" w:type="dxa"/>
            <w:tcBorders>
              <w:top w:val="nil"/>
              <w:left w:val="nil"/>
              <w:bottom w:val="nil"/>
              <w:right w:val="single" w:sz="12" w:space="0" w:color="auto"/>
            </w:tcBorders>
            <w:shd w:val="clear" w:color="000000" w:fill="FFFFFF"/>
            <w:noWrap/>
            <w:vAlign w:val="center"/>
            <w:hideMark/>
          </w:tcPr>
          <w:p w14:paraId="60C1A667"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10.36</w:t>
            </w:r>
          </w:p>
        </w:tc>
      </w:tr>
      <w:tr w:rsidR="00260D4C" w:rsidRPr="00AE5676" w14:paraId="1F3F835F" w14:textId="77777777" w:rsidTr="00E56366">
        <w:trPr>
          <w:gridAfter w:val="1"/>
          <w:wAfter w:w="6" w:type="dxa"/>
          <w:trHeight w:val="20"/>
          <w:jc w:val="center"/>
        </w:trPr>
        <w:tc>
          <w:tcPr>
            <w:tcW w:w="1128" w:type="dxa"/>
            <w:tcBorders>
              <w:top w:val="nil"/>
              <w:left w:val="single" w:sz="12" w:space="0" w:color="auto"/>
              <w:bottom w:val="nil"/>
              <w:right w:val="nil"/>
            </w:tcBorders>
            <w:shd w:val="clear" w:color="000000" w:fill="FFFFFF"/>
            <w:noWrap/>
            <w:vAlign w:val="center"/>
            <w:hideMark/>
          </w:tcPr>
          <w:p w14:paraId="739B3050"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Yes</w:t>
            </w:r>
          </w:p>
        </w:tc>
        <w:tc>
          <w:tcPr>
            <w:tcW w:w="1061" w:type="dxa"/>
            <w:tcBorders>
              <w:top w:val="nil"/>
              <w:left w:val="nil"/>
              <w:bottom w:val="nil"/>
              <w:right w:val="nil"/>
            </w:tcBorders>
            <w:shd w:val="clear" w:color="000000" w:fill="FFFFFF"/>
            <w:noWrap/>
            <w:vAlign w:val="center"/>
            <w:hideMark/>
          </w:tcPr>
          <w:p w14:paraId="2399725D"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1-2 days</w:t>
            </w:r>
          </w:p>
        </w:tc>
        <w:tc>
          <w:tcPr>
            <w:tcW w:w="1356" w:type="dxa"/>
            <w:tcBorders>
              <w:top w:val="nil"/>
              <w:left w:val="nil"/>
              <w:bottom w:val="nil"/>
              <w:right w:val="single" w:sz="8" w:space="0" w:color="auto"/>
            </w:tcBorders>
            <w:shd w:val="clear" w:color="000000" w:fill="FFFFFF"/>
            <w:noWrap/>
            <w:vAlign w:val="center"/>
            <w:hideMark/>
          </w:tcPr>
          <w:p w14:paraId="50C5204B"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6-10</w:t>
            </w:r>
          </w:p>
        </w:tc>
        <w:tc>
          <w:tcPr>
            <w:tcW w:w="720" w:type="dxa"/>
            <w:tcBorders>
              <w:top w:val="nil"/>
              <w:left w:val="nil"/>
              <w:bottom w:val="nil"/>
              <w:right w:val="nil"/>
            </w:tcBorders>
            <w:shd w:val="clear" w:color="000000" w:fill="FFFFFF"/>
            <w:noWrap/>
            <w:vAlign w:val="center"/>
            <w:hideMark/>
          </w:tcPr>
          <w:p w14:paraId="3574B42A" w14:textId="77777777" w:rsidR="00260D4C" w:rsidRPr="00AE5676" w:rsidRDefault="00260D4C" w:rsidP="00E56366">
            <w:pPr>
              <w:tabs>
                <w:tab w:val="decimal" w:pos="386"/>
              </w:tabs>
              <w:spacing w:after="0" w:line="240" w:lineRule="auto"/>
              <w:jc w:val="center"/>
              <w:rPr>
                <w:rFonts w:eastAsia="Times New Roman"/>
                <w:color w:val="000000"/>
                <w:sz w:val="20"/>
                <w:szCs w:val="20"/>
              </w:rPr>
            </w:pPr>
            <w:r w:rsidRPr="00AE5676">
              <w:rPr>
                <w:color w:val="000000"/>
                <w:sz w:val="20"/>
                <w:szCs w:val="20"/>
              </w:rPr>
              <w:t>40</w:t>
            </w:r>
          </w:p>
        </w:tc>
        <w:tc>
          <w:tcPr>
            <w:tcW w:w="1110" w:type="dxa"/>
            <w:tcBorders>
              <w:top w:val="nil"/>
              <w:left w:val="nil"/>
              <w:bottom w:val="nil"/>
              <w:right w:val="single" w:sz="8" w:space="0" w:color="auto"/>
            </w:tcBorders>
            <w:shd w:val="clear" w:color="000000" w:fill="FFFFFF"/>
            <w:noWrap/>
            <w:vAlign w:val="center"/>
            <w:hideMark/>
          </w:tcPr>
          <w:p w14:paraId="59307DB5"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0.32</w:t>
            </w:r>
          </w:p>
        </w:tc>
        <w:tc>
          <w:tcPr>
            <w:tcW w:w="1080" w:type="dxa"/>
            <w:tcBorders>
              <w:top w:val="nil"/>
              <w:left w:val="nil"/>
              <w:bottom w:val="nil"/>
              <w:right w:val="nil"/>
            </w:tcBorders>
            <w:shd w:val="clear" w:color="000000" w:fill="FFFFFF"/>
            <w:noWrap/>
            <w:vAlign w:val="center"/>
            <w:hideMark/>
          </w:tcPr>
          <w:p w14:paraId="3453696A"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0.40</w:t>
            </w:r>
          </w:p>
        </w:tc>
        <w:tc>
          <w:tcPr>
            <w:tcW w:w="820" w:type="dxa"/>
            <w:tcBorders>
              <w:top w:val="nil"/>
              <w:left w:val="nil"/>
              <w:bottom w:val="nil"/>
              <w:right w:val="single" w:sz="8" w:space="0" w:color="auto"/>
            </w:tcBorders>
            <w:shd w:val="clear" w:color="000000" w:fill="FFFFFF"/>
            <w:noWrap/>
            <w:vAlign w:val="center"/>
            <w:hideMark/>
          </w:tcPr>
          <w:p w14:paraId="7EFFC71E"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23.88</w:t>
            </w:r>
          </w:p>
        </w:tc>
        <w:tc>
          <w:tcPr>
            <w:tcW w:w="1093" w:type="dxa"/>
            <w:tcBorders>
              <w:top w:val="nil"/>
              <w:left w:val="nil"/>
              <w:bottom w:val="nil"/>
              <w:right w:val="nil"/>
            </w:tcBorders>
            <w:shd w:val="clear" w:color="000000" w:fill="FFFFFF"/>
            <w:noWrap/>
            <w:vAlign w:val="center"/>
            <w:hideMark/>
          </w:tcPr>
          <w:p w14:paraId="3586D245"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0.33</w:t>
            </w:r>
          </w:p>
        </w:tc>
        <w:tc>
          <w:tcPr>
            <w:tcW w:w="887" w:type="dxa"/>
            <w:tcBorders>
              <w:top w:val="nil"/>
              <w:left w:val="nil"/>
              <w:bottom w:val="nil"/>
              <w:right w:val="single" w:sz="12" w:space="0" w:color="auto"/>
            </w:tcBorders>
            <w:shd w:val="clear" w:color="000000" w:fill="FFFFFF"/>
            <w:noWrap/>
            <w:vAlign w:val="center"/>
            <w:hideMark/>
          </w:tcPr>
          <w:p w14:paraId="103D6B06"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4.00</w:t>
            </w:r>
          </w:p>
        </w:tc>
      </w:tr>
      <w:tr w:rsidR="00260D4C" w:rsidRPr="00AE5676" w14:paraId="4D12F40E" w14:textId="77777777" w:rsidTr="00E56366">
        <w:trPr>
          <w:gridAfter w:val="1"/>
          <w:wAfter w:w="6" w:type="dxa"/>
          <w:trHeight w:val="20"/>
          <w:jc w:val="center"/>
        </w:trPr>
        <w:tc>
          <w:tcPr>
            <w:tcW w:w="1128" w:type="dxa"/>
            <w:tcBorders>
              <w:top w:val="nil"/>
              <w:left w:val="single" w:sz="12" w:space="0" w:color="auto"/>
              <w:bottom w:val="nil"/>
              <w:right w:val="nil"/>
            </w:tcBorders>
            <w:shd w:val="clear" w:color="000000" w:fill="FFFFFF"/>
            <w:noWrap/>
            <w:vAlign w:val="center"/>
            <w:hideMark/>
          </w:tcPr>
          <w:p w14:paraId="629FA435"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Yes</w:t>
            </w:r>
          </w:p>
        </w:tc>
        <w:tc>
          <w:tcPr>
            <w:tcW w:w="1061" w:type="dxa"/>
            <w:tcBorders>
              <w:top w:val="nil"/>
              <w:left w:val="nil"/>
              <w:bottom w:val="nil"/>
              <w:right w:val="nil"/>
            </w:tcBorders>
            <w:shd w:val="clear" w:color="000000" w:fill="FFFFFF"/>
            <w:noWrap/>
            <w:vAlign w:val="center"/>
            <w:hideMark/>
          </w:tcPr>
          <w:p w14:paraId="216B7726"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1-2 days</w:t>
            </w:r>
          </w:p>
        </w:tc>
        <w:tc>
          <w:tcPr>
            <w:tcW w:w="1356" w:type="dxa"/>
            <w:tcBorders>
              <w:top w:val="nil"/>
              <w:left w:val="nil"/>
              <w:bottom w:val="nil"/>
              <w:right w:val="single" w:sz="8" w:space="0" w:color="auto"/>
            </w:tcBorders>
            <w:shd w:val="clear" w:color="000000" w:fill="FFFFFF"/>
            <w:noWrap/>
            <w:vAlign w:val="center"/>
            <w:hideMark/>
          </w:tcPr>
          <w:p w14:paraId="32C6A3E1"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More than 10</w:t>
            </w:r>
          </w:p>
        </w:tc>
        <w:tc>
          <w:tcPr>
            <w:tcW w:w="720" w:type="dxa"/>
            <w:tcBorders>
              <w:top w:val="nil"/>
              <w:left w:val="nil"/>
              <w:bottom w:val="nil"/>
              <w:right w:val="nil"/>
            </w:tcBorders>
            <w:shd w:val="clear" w:color="000000" w:fill="FFFFFF"/>
            <w:noWrap/>
            <w:vAlign w:val="center"/>
            <w:hideMark/>
          </w:tcPr>
          <w:p w14:paraId="0989B5A0" w14:textId="77777777" w:rsidR="00260D4C" w:rsidRPr="00AE5676" w:rsidRDefault="00260D4C" w:rsidP="00E56366">
            <w:pPr>
              <w:tabs>
                <w:tab w:val="decimal" w:pos="386"/>
              </w:tabs>
              <w:spacing w:after="0" w:line="240" w:lineRule="auto"/>
              <w:jc w:val="center"/>
              <w:rPr>
                <w:rFonts w:eastAsia="Times New Roman"/>
                <w:color w:val="000000"/>
                <w:sz w:val="20"/>
                <w:szCs w:val="20"/>
              </w:rPr>
            </w:pPr>
            <w:r w:rsidRPr="00AE5676">
              <w:rPr>
                <w:color w:val="000000"/>
                <w:sz w:val="20"/>
                <w:szCs w:val="20"/>
              </w:rPr>
              <w:t>35</w:t>
            </w:r>
          </w:p>
        </w:tc>
        <w:tc>
          <w:tcPr>
            <w:tcW w:w="1110" w:type="dxa"/>
            <w:tcBorders>
              <w:top w:val="nil"/>
              <w:left w:val="nil"/>
              <w:bottom w:val="nil"/>
              <w:right w:val="single" w:sz="8" w:space="0" w:color="auto"/>
            </w:tcBorders>
            <w:shd w:val="clear" w:color="000000" w:fill="FFFFFF"/>
            <w:noWrap/>
            <w:vAlign w:val="center"/>
            <w:hideMark/>
          </w:tcPr>
          <w:p w14:paraId="03096829"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0.28</w:t>
            </w:r>
          </w:p>
        </w:tc>
        <w:tc>
          <w:tcPr>
            <w:tcW w:w="1080" w:type="dxa"/>
            <w:tcBorders>
              <w:top w:val="nil"/>
              <w:left w:val="nil"/>
              <w:bottom w:val="nil"/>
              <w:right w:val="nil"/>
            </w:tcBorders>
            <w:shd w:val="clear" w:color="000000" w:fill="FFFFFF"/>
            <w:noWrap/>
            <w:vAlign w:val="center"/>
            <w:hideMark/>
          </w:tcPr>
          <w:p w14:paraId="1AEDA6BE"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0.36</w:t>
            </w:r>
          </w:p>
        </w:tc>
        <w:tc>
          <w:tcPr>
            <w:tcW w:w="820" w:type="dxa"/>
            <w:tcBorders>
              <w:top w:val="nil"/>
              <w:left w:val="nil"/>
              <w:bottom w:val="nil"/>
              <w:right w:val="single" w:sz="8" w:space="0" w:color="auto"/>
            </w:tcBorders>
            <w:shd w:val="clear" w:color="000000" w:fill="FFFFFF"/>
            <w:noWrap/>
            <w:vAlign w:val="center"/>
            <w:hideMark/>
          </w:tcPr>
          <w:p w14:paraId="2A228332"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29.99</w:t>
            </w:r>
          </w:p>
        </w:tc>
        <w:tc>
          <w:tcPr>
            <w:tcW w:w="1093" w:type="dxa"/>
            <w:tcBorders>
              <w:top w:val="nil"/>
              <w:left w:val="nil"/>
              <w:bottom w:val="nil"/>
              <w:right w:val="nil"/>
            </w:tcBorders>
            <w:shd w:val="clear" w:color="000000" w:fill="FFFFFF"/>
            <w:noWrap/>
            <w:vAlign w:val="center"/>
            <w:hideMark/>
          </w:tcPr>
          <w:p w14:paraId="090FDA2D"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0.30</w:t>
            </w:r>
          </w:p>
        </w:tc>
        <w:tc>
          <w:tcPr>
            <w:tcW w:w="887" w:type="dxa"/>
            <w:tcBorders>
              <w:top w:val="nil"/>
              <w:left w:val="nil"/>
              <w:bottom w:val="nil"/>
              <w:right w:val="single" w:sz="12" w:space="0" w:color="auto"/>
            </w:tcBorders>
            <w:shd w:val="clear" w:color="000000" w:fill="FFFFFF"/>
            <w:noWrap/>
            <w:vAlign w:val="center"/>
            <w:hideMark/>
          </w:tcPr>
          <w:p w14:paraId="4031AEFD"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2.77</w:t>
            </w:r>
          </w:p>
        </w:tc>
      </w:tr>
      <w:tr w:rsidR="00260D4C" w:rsidRPr="00AE5676" w14:paraId="2E4E3B0B" w14:textId="77777777" w:rsidTr="00E56366">
        <w:trPr>
          <w:gridAfter w:val="1"/>
          <w:wAfter w:w="6" w:type="dxa"/>
          <w:trHeight w:val="20"/>
          <w:jc w:val="center"/>
        </w:trPr>
        <w:tc>
          <w:tcPr>
            <w:tcW w:w="1128" w:type="dxa"/>
            <w:tcBorders>
              <w:top w:val="nil"/>
              <w:left w:val="single" w:sz="12" w:space="0" w:color="auto"/>
              <w:bottom w:val="nil"/>
              <w:right w:val="nil"/>
            </w:tcBorders>
            <w:shd w:val="clear" w:color="000000" w:fill="FFFFFF"/>
            <w:noWrap/>
            <w:vAlign w:val="center"/>
            <w:hideMark/>
          </w:tcPr>
          <w:p w14:paraId="6B299640"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Yes</w:t>
            </w:r>
          </w:p>
        </w:tc>
        <w:tc>
          <w:tcPr>
            <w:tcW w:w="1061" w:type="dxa"/>
            <w:tcBorders>
              <w:top w:val="nil"/>
              <w:left w:val="nil"/>
              <w:bottom w:val="nil"/>
              <w:right w:val="nil"/>
            </w:tcBorders>
            <w:shd w:val="clear" w:color="000000" w:fill="FFFFFF"/>
            <w:noWrap/>
            <w:vAlign w:val="center"/>
            <w:hideMark/>
          </w:tcPr>
          <w:p w14:paraId="3575F4EF"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3-4 days</w:t>
            </w:r>
          </w:p>
        </w:tc>
        <w:tc>
          <w:tcPr>
            <w:tcW w:w="1356" w:type="dxa"/>
            <w:tcBorders>
              <w:top w:val="nil"/>
              <w:left w:val="nil"/>
              <w:bottom w:val="nil"/>
              <w:right w:val="single" w:sz="8" w:space="0" w:color="auto"/>
            </w:tcBorders>
            <w:shd w:val="clear" w:color="000000" w:fill="FFFFFF"/>
            <w:noWrap/>
            <w:vAlign w:val="center"/>
            <w:hideMark/>
          </w:tcPr>
          <w:p w14:paraId="09424D05"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0</w:t>
            </w:r>
          </w:p>
        </w:tc>
        <w:tc>
          <w:tcPr>
            <w:tcW w:w="720" w:type="dxa"/>
            <w:tcBorders>
              <w:top w:val="nil"/>
              <w:left w:val="nil"/>
              <w:bottom w:val="nil"/>
              <w:right w:val="nil"/>
            </w:tcBorders>
            <w:shd w:val="clear" w:color="000000" w:fill="FFFFFF"/>
            <w:noWrap/>
            <w:vAlign w:val="center"/>
            <w:hideMark/>
          </w:tcPr>
          <w:p w14:paraId="4F916446" w14:textId="77777777" w:rsidR="00260D4C" w:rsidRPr="00AE5676" w:rsidRDefault="00260D4C" w:rsidP="00E56366">
            <w:pPr>
              <w:tabs>
                <w:tab w:val="decimal" w:pos="386"/>
              </w:tabs>
              <w:spacing w:after="0" w:line="240" w:lineRule="auto"/>
              <w:jc w:val="center"/>
              <w:rPr>
                <w:rFonts w:eastAsia="Times New Roman"/>
                <w:color w:val="000000"/>
                <w:sz w:val="20"/>
                <w:szCs w:val="20"/>
              </w:rPr>
            </w:pPr>
            <w:r w:rsidRPr="00AE5676">
              <w:rPr>
                <w:color w:val="000000"/>
                <w:sz w:val="20"/>
                <w:szCs w:val="20"/>
              </w:rPr>
              <w:t>6</w:t>
            </w:r>
          </w:p>
        </w:tc>
        <w:tc>
          <w:tcPr>
            <w:tcW w:w="1110" w:type="dxa"/>
            <w:tcBorders>
              <w:top w:val="nil"/>
              <w:left w:val="nil"/>
              <w:bottom w:val="nil"/>
              <w:right w:val="single" w:sz="8" w:space="0" w:color="auto"/>
            </w:tcBorders>
            <w:shd w:val="clear" w:color="000000" w:fill="FFFFFF"/>
            <w:noWrap/>
            <w:vAlign w:val="center"/>
            <w:hideMark/>
          </w:tcPr>
          <w:p w14:paraId="17C0B8C2"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0.05</w:t>
            </w:r>
          </w:p>
        </w:tc>
        <w:tc>
          <w:tcPr>
            <w:tcW w:w="1080" w:type="dxa"/>
            <w:tcBorders>
              <w:top w:val="nil"/>
              <w:left w:val="nil"/>
              <w:bottom w:val="nil"/>
              <w:right w:val="nil"/>
            </w:tcBorders>
            <w:shd w:val="clear" w:color="000000" w:fill="FFFFFF"/>
            <w:noWrap/>
            <w:vAlign w:val="center"/>
            <w:hideMark/>
          </w:tcPr>
          <w:p w14:paraId="577CB075"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0.06</w:t>
            </w:r>
          </w:p>
        </w:tc>
        <w:tc>
          <w:tcPr>
            <w:tcW w:w="820" w:type="dxa"/>
            <w:tcBorders>
              <w:top w:val="nil"/>
              <w:left w:val="nil"/>
              <w:bottom w:val="nil"/>
              <w:right w:val="single" w:sz="8" w:space="0" w:color="auto"/>
            </w:tcBorders>
            <w:shd w:val="clear" w:color="000000" w:fill="FFFFFF"/>
            <w:noWrap/>
            <w:vAlign w:val="center"/>
            <w:hideMark/>
          </w:tcPr>
          <w:p w14:paraId="658A6B5E"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28.32</w:t>
            </w:r>
          </w:p>
        </w:tc>
        <w:tc>
          <w:tcPr>
            <w:tcW w:w="1093" w:type="dxa"/>
            <w:tcBorders>
              <w:top w:val="nil"/>
              <w:left w:val="nil"/>
              <w:bottom w:val="nil"/>
              <w:right w:val="nil"/>
            </w:tcBorders>
            <w:shd w:val="clear" w:color="000000" w:fill="FFFFFF"/>
            <w:noWrap/>
            <w:vAlign w:val="center"/>
            <w:hideMark/>
          </w:tcPr>
          <w:p w14:paraId="0A45E073"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0.14</w:t>
            </w:r>
          </w:p>
        </w:tc>
        <w:tc>
          <w:tcPr>
            <w:tcW w:w="887" w:type="dxa"/>
            <w:tcBorders>
              <w:top w:val="nil"/>
              <w:left w:val="nil"/>
              <w:bottom w:val="nil"/>
              <w:right w:val="single" w:sz="12" w:space="0" w:color="auto"/>
            </w:tcBorders>
            <w:shd w:val="clear" w:color="000000" w:fill="FFFFFF"/>
            <w:noWrap/>
            <w:vAlign w:val="center"/>
            <w:hideMark/>
          </w:tcPr>
          <w:p w14:paraId="35C05373"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181.52</w:t>
            </w:r>
          </w:p>
        </w:tc>
      </w:tr>
      <w:tr w:rsidR="00260D4C" w:rsidRPr="00AE5676" w14:paraId="67AA5A53" w14:textId="77777777" w:rsidTr="00E56366">
        <w:trPr>
          <w:gridAfter w:val="1"/>
          <w:wAfter w:w="6" w:type="dxa"/>
          <w:trHeight w:val="20"/>
          <w:jc w:val="center"/>
        </w:trPr>
        <w:tc>
          <w:tcPr>
            <w:tcW w:w="1128" w:type="dxa"/>
            <w:tcBorders>
              <w:top w:val="nil"/>
              <w:left w:val="single" w:sz="12" w:space="0" w:color="auto"/>
              <w:bottom w:val="nil"/>
              <w:right w:val="nil"/>
            </w:tcBorders>
            <w:shd w:val="clear" w:color="000000" w:fill="FFFFFF"/>
            <w:noWrap/>
            <w:vAlign w:val="center"/>
            <w:hideMark/>
          </w:tcPr>
          <w:p w14:paraId="0A3BEDCA"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Yes</w:t>
            </w:r>
          </w:p>
        </w:tc>
        <w:tc>
          <w:tcPr>
            <w:tcW w:w="1061" w:type="dxa"/>
            <w:tcBorders>
              <w:top w:val="nil"/>
              <w:left w:val="nil"/>
              <w:bottom w:val="nil"/>
              <w:right w:val="nil"/>
            </w:tcBorders>
            <w:shd w:val="clear" w:color="000000" w:fill="FFFFFF"/>
            <w:noWrap/>
            <w:vAlign w:val="center"/>
            <w:hideMark/>
          </w:tcPr>
          <w:p w14:paraId="381E1B3A"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3-4 days</w:t>
            </w:r>
          </w:p>
        </w:tc>
        <w:tc>
          <w:tcPr>
            <w:tcW w:w="1356" w:type="dxa"/>
            <w:tcBorders>
              <w:top w:val="nil"/>
              <w:left w:val="nil"/>
              <w:bottom w:val="nil"/>
              <w:right w:val="single" w:sz="8" w:space="0" w:color="auto"/>
            </w:tcBorders>
            <w:shd w:val="clear" w:color="000000" w:fill="FFFFFF"/>
            <w:noWrap/>
            <w:vAlign w:val="center"/>
            <w:hideMark/>
          </w:tcPr>
          <w:p w14:paraId="7607466D"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1-5</w:t>
            </w:r>
          </w:p>
        </w:tc>
        <w:tc>
          <w:tcPr>
            <w:tcW w:w="720" w:type="dxa"/>
            <w:tcBorders>
              <w:top w:val="nil"/>
              <w:left w:val="nil"/>
              <w:bottom w:val="nil"/>
              <w:right w:val="nil"/>
            </w:tcBorders>
            <w:shd w:val="clear" w:color="000000" w:fill="FFFFFF"/>
            <w:noWrap/>
            <w:vAlign w:val="center"/>
            <w:hideMark/>
          </w:tcPr>
          <w:p w14:paraId="1025B2F2" w14:textId="77777777" w:rsidR="00260D4C" w:rsidRPr="00AE5676" w:rsidRDefault="00260D4C" w:rsidP="00E56366">
            <w:pPr>
              <w:tabs>
                <w:tab w:val="decimal" w:pos="386"/>
              </w:tabs>
              <w:spacing w:after="0" w:line="240" w:lineRule="auto"/>
              <w:jc w:val="center"/>
              <w:rPr>
                <w:rFonts w:eastAsia="Times New Roman"/>
                <w:color w:val="000000"/>
                <w:sz w:val="20"/>
                <w:szCs w:val="20"/>
              </w:rPr>
            </w:pPr>
            <w:r w:rsidRPr="00AE5676">
              <w:rPr>
                <w:color w:val="000000"/>
                <w:sz w:val="20"/>
                <w:szCs w:val="20"/>
              </w:rPr>
              <w:t>54</w:t>
            </w:r>
          </w:p>
        </w:tc>
        <w:tc>
          <w:tcPr>
            <w:tcW w:w="1110" w:type="dxa"/>
            <w:tcBorders>
              <w:top w:val="nil"/>
              <w:left w:val="nil"/>
              <w:bottom w:val="nil"/>
              <w:right w:val="single" w:sz="8" w:space="0" w:color="auto"/>
            </w:tcBorders>
            <w:shd w:val="clear" w:color="000000" w:fill="FFFFFF"/>
            <w:noWrap/>
            <w:vAlign w:val="center"/>
            <w:hideMark/>
          </w:tcPr>
          <w:p w14:paraId="114E9E65"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0.43</w:t>
            </w:r>
          </w:p>
        </w:tc>
        <w:tc>
          <w:tcPr>
            <w:tcW w:w="1080" w:type="dxa"/>
            <w:tcBorders>
              <w:top w:val="nil"/>
              <w:left w:val="nil"/>
              <w:bottom w:val="nil"/>
              <w:right w:val="nil"/>
            </w:tcBorders>
            <w:shd w:val="clear" w:color="000000" w:fill="FFFFFF"/>
            <w:noWrap/>
            <w:vAlign w:val="center"/>
            <w:hideMark/>
          </w:tcPr>
          <w:p w14:paraId="101F502D"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0.33</w:t>
            </w:r>
          </w:p>
        </w:tc>
        <w:tc>
          <w:tcPr>
            <w:tcW w:w="820" w:type="dxa"/>
            <w:tcBorders>
              <w:top w:val="nil"/>
              <w:left w:val="nil"/>
              <w:bottom w:val="nil"/>
              <w:right w:val="single" w:sz="8" w:space="0" w:color="auto"/>
            </w:tcBorders>
            <w:shd w:val="clear" w:color="000000" w:fill="FFFFFF"/>
            <w:noWrap/>
            <w:vAlign w:val="center"/>
            <w:hideMark/>
          </w:tcPr>
          <w:p w14:paraId="1C538CC4"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25.35</w:t>
            </w:r>
          </w:p>
        </w:tc>
        <w:tc>
          <w:tcPr>
            <w:tcW w:w="1093" w:type="dxa"/>
            <w:tcBorders>
              <w:top w:val="nil"/>
              <w:left w:val="nil"/>
              <w:bottom w:val="nil"/>
              <w:right w:val="nil"/>
            </w:tcBorders>
            <w:shd w:val="clear" w:color="000000" w:fill="FFFFFF"/>
            <w:noWrap/>
            <w:vAlign w:val="center"/>
            <w:hideMark/>
          </w:tcPr>
          <w:p w14:paraId="4C4BFA71"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0.32</w:t>
            </w:r>
          </w:p>
        </w:tc>
        <w:tc>
          <w:tcPr>
            <w:tcW w:w="887" w:type="dxa"/>
            <w:tcBorders>
              <w:top w:val="nil"/>
              <w:left w:val="nil"/>
              <w:bottom w:val="nil"/>
              <w:right w:val="single" w:sz="12" w:space="0" w:color="auto"/>
            </w:tcBorders>
            <w:shd w:val="clear" w:color="000000" w:fill="FFFFFF"/>
            <w:noWrap/>
            <w:vAlign w:val="center"/>
            <w:hideMark/>
          </w:tcPr>
          <w:p w14:paraId="19D3A695"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25.05</w:t>
            </w:r>
          </w:p>
        </w:tc>
      </w:tr>
      <w:tr w:rsidR="00260D4C" w:rsidRPr="00AE5676" w14:paraId="5E0E472A" w14:textId="77777777" w:rsidTr="00E56366">
        <w:trPr>
          <w:gridAfter w:val="1"/>
          <w:wAfter w:w="6" w:type="dxa"/>
          <w:trHeight w:val="20"/>
          <w:jc w:val="center"/>
        </w:trPr>
        <w:tc>
          <w:tcPr>
            <w:tcW w:w="1128" w:type="dxa"/>
            <w:tcBorders>
              <w:top w:val="nil"/>
              <w:left w:val="single" w:sz="12" w:space="0" w:color="auto"/>
              <w:bottom w:val="nil"/>
              <w:right w:val="nil"/>
            </w:tcBorders>
            <w:shd w:val="clear" w:color="000000" w:fill="FFFFFF"/>
            <w:noWrap/>
            <w:vAlign w:val="center"/>
            <w:hideMark/>
          </w:tcPr>
          <w:p w14:paraId="0D5804D6"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Yes</w:t>
            </w:r>
          </w:p>
        </w:tc>
        <w:tc>
          <w:tcPr>
            <w:tcW w:w="1061" w:type="dxa"/>
            <w:tcBorders>
              <w:top w:val="nil"/>
              <w:left w:val="nil"/>
              <w:bottom w:val="nil"/>
              <w:right w:val="nil"/>
            </w:tcBorders>
            <w:shd w:val="clear" w:color="000000" w:fill="FFFFFF"/>
            <w:noWrap/>
            <w:vAlign w:val="center"/>
            <w:hideMark/>
          </w:tcPr>
          <w:p w14:paraId="04BE41B0"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3-4 days</w:t>
            </w:r>
          </w:p>
        </w:tc>
        <w:tc>
          <w:tcPr>
            <w:tcW w:w="1356" w:type="dxa"/>
            <w:tcBorders>
              <w:top w:val="nil"/>
              <w:left w:val="nil"/>
              <w:bottom w:val="nil"/>
              <w:right w:val="single" w:sz="8" w:space="0" w:color="auto"/>
            </w:tcBorders>
            <w:shd w:val="clear" w:color="000000" w:fill="FFFFFF"/>
            <w:noWrap/>
            <w:vAlign w:val="center"/>
            <w:hideMark/>
          </w:tcPr>
          <w:p w14:paraId="11EABC68"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6-10</w:t>
            </w:r>
          </w:p>
        </w:tc>
        <w:tc>
          <w:tcPr>
            <w:tcW w:w="720" w:type="dxa"/>
            <w:tcBorders>
              <w:top w:val="nil"/>
              <w:left w:val="nil"/>
              <w:bottom w:val="nil"/>
              <w:right w:val="nil"/>
            </w:tcBorders>
            <w:shd w:val="clear" w:color="000000" w:fill="FFFFFF"/>
            <w:noWrap/>
            <w:vAlign w:val="center"/>
            <w:hideMark/>
          </w:tcPr>
          <w:p w14:paraId="754A8F7C" w14:textId="77777777" w:rsidR="00260D4C" w:rsidRPr="00AE5676" w:rsidRDefault="00260D4C" w:rsidP="00E56366">
            <w:pPr>
              <w:tabs>
                <w:tab w:val="decimal" w:pos="386"/>
              </w:tabs>
              <w:spacing w:after="0" w:line="240" w:lineRule="auto"/>
              <w:jc w:val="center"/>
              <w:rPr>
                <w:rFonts w:eastAsia="Times New Roman"/>
                <w:color w:val="000000"/>
                <w:sz w:val="20"/>
                <w:szCs w:val="20"/>
              </w:rPr>
            </w:pPr>
            <w:r w:rsidRPr="00AE5676">
              <w:rPr>
                <w:color w:val="000000"/>
                <w:sz w:val="20"/>
                <w:szCs w:val="20"/>
              </w:rPr>
              <w:t>37</w:t>
            </w:r>
          </w:p>
        </w:tc>
        <w:tc>
          <w:tcPr>
            <w:tcW w:w="1110" w:type="dxa"/>
            <w:tcBorders>
              <w:top w:val="nil"/>
              <w:left w:val="nil"/>
              <w:bottom w:val="nil"/>
              <w:right w:val="single" w:sz="8" w:space="0" w:color="auto"/>
            </w:tcBorders>
            <w:shd w:val="clear" w:color="000000" w:fill="FFFFFF"/>
            <w:noWrap/>
            <w:vAlign w:val="center"/>
            <w:hideMark/>
          </w:tcPr>
          <w:p w14:paraId="486F809B"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0.30</w:t>
            </w:r>
          </w:p>
        </w:tc>
        <w:tc>
          <w:tcPr>
            <w:tcW w:w="1080" w:type="dxa"/>
            <w:tcBorders>
              <w:top w:val="nil"/>
              <w:left w:val="nil"/>
              <w:bottom w:val="nil"/>
              <w:right w:val="nil"/>
            </w:tcBorders>
            <w:shd w:val="clear" w:color="000000" w:fill="FFFFFF"/>
            <w:noWrap/>
            <w:vAlign w:val="center"/>
            <w:hideMark/>
          </w:tcPr>
          <w:p w14:paraId="78A59E2F"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0.24</w:t>
            </w:r>
          </w:p>
        </w:tc>
        <w:tc>
          <w:tcPr>
            <w:tcW w:w="820" w:type="dxa"/>
            <w:tcBorders>
              <w:top w:val="nil"/>
              <w:left w:val="nil"/>
              <w:bottom w:val="nil"/>
              <w:right w:val="single" w:sz="8" w:space="0" w:color="auto"/>
            </w:tcBorders>
            <w:shd w:val="clear" w:color="000000" w:fill="FFFFFF"/>
            <w:noWrap/>
            <w:vAlign w:val="center"/>
            <w:hideMark/>
          </w:tcPr>
          <w:p w14:paraId="04B27627"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21.00</w:t>
            </w:r>
          </w:p>
        </w:tc>
        <w:tc>
          <w:tcPr>
            <w:tcW w:w="1093" w:type="dxa"/>
            <w:tcBorders>
              <w:top w:val="nil"/>
              <w:left w:val="nil"/>
              <w:bottom w:val="nil"/>
              <w:right w:val="nil"/>
            </w:tcBorders>
            <w:shd w:val="clear" w:color="000000" w:fill="FFFFFF"/>
            <w:noWrap/>
            <w:vAlign w:val="center"/>
            <w:hideMark/>
          </w:tcPr>
          <w:p w14:paraId="4D6B5A0F"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0.19</w:t>
            </w:r>
          </w:p>
        </w:tc>
        <w:tc>
          <w:tcPr>
            <w:tcW w:w="887" w:type="dxa"/>
            <w:tcBorders>
              <w:top w:val="nil"/>
              <w:left w:val="nil"/>
              <w:bottom w:val="nil"/>
              <w:right w:val="single" w:sz="12" w:space="0" w:color="auto"/>
            </w:tcBorders>
            <w:shd w:val="clear" w:color="000000" w:fill="FFFFFF"/>
            <w:noWrap/>
            <w:vAlign w:val="center"/>
            <w:hideMark/>
          </w:tcPr>
          <w:p w14:paraId="2A6ACB84"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37.48</w:t>
            </w:r>
          </w:p>
        </w:tc>
      </w:tr>
      <w:tr w:rsidR="00260D4C" w:rsidRPr="00AE5676" w14:paraId="4D58C6FF" w14:textId="77777777" w:rsidTr="00E56366">
        <w:trPr>
          <w:gridAfter w:val="1"/>
          <w:wAfter w:w="6" w:type="dxa"/>
          <w:trHeight w:val="20"/>
          <w:jc w:val="center"/>
        </w:trPr>
        <w:tc>
          <w:tcPr>
            <w:tcW w:w="1128" w:type="dxa"/>
            <w:tcBorders>
              <w:top w:val="nil"/>
              <w:left w:val="single" w:sz="12" w:space="0" w:color="auto"/>
              <w:bottom w:val="nil"/>
              <w:right w:val="nil"/>
            </w:tcBorders>
            <w:shd w:val="clear" w:color="000000" w:fill="FFFFFF"/>
            <w:noWrap/>
            <w:vAlign w:val="center"/>
            <w:hideMark/>
          </w:tcPr>
          <w:p w14:paraId="64CD09A5"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Yes</w:t>
            </w:r>
          </w:p>
        </w:tc>
        <w:tc>
          <w:tcPr>
            <w:tcW w:w="1061" w:type="dxa"/>
            <w:tcBorders>
              <w:top w:val="nil"/>
              <w:left w:val="nil"/>
              <w:bottom w:val="nil"/>
              <w:right w:val="nil"/>
            </w:tcBorders>
            <w:shd w:val="clear" w:color="000000" w:fill="FFFFFF"/>
            <w:noWrap/>
            <w:vAlign w:val="center"/>
            <w:hideMark/>
          </w:tcPr>
          <w:p w14:paraId="28F7F4A8"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3-4 days</w:t>
            </w:r>
          </w:p>
        </w:tc>
        <w:tc>
          <w:tcPr>
            <w:tcW w:w="1356" w:type="dxa"/>
            <w:tcBorders>
              <w:top w:val="nil"/>
              <w:left w:val="nil"/>
              <w:bottom w:val="nil"/>
              <w:right w:val="single" w:sz="8" w:space="0" w:color="auto"/>
            </w:tcBorders>
            <w:shd w:val="clear" w:color="000000" w:fill="FFFFFF"/>
            <w:noWrap/>
            <w:vAlign w:val="center"/>
            <w:hideMark/>
          </w:tcPr>
          <w:p w14:paraId="4B719238"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More than 10</w:t>
            </w:r>
          </w:p>
        </w:tc>
        <w:tc>
          <w:tcPr>
            <w:tcW w:w="720" w:type="dxa"/>
            <w:tcBorders>
              <w:top w:val="nil"/>
              <w:left w:val="nil"/>
              <w:bottom w:val="nil"/>
              <w:right w:val="nil"/>
            </w:tcBorders>
            <w:shd w:val="clear" w:color="000000" w:fill="FFFFFF"/>
            <w:noWrap/>
            <w:vAlign w:val="center"/>
            <w:hideMark/>
          </w:tcPr>
          <w:p w14:paraId="5F03493B" w14:textId="77777777" w:rsidR="00260D4C" w:rsidRPr="00AE5676" w:rsidRDefault="00260D4C" w:rsidP="00E56366">
            <w:pPr>
              <w:tabs>
                <w:tab w:val="decimal" w:pos="386"/>
              </w:tabs>
              <w:spacing w:after="0" w:line="240" w:lineRule="auto"/>
              <w:jc w:val="center"/>
              <w:rPr>
                <w:rFonts w:eastAsia="Times New Roman"/>
                <w:color w:val="000000"/>
                <w:sz w:val="20"/>
                <w:szCs w:val="20"/>
              </w:rPr>
            </w:pPr>
            <w:r w:rsidRPr="00AE5676">
              <w:rPr>
                <w:color w:val="000000"/>
                <w:sz w:val="20"/>
                <w:szCs w:val="20"/>
              </w:rPr>
              <w:t>26</w:t>
            </w:r>
          </w:p>
        </w:tc>
        <w:tc>
          <w:tcPr>
            <w:tcW w:w="1110" w:type="dxa"/>
            <w:tcBorders>
              <w:top w:val="nil"/>
              <w:left w:val="nil"/>
              <w:bottom w:val="nil"/>
              <w:right w:val="single" w:sz="8" w:space="0" w:color="auto"/>
            </w:tcBorders>
            <w:shd w:val="clear" w:color="000000" w:fill="FFFFFF"/>
            <w:noWrap/>
            <w:vAlign w:val="center"/>
            <w:hideMark/>
          </w:tcPr>
          <w:p w14:paraId="1C1D42F0"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0.21</w:t>
            </w:r>
          </w:p>
        </w:tc>
        <w:tc>
          <w:tcPr>
            <w:tcW w:w="1080" w:type="dxa"/>
            <w:tcBorders>
              <w:top w:val="nil"/>
              <w:left w:val="nil"/>
              <w:bottom w:val="nil"/>
              <w:right w:val="nil"/>
            </w:tcBorders>
            <w:shd w:val="clear" w:color="000000" w:fill="FFFFFF"/>
            <w:noWrap/>
            <w:vAlign w:val="center"/>
            <w:hideMark/>
          </w:tcPr>
          <w:p w14:paraId="299DB73F"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0.30</w:t>
            </w:r>
          </w:p>
        </w:tc>
        <w:tc>
          <w:tcPr>
            <w:tcW w:w="820" w:type="dxa"/>
            <w:tcBorders>
              <w:top w:val="nil"/>
              <w:left w:val="nil"/>
              <w:bottom w:val="nil"/>
              <w:right w:val="single" w:sz="8" w:space="0" w:color="auto"/>
            </w:tcBorders>
            <w:shd w:val="clear" w:color="000000" w:fill="FFFFFF"/>
            <w:noWrap/>
            <w:vAlign w:val="center"/>
            <w:hideMark/>
          </w:tcPr>
          <w:p w14:paraId="228BBF5C"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43.55</w:t>
            </w:r>
          </w:p>
        </w:tc>
        <w:tc>
          <w:tcPr>
            <w:tcW w:w="1093" w:type="dxa"/>
            <w:tcBorders>
              <w:top w:val="nil"/>
              <w:left w:val="nil"/>
              <w:bottom w:val="nil"/>
              <w:right w:val="nil"/>
            </w:tcBorders>
            <w:shd w:val="clear" w:color="000000" w:fill="FFFFFF"/>
            <w:noWrap/>
            <w:vAlign w:val="center"/>
            <w:hideMark/>
          </w:tcPr>
          <w:p w14:paraId="6638ED3C"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0.16</w:t>
            </w:r>
          </w:p>
        </w:tc>
        <w:tc>
          <w:tcPr>
            <w:tcW w:w="887" w:type="dxa"/>
            <w:tcBorders>
              <w:top w:val="nil"/>
              <w:left w:val="nil"/>
              <w:bottom w:val="nil"/>
              <w:right w:val="single" w:sz="12" w:space="0" w:color="auto"/>
            </w:tcBorders>
            <w:shd w:val="clear" w:color="000000" w:fill="FFFFFF"/>
            <w:noWrap/>
            <w:vAlign w:val="center"/>
            <w:hideMark/>
          </w:tcPr>
          <w:p w14:paraId="30F1F535"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21.69</w:t>
            </w:r>
          </w:p>
        </w:tc>
      </w:tr>
      <w:tr w:rsidR="00260D4C" w:rsidRPr="00AE5676" w14:paraId="4C662443" w14:textId="77777777" w:rsidTr="00E56366">
        <w:trPr>
          <w:gridAfter w:val="1"/>
          <w:wAfter w:w="6" w:type="dxa"/>
          <w:trHeight w:val="20"/>
          <w:jc w:val="center"/>
        </w:trPr>
        <w:tc>
          <w:tcPr>
            <w:tcW w:w="1128" w:type="dxa"/>
            <w:tcBorders>
              <w:top w:val="nil"/>
              <w:left w:val="single" w:sz="12" w:space="0" w:color="auto"/>
              <w:bottom w:val="nil"/>
              <w:right w:val="nil"/>
            </w:tcBorders>
            <w:shd w:val="clear" w:color="000000" w:fill="FFFFFF"/>
            <w:noWrap/>
            <w:vAlign w:val="center"/>
            <w:hideMark/>
          </w:tcPr>
          <w:p w14:paraId="61D70F2F"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Yes</w:t>
            </w:r>
          </w:p>
        </w:tc>
        <w:tc>
          <w:tcPr>
            <w:tcW w:w="1061" w:type="dxa"/>
            <w:tcBorders>
              <w:top w:val="nil"/>
              <w:left w:val="nil"/>
              <w:bottom w:val="nil"/>
              <w:right w:val="nil"/>
            </w:tcBorders>
            <w:shd w:val="clear" w:color="000000" w:fill="FFFFFF"/>
            <w:noWrap/>
            <w:vAlign w:val="center"/>
            <w:hideMark/>
          </w:tcPr>
          <w:p w14:paraId="126E6328"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5+ days</w:t>
            </w:r>
          </w:p>
        </w:tc>
        <w:tc>
          <w:tcPr>
            <w:tcW w:w="1356" w:type="dxa"/>
            <w:tcBorders>
              <w:top w:val="nil"/>
              <w:left w:val="nil"/>
              <w:bottom w:val="nil"/>
              <w:right w:val="single" w:sz="8" w:space="0" w:color="auto"/>
            </w:tcBorders>
            <w:shd w:val="clear" w:color="000000" w:fill="FFFFFF"/>
            <w:noWrap/>
            <w:vAlign w:val="center"/>
            <w:hideMark/>
          </w:tcPr>
          <w:p w14:paraId="2FDEAA48"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0</w:t>
            </w:r>
          </w:p>
        </w:tc>
        <w:tc>
          <w:tcPr>
            <w:tcW w:w="720" w:type="dxa"/>
            <w:tcBorders>
              <w:top w:val="nil"/>
              <w:left w:val="nil"/>
              <w:bottom w:val="nil"/>
              <w:right w:val="nil"/>
            </w:tcBorders>
            <w:shd w:val="clear" w:color="000000" w:fill="FFFFFF"/>
            <w:noWrap/>
            <w:vAlign w:val="center"/>
            <w:hideMark/>
          </w:tcPr>
          <w:p w14:paraId="0C376134" w14:textId="77777777" w:rsidR="00260D4C" w:rsidRPr="00AE5676" w:rsidRDefault="00260D4C" w:rsidP="00E56366">
            <w:pPr>
              <w:tabs>
                <w:tab w:val="decimal" w:pos="386"/>
              </w:tabs>
              <w:spacing w:after="0" w:line="240" w:lineRule="auto"/>
              <w:jc w:val="center"/>
              <w:rPr>
                <w:rFonts w:eastAsia="Times New Roman"/>
                <w:color w:val="000000"/>
                <w:sz w:val="20"/>
                <w:szCs w:val="20"/>
              </w:rPr>
            </w:pPr>
            <w:r w:rsidRPr="00AE5676">
              <w:rPr>
                <w:color w:val="000000"/>
                <w:sz w:val="20"/>
                <w:szCs w:val="20"/>
              </w:rPr>
              <w:t>26</w:t>
            </w:r>
          </w:p>
        </w:tc>
        <w:tc>
          <w:tcPr>
            <w:tcW w:w="1110" w:type="dxa"/>
            <w:tcBorders>
              <w:top w:val="nil"/>
              <w:left w:val="nil"/>
              <w:bottom w:val="nil"/>
              <w:right w:val="single" w:sz="8" w:space="0" w:color="auto"/>
            </w:tcBorders>
            <w:shd w:val="clear" w:color="000000" w:fill="FFFFFF"/>
            <w:noWrap/>
            <w:vAlign w:val="center"/>
            <w:hideMark/>
          </w:tcPr>
          <w:p w14:paraId="4398C196"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0.21</w:t>
            </w:r>
          </w:p>
        </w:tc>
        <w:tc>
          <w:tcPr>
            <w:tcW w:w="1080" w:type="dxa"/>
            <w:tcBorders>
              <w:top w:val="nil"/>
              <w:left w:val="nil"/>
              <w:bottom w:val="nil"/>
              <w:right w:val="nil"/>
            </w:tcBorders>
            <w:shd w:val="clear" w:color="000000" w:fill="FFFFFF"/>
            <w:noWrap/>
            <w:vAlign w:val="center"/>
            <w:hideMark/>
          </w:tcPr>
          <w:p w14:paraId="56476C16"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0.17</w:t>
            </w:r>
          </w:p>
        </w:tc>
        <w:tc>
          <w:tcPr>
            <w:tcW w:w="820" w:type="dxa"/>
            <w:tcBorders>
              <w:top w:val="nil"/>
              <w:left w:val="nil"/>
              <w:bottom w:val="nil"/>
              <w:right w:val="single" w:sz="8" w:space="0" w:color="auto"/>
            </w:tcBorders>
            <w:shd w:val="clear" w:color="000000" w:fill="FFFFFF"/>
            <w:noWrap/>
            <w:vAlign w:val="center"/>
            <w:hideMark/>
          </w:tcPr>
          <w:p w14:paraId="0D0A649B"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20.78</w:t>
            </w:r>
          </w:p>
        </w:tc>
        <w:tc>
          <w:tcPr>
            <w:tcW w:w="1093" w:type="dxa"/>
            <w:tcBorders>
              <w:top w:val="nil"/>
              <w:left w:val="nil"/>
              <w:bottom w:val="nil"/>
              <w:right w:val="nil"/>
            </w:tcBorders>
            <w:shd w:val="clear" w:color="000000" w:fill="FFFFFF"/>
            <w:noWrap/>
            <w:vAlign w:val="center"/>
            <w:hideMark/>
          </w:tcPr>
          <w:p w14:paraId="62C25544"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0.36</w:t>
            </w:r>
          </w:p>
        </w:tc>
        <w:tc>
          <w:tcPr>
            <w:tcW w:w="887" w:type="dxa"/>
            <w:tcBorders>
              <w:top w:val="nil"/>
              <w:left w:val="nil"/>
              <w:bottom w:val="nil"/>
              <w:right w:val="single" w:sz="12" w:space="0" w:color="auto"/>
            </w:tcBorders>
            <w:shd w:val="clear" w:color="000000" w:fill="FFFFFF"/>
            <w:noWrap/>
            <w:vAlign w:val="center"/>
            <w:hideMark/>
          </w:tcPr>
          <w:p w14:paraId="544DEC11"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70.79</w:t>
            </w:r>
          </w:p>
        </w:tc>
      </w:tr>
      <w:tr w:rsidR="00260D4C" w:rsidRPr="00AE5676" w14:paraId="43D167AF" w14:textId="77777777" w:rsidTr="00E56366">
        <w:trPr>
          <w:gridAfter w:val="1"/>
          <w:wAfter w:w="6" w:type="dxa"/>
          <w:trHeight w:val="20"/>
          <w:jc w:val="center"/>
        </w:trPr>
        <w:tc>
          <w:tcPr>
            <w:tcW w:w="1128" w:type="dxa"/>
            <w:tcBorders>
              <w:top w:val="nil"/>
              <w:left w:val="single" w:sz="12" w:space="0" w:color="auto"/>
              <w:bottom w:val="nil"/>
              <w:right w:val="nil"/>
            </w:tcBorders>
            <w:shd w:val="clear" w:color="000000" w:fill="FFFFFF"/>
            <w:noWrap/>
            <w:vAlign w:val="center"/>
            <w:hideMark/>
          </w:tcPr>
          <w:p w14:paraId="058A0140"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Yes</w:t>
            </w:r>
          </w:p>
        </w:tc>
        <w:tc>
          <w:tcPr>
            <w:tcW w:w="1061" w:type="dxa"/>
            <w:tcBorders>
              <w:top w:val="nil"/>
              <w:left w:val="nil"/>
              <w:bottom w:val="nil"/>
              <w:right w:val="nil"/>
            </w:tcBorders>
            <w:shd w:val="clear" w:color="000000" w:fill="FFFFFF"/>
            <w:noWrap/>
            <w:vAlign w:val="center"/>
            <w:hideMark/>
          </w:tcPr>
          <w:p w14:paraId="1A5E9EBD"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5+ days</w:t>
            </w:r>
          </w:p>
        </w:tc>
        <w:tc>
          <w:tcPr>
            <w:tcW w:w="1356" w:type="dxa"/>
            <w:tcBorders>
              <w:top w:val="nil"/>
              <w:left w:val="nil"/>
              <w:bottom w:val="nil"/>
              <w:right w:val="single" w:sz="8" w:space="0" w:color="auto"/>
            </w:tcBorders>
            <w:shd w:val="clear" w:color="000000" w:fill="FFFFFF"/>
            <w:noWrap/>
            <w:vAlign w:val="center"/>
            <w:hideMark/>
          </w:tcPr>
          <w:p w14:paraId="3AFC6BC3"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1-5</w:t>
            </w:r>
          </w:p>
        </w:tc>
        <w:tc>
          <w:tcPr>
            <w:tcW w:w="720" w:type="dxa"/>
            <w:tcBorders>
              <w:top w:val="nil"/>
              <w:left w:val="nil"/>
              <w:bottom w:val="nil"/>
              <w:right w:val="nil"/>
            </w:tcBorders>
            <w:shd w:val="clear" w:color="000000" w:fill="FFFFFF"/>
            <w:noWrap/>
            <w:vAlign w:val="center"/>
            <w:hideMark/>
          </w:tcPr>
          <w:p w14:paraId="00BEED0A" w14:textId="77777777" w:rsidR="00260D4C" w:rsidRPr="00AE5676" w:rsidRDefault="00260D4C" w:rsidP="00E56366">
            <w:pPr>
              <w:tabs>
                <w:tab w:val="decimal" w:pos="386"/>
              </w:tabs>
              <w:spacing w:after="0" w:line="240" w:lineRule="auto"/>
              <w:jc w:val="center"/>
              <w:rPr>
                <w:rFonts w:eastAsia="Times New Roman"/>
                <w:color w:val="000000"/>
                <w:sz w:val="20"/>
                <w:szCs w:val="20"/>
              </w:rPr>
            </w:pPr>
            <w:r w:rsidRPr="00AE5676">
              <w:rPr>
                <w:color w:val="000000"/>
                <w:sz w:val="20"/>
                <w:szCs w:val="20"/>
              </w:rPr>
              <w:t>135</w:t>
            </w:r>
          </w:p>
        </w:tc>
        <w:tc>
          <w:tcPr>
            <w:tcW w:w="1110" w:type="dxa"/>
            <w:tcBorders>
              <w:top w:val="nil"/>
              <w:left w:val="nil"/>
              <w:bottom w:val="nil"/>
              <w:right w:val="single" w:sz="8" w:space="0" w:color="auto"/>
            </w:tcBorders>
            <w:shd w:val="clear" w:color="000000" w:fill="FFFFFF"/>
            <w:noWrap/>
            <w:vAlign w:val="center"/>
            <w:hideMark/>
          </w:tcPr>
          <w:p w14:paraId="379839E7"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1.08</w:t>
            </w:r>
          </w:p>
        </w:tc>
        <w:tc>
          <w:tcPr>
            <w:tcW w:w="1080" w:type="dxa"/>
            <w:tcBorders>
              <w:top w:val="nil"/>
              <w:left w:val="nil"/>
              <w:bottom w:val="nil"/>
              <w:right w:val="nil"/>
            </w:tcBorders>
            <w:shd w:val="clear" w:color="000000" w:fill="FFFFFF"/>
            <w:noWrap/>
            <w:vAlign w:val="center"/>
            <w:hideMark/>
          </w:tcPr>
          <w:p w14:paraId="65F21F45"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0.92</w:t>
            </w:r>
          </w:p>
        </w:tc>
        <w:tc>
          <w:tcPr>
            <w:tcW w:w="820" w:type="dxa"/>
            <w:tcBorders>
              <w:top w:val="nil"/>
              <w:left w:val="nil"/>
              <w:bottom w:val="nil"/>
              <w:right w:val="single" w:sz="8" w:space="0" w:color="auto"/>
            </w:tcBorders>
            <w:shd w:val="clear" w:color="000000" w:fill="FFFFFF"/>
            <w:noWrap/>
            <w:vAlign w:val="center"/>
            <w:hideMark/>
          </w:tcPr>
          <w:p w14:paraId="14A682E5"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15.49</w:t>
            </w:r>
          </w:p>
        </w:tc>
        <w:tc>
          <w:tcPr>
            <w:tcW w:w="1093" w:type="dxa"/>
            <w:tcBorders>
              <w:top w:val="nil"/>
              <w:left w:val="nil"/>
              <w:bottom w:val="nil"/>
              <w:right w:val="nil"/>
            </w:tcBorders>
            <w:shd w:val="clear" w:color="000000" w:fill="FFFFFF"/>
            <w:noWrap/>
            <w:vAlign w:val="center"/>
            <w:hideMark/>
          </w:tcPr>
          <w:p w14:paraId="52F84316"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0.92</w:t>
            </w:r>
          </w:p>
        </w:tc>
        <w:tc>
          <w:tcPr>
            <w:tcW w:w="887" w:type="dxa"/>
            <w:tcBorders>
              <w:top w:val="nil"/>
              <w:left w:val="nil"/>
              <w:bottom w:val="nil"/>
              <w:right w:val="single" w:sz="12" w:space="0" w:color="auto"/>
            </w:tcBorders>
            <w:shd w:val="clear" w:color="000000" w:fill="FFFFFF"/>
            <w:noWrap/>
            <w:vAlign w:val="center"/>
            <w:hideMark/>
          </w:tcPr>
          <w:p w14:paraId="1932902A"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15.37</w:t>
            </w:r>
          </w:p>
        </w:tc>
      </w:tr>
      <w:tr w:rsidR="00260D4C" w:rsidRPr="00AE5676" w14:paraId="77B89124" w14:textId="77777777" w:rsidTr="00E56366">
        <w:trPr>
          <w:gridAfter w:val="1"/>
          <w:wAfter w:w="6" w:type="dxa"/>
          <w:trHeight w:val="20"/>
          <w:jc w:val="center"/>
        </w:trPr>
        <w:tc>
          <w:tcPr>
            <w:tcW w:w="1128" w:type="dxa"/>
            <w:tcBorders>
              <w:top w:val="nil"/>
              <w:left w:val="single" w:sz="12" w:space="0" w:color="auto"/>
              <w:bottom w:val="nil"/>
              <w:right w:val="nil"/>
            </w:tcBorders>
            <w:shd w:val="clear" w:color="000000" w:fill="FFFFFF"/>
            <w:noWrap/>
            <w:vAlign w:val="center"/>
            <w:hideMark/>
          </w:tcPr>
          <w:p w14:paraId="538388E7"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Yes</w:t>
            </w:r>
          </w:p>
        </w:tc>
        <w:tc>
          <w:tcPr>
            <w:tcW w:w="1061" w:type="dxa"/>
            <w:tcBorders>
              <w:top w:val="nil"/>
              <w:left w:val="nil"/>
              <w:bottom w:val="nil"/>
              <w:right w:val="nil"/>
            </w:tcBorders>
            <w:shd w:val="clear" w:color="000000" w:fill="FFFFFF"/>
            <w:noWrap/>
            <w:vAlign w:val="center"/>
            <w:hideMark/>
          </w:tcPr>
          <w:p w14:paraId="7827E812"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5+ days</w:t>
            </w:r>
          </w:p>
        </w:tc>
        <w:tc>
          <w:tcPr>
            <w:tcW w:w="1356" w:type="dxa"/>
            <w:tcBorders>
              <w:top w:val="nil"/>
              <w:left w:val="nil"/>
              <w:bottom w:val="nil"/>
              <w:right w:val="single" w:sz="8" w:space="0" w:color="auto"/>
            </w:tcBorders>
            <w:shd w:val="clear" w:color="000000" w:fill="FFFFFF"/>
            <w:noWrap/>
            <w:vAlign w:val="center"/>
            <w:hideMark/>
          </w:tcPr>
          <w:p w14:paraId="2DFEF8CB"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6-10</w:t>
            </w:r>
          </w:p>
        </w:tc>
        <w:tc>
          <w:tcPr>
            <w:tcW w:w="720" w:type="dxa"/>
            <w:tcBorders>
              <w:top w:val="nil"/>
              <w:left w:val="nil"/>
              <w:bottom w:val="nil"/>
              <w:right w:val="nil"/>
            </w:tcBorders>
            <w:shd w:val="clear" w:color="000000" w:fill="FFFFFF"/>
            <w:noWrap/>
            <w:vAlign w:val="center"/>
            <w:hideMark/>
          </w:tcPr>
          <w:p w14:paraId="299B6022" w14:textId="77777777" w:rsidR="00260D4C" w:rsidRPr="00AE5676" w:rsidRDefault="00260D4C" w:rsidP="00E56366">
            <w:pPr>
              <w:tabs>
                <w:tab w:val="decimal" w:pos="386"/>
              </w:tabs>
              <w:spacing w:after="0" w:line="240" w:lineRule="auto"/>
              <w:jc w:val="center"/>
              <w:rPr>
                <w:rFonts w:eastAsia="Times New Roman"/>
                <w:color w:val="000000"/>
                <w:sz w:val="20"/>
                <w:szCs w:val="20"/>
              </w:rPr>
            </w:pPr>
            <w:r w:rsidRPr="00AE5676">
              <w:rPr>
                <w:color w:val="000000"/>
                <w:sz w:val="20"/>
                <w:szCs w:val="20"/>
              </w:rPr>
              <w:t>79</w:t>
            </w:r>
          </w:p>
        </w:tc>
        <w:tc>
          <w:tcPr>
            <w:tcW w:w="1110" w:type="dxa"/>
            <w:tcBorders>
              <w:top w:val="nil"/>
              <w:left w:val="nil"/>
              <w:bottom w:val="nil"/>
              <w:right w:val="single" w:sz="8" w:space="0" w:color="auto"/>
            </w:tcBorders>
            <w:shd w:val="clear" w:color="000000" w:fill="FFFFFF"/>
            <w:noWrap/>
            <w:vAlign w:val="center"/>
            <w:hideMark/>
          </w:tcPr>
          <w:p w14:paraId="48C3D0C4"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0.63</w:t>
            </w:r>
          </w:p>
        </w:tc>
        <w:tc>
          <w:tcPr>
            <w:tcW w:w="1080" w:type="dxa"/>
            <w:tcBorders>
              <w:top w:val="nil"/>
              <w:left w:val="nil"/>
              <w:bottom w:val="nil"/>
              <w:right w:val="nil"/>
            </w:tcBorders>
            <w:shd w:val="clear" w:color="000000" w:fill="FFFFFF"/>
            <w:noWrap/>
            <w:vAlign w:val="center"/>
            <w:hideMark/>
          </w:tcPr>
          <w:p w14:paraId="1B2CD5EF"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0.80</w:t>
            </w:r>
          </w:p>
        </w:tc>
        <w:tc>
          <w:tcPr>
            <w:tcW w:w="820" w:type="dxa"/>
            <w:tcBorders>
              <w:top w:val="nil"/>
              <w:left w:val="nil"/>
              <w:bottom w:val="nil"/>
              <w:right w:val="single" w:sz="8" w:space="0" w:color="auto"/>
            </w:tcBorders>
            <w:shd w:val="clear" w:color="000000" w:fill="FFFFFF"/>
            <w:noWrap/>
            <w:vAlign w:val="center"/>
            <w:hideMark/>
          </w:tcPr>
          <w:p w14:paraId="2217E66D"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26.35</w:t>
            </w:r>
          </w:p>
        </w:tc>
        <w:tc>
          <w:tcPr>
            <w:tcW w:w="1093" w:type="dxa"/>
            <w:tcBorders>
              <w:top w:val="nil"/>
              <w:left w:val="nil"/>
              <w:bottom w:val="nil"/>
              <w:right w:val="nil"/>
            </w:tcBorders>
            <w:shd w:val="clear" w:color="000000" w:fill="FFFFFF"/>
            <w:noWrap/>
            <w:vAlign w:val="center"/>
            <w:hideMark/>
          </w:tcPr>
          <w:p w14:paraId="09EFAAB5"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0.54</w:t>
            </w:r>
          </w:p>
        </w:tc>
        <w:tc>
          <w:tcPr>
            <w:tcW w:w="887" w:type="dxa"/>
            <w:tcBorders>
              <w:top w:val="nil"/>
              <w:left w:val="nil"/>
              <w:bottom w:val="nil"/>
              <w:right w:val="single" w:sz="12" w:space="0" w:color="auto"/>
            </w:tcBorders>
            <w:shd w:val="clear" w:color="000000" w:fill="FFFFFF"/>
            <w:noWrap/>
            <w:vAlign w:val="center"/>
            <w:hideMark/>
          </w:tcPr>
          <w:p w14:paraId="4A74A3B1"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14.14</w:t>
            </w:r>
          </w:p>
        </w:tc>
      </w:tr>
      <w:tr w:rsidR="00260D4C" w:rsidRPr="00AE5676" w14:paraId="63EE1CA1" w14:textId="77777777" w:rsidTr="00E56366">
        <w:trPr>
          <w:gridAfter w:val="1"/>
          <w:wAfter w:w="6" w:type="dxa"/>
          <w:trHeight w:val="20"/>
          <w:jc w:val="center"/>
        </w:trPr>
        <w:tc>
          <w:tcPr>
            <w:tcW w:w="1128" w:type="dxa"/>
            <w:tcBorders>
              <w:top w:val="nil"/>
              <w:left w:val="single" w:sz="12" w:space="0" w:color="auto"/>
              <w:bottom w:val="nil"/>
              <w:right w:val="nil"/>
            </w:tcBorders>
            <w:shd w:val="clear" w:color="000000" w:fill="FFFFFF"/>
            <w:noWrap/>
            <w:vAlign w:val="center"/>
            <w:hideMark/>
          </w:tcPr>
          <w:p w14:paraId="7EA51C18"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Yes</w:t>
            </w:r>
          </w:p>
        </w:tc>
        <w:tc>
          <w:tcPr>
            <w:tcW w:w="1061" w:type="dxa"/>
            <w:tcBorders>
              <w:top w:val="nil"/>
              <w:left w:val="nil"/>
              <w:bottom w:val="nil"/>
              <w:right w:val="nil"/>
            </w:tcBorders>
            <w:shd w:val="clear" w:color="000000" w:fill="FFFFFF"/>
            <w:noWrap/>
            <w:vAlign w:val="center"/>
            <w:hideMark/>
          </w:tcPr>
          <w:p w14:paraId="1F33B50A"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5+ days</w:t>
            </w:r>
          </w:p>
        </w:tc>
        <w:tc>
          <w:tcPr>
            <w:tcW w:w="1356" w:type="dxa"/>
            <w:tcBorders>
              <w:top w:val="nil"/>
              <w:left w:val="nil"/>
              <w:bottom w:val="nil"/>
              <w:right w:val="single" w:sz="8" w:space="0" w:color="auto"/>
            </w:tcBorders>
            <w:shd w:val="clear" w:color="000000" w:fill="FFFFFF"/>
            <w:noWrap/>
            <w:vAlign w:val="center"/>
            <w:hideMark/>
          </w:tcPr>
          <w:p w14:paraId="1DB4FEE7" w14:textId="77777777" w:rsidR="00260D4C" w:rsidRPr="00AE5676" w:rsidRDefault="00260D4C" w:rsidP="00E56366">
            <w:pPr>
              <w:spacing w:after="0" w:line="240" w:lineRule="auto"/>
              <w:rPr>
                <w:rFonts w:eastAsia="Times New Roman"/>
                <w:color w:val="000000"/>
                <w:sz w:val="20"/>
                <w:szCs w:val="20"/>
              </w:rPr>
            </w:pPr>
            <w:r w:rsidRPr="00AE5676">
              <w:rPr>
                <w:rFonts w:eastAsia="Times New Roman"/>
                <w:color w:val="000000"/>
                <w:sz w:val="20"/>
                <w:szCs w:val="20"/>
              </w:rPr>
              <w:t>More than 10</w:t>
            </w:r>
          </w:p>
        </w:tc>
        <w:tc>
          <w:tcPr>
            <w:tcW w:w="720" w:type="dxa"/>
            <w:tcBorders>
              <w:top w:val="nil"/>
              <w:left w:val="nil"/>
              <w:bottom w:val="nil"/>
              <w:right w:val="nil"/>
            </w:tcBorders>
            <w:shd w:val="clear" w:color="000000" w:fill="FFFFFF"/>
            <w:noWrap/>
            <w:vAlign w:val="center"/>
            <w:hideMark/>
          </w:tcPr>
          <w:p w14:paraId="43A39539" w14:textId="77777777" w:rsidR="00260D4C" w:rsidRPr="00AE5676" w:rsidRDefault="00260D4C" w:rsidP="00E56366">
            <w:pPr>
              <w:tabs>
                <w:tab w:val="decimal" w:pos="386"/>
              </w:tabs>
              <w:spacing w:after="0" w:line="240" w:lineRule="auto"/>
              <w:jc w:val="center"/>
              <w:rPr>
                <w:rFonts w:eastAsia="Times New Roman"/>
                <w:color w:val="000000"/>
                <w:sz w:val="20"/>
                <w:szCs w:val="20"/>
              </w:rPr>
            </w:pPr>
            <w:r w:rsidRPr="00AE5676">
              <w:rPr>
                <w:color w:val="000000"/>
                <w:sz w:val="20"/>
                <w:szCs w:val="20"/>
              </w:rPr>
              <w:t>76</w:t>
            </w:r>
          </w:p>
        </w:tc>
        <w:tc>
          <w:tcPr>
            <w:tcW w:w="1110" w:type="dxa"/>
            <w:tcBorders>
              <w:top w:val="nil"/>
              <w:left w:val="nil"/>
              <w:bottom w:val="nil"/>
              <w:right w:val="single" w:sz="8" w:space="0" w:color="auto"/>
            </w:tcBorders>
            <w:shd w:val="clear" w:color="000000" w:fill="FFFFFF"/>
            <w:noWrap/>
            <w:vAlign w:val="center"/>
            <w:hideMark/>
          </w:tcPr>
          <w:p w14:paraId="75A0731C"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0.61</w:t>
            </w:r>
          </w:p>
        </w:tc>
        <w:tc>
          <w:tcPr>
            <w:tcW w:w="1080" w:type="dxa"/>
            <w:tcBorders>
              <w:top w:val="nil"/>
              <w:left w:val="nil"/>
              <w:bottom w:val="nil"/>
              <w:right w:val="nil"/>
            </w:tcBorders>
            <w:shd w:val="clear" w:color="000000" w:fill="FFFFFF"/>
            <w:noWrap/>
            <w:vAlign w:val="center"/>
            <w:hideMark/>
          </w:tcPr>
          <w:p w14:paraId="276CFD59"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1.20</w:t>
            </w:r>
          </w:p>
        </w:tc>
        <w:tc>
          <w:tcPr>
            <w:tcW w:w="820" w:type="dxa"/>
            <w:tcBorders>
              <w:top w:val="nil"/>
              <w:left w:val="nil"/>
              <w:bottom w:val="nil"/>
              <w:right w:val="single" w:sz="8" w:space="0" w:color="auto"/>
            </w:tcBorders>
            <w:shd w:val="clear" w:color="000000" w:fill="FFFFFF"/>
            <w:noWrap/>
            <w:vAlign w:val="center"/>
            <w:hideMark/>
          </w:tcPr>
          <w:p w14:paraId="1B4002B2"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97.64</w:t>
            </w:r>
          </w:p>
        </w:tc>
        <w:tc>
          <w:tcPr>
            <w:tcW w:w="1093" w:type="dxa"/>
            <w:tcBorders>
              <w:top w:val="nil"/>
              <w:left w:val="nil"/>
              <w:bottom w:val="nil"/>
              <w:right w:val="nil"/>
            </w:tcBorders>
            <w:shd w:val="clear" w:color="000000" w:fill="FFFFFF"/>
            <w:noWrap/>
            <w:vAlign w:val="center"/>
            <w:hideMark/>
          </w:tcPr>
          <w:p w14:paraId="01B42575"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0.49</w:t>
            </w:r>
          </w:p>
        </w:tc>
        <w:tc>
          <w:tcPr>
            <w:tcW w:w="887" w:type="dxa"/>
            <w:tcBorders>
              <w:top w:val="nil"/>
              <w:left w:val="nil"/>
              <w:bottom w:val="nil"/>
              <w:right w:val="single" w:sz="12" w:space="0" w:color="auto"/>
            </w:tcBorders>
            <w:shd w:val="clear" w:color="000000" w:fill="FFFFFF"/>
            <w:noWrap/>
            <w:vAlign w:val="center"/>
            <w:hideMark/>
          </w:tcPr>
          <w:p w14:paraId="770DB538" w14:textId="77777777" w:rsidR="00260D4C" w:rsidRPr="00AE5676" w:rsidRDefault="00260D4C" w:rsidP="00E56366">
            <w:pPr>
              <w:tabs>
                <w:tab w:val="decimal" w:pos="201"/>
              </w:tabs>
              <w:spacing w:after="0" w:line="240" w:lineRule="auto"/>
              <w:jc w:val="center"/>
              <w:rPr>
                <w:rFonts w:eastAsia="Times New Roman"/>
                <w:color w:val="000000"/>
                <w:sz w:val="20"/>
                <w:szCs w:val="20"/>
              </w:rPr>
            </w:pPr>
            <w:r w:rsidRPr="00AE5676">
              <w:rPr>
                <w:color w:val="000000"/>
                <w:sz w:val="20"/>
                <w:szCs w:val="20"/>
              </w:rPr>
              <w:t>18.95</w:t>
            </w:r>
          </w:p>
        </w:tc>
      </w:tr>
      <w:tr w:rsidR="00260D4C" w:rsidRPr="00AE5676" w14:paraId="0168AB8A" w14:textId="77777777" w:rsidTr="00E56366">
        <w:trPr>
          <w:gridAfter w:val="1"/>
          <w:wAfter w:w="6" w:type="dxa"/>
          <w:trHeight w:val="20"/>
          <w:jc w:val="center"/>
        </w:trPr>
        <w:tc>
          <w:tcPr>
            <w:tcW w:w="5375" w:type="dxa"/>
            <w:gridSpan w:val="5"/>
            <w:tcBorders>
              <w:top w:val="single" w:sz="8" w:space="0" w:color="auto"/>
              <w:left w:val="single" w:sz="12" w:space="0" w:color="auto"/>
              <w:bottom w:val="single" w:sz="12" w:space="0" w:color="auto"/>
              <w:right w:val="single" w:sz="8" w:space="0" w:color="000000"/>
            </w:tcBorders>
            <w:shd w:val="clear" w:color="000000" w:fill="FFFFFF"/>
            <w:noWrap/>
            <w:vAlign w:val="center"/>
            <w:hideMark/>
          </w:tcPr>
          <w:p w14:paraId="40CD4400" w14:textId="77777777" w:rsidR="00260D4C" w:rsidRPr="00AE5676" w:rsidRDefault="00260D4C" w:rsidP="00E56366">
            <w:pPr>
              <w:spacing w:after="0" w:line="240" w:lineRule="auto"/>
              <w:rPr>
                <w:rFonts w:eastAsia="Times New Roman"/>
                <w:b/>
                <w:bCs/>
                <w:color w:val="000000"/>
                <w:sz w:val="20"/>
                <w:szCs w:val="20"/>
              </w:rPr>
            </w:pPr>
            <w:r w:rsidRPr="00AE5676">
              <w:rPr>
                <w:rFonts w:eastAsia="Times New Roman"/>
                <w:b/>
                <w:bCs/>
                <w:color w:val="000000"/>
                <w:sz w:val="20"/>
                <w:szCs w:val="20"/>
              </w:rPr>
              <w:t>Weighted Average Percent Error (WAPE)</w:t>
            </w:r>
          </w:p>
        </w:tc>
        <w:tc>
          <w:tcPr>
            <w:tcW w:w="1900" w:type="dxa"/>
            <w:gridSpan w:val="2"/>
            <w:tcBorders>
              <w:top w:val="single" w:sz="8" w:space="0" w:color="auto"/>
              <w:left w:val="nil"/>
              <w:bottom w:val="single" w:sz="12" w:space="0" w:color="auto"/>
              <w:right w:val="single" w:sz="8" w:space="0" w:color="000000"/>
            </w:tcBorders>
            <w:shd w:val="clear" w:color="000000" w:fill="FFFFFF"/>
            <w:noWrap/>
            <w:vAlign w:val="bottom"/>
            <w:hideMark/>
          </w:tcPr>
          <w:p w14:paraId="1DB682FA" w14:textId="77777777" w:rsidR="00260D4C" w:rsidRPr="00AE5676" w:rsidRDefault="00260D4C" w:rsidP="00E56366">
            <w:pPr>
              <w:spacing w:after="0" w:line="240" w:lineRule="auto"/>
              <w:jc w:val="center"/>
              <w:rPr>
                <w:rFonts w:eastAsia="Times New Roman"/>
                <w:b/>
                <w:bCs/>
                <w:color w:val="000000"/>
                <w:sz w:val="20"/>
                <w:szCs w:val="20"/>
              </w:rPr>
            </w:pPr>
            <w:r w:rsidRPr="00AE5676">
              <w:rPr>
                <w:b/>
                <w:bCs/>
                <w:color w:val="000000"/>
                <w:sz w:val="20"/>
                <w:szCs w:val="20"/>
              </w:rPr>
              <w:t>7.16</w:t>
            </w:r>
          </w:p>
        </w:tc>
        <w:tc>
          <w:tcPr>
            <w:tcW w:w="1980"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7DCB7587" w14:textId="77777777" w:rsidR="00260D4C" w:rsidRPr="00AE5676" w:rsidRDefault="00260D4C" w:rsidP="00E56366">
            <w:pPr>
              <w:spacing w:after="0" w:line="240" w:lineRule="auto"/>
              <w:jc w:val="center"/>
              <w:rPr>
                <w:rFonts w:eastAsia="Times New Roman"/>
                <w:b/>
                <w:bCs/>
                <w:color w:val="000000"/>
                <w:sz w:val="20"/>
                <w:szCs w:val="20"/>
              </w:rPr>
            </w:pPr>
            <w:r w:rsidRPr="00AE5676">
              <w:rPr>
                <w:rFonts w:eastAsia="Times New Roman"/>
                <w:b/>
                <w:bCs/>
                <w:color w:val="000000"/>
                <w:sz w:val="20"/>
                <w:szCs w:val="20"/>
              </w:rPr>
              <w:t>8.82</w:t>
            </w:r>
          </w:p>
        </w:tc>
      </w:tr>
    </w:tbl>
    <w:p w14:paraId="7445B708" w14:textId="77777777" w:rsidR="0077130C" w:rsidRDefault="0077130C">
      <w:pPr>
        <w:rPr>
          <w:b/>
          <w:bCs/>
        </w:rPr>
        <w:sectPr w:rsidR="0077130C" w:rsidSect="00176D54">
          <w:footerReference w:type="default" r:id="rId100"/>
          <w:pgSz w:w="12240" w:h="15840"/>
          <w:pgMar w:top="1296" w:right="1440" w:bottom="1296" w:left="1440" w:header="720" w:footer="720" w:gutter="0"/>
          <w:cols w:space="720"/>
          <w:docGrid w:linePitch="360"/>
        </w:sectPr>
      </w:pPr>
    </w:p>
    <w:p w14:paraId="220F2193" w14:textId="0A5BB359" w:rsidR="003C2D26" w:rsidRPr="003C2D26" w:rsidRDefault="003C2D26">
      <w:pPr>
        <w:rPr>
          <w:b/>
          <w:bCs/>
        </w:rPr>
      </w:pPr>
      <w:r w:rsidRPr="003C2D26">
        <w:rPr>
          <w:b/>
          <w:bCs/>
        </w:rPr>
        <w:lastRenderedPageBreak/>
        <w:t xml:space="preserve">Table </w:t>
      </w:r>
      <w:r>
        <w:rPr>
          <w:b/>
          <w:bCs/>
        </w:rPr>
        <w:t>5 Average Treatment Effects (ATEs)</w:t>
      </w:r>
    </w:p>
    <w:tbl>
      <w:tblPr>
        <w:tblW w:w="13400" w:type="dxa"/>
        <w:jc w:val="center"/>
        <w:tblLayout w:type="fixed"/>
        <w:tblCellMar>
          <w:left w:w="58" w:type="dxa"/>
          <w:right w:w="58" w:type="dxa"/>
        </w:tblCellMar>
        <w:tblLook w:val="04A0" w:firstRow="1" w:lastRow="0" w:firstColumn="1" w:lastColumn="0" w:noHBand="0" w:noVBand="1"/>
      </w:tblPr>
      <w:tblGrid>
        <w:gridCol w:w="2060"/>
        <w:gridCol w:w="2430"/>
        <w:gridCol w:w="2430"/>
        <w:gridCol w:w="990"/>
        <w:gridCol w:w="990"/>
        <w:gridCol w:w="1170"/>
        <w:gridCol w:w="1440"/>
        <w:gridCol w:w="1170"/>
        <w:gridCol w:w="720"/>
      </w:tblGrid>
      <w:tr w:rsidR="00B826B9" w:rsidRPr="00DC5538" w14:paraId="6021DE45" w14:textId="77777777" w:rsidTr="00B826B9">
        <w:trPr>
          <w:trHeight w:val="288"/>
          <w:jc w:val="center"/>
        </w:trPr>
        <w:tc>
          <w:tcPr>
            <w:tcW w:w="2060"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E3632C5" w14:textId="77777777" w:rsidR="00DC5538" w:rsidRPr="00B826B9" w:rsidRDefault="00DC5538" w:rsidP="00B826B9">
            <w:pPr>
              <w:spacing w:after="0" w:line="240" w:lineRule="auto"/>
              <w:jc w:val="center"/>
              <w:rPr>
                <w:b/>
                <w:bCs/>
                <w:color w:val="000000"/>
                <w:sz w:val="20"/>
                <w:szCs w:val="20"/>
              </w:rPr>
            </w:pPr>
            <w:bookmarkStart w:id="3" w:name="_Hlk169788459"/>
            <w:r w:rsidRPr="00B826B9">
              <w:rPr>
                <w:b/>
                <w:bCs/>
                <w:color w:val="000000"/>
                <w:sz w:val="20"/>
                <w:szCs w:val="20"/>
              </w:rPr>
              <w:t>Variable</w:t>
            </w:r>
          </w:p>
        </w:tc>
        <w:tc>
          <w:tcPr>
            <w:tcW w:w="2430" w:type="dxa"/>
            <w:vMerge w:val="restart"/>
            <w:tcBorders>
              <w:top w:val="single" w:sz="12" w:space="0" w:color="auto"/>
              <w:left w:val="single" w:sz="12" w:space="0" w:color="auto"/>
              <w:bottom w:val="single" w:sz="12" w:space="0" w:color="auto"/>
              <w:right w:val="nil"/>
            </w:tcBorders>
            <w:shd w:val="clear" w:color="auto" w:fill="auto"/>
            <w:noWrap/>
            <w:vAlign w:val="center"/>
            <w:hideMark/>
          </w:tcPr>
          <w:p w14:paraId="704670C0" w14:textId="77777777" w:rsidR="00DC5538" w:rsidRPr="00B826B9" w:rsidRDefault="00DC5538" w:rsidP="00B826B9">
            <w:pPr>
              <w:spacing w:after="0" w:line="240" w:lineRule="auto"/>
              <w:jc w:val="center"/>
              <w:rPr>
                <w:b/>
                <w:bCs/>
                <w:color w:val="000000"/>
                <w:sz w:val="20"/>
                <w:szCs w:val="20"/>
              </w:rPr>
            </w:pPr>
            <w:r w:rsidRPr="00B826B9">
              <w:rPr>
                <w:b/>
                <w:bCs/>
                <w:color w:val="000000"/>
                <w:sz w:val="20"/>
                <w:szCs w:val="20"/>
              </w:rPr>
              <w:t>Base Level</w:t>
            </w:r>
          </w:p>
        </w:tc>
        <w:tc>
          <w:tcPr>
            <w:tcW w:w="2430" w:type="dxa"/>
            <w:vMerge w:val="restart"/>
            <w:tcBorders>
              <w:top w:val="single" w:sz="12" w:space="0" w:color="auto"/>
              <w:left w:val="nil"/>
              <w:bottom w:val="single" w:sz="12" w:space="0" w:color="auto"/>
              <w:right w:val="single" w:sz="12" w:space="0" w:color="auto"/>
            </w:tcBorders>
            <w:shd w:val="clear" w:color="auto" w:fill="auto"/>
            <w:noWrap/>
            <w:vAlign w:val="center"/>
            <w:hideMark/>
          </w:tcPr>
          <w:p w14:paraId="59607700" w14:textId="77777777" w:rsidR="00DC5538" w:rsidRPr="00B826B9" w:rsidRDefault="00DC5538" w:rsidP="00B826B9">
            <w:pPr>
              <w:spacing w:after="0" w:line="240" w:lineRule="auto"/>
              <w:jc w:val="center"/>
              <w:rPr>
                <w:b/>
                <w:bCs/>
                <w:color w:val="000000"/>
                <w:sz w:val="20"/>
                <w:szCs w:val="20"/>
              </w:rPr>
            </w:pPr>
            <w:r w:rsidRPr="00B826B9">
              <w:rPr>
                <w:b/>
                <w:bCs/>
                <w:color w:val="000000"/>
                <w:sz w:val="20"/>
                <w:szCs w:val="20"/>
              </w:rPr>
              <w:t>Treatment Level</w:t>
            </w:r>
          </w:p>
        </w:tc>
        <w:tc>
          <w:tcPr>
            <w:tcW w:w="990"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14:paraId="64C22193" w14:textId="77777777" w:rsidR="00DC5538" w:rsidRPr="00B826B9" w:rsidRDefault="00DC5538" w:rsidP="00B826B9">
            <w:pPr>
              <w:spacing w:after="0" w:line="240" w:lineRule="auto"/>
              <w:jc w:val="center"/>
              <w:rPr>
                <w:b/>
                <w:bCs/>
                <w:color w:val="000000"/>
                <w:sz w:val="20"/>
                <w:szCs w:val="20"/>
              </w:rPr>
            </w:pPr>
            <w:r w:rsidRPr="00B826B9">
              <w:rPr>
                <w:b/>
                <w:bCs/>
                <w:color w:val="000000"/>
                <w:sz w:val="20"/>
                <w:szCs w:val="20"/>
              </w:rPr>
              <w:t>Telework ATE</w:t>
            </w:r>
          </w:p>
        </w:tc>
        <w:tc>
          <w:tcPr>
            <w:tcW w:w="990" w:type="dxa"/>
            <w:vMerge w:val="restart"/>
            <w:tcBorders>
              <w:top w:val="single" w:sz="12" w:space="0" w:color="auto"/>
              <w:left w:val="single" w:sz="12" w:space="0" w:color="auto"/>
              <w:bottom w:val="single" w:sz="12" w:space="0" w:color="auto"/>
              <w:right w:val="single" w:sz="12" w:space="0" w:color="auto"/>
            </w:tcBorders>
            <w:shd w:val="clear" w:color="auto" w:fill="auto"/>
            <w:vAlign w:val="center"/>
            <w:hideMark/>
          </w:tcPr>
          <w:p w14:paraId="068EF7CC" w14:textId="4E9897B1" w:rsidR="00DC5538" w:rsidRPr="00B826B9" w:rsidRDefault="00B826B9" w:rsidP="00B826B9">
            <w:pPr>
              <w:spacing w:after="0" w:line="240" w:lineRule="auto"/>
              <w:jc w:val="center"/>
              <w:rPr>
                <w:b/>
                <w:bCs/>
                <w:color w:val="000000"/>
                <w:sz w:val="20"/>
                <w:szCs w:val="20"/>
              </w:rPr>
            </w:pPr>
            <w:r>
              <w:rPr>
                <w:b/>
                <w:bCs/>
                <w:color w:val="000000"/>
                <w:sz w:val="20"/>
                <w:szCs w:val="20"/>
              </w:rPr>
              <w:t xml:space="preserve">Monthly </w:t>
            </w:r>
            <w:r w:rsidR="00DC5538" w:rsidRPr="00B826B9">
              <w:rPr>
                <w:b/>
                <w:bCs/>
                <w:color w:val="000000"/>
                <w:sz w:val="20"/>
                <w:szCs w:val="20"/>
              </w:rPr>
              <w:t>Deliveries ATE</w:t>
            </w:r>
          </w:p>
        </w:tc>
        <w:tc>
          <w:tcPr>
            <w:tcW w:w="4500" w:type="dxa"/>
            <w:gridSpan w:val="4"/>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5C4F619" w14:textId="77777777" w:rsidR="00DC5538" w:rsidRPr="00B826B9" w:rsidRDefault="00DC5538" w:rsidP="00B826B9">
            <w:pPr>
              <w:spacing w:after="0" w:line="240" w:lineRule="auto"/>
              <w:jc w:val="center"/>
              <w:rPr>
                <w:b/>
                <w:bCs/>
                <w:color w:val="000000"/>
                <w:sz w:val="20"/>
                <w:szCs w:val="20"/>
              </w:rPr>
            </w:pPr>
            <w:r w:rsidRPr="00B826B9">
              <w:rPr>
                <w:b/>
                <w:bCs/>
                <w:color w:val="000000"/>
                <w:sz w:val="20"/>
                <w:szCs w:val="20"/>
              </w:rPr>
              <w:t>PPD ATE</w:t>
            </w:r>
          </w:p>
        </w:tc>
      </w:tr>
      <w:tr w:rsidR="00B826B9" w:rsidRPr="00DC5538" w14:paraId="09DC6902" w14:textId="77777777" w:rsidTr="00B826B9">
        <w:trPr>
          <w:trHeight w:val="288"/>
          <w:jc w:val="center"/>
        </w:trPr>
        <w:tc>
          <w:tcPr>
            <w:tcW w:w="2060" w:type="dxa"/>
            <w:vMerge/>
            <w:tcBorders>
              <w:top w:val="single" w:sz="8" w:space="0" w:color="auto"/>
              <w:left w:val="single" w:sz="12" w:space="0" w:color="auto"/>
              <w:bottom w:val="single" w:sz="12" w:space="0" w:color="auto"/>
              <w:right w:val="single" w:sz="12" w:space="0" w:color="auto"/>
            </w:tcBorders>
            <w:vAlign w:val="center"/>
            <w:hideMark/>
          </w:tcPr>
          <w:p w14:paraId="0E58D7F5" w14:textId="77777777" w:rsidR="00DC5538" w:rsidRPr="00DC5538" w:rsidRDefault="00DC5538" w:rsidP="00B826B9">
            <w:pPr>
              <w:spacing w:after="0" w:line="240" w:lineRule="auto"/>
              <w:jc w:val="center"/>
              <w:rPr>
                <w:color w:val="000000"/>
                <w:sz w:val="20"/>
                <w:szCs w:val="20"/>
              </w:rPr>
            </w:pPr>
          </w:p>
        </w:tc>
        <w:tc>
          <w:tcPr>
            <w:tcW w:w="2430" w:type="dxa"/>
            <w:vMerge/>
            <w:tcBorders>
              <w:top w:val="single" w:sz="8" w:space="0" w:color="auto"/>
              <w:left w:val="single" w:sz="12" w:space="0" w:color="auto"/>
              <w:bottom w:val="single" w:sz="12" w:space="0" w:color="auto"/>
              <w:right w:val="nil"/>
            </w:tcBorders>
            <w:vAlign w:val="center"/>
            <w:hideMark/>
          </w:tcPr>
          <w:p w14:paraId="01619226" w14:textId="77777777" w:rsidR="00DC5538" w:rsidRPr="00DC5538" w:rsidRDefault="00DC5538" w:rsidP="00B826B9">
            <w:pPr>
              <w:spacing w:after="0" w:line="240" w:lineRule="auto"/>
              <w:jc w:val="center"/>
              <w:rPr>
                <w:color w:val="000000"/>
                <w:sz w:val="20"/>
                <w:szCs w:val="20"/>
              </w:rPr>
            </w:pPr>
          </w:p>
        </w:tc>
        <w:tc>
          <w:tcPr>
            <w:tcW w:w="2430" w:type="dxa"/>
            <w:vMerge/>
            <w:tcBorders>
              <w:top w:val="single" w:sz="8" w:space="0" w:color="auto"/>
              <w:left w:val="nil"/>
              <w:bottom w:val="single" w:sz="12" w:space="0" w:color="auto"/>
              <w:right w:val="single" w:sz="12" w:space="0" w:color="auto"/>
            </w:tcBorders>
            <w:vAlign w:val="center"/>
            <w:hideMark/>
          </w:tcPr>
          <w:p w14:paraId="17305B81" w14:textId="77777777" w:rsidR="00DC5538" w:rsidRPr="00DC5538" w:rsidRDefault="00DC5538" w:rsidP="00B826B9">
            <w:pPr>
              <w:spacing w:after="0" w:line="240" w:lineRule="auto"/>
              <w:jc w:val="center"/>
              <w:rPr>
                <w:color w:val="000000"/>
                <w:sz w:val="20"/>
                <w:szCs w:val="20"/>
              </w:rPr>
            </w:pPr>
          </w:p>
        </w:tc>
        <w:tc>
          <w:tcPr>
            <w:tcW w:w="990" w:type="dxa"/>
            <w:vMerge/>
            <w:tcBorders>
              <w:top w:val="single" w:sz="8" w:space="0" w:color="auto"/>
              <w:left w:val="single" w:sz="12" w:space="0" w:color="auto"/>
              <w:bottom w:val="single" w:sz="12" w:space="0" w:color="auto"/>
              <w:right w:val="single" w:sz="12" w:space="0" w:color="auto"/>
            </w:tcBorders>
            <w:vAlign w:val="center"/>
            <w:hideMark/>
          </w:tcPr>
          <w:p w14:paraId="353310F9" w14:textId="77777777" w:rsidR="00DC5538" w:rsidRPr="00DC5538" w:rsidRDefault="00DC5538" w:rsidP="00B826B9">
            <w:pPr>
              <w:spacing w:after="0" w:line="240" w:lineRule="auto"/>
              <w:jc w:val="center"/>
              <w:rPr>
                <w:color w:val="000000"/>
                <w:sz w:val="20"/>
                <w:szCs w:val="20"/>
              </w:rPr>
            </w:pPr>
          </w:p>
        </w:tc>
        <w:tc>
          <w:tcPr>
            <w:tcW w:w="990" w:type="dxa"/>
            <w:vMerge/>
            <w:tcBorders>
              <w:top w:val="single" w:sz="8" w:space="0" w:color="auto"/>
              <w:left w:val="single" w:sz="12" w:space="0" w:color="auto"/>
              <w:bottom w:val="single" w:sz="12" w:space="0" w:color="auto"/>
              <w:right w:val="single" w:sz="12" w:space="0" w:color="auto"/>
            </w:tcBorders>
            <w:vAlign w:val="center"/>
            <w:hideMark/>
          </w:tcPr>
          <w:p w14:paraId="031EECC7" w14:textId="77777777" w:rsidR="00DC5538" w:rsidRPr="00DC5538" w:rsidRDefault="00DC5538" w:rsidP="00B826B9">
            <w:pPr>
              <w:spacing w:after="0" w:line="240" w:lineRule="auto"/>
              <w:jc w:val="center"/>
              <w:rPr>
                <w:color w:val="000000"/>
                <w:sz w:val="20"/>
                <w:szCs w:val="20"/>
              </w:rPr>
            </w:pPr>
          </w:p>
        </w:tc>
        <w:tc>
          <w:tcPr>
            <w:tcW w:w="2610" w:type="dxa"/>
            <w:gridSpan w:val="2"/>
            <w:tcBorders>
              <w:top w:val="single" w:sz="12" w:space="0" w:color="auto"/>
              <w:left w:val="single" w:sz="12" w:space="0" w:color="auto"/>
              <w:bottom w:val="single" w:sz="4" w:space="0" w:color="auto"/>
              <w:right w:val="nil"/>
            </w:tcBorders>
            <w:shd w:val="clear" w:color="auto" w:fill="auto"/>
            <w:noWrap/>
            <w:vAlign w:val="center"/>
            <w:hideMark/>
          </w:tcPr>
          <w:p w14:paraId="546E2EA0" w14:textId="77777777" w:rsidR="00DC5538" w:rsidRPr="00DC5538" w:rsidRDefault="00DC5538" w:rsidP="00B826B9">
            <w:pPr>
              <w:spacing w:after="0" w:line="240" w:lineRule="auto"/>
              <w:jc w:val="center"/>
              <w:rPr>
                <w:color w:val="000000"/>
                <w:sz w:val="20"/>
                <w:szCs w:val="20"/>
              </w:rPr>
            </w:pPr>
            <w:r w:rsidRPr="00DC5538">
              <w:rPr>
                <w:color w:val="000000"/>
                <w:sz w:val="20"/>
                <w:szCs w:val="20"/>
              </w:rPr>
              <w:t>Percent Contribution Through</w:t>
            </w:r>
          </w:p>
        </w:tc>
        <w:tc>
          <w:tcPr>
            <w:tcW w:w="1170" w:type="dxa"/>
            <w:vMerge w:val="restart"/>
            <w:tcBorders>
              <w:top w:val="single" w:sz="12" w:space="0" w:color="auto"/>
              <w:left w:val="nil"/>
              <w:bottom w:val="single" w:sz="8" w:space="0" w:color="000000"/>
              <w:right w:val="single" w:sz="4" w:space="0" w:color="auto"/>
            </w:tcBorders>
            <w:shd w:val="clear" w:color="auto" w:fill="auto"/>
            <w:vAlign w:val="center"/>
            <w:hideMark/>
          </w:tcPr>
          <w:p w14:paraId="21FF8549" w14:textId="77777777" w:rsidR="00DC5538" w:rsidRPr="00DC5538" w:rsidRDefault="00DC5538" w:rsidP="00B826B9">
            <w:pPr>
              <w:spacing w:after="0" w:line="240" w:lineRule="auto"/>
              <w:jc w:val="center"/>
              <w:rPr>
                <w:color w:val="000000"/>
                <w:sz w:val="20"/>
                <w:szCs w:val="20"/>
              </w:rPr>
            </w:pPr>
            <w:r w:rsidRPr="00DC5538">
              <w:rPr>
                <w:color w:val="000000"/>
                <w:sz w:val="20"/>
                <w:szCs w:val="20"/>
              </w:rPr>
              <w:t>Percent Direct Effect</w:t>
            </w:r>
          </w:p>
        </w:tc>
        <w:tc>
          <w:tcPr>
            <w:tcW w:w="720" w:type="dxa"/>
            <w:vMerge w:val="restart"/>
            <w:tcBorders>
              <w:top w:val="single" w:sz="12" w:space="0" w:color="auto"/>
              <w:left w:val="single" w:sz="4" w:space="0" w:color="auto"/>
              <w:bottom w:val="single" w:sz="8" w:space="0" w:color="000000"/>
              <w:right w:val="single" w:sz="12" w:space="0" w:color="auto"/>
            </w:tcBorders>
            <w:shd w:val="clear" w:color="auto" w:fill="auto"/>
            <w:noWrap/>
            <w:vAlign w:val="center"/>
            <w:hideMark/>
          </w:tcPr>
          <w:p w14:paraId="62A90973" w14:textId="35653E03" w:rsidR="00DC5538" w:rsidRPr="00DC5538" w:rsidRDefault="00B23176" w:rsidP="00B826B9">
            <w:pPr>
              <w:spacing w:after="0" w:line="240" w:lineRule="auto"/>
              <w:jc w:val="center"/>
              <w:rPr>
                <w:color w:val="000000"/>
                <w:sz w:val="20"/>
                <w:szCs w:val="20"/>
              </w:rPr>
            </w:pPr>
            <w:r>
              <w:rPr>
                <w:color w:val="000000"/>
                <w:sz w:val="20"/>
                <w:szCs w:val="20"/>
              </w:rPr>
              <w:t>Total</w:t>
            </w:r>
            <w:r w:rsidRPr="00DC5538">
              <w:rPr>
                <w:color w:val="000000"/>
                <w:sz w:val="20"/>
                <w:szCs w:val="20"/>
              </w:rPr>
              <w:t xml:space="preserve"> </w:t>
            </w:r>
            <w:r w:rsidR="00DC5538" w:rsidRPr="00DC5538">
              <w:rPr>
                <w:color w:val="000000"/>
                <w:sz w:val="20"/>
                <w:szCs w:val="20"/>
              </w:rPr>
              <w:t>ATE</w:t>
            </w:r>
          </w:p>
        </w:tc>
      </w:tr>
      <w:tr w:rsidR="00B826B9" w:rsidRPr="00DC5538" w14:paraId="385B30F9" w14:textId="77777777" w:rsidTr="00325067">
        <w:trPr>
          <w:trHeight w:val="288"/>
          <w:jc w:val="center"/>
        </w:trPr>
        <w:tc>
          <w:tcPr>
            <w:tcW w:w="2060" w:type="dxa"/>
            <w:vMerge/>
            <w:tcBorders>
              <w:top w:val="single" w:sz="8" w:space="0" w:color="auto"/>
              <w:left w:val="single" w:sz="12" w:space="0" w:color="auto"/>
              <w:bottom w:val="single" w:sz="12" w:space="0" w:color="auto"/>
              <w:right w:val="single" w:sz="12" w:space="0" w:color="auto"/>
            </w:tcBorders>
            <w:vAlign w:val="center"/>
            <w:hideMark/>
          </w:tcPr>
          <w:p w14:paraId="67B5183D" w14:textId="77777777" w:rsidR="00DC5538" w:rsidRPr="00DC5538" w:rsidRDefault="00DC5538" w:rsidP="00B826B9">
            <w:pPr>
              <w:spacing w:after="0" w:line="240" w:lineRule="auto"/>
              <w:jc w:val="center"/>
              <w:rPr>
                <w:color w:val="000000"/>
                <w:sz w:val="20"/>
                <w:szCs w:val="20"/>
              </w:rPr>
            </w:pPr>
          </w:p>
        </w:tc>
        <w:tc>
          <w:tcPr>
            <w:tcW w:w="2430" w:type="dxa"/>
            <w:vMerge/>
            <w:tcBorders>
              <w:top w:val="single" w:sz="8" w:space="0" w:color="auto"/>
              <w:left w:val="single" w:sz="12" w:space="0" w:color="auto"/>
              <w:bottom w:val="single" w:sz="12" w:space="0" w:color="auto"/>
              <w:right w:val="nil"/>
            </w:tcBorders>
            <w:vAlign w:val="center"/>
            <w:hideMark/>
          </w:tcPr>
          <w:p w14:paraId="296FC3F0" w14:textId="77777777" w:rsidR="00DC5538" w:rsidRPr="00DC5538" w:rsidRDefault="00DC5538" w:rsidP="00B826B9">
            <w:pPr>
              <w:spacing w:after="0" w:line="240" w:lineRule="auto"/>
              <w:jc w:val="center"/>
              <w:rPr>
                <w:color w:val="000000"/>
                <w:sz w:val="20"/>
                <w:szCs w:val="20"/>
              </w:rPr>
            </w:pPr>
          </w:p>
        </w:tc>
        <w:tc>
          <w:tcPr>
            <w:tcW w:w="2430" w:type="dxa"/>
            <w:vMerge/>
            <w:tcBorders>
              <w:top w:val="single" w:sz="8" w:space="0" w:color="auto"/>
              <w:left w:val="nil"/>
              <w:bottom w:val="single" w:sz="12" w:space="0" w:color="auto"/>
              <w:right w:val="single" w:sz="12" w:space="0" w:color="auto"/>
            </w:tcBorders>
            <w:vAlign w:val="center"/>
            <w:hideMark/>
          </w:tcPr>
          <w:p w14:paraId="3FBC979E" w14:textId="77777777" w:rsidR="00DC5538" w:rsidRPr="00DC5538" w:rsidRDefault="00DC5538" w:rsidP="00B826B9">
            <w:pPr>
              <w:spacing w:after="0" w:line="240" w:lineRule="auto"/>
              <w:jc w:val="center"/>
              <w:rPr>
                <w:color w:val="000000"/>
                <w:sz w:val="20"/>
                <w:szCs w:val="20"/>
              </w:rPr>
            </w:pPr>
          </w:p>
        </w:tc>
        <w:tc>
          <w:tcPr>
            <w:tcW w:w="990" w:type="dxa"/>
            <w:vMerge/>
            <w:tcBorders>
              <w:top w:val="single" w:sz="8" w:space="0" w:color="auto"/>
              <w:left w:val="single" w:sz="12" w:space="0" w:color="auto"/>
              <w:bottom w:val="single" w:sz="12" w:space="0" w:color="auto"/>
              <w:right w:val="single" w:sz="12" w:space="0" w:color="auto"/>
            </w:tcBorders>
            <w:vAlign w:val="center"/>
            <w:hideMark/>
          </w:tcPr>
          <w:p w14:paraId="4111628A" w14:textId="77777777" w:rsidR="00DC5538" w:rsidRPr="00DC5538" w:rsidRDefault="00DC5538" w:rsidP="00B826B9">
            <w:pPr>
              <w:spacing w:after="0" w:line="240" w:lineRule="auto"/>
              <w:jc w:val="center"/>
              <w:rPr>
                <w:color w:val="000000"/>
                <w:sz w:val="20"/>
                <w:szCs w:val="20"/>
              </w:rPr>
            </w:pPr>
          </w:p>
        </w:tc>
        <w:tc>
          <w:tcPr>
            <w:tcW w:w="990" w:type="dxa"/>
            <w:vMerge/>
            <w:tcBorders>
              <w:top w:val="single" w:sz="8" w:space="0" w:color="auto"/>
              <w:left w:val="single" w:sz="12" w:space="0" w:color="auto"/>
              <w:bottom w:val="single" w:sz="12" w:space="0" w:color="auto"/>
              <w:right w:val="single" w:sz="12" w:space="0" w:color="auto"/>
            </w:tcBorders>
            <w:vAlign w:val="center"/>
            <w:hideMark/>
          </w:tcPr>
          <w:p w14:paraId="52FE0F50" w14:textId="77777777" w:rsidR="00DC5538" w:rsidRPr="00DC5538" w:rsidRDefault="00DC5538" w:rsidP="00B826B9">
            <w:pPr>
              <w:spacing w:after="0" w:line="240" w:lineRule="auto"/>
              <w:jc w:val="center"/>
              <w:rPr>
                <w:color w:val="000000"/>
                <w:sz w:val="20"/>
                <w:szCs w:val="20"/>
              </w:rPr>
            </w:pPr>
          </w:p>
        </w:tc>
        <w:tc>
          <w:tcPr>
            <w:tcW w:w="1170" w:type="dxa"/>
            <w:tcBorders>
              <w:top w:val="nil"/>
              <w:left w:val="single" w:sz="12" w:space="0" w:color="auto"/>
              <w:bottom w:val="single" w:sz="12" w:space="0" w:color="auto"/>
              <w:right w:val="nil"/>
            </w:tcBorders>
            <w:shd w:val="clear" w:color="auto" w:fill="auto"/>
            <w:noWrap/>
            <w:vAlign w:val="center"/>
            <w:hideMark/>
          </w:tcPr>
          <w:p w14:paraId="779E5F54" w14:textId="77777777" w:rsidR="00DC5538" w:rsidRPr="00DC5538" w:rsidRDefault="00DC5538" w:rsidP="00B826B9">
            <w:pPr>
              <w:spacing w:after="0" w:line="240" w:lineRule="auto"/>
              <w:jc w:val="center"/>
              <w:rPr>
                <w:color w:val="000000"/>
                <w:sz w:val="20"/>
                <w:szCs w:val="20"/>
              </w:rPr>
            </w:pPr>
            <w:r w:rsidRPr="00DC5538">
              <w:rPr>
                <w:color w:val="000000"/>
                <w:sz w:val="20"/>
                <w:szCs w:val="20"/>
              </w:rPr>
              <w:t>Telework</w:t>
            </w:r>
          </w:p>
        </w:tc>
        <w:tc>
          <w:tcPr>
            <w:tcW w:w="1440" w:type="dxa"/>
            <w:tcBorders>
              <w:top w:val="nil"/>
              <w:left w:val="nil"/>
              <w:bottom w:val="single" w:sz="12" w:space="0" w:color="auto"/>
              <w:right w:val="nil"/>
            </w:tcBorders>
            <w:shd w:val="clear" w:color="auto" w:fill="auto"/>
            <w:noWrap/>
            <w:vAlign w:val="center"/>
            <w:hideMark/>
          </w:tcPr>
          <w:p w14:paraId="11BC0F9B" w14:textId="77777777" w:rsidR="00DC5538" w:rsidRPr="00DC5538" w:rsidRDefault="00DC5538" w:rsidP="00B826B9">
            <w:pPr>
              <w:spacing w:after="0" w:line="240" w:lineRule="auto"/>
              <w:jc w:val="center"/>
              <w:rPr>
                <w:color w:val="000000"/>
                <w:sz w:val="20"/>
                <w:szCs w:val="20"/>
              </w:rPr>
            </w:pPr>
            <w:r w:rsidRPr="00DC5538">
              <w:rPr>
                <w:color w:val="000000"/>
                <w:sz w:val="20"/>
                <w:szCs w:val="20"/>
              </w:rPr>
              <w:t>Deliveries</w:t>
            </w:r>
          </w:p>
        </w:tc>
        <w:tc>
          <w:tcPr>
            <w:tcW w:w="1170" w:type="dxa"/>
            <w:vMerge/>
            <w:tcBorders>
              <w:top w:val="nil"/>
              <w:left w:val="nil"/>
              <w:bottom w:val="single" w:sz="12" w:space="0" w:color="auto"/>
              <w:right w:val="single" w:sz="4" w:space="0" w:color="auto"/>
            </w:tcBorders>
            <w:vAlign w:val="center"/>
            <w:hideMark/>
          </w:tcPr>
          <w:p w14:paraId="76AF6AF9" w14:textId="77777777" w:rsidR="00DC5538" w:rsidRPr="00DC5538" w:rsidRDefault="00DC5538" w:rsidP="00B826B9">
            <w:pPr>
              <w:spacing w:after="0" w:line="240" w:lineRule="auto"/>
              <w:jc w:val="center"/>
              <w:rPr>
                <w:color w:val="000000"/>
                <w:sz w:val="20"/>
                <w:szCs w:val="20"/>
              </w:rPr>
            </w:pPr>
          </w:p>
        </w:tc>
        <w:tc>
          <w:tcPr>
            <w:tcW w:w="720" w:type="dxa"/>
            <w:vMerge/>
            <w:tcBorders>
              <w:top w:val="nil"/>
              <w:left w:val="single" w:sz="4" w:space="0" w:color="auto"/>
              <w:bottom w:val="single" w:sz="12" w:space="0" w:color="auto"/>
              <w:right w:val="single" w:sz="12" w:space="0" w:color="auto"/>
            </w:tcBorders>
            <w:vAlign w:val="center"/>
            <w:hideMark/>
          </w:tcPr>
          <w:p w14:paraId="42A7BF1A" w14:textId="77777777" w:rsidR="00DC5538" w:rsidRPr="00DC5538" w:rsidRDefault="00DC5538" w:rsidP="00B826B9">
            <w:pPr>
              <w:spacing w:after="0" w:line="240" w:lineRule="auto"/>
              <w:jc w:val="center"/>
              <w:rPr>
                <w:color w:val="000000"/>
                <w:sz w:val="20"/>
                <w:szCs w:val="20"/>
              </w:rPr>
            </w:pPr>
          </w:p>
        </w:tc>
      </w:tr>
      <w:tr w:rsidR="003553BE" w:rsidRPr="00DC5538" w14:paraId="68E77F90" w14:textId="77777777" w:rsidTr="00325067">
        <w:trPr>
          <w:trHeight w:val="288"/>
          <w:jc w:val="center"/>
        </w:trPr>
        <w:tc>
          <w:tcPr>
            <w:tcW w:w="13400" w:type="dxa"/>
            <w:gridSpan w:val="9"/>
            <w:tcBorders>
              <w:top w:val="single" w:sz="12" w:space="0" w:color="auto"/>
              <w:left w:val="single" w:sz="12" w:space="0" w:color="auto"/>
              <w:bottom w:val="single" w:sz="6" w:space="0" w:color="auto"/>
              <w:right w:val="single" w:sz="12" w:space="0" w:color="auto"/>
            </w:tcBorders>
            <w:shd w:val="clear" w:color="auto" w:fill="auto"/>
            <w:noWrap/>
            <w:vAlign w:val="center"/>
          </w:tcPr>
          <w:p w14:paraId="5E687899" w14:textId="49750A1E" w:rsidR="003553BE" w:rsidRPr="006F4E14" w:rsidRDefault="003553BE" w:rsidP="006F4E14">
            <w:pPr>
              <w:spacing w:after="0" w:line="240" w:lineRule="auto"/>
              <w:rPr>
                <w:b/>
                <w:bCs/>
                <w:color w:val="000000"/>
                <w:sz w:val="20"/>
                <w:szCs w:val="20"/>
              </w:rPr>
            </w:pPr>
            <w:r w:rsidRPr="006F4E14">
              <w:rPr>
                <w:b/>
                <w:bCs/>
                <w:color w:val="000000"/>
                <w:sz w:val="20"/>
                <w:szCs w:val="20"/>
              </w:rPr>
              <w:t>Household Demographics</w:t>
            </w:r>
          </w:p>
        </w:tc>
      </w:tr>
      <w:tr w:rsidR="00B826B9" w:rsidRPr="00DC5538" w14:paraId="0937CAFC" w14:textId="77777777" w:rsidTr="00325067">
        <w:trPr>
          <w:trHeight w:val="288"/>
          <w:jc w:val="center"/>
        </w:trPr>
        <w:tc>
          <w:tcPr>
            <w:tcW w:w="2060" w:type="dxa"/>
            <w:tcBorders>
              <w:top w:val="single" w:sz="6" w:space="0" w:color="auto"/>
              <w:left w:val="single" w:sz="12" w:space="0" w:color="auto"/>
              <w:bottom w:val="nil"/>
              <w:right w:val="single" w:sz="12" w:space="0" w:color="auto"/>
            </w:tcBorders>
            <w:shd w:val="clear" w:color="auto" w:fill="auto"/>
            <w:noWrap/>
            <w:vAlign w:val="center"/>
            <w:hideMark/>
          </w:tcPr>
          <w:p w14:paraId="1D7282D9" w14:textId="77777777" w:rsidR="00DC5538" w:rsidRPr="00DC5538" w:rsidRDefault="00DC5538" w:rsidP="00B826B9">
            <w:pPr>
              <w:spacing w:after="0" w:line="240" w:lineRule="auto"/>
              <w:rPr>
                <w:color w:val="000000"/>
                <w:sz w:val="20"/>
                <w:szCs w:val="20"/>
              </w:rPr>
            </w:pPr>
            <w:r w:rsidRPr="00DC5538">
              <w:rPr>
                <w:color w:val="000000"/>
                <w:sz w:val="20"/>
                <w:szCs w:val="20"/>
              </w:rPr>
              <w:t>Number of Adults</w:t>
            </w:r>
          </w:p>
        </w:tc>
        <w:tc>
          <w:tcPr>
            <w:tcW w:w="2430" w:type="dxa"/>
            <w:tcBorders>
              <w:top w:val="single" w:sz="6" w:space="0" w:color="auto"/>
              <w:left w:val="single" w:sz="12" w:space="0" w:color="auto"/>
              <w:bottom w:val="nil"/>
              <w:right w:val="nil"/>
            </w:tcBorders>
            <w:shd w:val="clear" w:color="auto" w:fill="auto"/>
            <w:noWrap/>
            <w:vAlign w:val="center"/>
            <w:hideMark/>
          </w:tcPr>
          <w:p w14:paraId="4D126FC2" w14:textId="77777777" w:rsidR="00DC5538" w:rsidRPr="00DC5538" w:rsidRDefault="00DC5538" w:rsidP="00B826B9">
            <w:pPr>
              <w:spacing w:after="0" w:line="240" w:lineRule="auto"/>
              <w:rPr>
                <w:color w:val="000000"/>
                <w:sz w:val="20"/>
                <w:szCs w:val="20"/>
              </w:rPr>
            </w:pPr>
            <w:r w:rsidRPr="00DC5538">
              <w:rPr>
                <w:color w:val="000000"/>
                <w:sz w:val="20"/>
                <w:szCs w:val="20"/>
              </w:rPr>
              <w:t>Two or More</w:t>
            </w:r>
          </w:p>
        </w:tc>
        <w:tc>
          <w:tcPr>
            <w:tcW w:w="2430" w:type="dxa"/>
            <w:tcBorders>
              <w:top w:val="single" w:sz="6" w:space="0" w:color="auto"/>
              <w:left w:val="nil"/>
              <w:bottom w:val="nil"/>
              <w:right w:val="single" w:sz="12" w:space="0" w:color="auto"/>
            </w:tcBorders>
            <w:shd w:val="clear" w:color="auto" w:fill="auto"/>
            <w:noWrap/>
            <w:vAlign w:val="center"/>
            <w:hideMark/>
          </w:tcPr>
          <w:p w14:paraId="575656C4" w14:textId="77777777" w:rsidR="00DC5538" w:rsidRPr="00DC5538" w:rsidRDefault="00DC5538" w:rsidP="00B826B9">
            <w:pPr>
              <w:spacing w:after="0" w:line="240" w:lineRule="auto"/>
              <w:rPr>
                <w:color w:val="000000"/>
                <w:sz w:val="20"/>
                <w:szCs w:val="20"/>
              </w:rPr>
            </w:pPr>
            <w:r w:rsidRPr="00DC5538">
              <w:rPr>
                <w:color w:val="000000"/>
                <w:sz w:val="20"/>
                <w:szCs w:val="20"/>
              </w:rPr>
              <w:t>Single Adult</w:t>
            </w:r>
          </w:p>
        </w:tc>
        <w:tc>
          <w:tcPr>
            <w:tcW w:w="990" w:type="dxa"/>
            <w:tcBorders>
              <w:top w:val="single" w:sz="6" w:space="0" w:color="auto"/>
              <w:left w:val="single" w:sz="12" w:space="0" w:color="auto"/>
              <w:bottom w:val="nil"/>
              <w:right w:val="single" w:sz="12" w:space="0" w:color="auto"/>
            </w:tcBorders>
            <w:shd w:val="clear" w:color="auto" w:fill="auto"/>
            <w:noWrap/>
            <w:vAlign w:val="center"/>
            <w:hideMark/>
          </w:tcPr>
          <w:p w14:paraId="264B8F9F" w14:textId="77777777" w:rsidR="00DC5538" w:rsidRPr="00DC5538" w:rsidRDefault="00DC5538" w:rsidP="00B826B9">
            <w:pPr>
              <w:tabs>
                <w:tab w:val="decimal" w:pos="211"/>
              </w:tabs>
              <w:spacing w:after="0" w:line="240" w:lineRule="auto"/>
              <w:jc w:val="center"/>
              <w:rPr>
                <w:color w:val="000000"/>
                <w:sz w:val="20"/>
                <w:szCs w:val="20"/>
              </w:rPr>
            </w:pPr>
            <w:r w:rsidRPr="00DC5538">
              <w:rPr>
                <w:color w:val="000000"/>
                <w:sz w:val="20"/>
                <w:szCs w:val="20"/>
              </w:rPr>
              <w:t>0.21</w:t>
            </w:r>
          </w:p>
        </w:tc>
        <w:tc>
          <w:tcPr>
            <w:tcW w:w="990" w:type="dxa"/>
            <w:tcBorders>
              <w:top w:val="single" w:sz="6" w:space="0" w:color="auto"/>
              <w:left w:val="single" w:sz="12" w:space="0" w:color="auto"/>
              <w:bottom w:val="nil"/>
              <w:right w:val="single" w:sz="12" w:space="0" w:color="auto"/>
            </w:tcBorders>
            <w:shd w:val="clear" w:color="auto" w:fill="auto"/>
            <w:noWrap/>
            <w:vAlign w:val="center"/>
            <w:hideMark/>
          </w:tcPr>
          <w:p w14:paraId="3BD18840" w14:textId="77777777" w:rsidR="00DC5538" w:rsidRPr="00DC5538" w:rsidRDefault="00DC5538" w:rsidP="00B826B9">
            <w:pPr>
              <w:tabs>
                <w:tab w:val="decimal" w:pos="211"/>
              </w:tabs>
              <w:spacing w:after="0" w:line="240" w:lineRule="auto"/>
              <w:jc w:val="center"/>
              <w:rPr>
                <w:color w:val="000000"/>
                <w:sz w:val="20"/>
                <w:szCs w:val="20"/>
              </w:rPr>
            </w:pPr>
            <w:r w:rsidRPr="00DC5538">
              <w:rPr>
                <w:color w:val="000000"/>
                <w:sz w:val="20"/>
                <w:szCs w:val="20"/>
              </w:rPr>
              <w:t>0.00</w:t>
            </w:r>
          </w:p>
        </w:tc>
        <w:tc>
          <w:tcPr>
            <w:tcW w:w="1170" w:type="dxa"/>
            <w:tcBorders>
              <w:top w:val="single" w:sz="6" w:space="0" w:color="auto"/>
              <w:left w:val="single" w:sz="12" w:space="0" w:color="auto"/>
              <w:bottom w:val="nil"/>
              <w:right w:val="nil"/>
            </w:tcBorders>
            <w:shd w:val="clear" w:color="auto" w:fill="auto"/>
            <w:noWrap/>
            <w:vAlign w:val="center"/>
            <w:hideMark/>
          </w:tcPr>
          <w:p w14:paraId="7064CFA5" w14:textId="77777777" w:rsidR="00DC5538" w:rsidRPr="00DC5538" w:rsidRDefault="00DC5538" w:rsidP="00B826B9">
            <w:pPr>
              <w:tabs>
                <w:tab w:val="decimal" w:pos="211"/>
              </w:tabs>
              <w:spacing w:after="0" w:line="240" w:lineRule="auto"/>
              <w:jc w:val="center"/>
              <w:rPr>
                <w:color w:val="000000"/>
                <w:sz w:val="20"/>
                <w:szCs w:val="20"/>
              </w:rPr>
            </w:pPr>
            <w:r w:rsidRPr="00DC5538">
              <w:rPr>
                <w:color w:val="000000"/>
                <w:sz w:val="20"/>
                <w:szCs w:val="20"/>
              </w:rPr>
              <w:t>-9</w:t>
            </w:r>
          </w:p>
        </w:tc>
        <w:tc>
          <w:tcPr>
            <w:tcW w:w="1440" w:type="dxa"/>
            <w:tcBorders>
              <w:top w:val="single" w:sz="6" w:space="0" w:color="auto"/>
              <w:left w:val="nil"/>
              <w:bottom w:val="nil"/>
              <w:right w:val="nil"/>
            </w:tcBorders>
            <w:shd w:val="clear" w:color="auto" w:fill="auto"/>
            <w:noWrap/>
            <w:vAlign w:val="center"/>
            <w:hideMark/>
          </w:tcPr>
          <w:p w14:paraId="667EE952" w14:textId="77777777" w:rsidR="00DC5538" w:rsidRPr="00DC5538" w:rsidRDefault="00DC5538" w:rsidP="00B826B9">
            <w:pPr>
              <w:tabs>
                <w:tab w:val="decimal" w:pos="211"/>
              </w:tabs>
              <w:spacing w:after="0" w:line="240" w:lineRule="auto"/>
              <w:jc w:val="center"/>
              <w:rPr>
                <w:color w:val="000000"/>
                <w:sz w:val="20"/>
                <w:szCs w:val="20"/>
              </w:rPr>
            </w:pPr>
            <w:r w:rsidRPr="00DC5538">
              <w:rPr>
                <w:color w:val="000000"/>
                <w:sz w:val="20"/>
                <w:szCs w:val="20"/>
              </w:rPr>
              <w:t>0</w:t>
            </w:r>
          </w:p>
        </w:tc>
        <w:tc>
          <w:tcPr>
            <w:tcW w:w="1170" w:type="dxa"/>
            <w:tcBorders>
              <w:top w:val="single" w:sz="6" w:space="0" w:color="auto"/>
              <w:left w:val="nil"/>
              <w:bottom w:val="nil"/>
              <w:right w:val="single" w:sz="4" w:space="0" w:color="auto"/>
            </w:tcBorders>
            <w:shd w:val="clear" w:color="auto" w:fill="auto"/>
            <w:noWrap/>
            <w:vAlign w:val="center"/>
            <w:hideMark/>
          </w:tcPr>
          <w:p w14:paraId="2DC9DCB6" w14:textId="77777777" w:rsidR="00DC5538" w:rsidRPr="00DC5538" w:rsidRDefault="00DC5538" w:rsidP="00B826B9">
            <w:pPr>
              <w:tabs>
                <w:tab w:val="decimal" w:pos="211"/>
              </w:tabs>
              <w:spacing w:after="0" w:line="240" w:lineRule="auto"/>
              <w:jc w:val="center"/>
              <w:rPr>
                <w:color w:val="000000"/>
                <w:sz w:val="20"/>
                <w:szCs w:val="20"/>
              </w:rPr>
            </w:pPr>
            <w:r w:rsidRPr="00DC5538">
              <w:rPr>
                <w:color w:val="000000"/>
                <w:sz w:val="20"/>
                <w:szCs w:val="20"/>
              </w:rPr>
              <w:t>91</w:t>
            </w:r>
          </w:p>
        </w:tc>
        <w:tc>
          <w:tcPr>
            <w:tcW w:w="720" w:type="dxa"/>
            <w:tcBorders>
              <w:top w:val="single" w:sz="6" w:space="0" w:color="auto"/>
              <w:left w:val="single" w:sz="4" w:space="0" w:color="auto"/>
              <w:bottom w:val="nil"/>
              <w:right w:val="single" w:sz="12" w:space="0" w:color="auto"/>
            </w:tcBorders>
            <w:shd w:val="clear" w:color="auto" w:fill="auto"/>
            <w:noWrap/>
            <w:vAlign w:val="center"/>
            <w:hideMark/>
          </w:tcPr>
          <w:p w14:paraId="3424F780" w14:textId="414E755F" w:rsidR="00DC5538" w:rsidRPr="00DC5538" w:rsidRDefault="00195E78" w:rsidP="00B826B9">
            <w:pPr>
              <w:spacing w:after="0" w:line="240" w:lineRule="auto"/>
              <w:jc w:val="center"/>
              <w:rPr>
                <w:color w:val="000000"/>
                <w:sz w:val="20"/>
                <w:szCs w:val="20"/>
              </w:rPr>
            </w:pPr>
            <w:r>
              <w:rPr>
                <w:color w:val="000000"/>
                <w:sz w:val="20"/>
                <w:szCs w:val="20"/>
              </w:rPr>
              <w:t xml:space="preserve">  2.</w:t>
            </w:r>
            <w:r w:rsidR="00DC5538" w:rsidRPr="00DC5538">
              <w:rPr>
                <w:color w:val="000000"/>
                <w:sz w:val="20"/>
                <w:szCs w:val="20"/>
              </w:rPr>
              <w:t>94</w:t>
            </w:r>
          </w:p>
        </w:tc>
      </w:tr>
      <w:tr w:rsidR="00B826B9" w:rsidRPr="00DC5538" w14:paraId="2D128F6C" w14:textId="77777777" w:rsidTr="00B826B9">
        <w:trPr>
          <w:trHeight w:val="288"/>
          <w:jc w:val="center"/>
        </w:trPr>
        <w:tc>
          <w:tcPr>
            <w:tcW w:w="2060" w:type="dxa"/>
            <w:tcBorders>
              <w:top w:val="nil"/>
              <w:left w:val="single" w:sz="12" w:space="0" w:color="auto"/>
              <w:bottom w:val="nil"/>
              <w:right w:val="single" w:sz="12" w:space="0" w:color="auto"/>
            </w:tcBorders>
            <w:shd w:val="clear" w:color="auto" w:fill="auto"/>
            <w:noWrap/>
            <w:vAlign w:val="center"/>
            <w:hideMark/>
          </w:tcPr>
          <w:p w14:paraId="3C72E516" w14:textId="77777777" w:rsidR="00DC5538" w:rsidRPr="00DC5538" w:rsidRDefault="00DC5538" w:rsidP="00B826B9">
            <w:pPr>
              <w:spacing w:after="0" w:line="240" w:lineRule="auto"/>
              <w:rPr>
                <w:color w:val="000000"/>
                <w:sz w:val="20"/>
                <w:szCs w:val="20"/>
              </w:rPr>
            </w:pPr>
            <w:r w:rsidRPr="00DC5538">
              <w:rPr>
                <w:color w:val="000000"/>
                <w:sz w:val="20"/>
                <w:szCs w:val="20"/>
              </w:rPr>
              <w:t>Presence of Children</w:t>
            </w:r>
          </w:p>
        </w:tc>
        <w:tc>
          <w:tcPr>
            <w:tcW w:w="2430" w:type="dxa"/>
            <w:tcBorders>
              <w:top w:val="nil"/>
              <w:left w:val="single" w:sz="12" w:space="0" w:color="auto"/>
              <w:bottom w:val="nil"/>
              <w:right w:val="nil"/>
            </w:tcBorders>
            <w:shd w:val="clear" w:color="auto" w:fill="auto"/>
            <w:noWrap/>
            <w:vAlign w:val="center"/>
            <w:hideMark/>
          </w:tcPr>
          <w:p w14:paraId="1ECB5808" w14:textId="77777777" w:rsidR="00DC5538" w:rsidRPr="00DC5538" w:rsidRDefault="00DC5538" w:rsidP="00B826B9">
            <w:pPr>
              <w:spacing w:after="0" w:line="240" w:lineRule="auto"/>
              <w:rPr>
                <w:color w:val="000000"/>
                <w:sz w:val="20"/>
                <w:szCs w:val="20"/>
              </w:rPr>
            </w:pPr>
            <w:r w:rsidRPr="00DC5538">
              <w:rPr>
                <w:color w:val="000000"/>
                <w:sz w:val="20"/>
                <w:szCs w:val="20"/>
              </w:rPr>
              <w:t>No Children</w:t>
            </w:r>
          </w:p>
        </w:tc>
        <w:tc>
          <w:tcPr>
            <w:tcW w:w="2430" w:type="dxa"/>
            <w:tcBorders>
              <w:top w:val="nil"/>
              <w:left w:val="nil"/>
              <w:bottom w:val="nil"/>
              <w:right w:val="single" w:sz="12" w:space="0" w:color="auto"/>
            </w:tcBorders>
            <w:shd w:val="clear" w:color="auto" w:fill="auto"/>
            <w:noWrap/>
            <w:vAlign w:val="center"/>
            <w:hideMark/>
          </w:tcPr>
          <w:p w14:paraId="79FCF8FA" w14:textId="77777777" w:rsidR="00DC5538" w:rsidRPr="00DC5538" w:rsidRDefault="00DC5538" w:rsidP="00B826B9">
            <w:pPr>
              <w:spacing w:after="0" w:line="240" w:lineRule="auto"/>
              <w:rPr>
                <w:color w:val="000000"/>
                <w:sz w:val="20"/>
                <w:szCs w:val="20"/>
              </w:rPr>
            </w:pPr>
            <w:r w:rsidRPr="00DC5538">
              <w:rPr>
                <w:color w:val="000000"/>
                <w:sz w:val="20"/>
                <w:szCs w:val="20"/>
              </w:rPr>
              <w:t>Children</w:t>
            </w:r>
          </w:p>
        </w:tc>
        <w:tc>
          <w:tcPr>
            <w:tcW w:w="990" w:type="dxa"/>
            <w:tcBorders>
              <w:top w:val="nil"/>
              <w:left w:val="single" w:sz="12" w:space="0" w:color="auto"/>
              <w:bottom w:val="nil"/>
              <w:right w:val="single" w:sz="12" w:space="0" w:color="auto"/>
            </w:tcBorders>
            <w:shd w:val="clear" w:color="auto" w:fill="auto"/>
            <w:noWrap/>
            <w:vAlign w:val="center"/>
            <w:hideMark/>
          </w:tcPr>
          <w:p w14:paraId="78E8995C" w14:textId="77777777" w:rsidR="00DC5538" w:rsidRPr="00DC5538" w:rsidRDefault="00DC5538" w:rsidP="00B826B9">
            <w:pPr>
              <w:tabs>
                <w:tab w:val="decimal" w:pos="211"/>
              </w:tabs>
              <w:spacing w:after="0" w:line="240" w:lineRule="auto"/>
              <w:jc w:val="center"/>
              <w:rPr>
                <w:color w:val="000000"/>
                <w:sz w:val="20"/>
                <w:szCs w:val="20"/>
              </w:rPr>
            </w:pPr>
            <w:r w:rsidRPr="00DC5538">
              <w:rPr>
                <w:color w:val="000000"/>
                <w:sz w:val="20"/>
                <w:szCs w:val="20"/>
              </w:rPr>
              <w:t>-0.21</w:t>
            </w:r>
          </w:p>
        </w:tc>
        <w:tc>
          <w:tcPr>
            <w:tcW w:w="990" w:type="dxa"/>
            <w:tcBorders>
              <w:top w:val="nil"/>
              <w:left w:val="single" w:sz="12" w:space="0" w:color="auto"/>
              <w:bottom w:val="nil"/>
              <w:right w:val="single" w:sz="12" w:space="0" w:color="auto"/>
            </w:tcBorders>
            <w:shd w:val="clear" w:color="auto" w:fill="auto"/>
            <w:noWrap/>
            <w:vAlign w:val="center"/>
            <w:hideMark/>
          </w:tcPr>
          <w:p w14:paraId="0E505915" w14:textId="77777777" w:rsidR="00DC5538" w:rsidRPr="00DC5538" w:rsidRDefault="00DC5538" w:rsidP="00B826B9">
            <w:pPr>
              <w:tabs>
                <w:tab w:val="decimal" w:pos="211"/>
              </w:tabs>
              <w:spacing w:after="0" w:line="240" w:lineRule="auto"/>
              <w:jc w:val="center"/>
              <w:rPr>
                <w:color w:val="000000"/>
                <w:sz w:val="20"/>
                <w:szCs w:val="20"/>
              </w:rPr>
            </w:pPr>
            <w:r w:rsidRPr="00DC5538">
              <w:rPr>
                <w:color w:val="000000"/>
                <w:sz w:val="20"/>
                <w:szCs w:val="20"/>
              </w:rPr>
              <w:t>0.22</w:t>
            </w:r>
          </w:p>
        </w:tc>
        <w:tc>
          <w:tcPr>
            <w:tcW w:w="1170" w:type="dxa"/>
            <w:tcBorders>
              <w:top w:val="nil"/>
              <w:left w:val="single" w:sz="12" w:space="0" w:color="auto"/>
              <w:bottom w:val="nil"/>
              <w:right w:val="nil"/>
            </w:tcBorders>
            <w:shd w:val="clear" w:color="auto" w:fill="auto"/>
            <w:noWrap/>
            <w:vAlign w:val="center"/>
            <w:hideMark/>
          </w:tcPr>
          <w:p w14:paraId="3B763B71" w14:textId="77777777" w:rsidR="00DC5538" w:rsidRPr="00DC5538" w:rsidRDefault="00DC5538" w:rsidP="00B826B9">
            <w:pPr>
              <w:tabs>
                <w:tab w:val="decimal" w:pos="211"/>
              </w:tabs>
              <w:spacing w:after="0" w:line="240" w:lineRule="auto"/>
              <w:jc w:val="center"/>
              <w:rPr>
                <w:color w:val="000000"/>
                <w:sz w:val="20"/>
                <w:szCs w:val="20"/>
              </w:rPr>
            </w:pPr>
            <w:r w:rsidRPr="00DC5538">
              <w:rPr>
                <w:color w:val="000000"/>
                <w:sz w:val="20"/>
                <w:szCs w:val="20"/>
              </w:rPr>
              <w:t>75</w:t>
            </w:r>
          </w:p>
        </w:tc>
        <w:tc>
          <w:tcPr>
            <w:tcW w:w="1440" w:type="dxa"/>
            <w:tcBorders>
              <w:top w:val="nil"/>
              <w:left w:val="nil"/>
              <w:bottom w:val="nil"/>
              <w:right w:val="nil"/>
            </w:tcBorders>
            <w:shd w:val="clear" w:color="auto" w:fill="auto"/>
            <w:noWrap/>
            <w:vAlign w:val="center"/>
            <w:hideMark/>
          </w:tcPr>
          <w:p w14:paraId="41D33C76" w14:textId="77777777" w:rsidR="00DC5538" w:rsidRPr="00DC5538" w:rsidRDefault="00DC5538" w:rsidP="00B826B9">
            <w:pPr>
              <w:tabs>
                <w:tab w:val="decimal" w:pos="211"/>
              </w:tabs>
              <w:spacing w:after="0" w:line="240" w:lineRule="auto"/>
              <w:jc w:val="center"/>
              <w:rPr>
                <w:color w:val="000000"/>
                <w:sz w:val="20"/>
                <w:szCs w:val="20"/>
              </w:rPr>
            </w:pPr>
            <w:r w:rsidRPr="00DC5538">
              <w:rPr>
                <w:color w:val="000000"/>
                <w:sz w:val="20"/>
                <w:szCs w:val="20"/>
              </w:rPr>
              <w:t>-25</w:t>
            </w:r>
          </w:p>
        </w:tc>
        <w:tc>
          <w:tcPr>
            <w:tcW w:w="1170" w:type="dxa"/>
            <w:tcBorders>
              <w:top w:val="nil"/>
              <w:left w:val="nil"/>
              <w:bottom w:val="nil"/>
              <w:right w:val="single" w:sz="4" w:space="0" w:color="auto"/>
            </w:tcBorders>
            <w:shd w:val="clear" w:color="auto" w:fill="auto"/>
            <w:noWrap/>
            <w:vAlign w:val="center"/>
            <w:hideMark/>
          </w:tcPr>
          <w:p w14:paraId="5FC34F9C" w14:textId="77777777" w:rsidR="00DC5538" w:rsidRPr="00DC5538" w:rsidRDefault="00DC5538" w:rsidP="00B826B9">
            <w:pPr>
              <w:tabs>
                <w:tab w:val="decimal" w:pos="211"/>
              </w:tabs>
              <w:spacing w:after="0" w:line="240" w:lineRule="auto"/>
              <w:jc w:val="center"/>
              <w:rPr>
                <w:color w:val="000000"/>
                <w:sz w:val="20"/>
                <w:szCs w:val="20"/>
              </w:rPr>
            </w:pPr>
            <w:r w:rsidRPr="00DC5538">
              <w:rPr>
                <w:color w:val="000000"/>
                <w:sz w:val="20"/>
                <w:szCs w:val="20"/>
              </w:rPr>
              <w:t>0</w:t>
            </w:r>
          </w:p>
        </w:tc>
        <w:tc>
          <w:tcPr>
            <w:tcW w:w="720" w:type="dxa"/>
            <w:tcBorders>
              <w:top w:val="nil"/>
              <w:left w:val="single" w:sz="4" w:space="0" w:color="auto"/>
              <w:bottom w:val="nil"/>
              <w:right w:val="single" w:sz="12" w:space="0" w:color="auto"/>
            </w:tcBorders>
            <w:shd w:val="clear" w:color="auto" w:fill="auto"/>
            <w:noWrap/>
            <w:vAlign w:val="center"/>
            <w:hideMark/>
          </w:tcPr>
          <w:p w14:paraId="62D1FE38" w14:textId="6CB589EC" w:rsidR="00DC5538" w:rsidRPr="00DC5538" w:rsidRDefault="00195E78" w:rsidP="00B826B9">
            <w:pPr>
              <w:spacing w:after="0" w:line="240" w:lineRule="auto"/>
              <w:jc w:val="center"/>
              <w:rPr>
                <w:color w:val="000000"/>
                <w:sz w:val="20"/>
                <w:szCs w:val="20"/>
              </w:rPr>
            </w:pPr>
            <w:r>
              <w:rPr>
                <w:color w:val="000000"/>
                <w:sz w:val="20"/>
                <w:szCs w:val="20"/>
              </w:rPr>
              <w:t xml:space="preserve">  </w:t>
            </w:r>
            <w:r w:rsidR="00DC5538" w:rsidRPr="00DC5538">
              <w:rPr>
                <w:color w:val="000000"/>
                <w:sz w:val="20"/>
                <w:szCs w:val="20"/>
              </w:rPr>
              <w:t>0.21</w:t>
            </w:r>
          </w:p>
        </w:tc>
      </w:tr>
      <w:tr w:rsidR="00B826B9" w:rsidRPr="00DC5538" w14:paraId="79B24608" w14:textId="77777777" w:rsidTr="00B826B9">
        <w:trPr>
          <w:trHeight w:val="288"/>
          <w:jc w:val="center"/>
        </w:trPr>
        <w:tc>
          <w:tcPr>
            <w:tcW w:w="2060" w:type="dxa"/>
            <w:tcBorders>
              <w:top w:val="nil"/>
              <w:left w:val="single" w:sz="12" w:space="0" w:color="auto"/>
              <w:bottom w:val="nil"/>
              <w:right w:val="single" w:sz="12" w:space="0" w:color="auto"/>
            </w:tcBorders>
            <w:shd w:val="clear" w:color="auto" w:fill="auto"/>
            <w:noWrap/>
            <w:vAlign w:val="center"/>
            <w:hideMark/>
          </w:tcPr>
          <w:p w14:paraId="3C14FD59" w14:textId="77777777" w:rsidR="00DC5538" w:rsidRPr="00DC5538" w:rsidRDefault="00DC5538" w:rsidP="00B826B9">
            <w:pPr>
              <w:spacing w:after="0" w:line="240" w:lineRule="auto"/>
              <w:rPr>
                <w:color w:val="000000"/>
                <w:sz w:val="20"/>
                <w:szCs w:val="20"/>
              </w:rPr>
            </w:pPr>
            <w:r w:rsidRPr="00DC5538">
              <w:rPr>
                <w:color w:val="000000"/>
                <w:sz w:val="20"/>
                <w:szCs w:val="20"/>
              </w:rPr>
              <w:t>Number of Workers</w:t>
            </w:r>
          </w:p>
        </w:tc>
        <w:tc>
          <w:tcPr>
            <w:tcW w:w="2430" w:type="dxa"/>
            <w:tcBorders>
              <w:top w:val="nil"/>
              <w:left w:val="single" w:sz="12" w:space="0" w:color="auto"/>
              <w:bottom w:val="nil"/>
              <w:right w:val="nil"/>
            </w:tcBorders>
            <w:shd w:val="clear" w:color="auto" w:fill="auto"/>
            <w:noWrap/>
            <w:vAlign w:val="center"/>
            <w:hideMark/>
          </w:tcPr>
          <w:p w14:paraId="0C481461" w14:textId="77777777" w:rsidR="00DC5538" w:rsidRPr="00DC5538" w:rsidRDefault="00DC5538" w:rsidP="00B826B9">
            <w:pPr>
              <w:spacing w:after="0" w:line="240" w:lineRule="auto"/>
              <w:rPr>
                <w:color w:val="000000"/>
                <w:sz w:val="20"/>
                <w:szCs w:val="20"/>
              </w:rPr>
            </w:pPr>
            <w:r w:rsidRPr="00DC5538">
              <w:rPr>
                <w:color w:val="000000"/>
                <w:sz w:val="20"/>
                <w:szCs w:val="20"/>
              </w:rPr>
              <w:t>No Workers</w:t>
            </w:r>
          </w:p>
        </w:tc>
        <w:tc>
          <w:tcPr>
            <w:tcW w:w="2430" w:type="dxa"/>
            <w:tcBorders>
              <w:top w:val="nil"/>
              <w:left w:val="nil"/>
              <w:bottom w:val="nil"/>
              <w:right w:val="single" w:sz="12" w:space="0" w:color="auto"/>
            </w:tcBorders>
            <w:shd w:val="clear" w:color="auto" w:fill="auto"/>
            <w:noWrap/>
            <w:vAlign w:val="center"/>
            <w:hideMark/>
          </w:tcPr>
          <w:p w14:paraId="444286EF" w14:textId="77777777" w:rsidR="00DC5538" w:rsidRPr="00DC5538" w:rsidRDefault="00DC5538" w:rsidP="00B826B9">
            <w:pPr>
              <w:spacing w:after="0" w:line="240" w:lineRule="auto"/>
              <w:rPr>
                <w:color w:val="000000"/>
                <w:sz w:val="20"/>
                <w:szCs w:val="20"/>
              </w:rPr>
            </w:pPr>
            <w:r w:rsidRPr="00DC5538">
              <w:rPr>
                <w:color w:val="000000"/>
                <w:sz w:val="20"/>
                <w:szCs w:val="20"/>
              </w:rPr>
              <w:t>3+ Workers</w:t>
            </w:r>
          </w:p>
        </w:tc>
        <w:tc>
          <w:tcPr>
            <w:tcW w:w="990" w:type="dxa"/>
            <w:tcBorders>
              <w:top w:val="nil"/>
              <w:left w:val="single" w:sz="12" w:space="0" w:color="auto"/>
              <w:bottom w:val="nil"/>
              <w:right w:val="single" w:sz="12" w:space="0" w:color="auto"/>
            </w:tcBorders>
            <w:shd w:val="clear" w:color="auto" w:fill="auto"/>
            <w:noWrap/>
            <w:vAlign w:val="center"/>
            <w:hideMark/>
          </w:tcPr>
          <w:p w14:paraId="473F536B" w14:textId="77777777" w:rsidR="00DC5538" w:rsidRPr="00DC5538" w:rsidRDefault="00DC5538" w:rsidP="00B826B9">
            <w:pPr>
              <w:tabs>
                <w:tab w:val="decimal" w:pos="211"/>
              </w:tabs>
              <w:spacing w:after="0" w:line="240" w:lineRule="auto"/>
              <w:jc w:val="center"/>
              <w:rPr>
                <w:color w:val="000000"/>
                <w:sz w:val="20"/>
                <w:szCs w:val="20"/>
              </w:rPr>
            </w:pPr>
            <w:r w:rsidRPr="00DC5538">
              <w:rPr>
                <w:color w:val="000000"/>
                <w:sz w:val="20"/>
                <w:szCs w:val="20"/>
              </w:rPr>
              <w:t>0.00</w:t>
            </w:r>
          </w:p>
        </w:tc>
        <w:tc>
          <w:tcPr>
            <w:tcW w:w="990" w:type="dxa"/>
            <w:tcBorders>
              <w:top w:val="nil"/>
              <w:left w:val="single" w:sz="12" w:space="0" w:color="auto"/>
              <w:bottom w:val="nil"/>
              <w:right w:val="single" w:sz="12" w:space="0" w:color="auto"/>
            </w:tcBorders>
            <w:shd w:val="clear" w:color="auto" w:fill="auto"/>
            <w:noWrap/>
            <w:vAlign w:val="center"/>
            <w:hideMark/>
          </w:tcPr>
          <w:p w14:paraId="63700C7B" w14:textId="77777777" w:rsidR="00DC5538" w:rsidRPr="00DC5538" w:rsidRDefault="00DC5538" w:rsidP="00B826B9">
            <w:pPr>
              <w:tabs>
                <w:tab w:val="decimal" w:pos="211"/>
              </w:tabs>
              <w:spacing w:after="0" w:line="240" w:lineRule="auto"/>
              <w:jc w:val="center"/>
              <w:rPr>
                <w:color w:val="000000"/>
                <w:sz w:val="20"/>
                <w:szCs w:val="20"/>
              </w:rPr>
            </w:pPr>
            <w:r w:rsidRPr="00DC5538">
              <w:rPr>
                <w:color w:val="000000"/>
                <w:sz w:val="20"/>
                <w:szCs w:val="20"/>
              </w:rPr>
              <w:t>-1.29</w:t>
            </w:r>
          </w:p>
        </w:tc>
        <w:tc>
          <w:tcPr>
            <w:tcW w:w="1170" w:type="dxa"/>
            <w:tcBorders>
              <w:top w:val="nil"/>
              <w:left w:val="single" w:sz="12" w:space="0" w:color="auto"/>
              <w:bottom w:val="nil"/>
              <w:right w:val="nil"/>
            </w:tcBorders>
            <w:shd w:val="clear" w:color="auto" w:fill="auto"/>
            <w:noWrap/>
            <w:vAlign w:val="center"/>
            <w:hideMark/>
          </w:tcPr>
          <w:p w14:paraId="5C9BB801" w14:textId="77777777" w:rsidR="00DC5538" w:rsidRPr="00DC5538" w:rsidRDefault="00DC5538" w:rsidP="00B826B9">
            <w:pPr>
              <w:tabs>
                <w:tab w:val="decimal" w:pos="211"/>
              </w:tabs>
              <w:spacing w:after="0" w:line="240" w:lineRule="auto"/>
              <w:jc w:val="center"/>
              <w:rPr>
                <w:color w:val="000000"/>
                <w:sz w:val="20"/>
                <w:szCs w:val="20"/>
              </w:rPr>
            </w:pPr>
            <w:r w:rsidRPr="00DC5538">
              <w:rPr>
                <w:color w:val="000000"/>
                <w:sz w:val="20"/>
                <w:szCs w:val="20"/>
              </w:rPr>
              <w:t>0</w:t>
            </w:r>
          </w:p>
        </w:tc>
        <w:tc>
          <w:tcPr>
            <w:tcW w:w="1440" w:type="dxa"/>
            <w:tcBorders>
              <w:top w:val="nil"/>
              <w:left w:val="nil"/>
              <w:bottom w:val="nil"/>
              <w:right w:val="nil"/>
            </w:tcBorders>
            <w:shd w:val="clear" w:color="auto" w:fill="auto"/>
            <w:noWrap/>
            <w:vAlign w:val="center"/>
            <w:hideMark/>
          </w:tcPr>
          <w:p w14:paraId="5CEED8BA" w14:textId="77777777" w:rsidR="00DC5538" w:rsidRPr="00DC5538" w:rsidRDefault="00DC5538" w:rsidP="00B826B9">
            <w:pPr>
              <w:tabs>
                <w:tab w:val="decimal" w:pos="211"/>
              </w:tabs>
              <w:spacing w:after="0" w:line="240" w:lineRule="auto"/>
              <w:jc w:val="center"/>
              <w:rPr>
                <w:color w:val="000000"/>
                <w:sz w:val="20"/>
                <w:szCs w:val="20"/>
              </w:rPr>
            </w:pPr>
            <w:r w:rsidRPr="00DC5538">
              <w:rPr>
                <w:color w:val="000000"/>
                <w:sz w:val="20"/>
                <w:szCs w:val="20"/>
              </w:rPr>
              <w:t>100</w:t>
            </w:r>
          </w:p>
        </w:tc>
        <w:tc>
          <w:tcPr>
            <w:tcW w:w="1170" w:type="dxa"/>
            <w:tcBorders>
              <w:top w:val="nil"/>
              <w:left w:val="nil"/>
              <w:bottom w:val="nil"/>
              <w:right w:val="single" w:sz="4" w:space="0" w:color="auto"/>
            </w:tcBorders>
            <w:shd w:val="clear" w:color="auto" w:fill="auto"/>
            <w:noWrap/>
            <w:vAlign w:val="center"/>
            <w:hideMark/>
          </w:tcPr>
          <w:p w14:paraId="51FD33A8" w14:textId="77777777" w:rsidR="00DC5538" w:rsidRPr="00DC5538" w:rsidRDefault="00DC5538" w:rsidP="00B826B9">
            <w:pPr>
              <w:tabs>
                <w:tab w:val="decimal" w:pos="211"/>
              </w:tabs>
              <w:spacing w:after="0" w:line="240" w:lineRule="auto"/>
              <w:jc w:val="center"/>
              <w:rPr>
                <w:color w:val="000000"/>
                <w:sz w:val="20"/>
                <w:szCs w:val="20"/>
              </w:rPr>
            </w:pPr>
            <w:r w:rsidRPr="00DC5538">
              <w:rPr>
                <w:color w:val="000000"/>
                <w:sz w:val="20"/>
                <w:szCs w:val="20"/>
              </w:rPr>
              <w:t>0</w:t>
            </w:r>
          </w:p>
        </w:tc>
        <w:tc>
          <w:tcPr>
            <w:tcW w:w="720" w:type="dxa"/>
            <w:tcBorders>
              <w:top w:val="nil"/>
              <w:left w:val="single" w:sz="4" w:space="0" w:color="auto"/>
              <w:bottom w:val="nil"/>
              <w:right w:val="single" w:sz="12" w:space="0" w:color="auto"/>
            </w:tcBorders>
            <w:shd w:val="clear" w:color="auto" w:fill="auto"/>
            <w:noWrap/>
            <w:vAlign w:val="center"/>
            <w:hideMark/>
          </w:tcPr>
          <w:p w14:paraId="79B396EF" w14:textId="35593CBE" w:rsidR="00DC5538" w:rsidRPr="00DC5538" w:rsidRDefault="00195E78" w:rsidP="00B826B9">
            <w:pPr>
              <w:spacing w:after="0" w:line="240" w:lineRule="auto"/>
              <w:jc w:val="center"/>
              <w:rPr>
                <w:color w:val="000000"/>
                <w:sz w:val="20"/>
                <w:szCs w:val="20"/>
              </w:rPr>
            </w:pPr>
            <w:r>
              <w:rPr>
                <w:color w:val="000000"/>
                <w:sz w:val="20"/>
                <w:szCs w:val="20"/>
              </w:rPr>
              <w:t xml:space="preserve">  </w:t>
            </w:r>
            <w:r w:rsidR="00DC5538" w:rsidRPr="00DC5538">
              <w:rPr>
                <w:color w:val="000000"/>
                <w:sz w:val="20"/>
                <w:szCs w:val="20"/>
              </w:rPr>
              <w:t>0.65</w:t>
            </w:r>
          </w:p>
        </w:tc>
      </w:tr>
      <w:tr w:rsidR="00B826B9" w:rsidRPr="00DC5538" w14:paraId="4741D38D" w14:textId="77777777" w:rsidTr="00B826B9">
        <w:trPr>
          <w:trHeight w:val="288"/>
          <w:jc w:val="center"/>
        </w:trPr>
        <w:tc>
          <w:tcPr>
            <w:tcW w:w="2060" w:type="dxa"/>
            <w:tcBorders>
              <w:top w:val="nil"/>
              <w:left w:val="single" w:sz="12" w:space="0" w:color="auto"/>
              <w:bottom w:val="nil"/>
              <w:right w:val="single" w:sz="12" w:space="0" w:color="auto"/>
            </w:tcBorders>
            <w:shd w:val="clear" w:color="auto" w:fill="auto"/>
            <w:noWrap/>
            <w:vAlign w:val="center"/>
            <w:hideMark/>
          </w:tcPr>
          <w:p w14:paraId="4735A0CF" w14:textId="33A902CE" w:rsidR="00DC5538" w:rsidRPr="00DC5538" w:rsidRDefault="00DC5538" w:rsidP="00B826B9">
            <w:pPr>
              <w:spacing w:after="0" w:line="240" w:lineRule="auto"/>
              <w:rPr>
                <w:color w:val="000000"/>
                <w:sz w:val="20"/>
                <w:szCs w:val="20"/>
              </w:rPr>
            </w:pPr>
            <w:r w:rsidRPr="00DC5538">
              <w:rPr>
                <w:color w:val="000000"/>
                <w:sz w:val="20"/>
                <w:szCs w:val="20"/>
              </w:rPr>
              <w:t>Vehicle Ownershi</w:t>
            </w:r>
            <w:r>
              <w:rPr>
                <w:color w:val="000000"/>
                <w:sz w:val="20"/>
                <w:szCs w:val="20"/>
              </w:rPr>
              <w:t>p</w:t>
            </w:r>
          </w:p>
        </w:tc>
        <w:tc>
          <w:tcPr>
            <w:tcW w:w="2430" w:type="dxa"/>
            <w:tcBorders>
              <w:top w:val="nil"/>
              <w:left w:val="single" w:sz="12" w:space="0" w:color="auto"/>
              <w:bottom w:val="nil"/>
              <w:right w:val="nil"/>
            </w:tcBorders>
            <w:shd w:val="clear" w:color="auto" w:fill="auto"/>
            <w:noWrap/>
            <w:vAlign w:val="center"/>
            <w:hideMark/>
          </w:tcPr>
          <w:p w14:paraId="6F67016F" w14:textId="77777777" w:rsidR="00DC5538" w:rsidRPr="00DC5538" w:rsidRDefault="00DC5538" w:rsidP="00B826B9">
            <w:pPr>
              <w:spacing w:after="0" w:line="240" w:lineRule="auto"/>
              <w:rPr>
                <w:color w:val="000000"/>
                <w:sz w:val="20"/>
                <w:szCs w:val="20"/>
              </w:rPr>
            </w:pPr>
            <w:r w:rsidRPr="00DC5538">
              <w:rPr>
                <w:color w:val="000000"/>
                <w:sz w:val="20"/>
                <w:szCs w:val="20"/>
              </w:rPr>
              <w:t>More Vehicles than Drivers</w:t>
            </w:r>
          </w:p>
        </w:tc>
        <w:tc>
          <w:tcPr>
            <w:tcW w:w="2430" w:type="dxa"/>
            <w:tcBorders>
              <w:top w:val="nil"/>
              <w:left w:val="nil"/>
              <w:bottom w:val="nil"/>
              <w:right w:val="single" w:sz="12" w:space="0" w:color="auto"/>
            </w:tcBorders>
            <w:shd w:val="clear" w:color="auto" w:fill="auto"/>
            <w:noWrap/>
            <w:vAlign w:val="center"/>
            <w:hideMark/>
          </w:tcPr>
          <w:p w14:paraId="5DAEF02A" w14:textId="77777777" w:rsidR="00DC5538" w:rsidRPr="00DC5538" w:rsidRDefault="00DC5538" w:rsidP="00B826B9">
            <w:pPr>
              <w:spacing w:after="0" w:line="240" w:lineRule="auto"/>
              <w:rPr>
                <w:color w:val="000000"/>
                <w:sz w:val="20"/>
                <w:szCs w:val="20"/>
              </w:rPr>
            </w:pPr>
            <w:r w:rsidRPr="00DC5538">
              <w:rPr>
                <w:color w:val="000000"/>
                <w:sz w:val="20"/>
                <w:szCs w:val="20"/>
              </w:rPr>
              <w:t>Fewer Vehicles than Drivers</w:t>
            </w:r>
          </w:p>
        </w:tc>
        <w:tc>
          <w:tcPr>
            <w:tcW w:w="990" w:type="dxa"/>
            <w:tcBorders>
              <w:top w:val="nil"/>
              <w:left w:val="single" w:sz="12" w:space="0" w:color="auto"/>
              <w:bottom w:val="nil"/>
              <w:right w:val="single" w:sz="12" w:space="0" w:color="auto"/>
            </w:tcBorders>
            <w:shd w:val="clear" w:color="auto" w:fill="auto"/>
            <w:noWrap/>
            <w:vAlign w:val="center"/>
            <w:hideMark/>
          </w:tcPr>
          <w:p w14:paraId="1B406A61" w14:textId="77777777" w:rsidR="00DC5538" w:rsidRPr="00DC5538" w:rsidRDefault="00DC5538" w:rsidP="00B826B9">
            <w:pPr>
              <w:tabs>
                <w:tab w:val="decimal" w:pos="211"/>
              </w:tabs>
              <w:spacing w:after="0" w:line="240" w:lineRule="auto"/>
              <w:jc w:val="center"/>
              <w:rPr>
                <w:color w:val="000000"/>
                <w:sz w:val="20"/>
                <w:szCs w:val="20"/>
              </w:rPr>
            </w:pPr>
            <w:r w:rsidRPr="00DC5538">
              <w:rPr>
                <w:color w:val="000000"/>
                <w:sz w:val="20"/>
                <w:szCs w:val="20"/>
              </w:rPr>
              <w:t>0.95</w:t>
            </w:r>
          </w:p>
        </w:tc>
        <w:tc>
          <w:tcPr>
            <w:tcW w:w="990" w:type="dxa"/>
            <w:tcBorders>
              <w:top w:val="nil"/>
              <w:left w:val="single" w:sz="12" w:space="0" w:color="auto"/>
              <w:bottom w:val="nil"/>
              <w:right w:val="single" w:sz="12" w:space="0" w:color="auto"/>
            </w:tcBorders>
            <w:shd w:val="clear" w:color="auto" w:fill="auto"/>
            <w:noWrap/>
            <w:vAlign w:val="center"/>
            <w:hideMark/>
          </w:tcPr>
          <w:p w14:paraId="113DCD07" w14:textId="77777777" w:rsidR="00DC5538" w:rsidRPr="00DC5538" w:rsidRDefault="00DC5538" w:rsidP="00B826B9">
            <w:pPr>
              <w:tabs>
                <w:tab w:val="decimal" w:pos="211"/>
              </w:tabs>
              <w:spacing w:after="0" w:line="240" w:lineRule="auto"/>
              <w:jc w:val="center"/>
              <w:rPr>
                <w:color w:val="000000"/>
                <w:sz w:val="20"/>
                <w:szCs w:val="20"/>
              </w:rPr>
            </w:pPr>
            <w:r w:rsidRPr="00DC5538">
              <w:rPr>
                <w:color w:val="000000"/>
                <w:sz w:val="20"/>
                <w:szCs w:val="20"/>
              </w:rPr>
              <w:t>-0.53</w:t>
            </w:r>
          </w:p>
        </w:tc>
        <w:tc>
          <w:tcPr>
            <w:tcW w:w="1170" w:type="dxa"/>
            <w:tcBorders>
              <w:top w:val="nil"/>
              <w:left w:val="single" w:sz="12" w:space="0" w:color="auto"/>
              <w:bottom w:val="nil"/>
              <w:right w:val="nil"/>
            </w:tcBorders>
            <w:shd w:val="clear" w:color="auto" w:fill="auto"/>
            <w:noWrap/>
            <w:vAlign w:val="center"/>
            <w:hideMark/>
          </w:tcPr>
          <w:p w14:paraId="0AEF4B74" w14:textId="77777777" w:rsidR="00DC5538" w:rsidRPr="00DC5538" w:rsidRDefault="00DC5538" w:rsidP="00B826B9">
            <w:pPr>
              <w:tabs>
                <w:tab w:val="decimal" w:pos="211"/>
              </w:tabs>
              <w:spacing w:after="0" w:line="240" w:lineRule="auto"/>
              <w:jc w:val="center"/>
              <w:rPr>
                <w:color w:val="000000"/>
                <w:sz w:val="20"/>
                <w:szCs w:val="20"/>
              </w:rPr>
            </w:pPr>
            <w:r w:rsidRPr="00DC5538">
              <w:rPr>
                <w:color w:val="000000"/>
                <w:sz w:val="20"/>
                <w:szCs w:val="20"/>
              </w:rPr>
              <w:t>-30</w:t>
            </w:r>
          </w:p>
        </w:tc>
        <w:tc>
          <w:tcPr>
            <w:tcW w:w="1440" w:type="dxa"/>
            <w:tcBorders>
              <w:top w:val="nil"/>
              <w:left w:val="nil"/>
              <w:bottom w:val="nil"/>
              <w:right w:val="nil"/>
            </w:tcBorders>
            <w:shd w:val="clear" w:color="auto" w:fill="auto"/>
            <w:noWrap/>
            <w:vAlign w:val="center"/>
            <w:hideMark/>
          </w:tcPr>
          <w:p w14:paraId="192E66AD" w14:textId="043F72A1" w:rsidR="00DC5538" w:rsidRPr="00DC5538" w:rsidRDefault="0051016B" w:rsidP="00B826B9">
            <w:pPr>
              <w:tabs>
                <w:tab w:val="decimal" w:pos="211"/>
              </w:tabs>
              <w:spacing w:after="0" w:line="240" w:lineRule="auto"/>
              <w:jc w:val="center"/>
              <w:rPr>
                <w:color w:val="000000"/>
                <w:sz w:val="20"/>
                <w:szCs w:val="20"/>
              </w:rPr>
            </w:pPr>
            <w:r>
              <w:rPr>
                <w:color w:val="000000"/>
                <w:sz w:val="20"/>
                <w:szCs w:val="20"/>
              </w:rPr>
              <w:t>6</w:t>
            </w:r>
          </w:p>
        </w:tc>
        <w:tc>
          <w:tcPr>
            <w:tcW w:w="1170" w:type="dxa"/>
            <w:tcBorders>
              <w:top w:val="nil"/>
              <w:left w:val="nil"/>
              <w:bottom w:val="nil"/>
              <w:right w:val="single" w:sz="4" w:space="0" w:color="auto"/>
            </w:tcBorders>
            <w:shd w:val="clear" w:color="auto" w:fill="auto"/>
            <w:noWrap/>
            <w:vAlign w:val="center"/>
            <w:hideMark/>
          </w:tcPr>
          <w:p w14:paraId="2425C3E8" w14:textId="77777777" w:rsidR="00DC5538" w:rsidRPr="00DC5538" w:rsidRDefault="00DC5538" w:rsidP="00B826B9">
            <w:pPr>
              <w:tabs>
                <w:tab w:val="decimal" w:pos="211"/>
              </w:tabs>
              <w:spacing w:after="0" w:line="240" w:lineRule="auto"/>
              <w:jc w:val="center"/>
              <w:rPr>
                <w:color w:val="000000"/>
                <w:sz w:val="20"/>
                <w:szCs w:val="20"/>
              </w:rPr>
            </w:pPr>
            <w:r w:rsidRPr="00DC5538">
              <w:rPr>
                <w:color w:val="000000"/>
                <w:sz w:val="20"/>
                <w:szCs w:val="20"/>
              </w:rPr>
              <w:t>64</w:t>
            </w:r>
          </w:p>
        </w:tc>
        <w:tc>
          <w:tcPr>
            <w:tcW w:w="720" w:type="dxa"/>
            <w:tcBorders>
              <w:top w:val="nil"/>
              <w:left w:val="single" w:sz="4" w:space="0" w:color="auto"/>
              <w:bottom w:val="nil"/>
              <w:right w:val="single" w:sz="12" w:space="0" w:color="auto"/>
            </w:tcBorders>
            <w:shd w:val="clear" w:color="auto" w:fill="auto"/>
            <w:noWrap/>
            <w:vAlign w:val="center"/>
            <w:hideMark/>
          </w:tcPr>
          <w:p w14:paraId="57D95294" w14:textId="1D33B41B" w:rsidR="00DC5538" w:rsidRPr="00DC5538" w:rsidRDefault="00195E78" w:rsidP="00B826B9">
            <w:pPr>
              <w:spacing w:after="0" w:line="240" w:lineRule="auto"/>
              <w:jc w:val="center"/>
              <w:rPr>
                <w:color w:val="000000"/>
                <w:sz w:val="20"/>
                <w:szCs w:val="20"/>
              </w:rPr>
            </w:pPr>
            <w:r>
              <w:rPr>
                <w:color w:val="000000"/>
                <w:sz w:val="20"/>
                <w:szCs w:val="20"/>
              </w:rPr>
              <w:t xml:space="preserve">  1.</w:t>
            </w:r>
            <w:r w:rsidR="00DC5538" w:rsidRPr="00DC5538">
              <w:rPr>
                <w:color w:val="000000"/>
                <w:sz w:val="20"/>
                <w:szCs w:val="20"/>
              </w:rPr>
              <w:t>84</w:t>
            </w:r>
          </w:p>
        </w:tc>
      </w:tr>
      <w:tr w:rsidR="00B826B9" w:rsidRPr="00DC5538" w14:paraId="3C840C88" w14:textId="77777777" w:rsidTr="00B826B9">
        <w:trPr>
          <w:trHeight w:val="288"/>
          <w:jc w:val="center"/>
        </w:trPr>
        <w:tc>
          <w:tcPr>
            <w:tcW w:w="2060" w:type="dxa"/>
            <w:tcBorders>
              <w:top w:val="nil"/>
              <w:left w:val="single" w:sz="12" w:space="0" w:color="auto"/>
              <w:bottom w:val="nil"/>
              <w:right w:val="single" w:sz="12" w:space="0" w:color="auto"/>
            </w:tcBorders>
            <w:shd w:val="clear" w:color="auto" w:fill="auto"/>
            <w:noWrap/>
            <w:vAlign w:val="center"/>
            <w:hideMark/>
          </w:tcPr>
          <w:p w14:paraId="435DB59E" w14:textId="77777777" w:rsidR="00DC5538" w:rsidRPr="00DC5538" w:rsidRDefault="00DC5538" w:rsidP="00B826B9">
            <w:pPr>
              <w:spacing w:after="0" w:line="240" w:lineRule="auto"/>
              <w:rPr>
                <w:color w:val="000000"/>
                <w:sz w:val="20"/>
                <w:szCs w:val="20"/>
              </w:rPr>
            </w:pPr>
            <w:r w:rsidRPr="00DC5538">
              <w:rPr>
                <w:color w:val="000000"/>
                <w:sz w:val="20"/>
                <w:szCs w:val="20"/>
              </w:rPr>
              <w:t>Income</w:t>
            </w:r>
          </w:p>
        </w:tc>
        <w:tc>
          <w:tcPr>
            <w:tcW w:w="2430" w:type="dxa"/>
            <w:tcBorders>
              <w:top w:val="nil"/>
              <w:left w:val="single" w:sz="12" w:space="0" w:color="auto"/>
              <w:bottom w:val="nil"/>
              <w:right w:val="nil"/>
            </w:tcBorders>
            <w:shd w:val="clear" w:color="auto" w:fill="auto"/>
            <w:noWrap/>
            <w:vAlign w:val="center"/>
            <w:hideMark/>
          </w:tcPr>
          <w:p w14:paraId="7D0D4FBA" w14:textId="77777777" w:rsidR="00DC5538" w:rsidRPr="00DC5538" w:rsidRDefault="00DC5538" w:rsidP="00B826B9">
            <w:pPr>
              <w:spacing w:after="0" w:line="240" w:lineRule="auto"/>
              <w:rPr>
                <w:color w:val="000000"/>
                <w:sz w:val="20"/>
                <w:szCs w:val="20"/>
              </w:rPr>
            </w:pPr>
            <w:r w:rsidRPr="00DC5538">
              <w:rPr>
                <w:color w:val="000000"/>
                <w:sz w:val="20"/>
                <w:szCs w:val="20"/>
              </w:rPr>
              <w:t>$200,000+</w:t>
            </w:r>
          </w:p>
        </w:tc>
        <w:tc>
          <w:tcPr>
            <w:tcW w:w="2430" w:type="dxa"/>
            <w:tcBorders>
              <w:top w:val="nil"/>
              <w:left w:val="nil"/>
              <w:bottom w:val="nil"/>
              <w:right w:val="single" w:sz="12" w:space="0" w:color="auto"/>
            </w:tcBorders>
            <w:shd w:val="clear" w:color="auto" w:fill="auto"/>
            <w:noWrap/>
            <w:vAlign w:val="center"/>
            <w:hideMark/>
          </w:tcPr>
          <w:p w14:paraId="02B890E7" w14:textId="77777777" w:rsidR="00DC5538" w:rsidRPr="00DC5538" w:rsidRDefault="00DC5538" w:rsidP="00B826B9">
            <w:pPr>
              <w:spacing w:after="0" w:line="240" w:lineRule="auto"/>
              <w:rPr>
                <w:color w:val="000000"/>
                <w:sz w:val="20"/>
                <w:szCs w:val="20"/>
              </w:rPr>
            </w:pPr>
            <w:r w:rsidRPr="00DC5538">
              <w:rPr>
                <w:color w:val="000000"/>
                <w:sz w:val="20"/>
                <w:szCs w:val="20"/>
              </w:rPr>
              <w:t>&lt; $50,000</w:t>
            </w:r>
          </w:p>
        </w:tc>
        <w:tc>
          <w:tcPr>
            <w:tcW w:w="990" w:type="dxa"/>
            <w:tcBorders>
              <w:top w:val="nil"/>
              <w:left w:val="single" w:sz="12" w:space="0" w:color="auto"/>
              <w:bottom w:val="nil"/>
              <w:right w:val="single" w:sz="12" w:space="0" w:color="auto"/>
            </w:tcBorders>
            <w:shd w:val="clear" w:color="auto" w:fill="auto"/>
            <w:noWrap/>
            <w:vAlign w:val="center"/>
            <w:hideMark/>
          </w:tcPr>
          <w:p w14:paraId="7D9BAAFB" w14:textId="77777777" w:rsidR="00DC5538" w:rsidRPr="00DC5538" w:rsidRDefault="00DC5538" w:rsidP="00B826B9">
            <w:pPr>
              <w:tabs>
                <w:tab w:val="decimal" w:pos="211"/>
              </w:tabs>
              <w:spacing w:after="0" w:line="240" w:lineRule="auto"/>
              <w:jc w:val="center"/>
              <w:rPr>
                <w:color w:val="000000"/>
                <w:sz w:val="20"/>
                <w:szCs w:val="20"/>
              </w:rPr>
            </w:pPr>
            <w:r w:rsidRPr="00DC5538">
              <w:rPr>
                <w:color w:val="000000"/>
                <w:sz w:val="20"/>
                <w:szCs w:val="20"/>
              </w:rPr>
              <w:t>-1.01</w:t>
            </w:r>
          </w:p>
        </w:tc>
        <w:tc>
          <w:tcPr>
            <w:tcW w:w="990" w:type="dxa"/>
            <w:tcBorders>
              <w:top w:val="nil"/>
              <w:left w:val="single" w:sz="12" w:space="0" w:color="auto"/>
              <w:bottom w:val="nil"/>
              <w:right w:val="single" w:sz="12" w:space="0" w:color="auto"/>
            </w:tcBorders>
            <w:shd w:val="clear" w:color="auto" w:fill="auto"/>
            <w:noWrap/>
            <w:vAlign w:val="center"/>
            <w:hideMark/>
          </w:tcPr>
          <w:p w14:paraId="57FB60D0" w14:textId="77777777" w:rsidR="00DC5538" w:rsidRPr="00DC5538" w:rsidRDefault="00DC5538" w:rsidP="00B826B9">
            <w:pPr>
              <w:tabs>
                <w:tab w:val="decimal" w:pos="211"/>
              </w:tabs>
              <w:spacing w:after="0" w:line="240" w:lineRule="auto"/>
              <w:jc w:val="center"/>
              <w:rPr>
                <w:color w:val="000000"/>
                <w:sz w:val="20"/>
                <w:szCs w:val="20"/>
              </w:rPr>
            </w:pPr>
            <w:r w:rsidRPr="00DC5538">
              <w:rPr>
                <w:color w:val="000000"/>
                <w:sz w:val="20"/>
                <w:szCs w:val="20"/>
              </w:rPr>
              <w:t>-1.53</w:t>
            </w:r>
          </w:p>
        </w:tc>
        <w:tc>
          <w:tcPr>
            <w:tcW w:w="1170" w:type="dxa"/>
            <w:tcBorders>
              <w:top w:val="nil"/>
              <w:left w:val="single" w:sz="12" w:space="0" w:color="auto"/>
              <w:bottom w:val="nil"/>
              <w:right w:val="nil"/>
            </w:tcBorders>
            <w:shd w:val="clear" w:color="auto" w:fill="auto"/>
            <w:noWrap/>
            <w:vAlign w:val="center"/>
            <w:hideMark/>
          </w:tcPr>
          <w:p w14:paraId="61BDDF41" w14:textId="57AEC0A4" w:rsidR="00DC5538" w:rsidRPr="00DC5538" w:rsidRDefault="00DC5538" w:rsidP="00B826B9">
            <w:pPr>
              <w:tabs>
                <w:tab w:val="decimal" w:pos="211"/>
              </w:tabs>
              <w:spacing w:after="0" w:line="240" w:lineRule="auto"/>
              <w:jc w:val="center"/>
              <w:rPr>
                <w:color w:val="000000"/>
                <w:sz w:val="20"/>
                <w:szCs w:val="20"/>
              </w:rPr>
            </w:pPr>
            <w:r w:rsidRPr="00DC5538">
              <w:rPr>
                <w:color w:val="000000"/>
                <w:sz w:val="20"/>
                <w:szCs w:val="20"/>
              </w:rPr>
              <w:t>1</w:t>
            </w:r>
            <w:r w:rsidR="0051016B">
              <w:rPr>
                <w:color w:val="000000"/>
                <w:sz w:val="20"/>
                <w:szCs w:val="20"/>
              </w:rPr>
              <w:t>1</w:t>
            </w:r>
          </w:p>
        </w:tc>
        <w:tc>
          <w:tcPr>
            <w:tcW w:w="1440" w:type="dxa"/>
            <w:tcBorders>
              <w:top w:val="nil"/>
              <w:left w:val="nil"/>
              <w:bottom w:val="nil"/>
              <w:right w:val="nil"/>
            </w:tcBorders>
            <w:shd w:val="clear" w:color="auto" w:fill="auto"/>
            <w:noWrap/>
            <w:vAlign w:val="center"/>
            <w:hideMark/>
          </w:tcPr>
          <w:p w14:paraId="4C2ABCB2" w14:textId="77777777" w:rsidR="00DC5538" w:rsidRPr="00DC5538" w:rsidRDefault="00DC5538" w:rsidP="00B826B9">
            <w:pPr>
              <w:tabs>
                <w:tab w:val="decimal" w:pos="211"/>
              </w:tabs>
              <w:spacing w:after="0" w:line="240" w:lineRule="auto"/>
              <w:jc w:val="center"/>
              <w:rPr>
                <w:color w:val="000000"/>
                <w:sz w:val="20"/>
                <w:szCs w:val="20"/>
              </w:rPr>
            </w:pPr>
            <w:r w:rsidRPr="00DC5538">
              <w:rPr>
                <w:color w:val="000000"/>
                <w:sz w:val="20"/>
                <w:szCs w:val="20"/>
              </w:rPr>
              <w:t>6</w:t>
            </w:r>
          </w:p>
        </w:tc>
        <w:tc>
          <w:tcPr>
            <w:tcW w:w="1170" w:type="dxa"/>
            <w:tcBorders>
              <w:top w:val="nil"/>
              <w:left w:val="nil"/>
              <w:bottom w:val="nil"/>
              <w:right w:val="single" w:sz="4" w:space="0" w:color="auto"/>
            </w:tcBorders>
            <w:shd w:val="clear" w:color="auto" w:fill="auto"/>
            <w:noWrap/>
            <w:vAlign w:val="center"/>
            <w:hideMark/>
          </w:tcPr>
          <w:p w14:paraId="1E95CAB7" w14:textId="77777777" w:rsidR="00DC5538" w:rsidRPr="00DC5538" w:rsidRDefault="00DC5538" w:rsidP="00B826B9">
            <w:pPr>
              <w:tabs>
                <w:tab w:val="decimal" w:pos="211"/>
              </w:tabs>
              <w:spacing w:after="0" w:line="240" w:lineRule="auto"/>
              <w:jc w:val="center"/>
              <w:rPr>
                <w:color w:val="000000"/>
                <w:sz w:val="20"/>
                <w:szCs w:val="20"/>
              </w:rPr>
            </w:pPr>
            <w:r w:rsidRPr="00DC5538">
              <w:rPr>
                <w:color w:val="000000"/>
                <w:sz w:val="20"/>
                <w:szCs w:val="20"/>
              </w:rPr>
              <w:t>83</w:t>
            </w:r>
          </w:p>
        </w:tc>
        <w:tc>
          <w:tcPr>
            <w:tcW w:w="720" w:type="dxa"/>
            <w:tcBorders>
              <w:top w:val="nil"/>
              <w:left w:val="single" w:sz="4" w:space="0" w:color="auto"/>
              <w:bottom w:val="nil"/>
              <w:right w:val="single" w:sz="12" w:space="0" w:color="auto"/>
            </w:tcBorders>
            <w:shd w:val="clear" w:color="auto" w:fill="auto"/>
            <w:noWrap/>
            <w:vAlign w:val="center"/>
            <w:hideMark/>
          </w:tcPr>
          <w:p w14:paraId="738E7DFB" w14:textId="3715E6A1" w:rsidR="00DC5538" w:rsidRPr="00DC5538" w:rsidRDefault="00DC5538" w:rsidP="00B826B9">
            <w:pPr>
              <w:spacing w:after="0" w:line="240" w:lineRule="auto"/>
              <w:jc w:val="center"/>
              <w:rPr>
                <w:color w:val="000000"/>
                <w:sz w:val="20"/>
                <w:szCs w:val="20"/>
              </w:rPr>
            </w:pPr>
            <w:r w:rsidRPr="00DC5538">
              <w:rPr>
                <w:color w:val="000000"/>
                <w:sz w:val="20"/>
                <w:szCs w:val="20"/>
              </w:rPr>
              <w:t>13</w:t>
            </w:r>
            <w:r w:rsidR="00195E78">
              <w:rPr>
                <w:color w:val="000000"/>
                <w:sz w:val="20"/>
                <w:szCs w:val="20"/>
              </w:rPr>
              <w:t>.</w:t>
            </w:r>
            <w:r w:rsidRPr="00DC5538">
              <w:rPr>
                <w:color w:val="000000"/>
                <w:sz w:val="20"/>
                <w:szCs w:val="20"/>
              </w:rPr>
              <w:t>27</w:t>
            </w:r>
          </w:p>
        </w:tc>
      </w:tr>
      <w:tr w:rsidR="00B826B9" w:rsidRPr="00DC5538" w14:paraId="42F0316C" w14:textId="77777777" w:rsidTr="00325067">
        <w:trPr>
          <w:trHeight w:val="288"/>
          <w:jc w:val="center"/>
        </w:trPr>
        <w:tc>
          <w:tcPr>
            <w:tcW w:w="2060" w:type="dxa"/>
            <w:tcBorders>
              <w:top w:val="nil"/>
              <w:left w:val="single" w:sz="12" w:space="0" w:color="auto"/>
              <w:right w:val="single" w:sz="12" w:space="0" w:color="auto"/>
            </w:tcBorders>
            <w:shd w:val="clear" w:color="auto" w:fill="auto"/>
            <w:noWrap/>
            <w:vAlign w:val="center"/>
            <w:hideMark/>
          </w:tcPr>
          <w:p w14:paraId="30E18B1C" w14:textId="77777777" w:rsidR="00DC5538" w:rsidRPr="00DC5538" w:rsidRDefault="00DC5538" w:rsidP="00B826B9">
            <w:pPr>
              <w:spacing w:after="0" w:line="240" w:lineRule="auto"/>
              <w:rPr>
                <w:color w:val="000000"/>
                <w:sz w:val="20"/>
                <w:szCs w:val="20"/>
              </w:rPr>
            </w:pPr>
            <w:r w:rsidRPr="00DC5538">
              <w:rPr>
                <w:color w:val="000000"/>
                <w:sz w:val="20"/>
                <w:szCs w:val="20"/>
              </w:rPr>
              <w:t>Home Ownership</w:t>
            </w:r>
          </w:p>
        </w:tc>
        <w:tc>
          <w:tcPr>
            <w:tcW w:w="2430" w:type="dxa"/>
            <w:tcBorders>
              <w:top w:val="nil"/>
              <w:left w:val="single" w:sz="12" w:space="0" w:color="auto"/>
              <w:right w:val="nil"/>
            </w:tcBorders>
            <w:shd w:val="clear" w:color="auto" w:fill="auto"/>
            <w:noWrap/>
            <w:vAlign w:val="center"/>
            <w:hideMark/>
          </w:tcPr>
          <w:p w14:paraId="57A27282" w14:textId="77777777" w:rsidR="00DC5538" w:rsidRPr="00DC5538" w:rsidRDefault="00DC5538" w:rsidP="00B826B9">
            <w:pPr>
              <w:spacing w:after="0" w:line="240" w:lineRule="auto"/>
              <w:rPr>
                <w:color w:val="000000"/>
                <w:sz w:val="20"/>
                <w:szCs w:val="20"/>
              </w:rPr>
            </w:pPr>
            <w:r w:rsidRPr="00DC5538">
              <w:rPr>
                <w:color w:val="000000"/>
                <w:sz w:val="20"/>
                <w:szCs w:val="20"/>
              </w:rPr>
              <w:t>Owner</w:t>
            </w:r>
          </w:p>
        </w:tc>
        <w:tc>
          <w:tcPr>
            <w:tcW w:w="2430" w:type="dxa"/>
            <w:tcBorders>
              <w:top w:val="nil"/>
              <w:left w:val="nil"/>
              <w:right w:val="single" w:sz="12" w:space="0" w:color="auto"/>
            </w:tcBorders>
            <w:shd w:val="clear" w:color="auto" w:fill="auto"/>
            <w:noWrap/>
            <w:vAlign w:val="center"/>
            <w:hideMark/>
          </w:tcPr>
          <w:p w14:paraId="0E0FCE0E" w14:textId="77777777" w:rsidR="00DC5538" w:rsidRPr="00DC5538" w:rsidRDefault="00DC5538" w:rsidP="00B826B9">
            <w:pPr>
              <w:spacing w:after="0" w:line="240" w:lineRule="auto"/>
              <w:rPr>
                <w:color w:val="000000"/>
                <w:sz w:val="20"/>
                <w:szCs w:val="20"/>
              </w:rPr>
            </w:pPr>
            <w:r w:rsidRPr="00DC5538">
              <w:rPr>
                <w:color w:val="000000"/>
                <w:sz w:val="20"/>
                <w:szCs w:val="20"/>
              </w:rPr>
              <w:t>Renter</w:t>
            </w:r>
          </w:p>
        </w:tc>
        <w:tc>
          <w:tcPr>
            <w:tcW w:w="990" w:type="dxa"/>
            <w:tcBorders>
              <w:top w:val="nil"/>
              <w:left w:val="single" w:sz="12" w:space="0" w:color="auto"/>
              <w:right w:val="single" w:sz="12" w:space="0" w:color="auto"/>
            </w:tcBorders>
            <w:shd w:val="clear" w:color="auto" w:fill="auto"/>
            <w:noWrap/>
            <w:vAlign w:val="center"/>
            <w:hideMark/>
          </w:tcPr>
          <w:p w14:paraId="0F60A6FC" w14:textId="77777777" w:rsidR="00DC5538" w:rsidRPr="00DC5538" w:rsidRDefault="00DC5538" w:rsidP="00B826B9">
            <w:pPr>
              <w:tabs>
                <w:tab w:val="decimal" w:pos="211"/>
              </w:tabs>
              <w:spacing w:after="0" w:line="240" w:lineRule="auto"/>
              <w:jc w:val="center"/>
              <w:rPr>
                <w:color w:val="000000"/>
                <w:sz w:val="20"/>
                <w:szCs w:val="20"/>
              </w:rPr>
            </w:pPr>
            <w:r w:rsidRPr="00DC5538">
              <w:rPr>
                <w:color w:val="000000"/>
                <w:sz w:val="20"/>
                <w:szCs w:val="20"/>
              </w:rPr>
              <w:t>0.00</w:t>
            </w:r>
          </w:p>
        </w:tc>
        <w:tc>
          <w:tcPr>
            <w:tcW w:w="990" w:type="dxa"/>
            <w:tcBorders>
              <w:top w:val="nil"/>
              <w:left w:val="single" w:sz="12" w:space="0" w:color="auto"/>
              <w:right w:val="single" w:sz="12" w:space="0" w:color="auto"/>
            </w:tcBorders>
            <w:shd w:val="clear" w:color="auto" w:fill="auto"/>
            <w:noWrap/>
            <w:vAlign w:val="center"/>
            <w:hideMark/>
          </w:tcPr>
          <w:p w14:paraId="09F2D85C" w14:textId="77777777" w:rsidR="00DC5538" w:rsidRPr="00DC5538" w:rsidRDefault="00DC5538" w:rsidP="00B826B9">
            <w:pPr>
              <w:tabs>
                <w:tab w:val="decimal" w:pos="211"/>
              </w:tabs>
              <w:spacing w:after="0" w:line="240" w:lineRule="auto"/>
              <w:jc w:val="center"/>
              <w:rPr>
                <w:color w:val="000000"/>
                <w:sz w:val="20"/>
                <w:szCs w:val="20"/>
              </w:rPr>
            </w:pPr>
            <w:r w:rsidRPr="00DC5538">
              <w:rPr>
                <w:color w:val="000000"/>
                <w:sz w:val="20"/>
                <w:szCs w:val="20"/>
              </w:rPr>
              <w:t>0.00</w:t>
            </w:r>
          </w:p>
        </w:tc>
        <w:tc>
          <w:tcPr>
            <w:tcW w:w="1170" w:type="dxa"/>
            <w:tcBorders>
              <w:top w:val="nil"/>
              <w:left w:val="single" w:sz="12" w:space="0" w:color="auto"/>
              <w:right w:val="nil"/>
            </w:tcBorders>
            <w:shd w:val="clear" w:color="auto" w:fill="auto"/>
            <w:noWrap/>
            <w:vAlign w:val="center"/>
            <w:hideMark/>
          </w:tcPr>
          <w:p w14:paraId="4462E77C" w14:textId="77777777" w:rsidR="00DC5538" w:rsidRPr="00DC5538" w:rsidRDefault="00DC5538" w:rsidP="00B826B9">
            <w:pPr>
              <w:tabs>
                <w:tab w:val="decimal" w:pos="211"/>
              </w:tabs>
              <w:spacing w:after="0" w:line="240" w:lineRule="auto"/>
              <w:jc w:val="center"/>
              <w:rPr>
                <w:color w:val="000000"/>
                <w:sz w:val="20"/>
                <w:szCs w:val="20"/>
              </w:rPr>
            </w:pPr>
            <w:r w:rsidRPr="00DC5538">
              <w:rPr>
                <w:color w:val="000000"/>
                <w:sz w:val="20"/>
                <w:szCs w:val="20"/>
              </w:rPr>
              <w:t>0</w:t>
            </w:r>
          </w:p>
        </w:tc>
        <w:tc>
          <w:tcPr>
            <w:tcW w:w="1440" w:type="dxa"/>
            <w:tcBorders>
              <w:top w:val="nil"/>
              <w:left w:val="nil"/>
              <w:right w:val="nil"/>
            </w:tcBorders>
            <w:shd w:val="clear" w:color="auto" w:fill="auto"/>
            <w:noWrap/>
            <w:vAlign w:val="center"/>
            <w:hideMark/>
          </w:tcPr>
          <w:p w14:paraId="21576461" w14:textId="77777777" w:rsidR="00DC5538" w:rsidRPr="00DC5538" w:rsidRDefault="00DC5538" w:rsidP="00B826B9">
            <w:pPr>
              <w:tabs>
                <w:tab w:val="decimal" w:pos="211"/>
              </w:tabs>
              <w:spacing w:after="0" w:line="240" w:lineRule="auto"/>
              <w:jc w:val="center"/>
              <w:rPr>
                <w:color w:val="000000"/>
                <w:sz w:val="20"/>
                <w:szCs w:val="20"/>
              </w:rPr>
            </w:pPr>
            <w:r w:rsidRPr="00DC5538">
              <w:rPr>
                <w:color w:val="000000"/>
                <w:sz w:val="20"/>
                <w:szCs w:val="20"/>
              </w:rPr>
              <w:t>0</w:t>
            </w:r>
          </w:p>
        </w:tc>
        <w:tc>
          <w:tcPr>
            <w:tcW w:w="1170" w:type="dxa"/>
            <w:tcBorders>
              <w:top w:val="nil"/>
              <w:left w:val="nil"/>
              <w:right w:val="single" w:sz="4" w:space="0" w:color="auto"/>
            </w:tcBorders>
            <w:shd w:val="clear" w:color="auto" w:fill="auto"/>
            <w:noWrap/>
            <w:vAlign w:val="center"/>
            <w:hideMark/>
          </w:tcPr>
          <w:p w14:paraId="30B29908" w14:textId="77777777" w:rsidR="00DC5538" w:rsidRPr="00DC5538" w:rsidRDefault="00DC5538" w:rsidP="00B826B9">
            <w:pPr>
              <w:tabs>
                <w:tab w:val="decimal" w:pos="211"/>
              </w:tabs>
              <w:spacing w:after="0" w:line="240" w:lineRule="auto"/>
              <w:jc w:val="center"/>
              <w:rPr>
                <w:color w:val="000000"/>
                <w:sz w:val="20"/>
                <w:szCs w:val="20"/>
              </w:rPr>
            </w:pPr>
            <w:r w:rsidRPr="00DC5538">
              <w:rPr>
                <w:color w:val="000000"/>
                <w:sz w:val="20"/>
                <w:szCs w:val="20"/>
              </w:rPr>
              <w:t>100</w:t>
            </w:r>
          </w:p>
        </w:tc>
        <w:tc>
          <w:tcPr>
            <w:tcW w:w="720" w:type="dxa"/>
            <w:tcBorders>
              <w:top w:val="nil"/>
              <w:left w:val="single" w:sz="4" w:space="0" w:color="auto"/>
              <w:right w:val="single" w:sz="12" w:space="0" w:color="auto"/>
            </w:tcBorders>
            <w:shd w:val="clear" w:color="auto" w:fill="auto"/>
            <w:noWrap/>
            <w:vAlign w:val="center"/>
            <w:hideMark/>
          </w:tcPr>
          <w:p w14:paraId="4EA59FCC" w14:textId="529F8FCA" w:rsidR="00DC5538" w:rsidRPr="00DC5538" w:rsidRDefault="00195E78" w:rsidP="00B826B9">
            <w:pPr>
              <w:spacing w:after="0" w:line="240" w:lineRule="auto"/>
              <w:jc w:val="center"/>
              <w:rPr>
                <w:color w:val="000000"/>
                <w:sz w:val="20"/>
                <w:szCs w:val="20"/>
              </w:rPr>
            </w:pPr>
            <w:r>
              <w:rPr>
                <w:color w:val="000000"/>
                <w:sz w:val="20"/>
                <w:szCs w:val="20"/>
              </w:rPr>
              <w:t xml:space="preserve">  </w:t>
            </w:r>
            <w:r w:rsidR="00DC5538" w:rsidRPr="00DC5538">
              <w:rPr>
                <w:color w:val="000000"/>
                <w:sz w:val="20"/>
                <w:szCs w:val="20"/>
              </w:rPr>
              <w:t>2</w:t>
            </w:r>
            <w:r>
              <w:rPr>
                <w:color w:val="000000"/>
                <w:sz w:val="20"/>
                <w:szCs w:val="20"/>
              </w:rPr>
              <w:t>.</w:t>
            </w:r>
            <w:r w:rsidR="00DC5538" w:rsidRPr="00DC5538">
              <w:rPr>
                <w:color w:val="000000"/>
                <w:sz w:val="20"/>
                <w:szCs w:val="20"/>
              </w:rPr>
              <w:t>71</w:t>
            </w:r>
          </w:p>
        </w:tc>
      </w:tr>
      <w:tr w:rsidR="00325067" w:rsidRPr="00DC5538" w14:paraId="709DAEB4" w14:textId="77777777" w:rsidTr="00325067">
        <w:trPr>
          <w:trHeight w:val="288"/>
          <w:jc w:val="center"/>
        </w:trPr>
        <w:tc>
          <w:tcPr>
            <w:tcW w:w="2060" w:type="dxa"/>
            <w:tcBorders>
              <w:top w:val="nil"/>
              <w:left w:val="single" w:sz="12" w:space="0" w:color="auto"/>
              <w:bottom w:val="single" w:sz="6" w:space="0" w:color="auto"/>
              <w:right w:val="single" w:sz="12" w:space="0" w:color="auto"/>
            </w:tcBorders>
            <w:shd w:val="clear" w:color="auto" w:fill="auto"/>
            <w:noWrap/>
            <w:vAlign w:val="center"/>
            <w:hideMark/>
          </w:tcPr>
          <w:p w14:paraId="13A4CDAF" w14:textId="77777777" w:rsidR="00DC5538" w:rsidRPr="00DC5538" w:rsidRDefault="00DC5538" w:rsidP="00B826B9">
            <w:pPr>
              <w:spacing w:after="0" w:line="240" w:lineRule="auto"/>
              <w:rPr>
                <w:color w:val="000000"/>
                <w:sz w:val="20"/>
                <w:szCs w:val="20"/>
              </w:rPr>
            </w:pPr>
            <w:r w:rsidRPr="00DC5538">
              <w:rPr>
                <w:color w:val="000000"/>
                <w:sz w:val="20"/>
                <w:szCs w:val="20"/>
              </w:rPr>
              <w:t>Household Location</w:t>
            </w:r>
          </w:p>
        </w:tc>
        <w:tc>
          <w:tcPr>
            <w:tcW w:w="2430" w:type="dxa"/>
            <w:tcBorders>
              <w:top w:val="nil"/>
              <w:left w:val="single" w:sz="12" w:space="0" w:color="auto"/>
              <w:bottom w:val="single" w:sz="6" w:space="0" w:color="auto"/>
              <w:right w:val="nil"/>
            </w:tcBorders>
            <w:shd w:val="clear" w:color="auto" w:fill="auto"/>
            <w:noWrap/>
            <w:vAlign w:val="center"/>
            <w:hideMark/>
          </w:tcPr>
          <w:p w14:paraId="3473770F" w14:textId="77777777" w:rsidR="00DC5538" w:rsidRPr="00DC5538" w:rsidRDefault="00DC5538" w:rsidP="00B826B9">
            <w:pPr>
              <w:spacing w:after="0" w:line="240" w:lineRule="auto"/>
              <w:rPr>
                <w:color w:val="000000"/>
                <w:sz w:val="20"/>
                <w:szCs w:val="20"/>
              </w:rPr>
            </w:pPr>
            <w:r w:rsidRPr="00DC5538">
              <w:rPr>
                <w:color w:val="000000"/>
                <w:sz w:val="20"/>
                <w:szCs w:val="20"/>
              </w:rPr>
              <w:t>Urban</w:t>
            </w:r>
          </w:p>
        </w:tc>
        <w:tc>
          <w:tcPr>
            <w:tcW w:w="2430" w:type="dxa"/>
            <w:tcBorders>
              <w:top w:val="nil"/>
              <w:left w:val="nil"/>
              <w:bottom w:val="single" w:sz="6" w:space="0" w:color="auto"/>
              <w:right w:val="single" w:sz="12" w:space="0" w:color="auto"/>
            </w:tcBorders>
            <w:shd w:val="clear" w:color="auto" w:fill="auto"/>
            <w:noWrap/>
            <w:vAlign w:val="center"/>
            <w:hideMark/>
          </w:tcPr>
          <w:p w14:paraId="4CAB5509" w14:textId="77777777" w:rsidR="00DC5538" w:rsidRPr="00DC5538" w:rsidRDefault="00DC5538" w:rsidP="00B826B9">
            <w:pPr>
              <w:spacing w:after="0" w:line="240" w:lineRule="auto"/>
              <w:rPr>
                <w:color w:val="000000"/>
                <w:sz w:val="20"/>
                <w:szCs w:val="20"/>
              </w:rPr>
            </w:pPr>
            <w:r w:rsidRPr="00DC5538">
              <w:rPr>
                <w:color w:val="000000"/>
                <w:sz w:val="20"/>
                <w:szCs w:val="20"/>
              </w:rPr>
              <w:t>Rural</w:t>
            </w:r>
          </w:p>
        </w:tc>
        <w:tc>
          <w:tcPr>
            <w:tcW w:w="990" w:type="dxa"/>
            <w:tcBorders>
              <w:top w:val="nil"/>
              <w:left w:val="single" w:sz="12" w:space="0" w:color="auto"/>
              <w:bottom w:val="single" w:sz="6" w:space="0" w:color="auto"/>
              <w:right w:val="single" w:sz="12" w:space="0" w:color="auto"/>
            </w:tcBorders>
            <w:shd w:val="clear" w:color="auto" w:fill="auto"/>
            <w:noWrap/>
            <w:vAlign w:val="center"/>
            <w:hideMark/>
          </w:tcPr>
          <w:p w14:paraId="63EA2B42" w14:textId="77777777" w:rsidR="00DC5538" w:rsidRPr="00DC5538" w:rsidRDefault="00DC5538" w:rsidP="00B826B9">
            <w:pPr>
              <w:tabs>
                <w:tab w:val="decimal" w:pos="211"/>
              </w:tabs>
              <w:spacing w:after="0" w:line="240" w:lineRule="auto"/>
              <w:jc w:val="center"/>
              <w:rPr>
                <w:color w:val="000000"/>
                <w:sz w:val="20"/>
                <w:szCs w:val="20"/>
              </w:rPr>
            </w:pPr>
            <w:r w:rsidRPr="00DC5538">
              <w:rPr>
                <w:color w:val="000000"/>
                <w:sz w:val="20"/>
                <w:szCs w:val="20"/>
              </w:rPr>
              <w:t>-0.38</w:t>
            </w:r>
          </w:p>
        </w:tc>
        <w:tc>
          <w:tcPr>
            <w:tcW w:w="990" w:type="dxa"/>
            <w:tcBorders>
              <w:top w:val="nil"/>
              <w:left w:val="single" w:sz="12" w:space="0" w:color="auto"/>
              <w:bottom w:val="single" w:sz="6" w:space="0" w:color="auto"/>
              <w:right w:val="single" w:sz="12" w:space="0" w:color="auto"/>
            </w:tcBorders>
            <w:shd w:val="clear" w:color="auto" w:fill="auto"/>
            <w:noWrap/>
            <w:vAlign w:val="center"/>
            <w:hideMark/>
          </w:tcPr>
          <w:p w14:paraId="298A7FE2" w14:textId="77777777" w:rsidR="00DC5538" w:rsidRPr="00DC5538" w:rsidRDefault="00DC5538" w:rsidP="00B826B9">
            <w:pPr>
              <w:tabs>
                <w:tab w:val="decimal" w:pos="211"/>
              </w:tabs>
              <w:spacing w:after="0" w:line="240" w:lineRule="auto"/>
              <w:jc w:val="center"/>
              <w:rPr>
                <w:color w:val="000000"/>
                <w:sz w:val="20"/>
                <w:szCs w:val="20"/>
              </w:rPr>
            </w:pPr>
            <w:r w:rsidRPr="00DC5538">
              <w:rPr>
                <w:color w:val="000000"/>
                <w:sz w:val="20"/>
                <w:szCs w:val="20"/>
              </w:rPr>
              <w:t>-0.25</w:t>
            </w:r>
          </w:p>
        </w:tc>
        <w:tc>
          <w:tcPr>
            <w:tcW w:w="1170" w:type="dxa"/>
            <w:tcBorders>
              <w:top w:val="nil"/>
              <w:left w:val="single" w:sz="12" w:space="0" w:color="auto"/>
              <w:bottom w:val="single" w:sz="6" w:space="0" w:color="auto"/>
              <w:right w:val="nil"/>
            </w:tcBorders>
            <w:shd w:val="clear" w:color="auto" w:fill="auto"/>
            <w:noWrap/>
            <w:vAlign w:val="center"/>
            <w:hideMark/>
          </w:tcPr>
          <w:p w14:paraId="4158D313" w14:textId="77777777" w:rsidR="00DC5538" w:rsidRPr="00DC5538" w:rsidRDefault="00DC5538" w:rsidP="00B826B9">
            <w:pPr>
              <w:tabs>
                <w:tab w:val="decimal" w:pos="211"/>
              </w:tabs>
              <w:spacing w:after="0" w:line="240" w:lineRule="auto"/>
              <w:jc w:val="center"/>
              <w:rPr>
                <w:color w:val="000000"/>
                <w:sz w:val="20"/>
                <w:szCs w:val="20"/>
              </w:rPr>
            </w:pPr>
            <w:r w:rsidRPr="00DC5538">
              <w:rPr>
                <w:color w:val="000000"/>
                <w:sz w:val="20"/>
                <w:szCs w:val="20"/>
              </w:rPr>
              <w:t>26</w:t>
            </w:r>
          </w:p>
        </w:tc>
        <w:tc>
          <w:tcPr>
            <w:tcW w:w="1440" w:type="dxa"/>
            <w:tcBorders>
              <w:top w:val="nil"/>
              <w:left w:val="nil"/>
              <w:bottom w:val="single" w:sz="6" w:space="0" w:color="auto"/>
              <w:right w:val="nil"/>
            </w:tcBorders>
            <w:shd w:val="clear" w:color="auto" w:fill="auto"/>
            <w:noWrap/>
            <w:vAlign w:val="center"/>
            <w:hideMark/>
          </w:tcPr>
          <w:p w14:paraId="07A64ECE" w14:textId="77777777" w:rsidR="00DC5538" w:rsidRPr="00DC5538" w:rsidRDefault="00DC5538" w:rsidP="00B826B9">
            <w:pPr>
              <w:tabs>
                <w:tab w:val="decimal" w:pos="211"/>
              </w:tabs>
              <w:spacing w:after="0" w:line="240" w:lineRule="auto"/>
              <w:jc w:val="center"/>
              <w:rPr>
                <w:color w:val="000000"/>
                <w:sz w:val="20"/>
                <w:szCs w:val="20"/>
              </w:rPr>
            </w:pPr>
            <w:r w:rsidRPr="00DC5538">
              <w:rPr>
                <w:color w:val="000000"/>
                <w:sz w:val="20"/>
                <w:szCs w:val="20"/>
              </w:rPr>
              <w:t>6</w:t>
            </w:r>
          </w:p>
        </w:tc>
        <w:tc>
          <w:tcPr>
            <w:tcW w:w="1170" w:type="dxa"/>
            <w:tcBorders>
              <w:top w:val="nil"/>
              <w:left w:val="nil"/>
              <w:bottom w:val="single" w:sz="6" w:space="0" w:color="auto"/>
              <w:right w:val="single" w:sz="4" w:space="0" w:color="auto"/>
            </w:tcBorders>
            <w:shd w:val="clear" w:color="auto" w:fill="auto"/>
            <w:noWrap/>
            <w:vAlign w:val="center"/>
            <w:hideMark/>
          </w:tcPr>
          <w:p w14:paraId="1229F294" w14:textId="77777777" w:rsidR="00DC5538" w:rsidRPr="00DC5538" w:rsidRDefault="00DC5538" w:rsidP="00B826B9">
            <w:pPr>
              <w:tabs>
                <w:tab w:val="decimal" w:pos="211"/>
              </w:tabs>
              <w:spacing w:after="0" w:line="240" w:lineRule="auto"/>
              <w:jc w:val="center"/>
              <w:rPr>
                <w:color w:val="000000"/>
                <w:sz w:val="20"/>
                <w:szCs w:val="20"/>
              </w:rPr>
            </w:pPr>
            <w:r w:rsidRPr="00DC5538">
              <w:rPr>
                <w:color w:val="000000"/>
                <w:sz w:val="20"/>
                <w:szCs w:val="20"/>
              </w:rPr>
              <w:t>68</w:t>
            </w:r>
          </w:p>
        </w:tc>
        <w:tc>
          <w:tcPr>
            <w:tcW w:w="720" w:type="dxa"/>
            <w:tcBorders>
              <w:top w:val="nil"/>
              <w:left w:val="single" w:sz="4" w:space="0" w:color="auto"/>
              <w:bottom w:val="single" w:sz="6" w:space="0" w:color="auto"/>
              <w:right w:val="single" w:sz="12" w:space="0" w:color="auto"/>
            </w:tcBorders>
            <w:shd w:val="clear" w:color="auto" w:fill="auto"/>
            <w:noWrap/>
            <w:vAlign w:val="center"/>
            <w:hideMark/>
          </w:tcPr>
          <w:p w14:paraId="6E4BE504" w14:textId="5F1C6C46" w:rsidR="00DC5538" w:rsidRPr="00DC5538" w:rsidRDefault="00195E78" w:rsidP="00B826B9">
            <w:pPr>
              <w:spacing w:after="0" w:line="240" w:lineRule="auto"/>
              <w:jc w:val="center"/>
              <w:rPr>
                <w:color w:val="000000"/>
                <w:sz w:val="20"/>
                <w:szCs w:val="20"/>
              </w:rPr>
            </w:pPr>
            <w:r>
              <w:rPr>
                <w:color w:val="000000"/>
                <w:sz w:val="20"/>
                <w:szCs w:val="20"/>
              </w:rPr>
              <w:t xml:space="preserve">  </w:t>
            </w:r>
            <w:r w:rsidR="00DC5538" w:rsidRPr="00DC5538">
              <w:rPr>
                <w:color w:val="000000"/>
                <w:sz w:val="20"/>
                <w:szCs w:val="20"/>
              </w:rPr>
              <w:t>2</w:t>
            </w:r>
            <w:r>
              <w:rPr>
                <w:color w:val="000000"/>
                <w:sz w:val="20"/>
                <w:szCs w:val="20"/>
              </w:rPr>
              <w:t>.</w:t>
            </w:r>
            <w:r w:rsidR="00DC5538" w:rsidRPr="00DC5538">
              <w:rPr>
                <w:color w:val="000000"/>
                <w:sz w:val="20"/>
                <w:szCs w:val="20"/>
              </w:rPr>
              <w:t>14</w:t>
            </w:r>
          </w:p>
        </w:tc>
      </w:tr>
      <w:tr w:rsidR="00195E78" w:rsidRPr="00DC5538" w14:paraId="3A79791F" w14:textId="77777777" w:rsidTr="00325067">
        <w:trPr>
          <w:trHeight w:val="288"/>
          <w:jc w:val="center"/>
        </w:trPr>
        <w:tc>
          <w:tcPr>
            <w:tcW w:w="13400" w:type="dxa"/>
            <w:gridSpan w:val="9"/>
            <w:tcBorders>
              <w:top w:val="single" w:sz="6" w:space="0" w:color="auto"/>
              <w:left w:val="single" w:sz="12" w:space="0" w:color="auto"/>
              <w:bottom w:val="single" w:sz="6" w:space="0" w:color="auto"/>
              <w:right w:val="single" w:sz="12" w:space="0" w:color="auto"/>
            </w:tcBorders>
            <w:shd w:val="clear" w:color="auto" w:fill="auto"/>
            <w:noWrap/>
            <w:vAlign w:val="center"/>
          </w:tcPr>
          <w:p w14:paraId="7C4D3F11" w14:textId="6E06CB1E" w:rsidR="00195E78" w:rsidRPr="00F877A5" w:rsidRDefault="00195E78" w:rsidP="00F877A5">
            <w:pPr>
              <w:spacing w:after="0" w:line="240" w:lineRule="auto"/>
              <w:rPr>
                <w:b/>
                <w:bCs/>
                <w:color w:val="000000"/>
                <w:sz w:val="20"/>
                <w:szCs w:val="20"/>
              </w:rPr>
            </w:pPr>
            <w:r w:rsidRPr="00F877A5">
              <w:rPr>
                <w:b/>
                <w:bCs/>
                <w:color w:val="000000"/>
                <w:sz w:val="20"/>
                <w:szCs w:val="20"/>
              </w:rPr>
              <w:t>Individual Characteristics</w:t>
            </w:r>
          </w:p>
        </w:tc>
      </w:tr>
      <w:tr w:rsidR="00B826B9" w:rsidRPr="00DC5538" w14:paraId="4DD21DDD" w14:textId="77777777" w:rsidTr="00325067">
        <w:trPr>
          <w:trHeight w:val="288"/>
          <w:jc w:val="center"/>
        </w:trPr>
        <w:tc>
          <w:tcPr>
            <w:tcW w:w="2060" w:type="dxa"/>
            <w:tcBorders>
              <w:top w:val="single" w:sz="6" w:space="0" w:color="auto"/>
              <w:left w:val="single" w:sz="12" w:space="0" w:color="auto"/>
              <w:bottom w:val="nil"/>
              <w:right w:val="single" w:sz="12" w:space="0" w:color="auto"/>
            </w:tcBorders>
            <w:shd w:val="clear" w:color="auto" w:fill="auto"/>
            <w:noWrap/>
            <w:vAlign w:val="center"/>
            <w:hideMark/>
          </w:tcPr>
          <w:p w14:paraId="6C443117" w14:textId="77777777" w:rsidR="00DC5538" w:rsidRPr="00DC5538" w:rsidRDefault="00DC5538" w:rsidP="00B826B9">
            <w:pPr>
              <w:spacing w:after="0" w:line="240" w:lineRule="auto"/>
              <w:rPr>
                <w:color w:val="000000"/>
                <w:sz w:val="20"/>
                <w:szCs w:val="20"/>
              </w:rPr>
            </w:pPr>
            <w:r w:rsidRPr="00DC5538">
              <w:rPr>
                <w:color w:val="000000"/>
                <w:sz w:val="20"/>
                <w:szCs w:val="20"/>
              </w:rPr>
              <w:t>Gender</w:t>
            </w:r>
          </w:p>
        </w:tc>
        <w:tc>
          <w:tcPr>
            <w:tcW w:w="2430" w:type="dxa"/>
            <w:tcBorders>
              <w:top w:val="single" w:sz="6" w:space="0" w:color="auto"/>
              <w:left w:val="single" w:sz="12" w:space="0" w:color="auto"/>
              <w:bottom w:val="nil"/>
              <w:right w:val="nil"/>
            </w:tcBorders>
            <w:shd w:val="clear" w:color="auto" w:fill="auto"/>
            <w:noWrap/>
            <w:vAlign w:val="center"/>
            <w:hideMark/>
          </w:tcPr>
          <w:p w14:paraId="0F1C2962" w14:textId="77777777" w:rsidR="00DC5538" w:rsidRPr="00DC5538" w:rsidRDefault="00DC5538" w:rsidP="00B826B9">
            <w:pPr>
              <w:spacing w:after="0" w:line="240" w:lineRule="auto"/>
              <w:rPr>
                <w:color w:val="000000"/>
                <w:sz w:val="20"/>
                <w:szCs w:val="20"/>
              </w:rPr>
            </w:pPr>
            <w:r w:rsidRPr="00DC5538">
              <w:rPr>
                <w:color w:val="000000"/>
                <w:sz w:val="20"/>
                <w:szCs w:val="20"/>
              </w:rPr>
              <w:t>Male</w:t>
            </w:r>
          </w:p>
        </w:tc>
        <w:tc>
          <w:tcPr>
            <w:tcW w:w="2430" w:type="dxa"/>
            <w:tcBorders>
              <w:top w:val="single" w:sz="6" w:space="0" w:color="auto"/>
              <w:left w:val="nil"/>
              <w:bottom w:val="nil"/>
              <w:right w:val="single" w:sz="12" w:space="0" w:color="auto"/>
            </w:tcBorders>
            <w:shd w:val="clear" w:color="auto" w:fill="auto"/>
            <w:noWrap/>
            <w:vAlign w:val="center"/>
            <w:hideMark/>
          </w:tcPr>
          <w:p w14:paraId="466C48FA" w14:textId="77777777" w:rsidR="00DC5538" w:rsidRPr="00DC5538" w:rsidRDefault="00DC5538" w:rsidP="00B826B9">
            <w:pPr>
              <w:spacing w:after="0" w:line="240" w:lineRule="auto"/>
              <w:rPr>
                <w:color w:val="000000"/>
                <w:sz w:val="20"/>
                <w:szCs w:val="20"/>
              </w:rPr>
            </w:pPr>
            <w:r w:rsidRPr="00DC5538">
              <w:rPr>
                <w:color w:val="000000"/>
                <w:sz w:val="20"/>
                <w:szCs w:val="20"/>
              </w:rPr>
              <w:t>Female</w:t>
            </w:r>
          </w:p>
        </w:tc>
        <w:tc>
          <w:tcPr>
            <w:tcW w:w="990" w:type="dxa"/>
            <w:tcBorders>
              <w:top w:val="single" w:sz="6" w:space="0" w:color="auto"/>
              <w:left w:val="single" w:sz="12" w:space="0" w:color="auto"/>
              <w:bottom w:val="nil"/>
              <w:right w:val="single" w:sz="12" w:space="0" w:color="auto"/>
            </w:tcBorders>
            <w:shd w:val="clear" w:color="auto" w:fill="auto"/>
            <w:noWrap/>
            <w:vAlign w:val="center"/>
            <w:hideMark/>
          </w:tcPr>
          <w:p w14:paraId="43387763" w14:textId="77777777" w:rsidR="00DC5538" w:rsidRPr="00DC5538" w:rsidRDefault="00DC5538" w:rsidP="00B826B9">
            <w:pPr>
              <w:tabs>
                <w:tab w:val="decimal" w:pos="211"/>
              </w:tabs>
              <w:spacing w:after="0" w:line="240" w:lineRule="auto"/>
              <w:jc w:val="center"/>
              <w:rPr>
                <w:color w:val="000000"/>
                <w:sz w:val="20"/>
                <w:szCs w:val="20"/>
              </w:rPr>
            </w:pPr>
            <w:r w:rsidRPr="00DC5538">
              <w:rPr>
                <w:color w:val="000000"/>
                <w:sz w:val="20"/>
                <w:szCs w:val="20"/>
              </w:rPr>
              <w:t>0.00</w:t>
            </w:r>
          </w:p>
        </w:tc>
        <w:tc>
          <w:tcPr>
            <w:tcW w:w="990" w:type="dxa"/>
            <w:tcBorders>
              <w:top w:val="single" w:sz="6" w:space="0" w:color="auto"/>
              <w:left w:val="single" w:sz="12" w:space="0" w:color="auto"/>
              <w:bottom w:val="nil"/>
              <w:right w:val="single" w:sz="12" w:space="0" w:color="auto"/>
            </w:tcBorders>
            <w:shd w:val="clear" w:color="auto" w:fill="auto"/>
            <w:noWrap/>
            <w:vAlign w:val="center"/>
            <w:hideMark/>
          </w:tcPr>
          <w:p w14:paraId="6848DF43" w14:textId="77777777" w:rsidR="00DC5538" w:rsidRPr="00DC5538" w:rsidRDefault="00DC5538" w:rsidP="00B826B9">
            <w:pPr>
              <w:tabs>
                <w:tab w:val="decimal" w:pos="211"/>
              </w:tabs>
              <w:spacing w:after="0" w:line="240" w:lineRule="auto"/>
              <w:jc w:val="center"/>
              <w:rPr>
                <w:color w:val="000000"/>
                <w:sz w:val="20"/>
                <w:szCs w:val="20"/>
              </w:rPr>
            </w:pPr>
            <w:r w:rsidRPr="00DC5538">
              <w:rPr>
                <w:color w:val="000000"/>
                <w:sz w:val="20"/>
                <w:szCs w:val="20"/>
              </w:rPr>
              <w:t>0.74</w:t>
            </w:r>
          </w:p>
        </w:tc>
        <w:tc>
          <w:tcPr>
            <w:tcW w:w="1170" w:type="dxa"/>
            <w:tcBorders>
              <w:top w:val="single" w:sz="6" w:space="0" w:color="auto"/>
              <w:left w:val="single" w:sz="12" w:space="0" w:color="auto"/>
              <w:bottom w:val="nil"/>
              <w:right w:val="nil"/>
            </w:tcBorders>
            <w:shd w:val="clear" w:color="auto" w:fill="auto"/>
            <w:noWrap/>
            <w:vAlign w:val="center"/>
            <w:hideMark/>
          </w:tcPr>
          <w:p w14:paraId="4EAA066C" w14:textId="77777777" w:rsidR="00DC5538" w:rsidRPr="00DC5538" w:rsidRDefault="00DC5538" w:rsidP="00B826B9">
            <w:pPr>
              <w:tabs>
                <w:tab w:val="decimal" w:pos="211"/>
              </w:tabs>
              <w:spacing w:after="0" w:line="240" w:lineRule="auto"/>
              <w:jc w:val="center"/>
              <w:rPr>
                <w:color w:val="000000"/>
                <w:sz w:val="20"/>
                <w:szCs w:val="20"/>
              </w:rPr>
            </w:pPr>
            <w:r w:rsidRPr="00DC5538">
              <w:rPr>
                <w:color w:val="000000"/>
                <w:sz w:val="20"/>
                <w:szCs w:val="20"/>
              </w:rPr>
              <w:t>0</w:t>
            </w:r>
          </w:p>
        </w:tc>
        <w:tc>
          <w:tcPr>
            <w:tcW w:w="1440" w:type="dxa"/>
            <w:tcBorders>
              <w:top w:val="single" w:sz="6" w:space="0" w:color="auto"/>
              <w:left w:val="nil"/>
              <w:bottom w:val="nil"/>
              <w:right w:val="nil"/>
            </w:tcBorders>
            <w:shd w:val="clear" w:color="auto" w:fill="auto"/>
            <w:noWrap/>
            <w:vAlign w:val="center"/>
            <w:hideMark/>
          </w:tcPr>
          <w:p w14:paraId="6BC54B74" w14:textId="77777777" w:rsidR="00DC5538" w:rsidRPr="00DC5538" w:rsidRDefault="00DC5538" w:rsidP="00B826B9">
            <w:pPr>
              <w:tabs>
                <w:tab w:val="decimal" w:pos="211"/>
              </w:tabs>
              <w:spacing w:after="0" w:line="240" w:lineRule="auto"/>
              <w:jc w:val="center"/>
              <w:rPr>
                <w:color w:val="000000"/>
                <w:sz w:val="20"/>
                <w:szCs w:val="20"/>
              </w:rPr>
            </w:pPr>
            <w:r w:rsidRPr="00DC5538">
              <w:rPr>
                <w:color w:val="000000"/>
                <w:sz w:val="20"/>
                <w:szCs w:val="20"/>
              </w:rPr>
              <w:t>-11</w:t>
            </w:r>
          </w:p>
        </w:tc>
        <w:tc>
          <w:tcPr>
            <w:tcW w:w="1170" w:type="dxa"/>
            <w:tcBorders>
              <w:top w:val="single" w:sz="6" w:space="0" w:color="auto"/>
              <w:left w:val="nil"/>
              <w:bottom w:val="nil"/>
              <w:right w:val="single" w:sz="4" w:space="0" w:color="auto"/>
            </w:tcBorders>
            <w:shd w:val="clear" w:color="auto" w:fill="auto"/>
            <w:noWrap/>
            <w:vAlign w:val="center"/>
            <w:hideMark/>
          </w:tcPr>
          <w:p w14:paraId="0AEC8267" w14:textId="77777777" w:rsidR="00DC5538" w:rsidRPr="00DC5538" w:rsidRDefault="00DC5538" w:rsidP="00B826B9">
            <w:pPr>
              <w:tabs>
                <w:tab w:val="decimal" w:pos="211"/>
              </w:tabs>
              <w:spacing w:after="0" w:line="240" w:lineRule="auto"/>
              <w:jc w:val="center"/>
              <w:rPr>
                <w:color w:val="000000"/>
                <w:sz w:val="20"/>
                <w:szCs w:val="20"/>
              </w:rPr>
            </w:pPr>
            <w:r w:rsidRPr="00DC5538">
              <w:rPr>
                <w:color w:val="000000"/>
                <w:sz w:val="20"/>
                <w:szCs w:val="20"/>
              </w:rPr>
              <w:t>89</w:t>
            </w:r>
          </w:p>
        </w:tc>
        <w:tc>
          <w:tcPr>
            <w:tcW w:w="720" w:type="dxa"/>
            <w:tcBorders>
              <w:top w:val="single" w:sz="6" w:space="0" w:color="auto"/>
              <w:left w:val="single" w:sz="4" w:space="0" w:color="auto"/>
              <w:bottom w:val="nil"/>
              <w:right w:val="single" w:sz="12" w:space="0" w:color="auto"/>
            </w:tcBorders>
            <w:shd w:val="clear" w:color="auto" w:fill="auto"/>
            <w:noWrap/>
            <w:vAlign w:val="center"/>
            <w:hideMark/>
          </w:tcPr>
          <w:p w14:paraId="2E535434" w14:textId="779A3995" w:rsidR="00DC5538" w:rsidRPr="00DC5538" w:rsidRDefault="00195E78" w:rsidP="00B826B9">
            <w:pPr>
              <w:spacing w:after="0" w:line="240" w:lineRule="auto"/>
              <w:jc w:val="center"/>
              <w:rPr>
                <w:color w:val="000000"/>
                <w:sz w:val="20"/>
                <w:szCs w:val="20"/>
              </w:rPr>
            </w:pPr>
            <w:r>
              <w:rPr>
                <w:color w:val="000000"/>
                <w:sz w:val="20"/>
                <w:szCs w:val="20"/>
              </w:rPr>
              <w:t xml:space="preserve">  </w:t>
            </w:r>
            <w:r w:rsidR="00DC5538" w:rsidRPr="00DC5538">
              <w:rPr>
                <w:color w:val="000000"/>
                <w:sz w:val="20"/>
                <w:szCs w:val="20"/>
              </w:rPr>
              <w:t>2</w:t>
            </w:r>
            <w:r>
              <w:rPr>
                <w:color w:val="000000"/>
                <w:sz w:val="20"/>
                <w:szCs w:val="20"/>
              </w:rPr>
              <w:t>.</w:t>
            </w:r>
            <w:r w:rsidR="00DC5538" w:rsidRPr="00DC5538">
              <w:rPr>
                <w:color w:val="000000"/>
                <w:sz w:val="20"/>
                <w:szCs w:val="20"/>
              </w:rPr>
              <w:t>67</w:t>
            </w:r>
          </w:p>
        </w:tc>
      </w:tr>
      <w:tr w:rsidR="00B826B9" w:rsidRPr="00DC5538" w14:paraId="3BE130DC" w14:textId="77777777" w:rsidTr="00B826B9">
        <w:trPr>
          <w:trHeight w:val="288"/>
          <w:jc w:val="center"/>
        </w:trPr>
        <w:tc>
          <w:tcPr>
            <w:tcW w:w="2060" w:type="dxa"/>
            <w:tcBorders>
              <w:top w:val="nil"/>
              <w:left w:val="single" w:sz="12" w:space="0" w:color="auto"/>
              <w:bottom w:val="nil"/>
              <w:right w:val="single" w:sz="12" w:space="0" w:color="auto"/>
            </w:tcBorders>
            <w:shd w:val="clear" w:color="auto" w:fill="auto"/>
            <w:noWrap/>
            <w:vAlign w:val="center"/>
            <w:hideMark/>
          </w:tcPr>
          <w:p w14:paraId="10D0925C" w14:textId="77777777" w:rsidR="00DC5538" w:rsidRPr="00DC5538" w:rsidRDefault="00DC5538" w:rsidP="00B826B9">
            <w:pPr>
              <w:spacing w:after="0" w:line="240" w:lineRule="auto"/>
              <w:rPr>
                <w:color w:val="000000"/>
                <w:sz w:val="20"/>
                <w:szCs w:val="20"/>
              </w:rPr>
            </w:pPr>
            <w:r w:rsidRPr="00DC5538">
              <w:rPr>
                <w:color w:val="000000"/>
                <w:sz w:val="20"/>
                <w:szCs w:val="20"/>
              </w:rPr>
              <w:t>Age</w:t>
            </w:r>
          </w:p>
        </w:tc>
        <w:tc>
          <w:tcPr>
            <w:tcW w:w="2430" w:type="dxa"/>
            <w:tcBorders>
              <w:top w:val="nil"/>
              <w:left w:val="single" w:sz="12" w:space="0" w:color="auto"/>
              <w:bottom w:val="nil"/>
              <w:right w:val="nil"/>
            </w:tcBorders>
            <w:shd w:val="clear" w:color="auto" w:fill="auto"/>
            <w:noWrap/>
            <w:vAlign w:val="center"/>
            <w:hideMark/>
          </w:tcPr>
          <w:p w14:paraId="2C8B9C8E" w14:textId="77777777" w:rsidR="00DC5538" w:rsidRPr="00DC5538" w:rsidRDefault="00DC5538" w:rsidP="00B826B9">
            <w:pPr>
              <w:spacing w:after="0" w:line="240" w:lineRule="auto"/>
              <w:rPr>
                <w:color w:val="000000"/>
                <w:sz w:val="20"/>
                <w:szCs w:val="20"/>
              </w:rPr>
            </w:pPr>
            <w:r w:rsidRPr="00DC5538">
              <w:rPr>
                <w:color w:val="000000"/>
                <w:sz w:val="20"/>
                <w:szCs w:val="20"/>
              </w:rPr>
              <w:t>18-24</w:t>
            </w:r>
          </w:p>
        </w:tc>
        <w:tc>
          <w:tcPr>
            <w:tcW w:w="2430" w:type="dxa"/>
            <w:tcBorders>
              <w:top w:val="nil"/>
              <w:left w:val="nil"/>
              <w:bottom w:val="nil"/>
              <w:right w:val="single" w:sz="12" w:space="0" w:color="auto"/>
            </w:tcBorders>
            <w:shd w:val="clear" w:color="auto" w:fill="auto"/>
            <w:noWrap/>
            <w:vAlign w:val="center"/>
            <w:hideMark/>
          </w:tcPr>
          <w:p w14:paraId="0301B1DB" w14:textId="77777777" w:rsidR="00DC5538" w:rsidRPr="00DC5538" w:rsidRDefault="00DC5538" w:rsidP="00B826B9">
            <w:pPr>
              <w:spacing w:after="0" w:line="240" w:lineRule="auto"/>
              <w:rPr>
                <w:color w:val="000000"/>
                <w:sz w:val="20"/>
                <w:szCs w:val="20"/>
              </w:rPr>
            </w:pPr>
            <w:r w:rsidRPr="00DC5538">
              <w:rPr>
                <w:color w:val="000000"/>
                <w:sz w:val="20"/>
                <w:szCs w:val="20"/>
              </w:rPr>
              <w:t>65 or Older</w:t>
            </w:r>
          </w:p>
        </w:tc>
        <w:tc>
          <w:tcPr>
            <w:tcW w:w="990" w:type="dxa"/>
            <w:tcBorders>
              <w:top w:val="nil"/>
              <w:left w:val="single" w:sz="12" w:space="0" w:color="auto"/>
              <w:bottom w:val="nil"/>
              <w:right w:val="single" w:sz="12" w:space="0" w:color="auto"/>
            </w:tcBorders>
            <w:shd w:val="clear" w:color="auto" w:fill="auto"/>
            <w:noWrap/>
            <w:vAlign w:val="center"/>
            <w:hideMark/>
          </w:tcPr>
          <w:p w14:paraId="7310CFDC" w14:textId="77777777" w:rsidR="00DC5538" w:rsidRPr="00DC5538" w:rsidRDefault="00DC5538" w:rsidP="00B826B9">
            <w:pPr>
              <w:tabs>
                <w:tab w:val="decimal" w:pos="211"/>
              </w:tabs>
              <w:spacing w:after="0" w:line="240" w:lineRule="auto"/>
              <w:jc w:val="center"/>
              <w:rPr>
                <w:color w:val="000000"/>
                <w:sz w:val="20"/>
                <w:szCs w:val="20"/>
              </w:rPr>
            </w:pPr>
            <w:r w:rsidRPr="00DC5538">
              <w:rPr>
                <w:color w:val="000000"/>
                <w:sz w:val="20"/>
                <w:szCs w:val="20"/>
              </w:rPr>
              <w:t>1.07</w:t>
            </w:r>
          </w:p>
        </w:tc>
        <w:tc>
          <w:tcPr>
            <w:tcW w:w="990" w:type="dxa"/>
            <w:tcBorders>
              <w:top w:val="nil"/>
              <w:left w:val="single" w:sz="12" w:space="0" w:color="auto"/>
              <w:bottom w:val="nil"/>
              <w:right w:val="single" w:sz="12" w:space="0" w:color="auto"/>
            </w:tcBorders>
            <w:shd w:val="clear" w:color="auto" w:fill="auto"/>
            <w:noWrap/>
            <w:vAlign w:val="center"/>
            <w:hideMark/>
          </w:tcPr>
          <w:p w14:paraId="670318B1" w14:textId="77777777" w:rsidR="00DC5538" w:rsidRPr="00DC5538" w:rsidRDefault="00DC5538" w:rsidP="00B826B9">
            <w:pPr>
              <w:tabs>
                <w:tab w:val="decimal" w:pos="211"/>
              </w:tabs>
              <w:spacing w:after="0" w:line="240" w:lineRule="auto"/>
              <w:jc w:val="center"/>
              <w:rPr>
                <w:color w:val="000000"/>
                <w:sz w:val="20"/>
                <w:szCs w:val="20"/>
              </w:rPr>
            </w:pPr>
            <w:r w:rsidRPr="00DC5538">
              <w:rPr>
                <w:color w:val="000000"/>
                <w:sz w:val="20"/>
                <w:szCs w:val="20"/>
              </w:rPr>
              <w:t>-0.64</w:t>
            </w:r>
          </w:p>
        </w:tc>
        <w:tc>
          <w:tcPr>
            <w:tcW w:w="1170" w:type="dxa"/>
            <w:tcBorders>
              <w:top w:val="nil"/>
              <w:left w:val="single" w:sz="12" w:space="0" w:color="auto"/>
              <w:bottom w:val="nil"/>
              <w:right w:val="nil"/>
            </w:tcBorders>
            <w:shd w:val="clear" w:color="auto" w:fill="auto"/>
            <w:noWrap/>
            <w:vAlign w:val="center"/>
            <w:hideMark/>
          </w:tcPr>
          <w:p w14:paraId="7CD7331C" w14:textId="77777777" w:rsidR="00DC5538" w:rsidRPr="00DC5538" w:rsidRDefault="00DC5538" w:rsidP="00B826B9">
            <w:pPr>
              <w:tabs>
                <w:tab w:val="decimal" w:pos="211"/>
              </w:tabs>
              <w:spacing w:after="0" w:line="240" w:lineRule="auto"/>
              <w:jc w:val="center"/>
              <w:rPr>
                <w:color w:val="000000"/>
                <w:sz w:val="20"/>
                <w:szCs w:val="20"/>
              </w:rPr>
            </w:pPr>
            <w:r w:rsidRPr="00DC5538">
              <w:rPr>
                <w:color w:val="000000"/>
                <w:sz w:val="20"/>
                <w:szCs w:val="20"/>
              </w:rPr>
              <w:t>-20</w:t>
            </w:r>
          </w:p>
        </w:tc>
        <w:tc>
          <w:tcPr>
            <w:tcW w:w="1440" w:type="dxa"/>
            <w:tcBorders>
              <w:top w:val="nil"/>
              <w:left w:val="nil"/>
              <w:bottom w:val="nil"/>
              <w:right w:val="nil"/>
            </w:tcBorders>
            <w:shd w:val="clear" w:color="auto" w:fill="auto"/>
            <w:noWrap/>
            <w:vAlign w:val="center"/>
            <w:hideMark/>
          </w:tcPr>
          <w:p w14:paraId="66D0C031" w14:textId="77777777" w:rsidR="00DC5538" w:rsidRPr="00DC5538" w:rsidRDefault="00DC5538" w:rsidP="00B826B9">
            <w:pPr>
              <w:tabs>
                <w:tab w:val="decimal" w:pos="211"/>
              </w:tabs>
              <w:spacing w:after="0" w:line="240" w:lineRule="auto"/>
              <w:jc w:val="center"/>
              <w:rPr>
                <w:color w:val="000000"/>
                <w:sz w:val="20"/>
                <w:szCs w:val="20"/>
              </w:rPr>
            </w:pPr>
            <w:r w:rsidRPr="00DC5538">
              <w:rPr>
                <w:color w:val="000000"/>
                <w:sz w:val="20"/>
                <w:szCs w:val="20"/>
              </w:rPr>
              <w:t>4</w:t>
            </w:r>
          </w:p>
        </w:tc>
        <w:tc>
          <w:tcPr>
            <w:tcW w:w="1170" w:type="dxa"/>
            <w:tcBorders>
              <w:top w:val="nil"/>
              <w:left w:val="nil"/>
              <w:bottom w:val="nil"/>
              <w:right w:val="single" w:sz="4" w:space="0" w:color="auto"/>
            </w:tcBorders>
            <w:shd w:val="clear" w:color="auto" w:fill="auto"/>
            <w:noWrap/>
            <w:vAlign w:val="center"/>
            <w:hideMark/>
          </w:tcPr>
          <w:p w14:paraId="7169FDED" w14:textId="77777777" w:rsidR="00DC5538" w:rsidRPr="00DC5538" w:rsidRDefault="00DC5538" w:rsidP="00B826B9">
            <w:pPr>
              <w:tabs>
                <w:tab w:val="decimal" w:pos="211"/>
              </w:tabs>
              <w:spacing w:after="0" w:line="240" w:lineRule="auto"/>
              <w:jc w:val="center"/>
              <w:rPr>
                <w:color w:val="000000"/>
                <w:sz w:val="20"/>
                <w:szCs w:val="20"/>
              </w:rPr>
            </w:pPr>
            <w:r w:rsidRPr="00DC5538">
              <w:rPr>
                <w:color w:val="000000"/>
                <w:sz w:val="20"/>
                <w:szCs w:val="20"/>
              </w:rPr>
              <w:t>76</w:t>
            </w:r>
          </w:p>
        </w:tc>
        <w:tc>
          <w:tcPr>
            <w:tcW w:w="720" w:type="dxa"/>
            <w:tcBorders>
              <w:top w:val="nil"/>
              <w:left w:val="single" w:sz="4" w:space="0" w:color="auto"/>
              <w:bottom w:val="nil"/>
              <w:right w:val="single" w:sz="12" w:space="0" w:color="auto"/>
            </w:tcBorders>
            <w:shd w:val="clear" w:color="auto" w:fill="auto"/>
            <w:noWrap/>
            <w:vAlign w:val="center"/>
            <w:hideMark/>
          </w:tcPr>
          <w:p w14:paraId="0A3F5D0B" w14:textId="4A343961" w:rsidR="00DC5538" w:rsidRPr="00DC5538" w:rsidRDefault="00195E78" w:rsidP="00B826B9">
            <w:pPr>
              <w:spacing w:after="0" w:line="240" w:lineRule="auto"/>
              <w:jc w:val="center"/>
              <w:rPr>
                <w:color w:val="000000"/>
                <w:sz w:val="20"/>
                <w:szCs w:val="20"/>
              </w:rPr>
            </w:pPr>
            <w:r>
              <w:rPr>
                <w:color w:val="000000"/>
                <w:sz w:val="20"/>
                <w:szCs w:val="20"/>
              </w:rPr>
              <w:t xml:space="preserve">  </w:t>
            </w:r>
            <w:r w:rsidR="00DC5538" w:rsidRPr="00DC5538">
              <w:rPr>
                <w:color w:val="000000"/>
                <w:sz w:val="20"/>
                <w:szCs w:val="20"/>
              </w:rPr>
              <w:t>4</w:t>
            </w:r>
            <w:r>
              <w:rPr>
                <w:color w:val="000000"/>
                <w:sz w:val="20"/>
                <w:szCs w:val="20"/>
              </w:rPr>
              <w:t>.</w:t>
            </w:r>
            <w:r w:rsidR="00DC5538" w:rsidRPr="00DC5538">
              <w:rPr>
                <w:color w:val="000000"/>
                <w:sz w:val="20"/>
                <w:szCs w:val="20"/>
              </w:rPr>
              <w:t>68</w:t>
            </w:r>
          </w:p>
        </w:tc>
      </w:tr>
      <w:tr w:rsidR="00B826B9" w:rsidRPr="00DC5538" w14:paraId="4C1524EB" w14:textId="77777777" w:rsidTr="00B826B9">
        <w:trPr>
          <w:trHeight w:val="288"/>
          <w:jc w:val="center"/>
        </w:trPr>
        <w:tc>
          <w:tcPr>
            <w:tcW w:w="2060" w:type="dxa"/>
            <w:tcBorders>
              <w:top w:val="nil"/>
              <w:left w:val="single" w:sz="12" w:space="0" w:color="auto"/>
              <w:bottom w:val="nil"/>
              <w:right w:val="single" w:sz="12" w:space="0" w:color="auto"/>
            </w:tcBorders>
            <w:shd w:val="clear" w:color="auto" w:fill="auto"/>
            <w:noWrap/>
            <w:vAlign w:val="center"/>
            <w:hideMark/>
          </w:tcPr>
          <w:p w14:paraId="491C34CC" w14:textId="77777777" w:rsidR="00DC5538" w:rsidRPr="00DC5538" w:rsidRDefault="00DC5538" w:rsidP="00B826B9">
            <w:pPr>
              <w:spacing w:after="0" w:line="240" w:lineRule="auto"/>
              <w:rPr>
                <w:color w:val="000000"/>
                <w:sz w:val="20"/>
                <w:szCs w:val="20"/>
              </w:rPr>
            </w:pPr>
            <w:r w:rsidRPr="00DC5538">
              <w:rPr>
                <w:color w:val="000000"/>
                <w:sz w:val="20"/>
                <w:szCs w:val="20"/>
              </w:rPr>
              <w:t>Employment</w:t>
            </w:r>
          </w:p>
        </w:tc>
        <w:tc>
          <w:tcPr>
            <w:tcW w:w="2430" w:type="dxa"/>
            <w:tcBorders>
              <w:top w:val="nil"/>
              <w:left w:val="single" w:sz="12" w:space="0" w:color="auto"/>
              <w:bottom w:val="nil"/>
              <w:right w:val="nil"/>
            </w:tcBorders>
            <w:shd w:val="clear" w:color="auto" w:fill="auto"/>
            <w:noWrap/>
            <w:vAlign w:val="center"/>
            <w:hideMark/>
          </w:tcPr>
          <w:p w14:paraId="5A225DE2" w14:textId="77777777" w:rsidR="00DC5538" w:rsidRPr="00DC5538" w:rsidRDefault="00DC5538" w:rsidP="00B826B9">
            <w:pPr>
              <w:spacing w:after="0" w:line="240" w:lineRule="auto"/>
              <w:rPr>
                <w:color w:val="000000"/>
                <w:sz w:val="20"/>
                <w:szCs w:val="20"/>
              </w:rPr>
            </w:pPr>
            <w:r w:rsidRPr="00DC5538">
              <w:rPr>
                <w:color w:val="000000"/>
                <w:sz w:val="20"/>
                <w:szCs w:val="20"/>
              </w:rPr>
              <w:t>Employed</w:t>
            </w:r>
          </w:p>
        </w:tc>
        <w:tc>
          <w:tcPr>
            <w:tcW w:w="2430" w:type="dxa"/>
            <w:tcBorders>
              <w:top w:val="nil"/>
              <w:left w:val="nil"/>
              <w:bottom w:val="nil"/>
              <w:right w:val="single" w:sz="12" w:space="0" w:color="auto"/>
            </w:tcBorders>
            <w:shd w:val="clear" w:color="auto" w:fill="auto"/>
            <w:noWrap/>
            <w:vAlign w:val="center"/>
            <w:hideMark/>
          </w:tcPr>
          <w:p w14:paraId="737896E4" w14:textId="77777777" w:rsidR="00DC5538" w:rsidRPr="00DC5538" w:rsidRDefault="00DC5538" w:rsidP="00B826B9">
            <w:pPr>
              <w:spacing w:after="0" w:line="240" w:lineRule="auto"/>
              <w:rPr>
                <w:color w:val="000000"/>
                <w:sz w:val="20"/>
                <w:szCs w:val="20"/>
              </w:rPr>
            </w:pPr>
            <w:r w:rsidRPr="00DC5538">
              <w:rPr>
                <w:color w:val="000000"/>
                <w:sz w:val="20"/>
                <w:szCs w:val="20"/>
              </w:rPr>
              <w:t>Retired</w:t>
            </w:r>
          </w:p>
        </w:tc>
        <w:tc>
          <w:tcPr>
            <w:tcW w:w="990" w:type="dxa"/>
            <w:tcBorders>
              <w:top w:val="nil"/>
              <w:left w:val="single" w:sz="12" w:space="0" w:color="auto"/>
              <w:bottom w:val="nil"/>
              <w:right w:val="single" w:sz="12" w:space="0" w:color="auto"/>
            </w:tcBorders>
            <w:shd w:val="clear" w:color="auto" w:fill="auto"/>
            <w:noWrap/>
            <w:vAlign w:val="center"/>
            <w:hideMark/>
          </w:tcPr>
          <w:p w14:paraId="7441A954" w14:textId="77777777" w:rsidR="00DC5538" w:rsidRPr="00DC5538" w:rsidRDefault="00DC5538" w:rsidP="00B826B9">
            <w:pPr>
              <w:tabs>
                <w:tab w:val="decimal" w:pos="211"/>
              </w:tabs>
              <w:spacing w:after="0" w:line="240" w:lineRule="auto"/>
              <w:jc w:val="center"/>
              <w:rPr>
                <w:color w:val="000000"/>
                <w:sz w:val="20"/>
                <w:szCs w:val="20"/>
              </w:rPr>
            </w:pPr>
            <w:r w:rsidRPr="00DC5538">
              <w:rPr>
                <w:color w:val="000000"/>
                <w:sz w:val="20"/>
                <w:szCs w:val="20"/>
              </w:rPr>
              <w:t>0.00</w:t>
            </w:r>
          </w:p>
        </w:tc>
        <w:tc>
          <w:tcPr>
            <w:tcW w:w="990" w:type="dxa"/>
            <w:tcBorders>
              <w:top w:val="nil"/>
              <w:left w:val="single" w:sz="12" w:space="0" w:color="auto"/>
              <w:bottom w:val="nil"/>
              <w:right w:val="single" w:sz="12" w:space="0" w:color="auto"/>
            </w:tcBorders>
            <w:shd w:val="clear" w:color="auto" w:fill="auto"/>
            <w:noWrap/>
            <w:vAlign w:val="center"/>
            <w:hideMark/>
          </w:tcPr>
          <w:p w14:paraId="1609E923" w14:textId="77777777" w:rsidR="00DC5538" w:rsidRPr="00DC5538" w:rsidRDefault="00DC5538" w:rsidP="00B826B9">
            <w:pPr>
              <w:tabs>
                <w:tab w:val="decimal" w:pos="211"/>
              </w:tabs>
              <w:spacing w:after="0" w:line="240" w:lineRule="auto"/>
              <w:jc w:val="center"/>
              <w:rPr>
                <w:color w:val="000000"/>
                <w:sz w:val="20"/>
                <w:szCs w:val="20"/>
              </w:rPr>
            </w:pPr>
            <w:r w:rsidRPr="00DC5538">
              <w:rPr>
                <w:color w:val="000000"/>
                <w:sz w:val="20"/>
                <w:szCs w:val="20"/>
              </w:rPr>
              <w:t>-0.91</w:t>
            </w:r>
          </w:p>
        </w:tc>
        <w:tc>
          <w:tcPr>
            <w:tcW w:w="1170" w:type="dxa"/>
            <w:tcBorders>
              <w:top w:val="nil"/>
              <w:left w:val="single" w:sz="12" w:space="0" w:color="auto"/>
              <w:bottom w:val="nil"/>
              <w:right w:val="nil"/>
            </w:tcBorders>
            <w:shd w:val="clear" w:color="auto" w:fill="auto"/>
            <w:noWrap/>
            <w:vAlign w:val="center"/>
            <w:hideMark/>
          </w:tcPr>
          <w:p w14:paraId="1541B3AB" w14:textId="77777777" w:rsidR="00DC5538" w:rsidRPr="00DC5538" w:rsidRDefault="00DC5538" w:rsidP="00B826B9">
            <w:pPr>
              <w:tabs>
                <w:tab w:val="decimal" w:pos="211"/>
              </w:tabs>
              <w:spacing w:after="0" w:line="240" w:lineRule="auto"/>
              <w:jc w:val="center"/>
              <w:rPr>
                <w:color w:val="000000"/>
                <w:sz w:val="20"/>
                <w:szCs w:val="20"/>
              </w:rPr>
            </w:pPr>
            <w:r w:rsidRPr="00DC5538">
              <w:rPr>
                <w:color w:val="000000"/>
                <w:sz w:val="20"/>
                <w:szCs w:val="20"/>
              </w:rPr>
              <w:t>0</w:t>
            </w:r>
          </w:p>
        </w:tc>
        <w:tc>
          <w:tcPr>
            <w:tcW w:w="1440" w:type="dxa"/>
            <w:tcBorders>
              <w:top w:val="nil"/>
              <w:left w:val="nil"/>
              <w:bottom w:val="nil"/>
              <w:right w:val="nil"/>
            </w:tcBorders>
            <w:shd w:val="clear" w:color="auto" w:fill="auto"/>
            <w:noWrap/>
            <w:vAlign w:val="center"/>
            <w:hideMark/>
          </w:tcPr>
          <w:p w14:paraId="14965355" w14:textId="77777777" w:rsidR="00DC5538" w:rsidRPr="00DC5538" w:rsidRDefault="00DC5538" w:rsidP="00B826B9">
            <w:pPr>
              <w:tabs>
                <w:tab w:val="decimal" w:pos="211"/>
              </w:tabs>
              <w:spacing w:after="0" w:line="240" w:lineRule="auto"/>
              <w:jc w:val="center"/>
              <w:rPr>
                <w:color w:val="000000"/>
                <w:sz w:val="20"/>
                <w:szCs w:val="20"/>
              </w:rPr>
            </w:pPr>
            <w:r w:rsidRPr="00DC5538">
              <w:rPr>
                <w:color w:val="000000"/>
                <w:sz w:val="20"/>
                <w:szCs w:val="20"/>
              </w:rPr>
              <w:t>100</w:t>
            </w:r>
          </w:p>
        </w:tc>
        <w:tc>
          <w:tcPr>
            <w:tcW w:w="1170" w:type="dxa"/>
            <w:tcBorders>
              <w:top w:val="nil"/>
              <w:left w:val="nil"/>
              <w:bottom w:val="nil"/>
              <w:right w:val="single" w:sz="4" w:space="0" w:color="auto"/>
            </w:tcBorders>
            <w:shd w:val="clear" w:color="auto" w:fill="auto"/>
            <w:noWrap/>
            <w:vAlign w:val="center"/>
            <w:hideMark/>
          </w:tcPr>
          <w:p w14:paraId="66079DCC" w14:textId="77777777" w:rsidR="00DC5538" w:rsidRPr="00DC5538" w:rsidRDefault="00DC5538" w:rsidP="00B826B9">
            <w:pPr>
              <w:tabs>
                <w:tab w:val="decimal" w:pos="211"/>
              </w:tabs>
              <w:spacing w:after="0" w:line="240" w:lineRule="auto"/>
              <w:jc w:val="center"/>
              <w:rPr>
                <w:color w:val="000000"/>
                <w:sz w:val="20"/>
                <w:szCs w:val="20"/>
              </w:rPr>
            </w:pPr>
            <w:r w:rsidRPr="00DC5538">
              <w:rPr>
                <w:color w:val="000000"/>
                <w:sz w:val="20"/>
                <w:szCs w:val="20"/>
              </w:rPr>
              <w:t>0</w:t>
            </w:r>
          </w:p>
        </w:tc>
        <w:tc>
          <w:tcPr>
            <w:tcW w:w="720" w:type="dxa"/>
            <w:tcBorders>
              <w:top w:val="nil"/>
              <w:left w:val="single" w:sz="4" w:space="0" w:color="auto"/>
              <w:bottom w:val="nil"/>
              <w:right w:val="single" w:sz="12" w:space="0" w:color="auto"/>
            </w:tcBorders>
            <w:shd w:val="clear" w:color="auto" w:fill="auto"/>
            <w:noWrap/>
            <w:vAlign w:val="center"/>
            <w:hideMark/>
          </w:tcPr>
          <w:p w14:paraId="4D3D849C" w14:textId="5D8A1F6A" w:rsidR="00DC5538" w:rsidRPr="00DC5538" w:rsidRDefault="00195E78" w:rsidP="00B826B9">
            <w:pPr>
              <w:spacing w:after="0" w:line="240" w:lineRule="auto"/>
              <w:jc w:val="center"/>
              <w:rPr>
                <w:color w:val="000000"/>
                <w:sz w:val="20"/>
                <w:szCs w:val="20"/>
              </w:rPr>
            </w:pPr>
            <w:r>
              <w:rPr>
                <w:color w:val="000000"/>
                <w:sz w:val="20"/>
                <w:szCs w:val="20"/>
              </w:rPr>
              <w:t xml:space="preserve">  </w:t>
            </w:r>
            <w:r w:rsidR="00DC5538" w:rsidRPr="00DC5538">
              <w:rPr>
                <w:color w:val="000000"/>
                <w:sz w:val="20"/>
                <w:szCs w:val="20"/>
              </w:rPr>
              <w:t>0.45</w:t>
            </w:r>
          </w:p>
        </w:tc>
      </w:tr>
      <w:tr w:rsidR="00B826B9" w:rsidRPr="00DC5538" w14:paraId="559536C8" w14:textId="77777777" w:rsidTr="00B826B9">
        <w:trPr>
          <w:trHeight w:val="288"/>
          <w:jc w:val="center"/>
        </w:trPr>
        <w:tc>
          <w:tcPr>
            <w:tcW w:w="2060" w:type="dxa"/>
            <w:tcBorders>
              <w:top w:val="nil"/>
              <w:left w:val="single" w:sz="12" w:space="0" w:color="auto"/>
              <w:bottom w:val="nil"/>
              <w:right w:val="single" w:sz="12" w:space="0" w:color="auto"/>
            </w:tcBorders>
            <w:shd w:val="clear" w:color="auto" w:fill="auto"/>
            <w:noWrap/>
            <w:vAlign w:val="center"/>
            <w:hideMark/>
          </w:tcPr>
          <w:p w14:paraId="623639D0" w14:textId="77777777" w:rsidR="00DC5538" w:rsidRPr="00DC5538" w:rsidRDefault="00DC5538" w:rsidP="00B826B9">
            <w:pPr>
              <w:spacing w:after="0" w:line="240" w:lineRule="auto"/>
              <w:rPr>
                <w:color w:val="000000"/>
                <w:sz w:val="20"/>
                <w:szCs w:val="20"/>
              </w:rPr>
            </w:pPr>
            <w:r w:rsidRPr="00DC5538">
              <w:rPr>
                <w:color w:val="000000"/>
                <w:sz w:val="20"/>
                <w:szCs w:val="20"/>
              </w:rPr>
              <w:t>Employment</w:t>
            </w:r>
          </w:p>
        </w:tc>
        <w:tc>
          <w:tcPr>
            <w:tcW w:w="2430" w:type="dxa"/>
            <w:tcBorders>
              <w:top w:val="nil"/>
              <w:left w:val="single" w:sz="12" w:space="0" w:color="auto"/>
              <w:bottom w:val="nil"/>
              <w:right w:val="nil"/>
            </w:tcBorders>
            <w:shd w:val="clear" w:color="auto" w:fill="auto"/>
            <w:noWrap/>
            <w:vAlign w:val="center"/>
            <w:hideMark/>
          </w:tcPr>
          <w:p w14:paraId="5554D6B9" w14:textId="77777777" w:rsidR="00DC5538" w:rsidRPr="00DC5538" w:rsidRDefault="00DC5538" w:rsidP="00B826B9">
            <w:pPr>
              <w:spacing w:after="0" w:line="240" w:lineRule="auto"/>
              <w:rPr>
                <w:color w:val="000000"/>
                <w:sz w:val="20"/>
                <w:szCs w:val="20"/>
              </w:rPr>
            </w:pPr>
            <w:r w:rsidRPr="00DC5538">
              <w:rPr>
                <w:color w:val="000000"/>
                <w:sz w:val="20"/>
                <w:szCs w:val="20"/>
              </w:rPr>
              <w:t>Employed</w:t>
            </w:r>
          </w:p>
        </w:tc>
        <w:tc>
          <w:tcPr>
            <w:tcW w:w="2430" w:type="dxa"/>
            <w:tcBorders>
              <w:top w:val="nil"/>
              <w:left w:val="nil"/>
              <w:bottom w:val="nil"/>
              <w:right w:val="single" w:sz="12" w:space="0" w:color="auto"/>
            </w:tcBorders>
            <w:shd w:val="clear" w:color="auto" w:fill="auto"/>
            <w:noWrap/>
            <w:vAlign w:val="center"/>
            <w:hideMark/>
          </w:tcPr>
          <w:p w14:paraId="32BE6235" w14:textId="77777777" w:rsidR="00DC5538" w:rsidRPr="00DC5538" w:rsidRDefault="00DC5538" w:rsidP="00B826B9">
            <w:pPr>
              <w:spacing w:after="0" w:line="240" w:lineRule="auto"/>
              <w:rPr>
                <w:color w:val="000000"/>
                <w:sz w:val="20"/>
                <w:szCs w:val="20"/>
              </w:rPr>
            </w:pPr>
            <w:r w:rsidRPr="00DC5538">
              <w:rPr>
                <w:color w:val="000000"/>
                <w:sz w:val="20"/>
                <w:szCs w:val="20"/>
              </w:rPr>
              <w:t>Unemployed</w:t>
            </w:r>
          </w:p>
        </w:tc>
        <w:tc>
          <w:tcPr>
            <w:tcW w:w="990" w:type="dxa"/>
            <w:tcBorders>
              <w:top w:val="nil"/>
              <w:left w:val="single" w:sz="12" w:space="0" w:color="auto"/>
              <w:bottom w:val="nil"/>
              <w:right w:val="single" w:sz="12" w:space="0" w:color="auto"/>
            </w:tcBorders>
            <w:shd w:val="clear" w:color="auto" w:fill="auto"/>
            <w:noWrap/>
            <w:vAlign w:val="center"/>
            <w:hideMark/>
          </w:tcPr>
          <w:p w14:paraId="4CCA4D6A" w14:textId="77777777" w:rsidR="00DC5538" w:rsidRPr="00DC5538" w:rsidRDefault="00DC5538" w:rsidP="00B826B9">
            <w:pPr>
              <w:tabs>
                <w:tab w:val="decimal" w:pos="211"/>
              </w:tabs>
              <w:spacing w:after="0" w:line="240" w:lineRule="auto"/>
              <w:jc w:val="center"/>
              <w:rPr>
                <w:color w:val="000000"/>
                <w:sz w:val="20"/>
                <w:szCs w:val="20"/>
              </w:rPr>
            </w:pPr>
            <w:r w:rsidRPr="00DC5538">
              <w:rPr>
                <w:color w:val="000000"/>
                <w:sz w:val="20"/>
                <w:szCs w:val="20"/>
              </w:rPr>
              <w:t>0.00</w:t>
            </w:r>
          </w:p>
        </w:tc>
        <w:tc>
          <w:tcPr>
            <w:tcW w:w="990" w:type="dxa"/>
            <w:tcBorders>
              <w:top w:val="nil"/>
              <w:left w:val="single" w:sz="12" w:space="0" w:color="auto"/>
              <w:bottom w:val="nil"/>
              <w:right w:val="single" w:sz="12" w:space="0" w:color="auto"/>
            </w:tcBorders>
            <w:shd w:val="clear" w:color="auto" w:fill="auto"/>
            <w:noWrap/>
            <w:vAlign w:val="center"/>
            <w:hideMark/>
          </w:tcPr>
          <w:p w14:paraId="0808C443" w14:textId="77777777" w:rsidR="00DC5538" w:rsidRPr="00DC5538" w:rsidRDefault="00DC5538" w:rsidP="00B826B9">
            <w:pPr>
              <w:tabs>
                <w:tab w:val="decimal" w:pos="211"/>
              </w:tabs>
              <w:spacing w:after="0" w:line="240" w:lineRule="auto"/>
              <w:jc w:val="center"/>
              <w:rPr>
                <w:color w:val="000000"/>
                <w:sz w:val="20"/>
                <w:szCs w:val="20"/>
              </w:rPr>
            </w:pPr>
            <w:r w:rsidRPr="00DC5538">
              <w:rPr>
                <w:color w:val="000000"/>
                <w:sz w:val="20"/>
                <w:szCs w:val="20"/>
              </w:rPr>
              <w:t>-1.32</w:t>
            </w:r>
          </w:p>
        </w:tc>
        <w:tc>
          <w:tcPr>
            <w:tcW w:w="1170" w:type="dxa"/>
            <w:tcBorders>
              <w:top w:val="nil"/>
              <w:left w:val="single" w:sz="12" w:space="0" w:color="auto"/>
              <w:bottom w:val="nil"/>
              <w:right w:val="nil"/>
            </w:tcBorders>
            <w:shd w:val="clear" w:color="auto" w:fill="auto"/>
            <w:noWrap/>
            <w:vAlign w:val="center"/>
            <w:hideMark/>
          </w:tcPr>
          <w:p w14:paraId="535DEF44" w14:textId="77777777" w:rsidR="00DC5538" w:rsidRPr="00DC5538" w:rsidRDefault="00DC5538" w:rsidP="00B826B9">
            <w:pPr>
              <w:tabs>
                <w:tab w:val="decimal" w:pos="211"/>
              </w:tabs>
              <w:spacing w:after="0" w:line="240" w:lineRule="auto"/>
              <w:jc w:val="center"/>
              <w:rPr>
                <w:color w:val="000000"/>
                <w:sz w:val="20"/>
                <w:szCs w:val="20"/>
              </w:rPr>
            </w:pPr>
            <w:r w:rsidRPr="00DC5538">
              <w:rPr>
                <w:color w:val="000000"/>
                <w:sz w:val="20"/>
                <w:szCs w:val="20"/>
              </w:rPr>
              <w:t>0</w:t>
            </w:r>
          </w:p>
        </w:tc>
        <w:tc>
          <w:tcPr>
            <w:tcW w:w="1440" w:type="dxa"/>
            <w:tcBorders>
              <w:top w:val="nil"/>
              <w:left w:val="nil"/>
              <w:bottom w:val="nil"/>
              <w:right w:val="nil"/>
            </w:tcBorders>
            <w:shd w:val="clear" w:color="auto" w:fill="auto"/>
            <w:noWrap/>
            <w:vAlign w:val="center"/>
            <w:hideMark/>
          </w:tcPr>
          <w:p w14:paraId="55B0F4FE" w14:textId="77777777" w:rsidR="00DC5538" w:rsidRPr="00DC5538" w:rsidRDefault="00DC5538" w:rsidP="00B826B9">
            <w:pPr>
              <w:tabs>
                <w:tab w:val="decimal" w:pos="211"/>
              </w:tabs>
              <w:spacing w:after="0" w:line="240" w:lineRule="auto"/>
              <w:jc w:val="center"/>
              <w:rPr>
                <w:color w:val="000000"/>
                <w:sz w:val="20"/>
                <w:szCs w:val="20"/>
              </w:rPr>
            </w:pPr>
            <w:r w:rsidRPr="00DC5538">
              <w:rPr>
                <w:color w:val="000000"/>
                <w:sz w:val="20"/>
                <w:szCs w:val="20"/>
              </w:rPr>
              <w:t>100</w:t>
            </w:r>
          </w:p>
        </w:tc>
        <w:tc>
          <w:tcPr>
            <w:tcW w:w="1170" w:type="dxa"/>
            <w:tcBorders>
              <w:top w:val="nil"/>
              <w:left w:val="nil"/>
              <w:bottom w:val="nil"/>
              <w:right w:val="single" w:sz="4" w:space="0" w:color="auto"/>
            </w:tcBorders>
            <w:shd w:val="clear" w:color="auto" w:fill="auto"/>
            <w:noWrap/>
            <w:vAlign w:val="center"/>
            <w:hideMark/>
          </w:tcPr>
          <w:p w14:paraId="00B3A6B1" w14:textId="77777777" w:rsidR="00DC5538" w:rsidRPr="00DC5538" w:rsidRDefault="00DC5538" w:rsidP="00B826B9">
            <w:pPr>
              <w:tabs>
                <w:tab w:val="decimal" w:pos="211"/>
              </w:tabs>
              <w:spacing w:after="0" w:line="240" w:lineRule="auto"/>
              <w:jc w:val="center"/>
              <w:rPr>
                <w:color w:val="000000"/>
                <w:sz w:val="20"/>
                <w:szCs w:val="20"/>
              </w:rPr>
            </w:pPr>
            <w:r w:rsidRPr="00DC5538">
              <w:rPr>
                <w:color w:val="000000"/>
                <w:sz w:val="20"/>
                <w:szCs w:val="20"/>
              </w:rPr>
              <w:t>0</w:t>
            </w:r>
          </w:p>
        </w:tc>
        <w:tc>
          <w:tcPr>
            <w:tcW w:w="720" w:type="dxa"/>
            <w:tcBorders>
              <w:top w:val="nil"/>
              <w:left w:val="single" w:sz="4" w:space="0" w:color="auto"/>
              <w:bottom w:val="nil"/>
              <w:right w:val="single" w:sz="12" w:space="0" w:color="auto"/>
            </w:tcBorders>
            <w:shd w:val="clear" w:color="auto" w:fill="auto"/>
            <w:noWrap/>
            <w:vAlign w:val="center"/>
            <w:hideMark/>
          </w:tcPr>
          <w:p w14:paraId="070E95CB" w14:textId="45688FE0" w:rsidR="00DC5538" w:rsidRPr="00DC5538" w:rsidRDefault="00195E78" w:rsidP="00B826B9">
            <w:pPr>
              <w:spacing w:after="0" w:line="240" w:lineRule="auto"/>
              <w:jc w:val="center"/>
              <w:rPr>
                <w:color w:val="000000"/>
                <w:sz w:val="20"/>
                <w:szCs w:val="20"/>
              </w:rPr>
            </w:pPr>
            <w:r>
              <w:rPr>
                <w:color w:val="000000"/>
                <w:sz w:val="20"/>
                <w:szCs w:val="20"/>
              </w:rPr>
              <w:t xml:space="preserve">  </w:t>
            </w:r>
            <w:r w:rsidR="00DC5538" w:rsidRPr="00DC5538">
              <w:rPr>
                <w:color w:val="000000"/>
                <w:sz w:val="20"/>
                <w:szCs w:val="20"/>
              </w:rPr>
              <w:t>0.66</w:t>
            </w:r>
          </w:p>
        </w:tc>
      </w:tr>
      <w:tr w:rsidR="00B826B9" w:rsidRPr="00DC5538" w14:paraId="679456AC" w14:textId="77777777" w:rsidTr="00B826B9">
        <w:trPr>
          <w:trHeight w:val="288"/>
          <w:jc w:val="center"/>
        </w:trPr>
        <w:tc>
          <w:tcPr>
            <w:tcW w:w="2060" w:type="dxa"/>
            <w:tcBorders>
              <w:top w:val="nil"/>
              <w:left w:val="single" w:sz="12" w:space="0" w:color="auto"/>
              <w:bottom w:val="nil"/>
              <w:right w:val="single" w:sz="12" w:space="0" w:color="auto"/>
            </w:tcBorders>
            <w:shd w:val="clear" w:color="auto" w:fill="auto"/>
            <w:noWrap/>
            <w:vAlign w:val="center"/>
            <w:hideMark/>
          </w:tcPr>
          <w:p w14:paraId="5863782D" w14:textId="77777777" w:rsidR="00DC5538" w:rsidRPr="00DC5538" w:rsidRDefault="00DC5538" w:rsidP="00B826B9">
            <w:pPr>
              <w:spacing w:after="0" w:line="240" w:lineRule="auto"/>
              <w:rPr>
                <w:color w:val="000000"/>
                <w:sz w:val="20"/>
                <w:szCs w:val="20"/>
              </w:rPr>
            </w:pPr>
            <w:r w:rsidRPr="00DC5538">
              <w:rPr>
                <w:color w:val="000000"/>
                <w:sz w:val="20"/>
                <w:szCs w:val="20"/>
              </w:rPr>
              <w:t>Race</w:t>
            </w:r>
          </w:p>
        </w:tc>
        <w:tc>
          <w:tcPr>
            <w:tcW w:w="2430" w:type="dxa"/>
            <w:tcBorders>
              <w:top w:val="nil"/>
              <w:left w:val="single" w:sz="12" w:space="0" w:color="auto"/>
              <w:bottom w:val="nil"/>
              <w:right w:val="nil"/>
            </w:tcBorders>
            <w:shd w:val="clear" w:color="auto" w:fill="auto"/>
            <w:noWrap/>
            <w:vAlign w:val="center"/>
            <w:hideMark/>
          </w:tcPr>
          <w:p w14:paraId="7B062C83" w14:textId="77777777" w:rsidR="00DC5538" w:rsidRPr="00DC5538" w:rsidRDefault="00DC5538" w:rsidP="00B826B9">
            <w:pPr>
              <w:spacing w:after="0" w:line="240" w:lineRule="auto"/>
              <w:rPr>
                <w:color w:val="000000"/>
                <w:sz w:val="20"/>
                <w:szCs w:val="20"/>
              </w:rPr>
            </w:pPr>
            <w:r w:rsidRPr="00DC5538">
              <w:rPr>
                <w:color w:val="000000"/>
                <w:sz w:val="20"/>
                <w:szCs w:val="20"/>
              </w:rPr>
              <w:t>White</w:t>
            </w:r>
          </w:p>
        </w:tc>
        <w:tc>
          <w:tcPr>
            <w:tcW w:w="2430" w:type="dxa"/>
            <w:tcBorders>
              <w:top w:val="nil"/>
              <w:left w:val="nil"/>
              <w:bottom w:val="nil"/>
              <w:right w:val="single" w:sz="12" w:space="0" w:color="auto"/>
            </w:tcBorders>
            <w:shd w:val="clear" w:color="auto" w:fill="auto"/>
            <w:noWrap/>
            <w:vAlign w:val="center"/>
            <w:hideMark/>
          </w:tcPr>
          <w:p w14:paraId="36E69972" w14:textId="77777777" w:rsidR="00DC5538" w:rsidRPr="00DC5538" w:rsidRDefault="00DC5538" w:rsidP="00B826B9">
            <w:pPr>
              <w:spacing w:after="0" w:line="240" w:lineRule="auto"/>
              <w:rPr>
                <w:color w:val="000000"/>
                <w:sz w:val="20"/>
                <w:szCs w:val="20"/>
              </w:rPr>
            </w:pPr>
            <w:r w:rsidRPr="00DC5538">
              <w:rPr>
                <w:color w:val="000000"/>
                <w:sz w:val="20"/>
                <w:szCs w:val="20"/>
              </w:rPr>
              <w:t>Black</w:t>
            </w:r>
          </w:p>
        </w:tc>
        <w:tc>
          <w:tcPr>
            <w:tcW w:w="990" w:type="dxa"/>
            <w:tcBorders>
              <w:top w:val="nil"/>
              <w:left w:val="single" w:sz="12" w:space="0" w:color="auto"/>
              <w:bottom w:val="nil"/>
              <w:right w:val="single" w:sz="12" w:space="0" w:color="auto"/>
            </w:tcBorders>
            <w:shd w:val="clear" w:color="auto" w:fill="auto"/>
            <w:noWrap/>
            <w:vAlign w:val="center"/>
            <w:hideMark/>
          </w:tcPr>
          <w:p w14:paraId="47998DFE" w14:textId="77777777" w:rsidR="00DC5538" w:rsidRPr="00DC5538" w:rsidRDefault="00DC5538" w:rsidP="00B826B9">
            <w:pPr>
              <w:tabs>
                <w:tab w:val="decimal" w:pos="211"/>
              </w:tabs>
              <w:spacing w:after="0" w:line="240" w:lineRule="auto"/>
              <w:jc w:val="center"/>
              <w:rPr>
                <w:color w:val="000000"/>
                <w:sz w:val="20"/>
                <w:szCs w:val="20"/>
              </w:rPr>
            </w:pPr>
            <w:r w:rsidRPr="00DC5538">
              <w:rPr>
                <w:color w:val="000000"/>
                <w:sz w:val="20"/>
                <w:szCs w:val="20"/>
              </w:rPr>
              <w:t>0.00</w:t>
            </w:r>
          </w:p>
        </w:tc>
        <w:tc>
          <w:tcPr>
            <w:tcW w:w="990" w:type="dxa"/>
            <w:tcBorders>
              <w:top w:val="nil"/>
              <w:left w:val="single" w:sz="12" w:space="0" w:color="auto"/>
              <w:bottom w:val="nil"/>
              <w:right w:val="single" w:sz="12" w:space="0" w:color="auto"/>
            </w:tcBorders>
            <w:shd w:val="clear" w:color="auto" w:fill="auto"/>
            <w:noWrap/>
            <w:vAlign w:val="center"/>
            <w:hideMark/>
          </w:tcPr>
          <w:p w14:paraId="68E93278" w14:textId="77777777" w:rsidR="00DC5538" w:rsidRPr="00DC5538" w:rsidRDefault="00DC5538" w:rsidP="00B826B9">
            <w:pPr>
              <w:tabs>
                <w:tab w:val="decimal" w:pos="211"/>
              </w:tabs>
              <w:spacing w:after="0" w:line="240" w:lineRule="auto"/>
              <w:jc w:val="center"/>
              <w:rPr>
                <w:color w:val="000000"/>
                <w:sz w:val="20"/>
                <w:szCs w:val="20"/>
              </w:rPr>
            </w:pPr>
            <w:r w:rsidRPr="00DC5538">
              <w:rPr>
                <w:color w:val="000000"/>
                <w:sz w:val="20"/>
                <w:szCs w:val="20"/>
              </w:rPr>
              <w:t>-0.49</w:t>
            </w:r>
          </w:p>
        </w:tc>
        <w:tc>
          <w:tcPr>
            <w:tcW w:w="1170" w:type="dxa"/>
            <w:tcBorders>
              <w:top w:val="nil"/>
              <w:left w:val="single" w:sz="12" w:space="0" w:color="auto"/>
              <w:bottom w:val="nil"/>
              <w:right w:val="nil"/>
            </w:tcBorders>
            <w:shd w:val="clear" w:color="auto" w:fill="auto"/>
            <w:noWrap/>
            <w:vAlign w:val="center"/>
            <w:hideMark/>
          </w:tcPr>
          <w:p w14:paraId="554226B2" w14:textId="77777777" w:rsidR="00DC5538" w:rsidRPr="00DC5538" w:rsidRDefault="00DC5538" w:rsidP="00B826B9">
            <w:pPr>
              <w:tabs>
                <w:tab w:val="decimal" w:pos="211"/>
              </w:tabs>
              <w:spacing w:after="0" w:line="240" w:lineRule="auto"/>
              <w:jc w:val="center"/>
              <w:rPr>
                <w:color w:val="000000"/>
                <w:sz w:val="20"/>
                <w:szCs w:val="20"/>
              </w:rPr>
            </w:pPr>
            <w:r w:rsidRPr="00DC5538">
              <w:rPr>
                <w:color w:val="000000"/>
                <w:sz w:val="20"/>
                <w:szCs w:val="20"/>
              </w:rPr>
              <w:t>0</w:t>
            </w:r>
          </w:p>
        </w:tc>
        <w:tc>
          <w:tcPr>
            <w:tcW w:w="1440" w:type="dxa"/>
            <w:tcBorders>
              <w:top w:val="nil"/>
              <w:left w:val="nil"/>
              <w:bottom w:val="nil"/>
              <w:right w:val="nil"/>
            </w:tcBorders>
            <w:shd w:val="clear" w:color="auto" w:fill="auto"/>
            <w:noWrap/>
            <w:vAlign w:val="center"/>
            <w:hideMark/>
          </w:tcPr>
          <w:p w14:paraId="65D3533A" w14:textId="77777777" w:rsidR="00DC5538" w:rsidRPr="00DC5538" w:rsidRDefault="00DC5538" w:rsidP="00B826B9">
            <w:pPr>
              <w:tabs>
                <w:tab w:val="decimal" w:pos="211"/>
              </w:tabs>
              <w:spacing w:after="0" w:line="240" w:lineRule="auto"/>
              <w:jc w:val="center"/>
              <w:rPr>
                <w:color w:val="000000"/>
                <w:sz w:val="20"/>
                <w:szCs w:val="20"/>
              </w:rPr>
            </w:pPr>
            <w:r w:rsidRPr="00DC5538">
              <w:rPr>
                <w:color w:val="000000"/>
                <w:sz w:val="20"/>
                <w:szCs w:val="20"/>
              </w:rPr>
              <w:t>3</w:t>
            </w:r>
          </w:p>
        </w:tc>
        <w:tc>
          <w:tcPr>
            <w:tcW w:w="1170" w:type="dxa"/>
            <w:tcBorders>
              <w:top w:val="nil"/>
              <w:left w:val="nil"/>
              <w:bottom w:val="nil"/>
              <w:right w:val="single" w:sz="4" w:space="0" w:color="auto"/>
            </w:tcBorders>
            <w:shd w:val="clear" w:color="auto" w:fill="auto"/>
            <w:noWrap/>
            <w:vAlign w:val="center"/>
            <w:hideMark/>
          </w:tcPr>
          <w:p w14:paraId="772CCCBB" w14:textId="77777777" w:rsidR="00DC5538" w:rsidRPr="00DC5538" w:rsidRDefault="00DC5538" w:rsidP="00B826B9">
            <w:pPr>
              <w:tabs>
                <w:tab w:val="decimal" w:pos="211"/>
              </w:tabs>
              <w:spacing w:after="0" w:line="240" w:lineRule="auto"/>
              <w:jc w:val="center"/>
              <w:rPr>
                <w:color w:val="000000"/>
                <w:sz w:val="20"/>
                <w:szCs w:val="20"/>
              </w:rPr>
            </w:pPr>
            <w:r w:rsidRPr="00DC5538">
              <w:rPr>
                <w:color w:val="000000"/>
                <w:sz w:val="20"/>
                <w:szCs w:val="20"/>
              </w:rPr>
              <w:t>97</w:t>
            </w:r>
          </w:p>
        </w:tc>
        <w:tc>
          <w:tcPr>
            <w:tcW w:w="720" w:type="dxa"/>
            <w:tcBorders>
              <w:top w:val="nil"/>
              <w:left w:val="single" w:sz="4" w:space="0" w:color="auto"/>
              <w:bottom w:val="nil"/>
              <w:right w:val="single" w:sz="12" w:space="0" w:color="auto"/>
            </w:tcBorders>
            <w:shd w:val="clear" w:color="auto" w:fill="auto"/>
            <w:noWrap/>
            <w:vAlign w:val="center"/>
            <w:hideMark/>
          </w:tcPr>
          <w:p w14:paraId="0CB71B05" w14:textId="44FD07C1" w:rsidR="00DC5538" w:rsidRPr="00DC5538" w:rsidRDefault="00195E78" w:rsidP="00B826B9">
            <w:pPr>
              <w:spacing w:after="0" w:line="240" w:lineRule="auto"/>
              <w:jc w:val="center"/>
              <w:rPr>
                <w:color w:val="000000"/>
                <w:sz w:val="20"/>
                <w:szCs w:val="20"/>
              </w:rPr>
            </w:pPr>
            <w:r>
              <w:rPr>
                <w:color w:val="000000"/>
                <w:sz w:val="20"/>
                <w:szCs w:val="20"/>
              </w:rPr>
              <w:t xml:space="preserve">  7.</w:t>
            </w:r>
            <w:r w:rsidR="00DC5538" w:rsidRPr="00DC5538">
              <w:rPr>
                <w:color w:val="000000"/>
                <w:sz w:val="20"/>
                <w:szCs w:val="20"/>
              </w:rPr>
              <w:t>09</w:t>
            </w:r>
          </w:p>
        </w:tc>
      </w:tr>
      <w:tr w:rsidR="00B826B9" w:rsidRPr="00DC5538" w14:paraId="33765546" w14:textId="77777777" w:rsidTr="00B826B9">
        <w:trPr>
          <w:trHeight w:val="288"/>
          <w:jc w:val="center"/>
        </w:trPr>
        <w:tc>
          <w:tcPr>
            <w:tcW w:w="2060" w:type="dxa"/>
            <w:tcBorders>
              <w:top w:val="nil"/>
              <w:left w:val="single" w:sz="12" w:space="0" w:color="auto"/>
              <w:bottom w:val="nil"/>
              <w:right w:val="single" w:sz="12" w:space="0" w:color="auto"/>
            </w:tcBorders>
            <w:shd w:val="clear" w:color="auto" w:fill="auto"/>
            <w:noWrap/>
            <w:vAlign w:val="center"/>
            <w:hideMark/>
          </w:tcPr>
          <w:p w14:paraId="40CDE5BE" w14:textId="77777777" w:rsidR="00DC5538" w:rsidRPr="00DC5538" w:rsidRDefault="00DC5538" w:rsidP="00B826B9">
            <w:pPr>
              <w:spacing w:after="0" w:line="240" w:lineRule="auto"/>
              <w:rPr>
                <w:color w:val="000000"/>
                <w:sz w:val="20"/>
                <w:szCs w:val="20"/>
              </w:rPr>
            </w:pPr>
            <w:r w:rsidRPr="00DC5538">
              <w:rPr>
                <w:color w:val="000000"/>
                <w:sz w:val="20"/>
                <w:szCs w:val="20"/>
              </w:rPr>
              <w:t>Race</w:t>
            </w:r>
          </w:p>
        </w:tc>
        <w:tc>
          <w:tcPr>
            <w:tcW w:w="2430" w:type="dxa"/>
            <w:tcBorders>
              <w:top w:val="nil"/>
              <w:left w:val="single" w:sz="12" w:space="0" w:color="auto"/>
              <w:bottom w:val="nil"/>
              <w:right w:val="nil"/>
            </w:tcBorders>
            <w:shd w:val="clear" w:color="auto" w:fill="auto"/>
            <w:noWrap/>
            <w:vAlign w:val="center"/>
            <w:hideMark/>
          </w:tcPr>
          <w:p w14:paraId="35F37B06" w14:textId="77777777" w:rsidR="00DC5538" w:rsidRPr="00DC5538" w:rsidRDefault="00DC5538" w:rsidP="00B826B9">
            <w:pPr>
              <w:spacing w:after="0" w:line="240" w:lineRule="auto"/>
              <w:rPr>
                <w:color w:val="000000"/>
                <w:sz w:val="20"/>
                <w:szCs w:val="20"/>
              </w:rPr>
            </w:pPr>
            <w:r w:rsidRPr="00DC5538">
              <w:rPr>
                <w:color w:val="000000"/>
                <w:sz w:val="20"/>
                <w:szCs w:val="20"/>
              </w:rPr>
              <w:t>White</w:t>
            </w:r>
          </w:p>
        </w:tc>
        <w:tc>
          <w:tcPr>
            <w:tcW w:w="2430" w:type="dxa"/>
            <w:tcBorders>
              <w:top w:val="nil"/>
              <w:left w:val="nil"/>
              <w:bottom w:val="nil"/>
              <w:right w:val="single" w:sz="12" w:space="0" w:color="auto"/>
            </w:tcBorders>
            <w:shd w:val="clear" w:color="auto" w:fill="auto"/>
            <w:noWrap/>
            <w:vAlign w:val="center"/>
            <w:hideMark/>
          </w:tcPr>
          <w:p w14:paraId="58C35637" w14:textId="77777777" w:rsidR="00DC5538" w:rsidRPr="00DC5538" w:rsidRDefault="00DC5538" w:rsidP="00B826B9">
            <w:pPr>
              <w:spacing w:after="0" w:line="240" w:lineRule="auto"/>
              <w:rPr>
                <w:color w:val="000000"/>
                <w:sz w:val="20"/>
                <w:szCs w:val="20"/>
              </w:rPr>
            </w:pPr>
            <w:r w:rsidRPr="00DC5538">
              <w:rPr>
                <w:color w:val="000000"/>
                <w:sz w:val="20"/>
                <w:szCs w:val="20"/>
              </w:rPr>
              <w:t>Asian</w:t>
            </w:r>
          </w:p>
        </w:tc>
        <w:tc>
          <w:tcPr>
            <w:tcW w:w="990" w:type="dxa"/>
            <w:tcBorders>
              <w:top w:val="nil"/>
              <w:left w:val="single" w:sz="12" w:space="0" w:color="auto"/>
              <w:bottom w:val="nil"/>
              <w:right w:val="single" w:sz="12" w:space="0" w:color="auto"/>
            </w:tcBorders>
            <w:shd w:val="clear" w:color="auto" w:fill="auto"/>
            <w:noWrap/>
            <w:vAlign w:val="center"/>
            <w:hideMark/>
          </w:tcPr>
          <w:p w14:paraId="58CF6F4B" w14:textId="77777777" w:rsidR="00DC5538" w:rsidRPr="00DC5538" w:rsidRDefault="00DC5538" w:rsidP="00B826B9">
            <w:pPr>
              <w:tabs>
                <w:tab w:val="decimal" w:pos="211"/>
              </w:tabs>
              <w:spacing w:after="0" w:line="240" w:lineRule="auto"/>
              <w:jc w:val="center"/>
              <w:rPr>
                <w:color w:val="000000"/>
                <w:sz w:val="20"/>
                <w:szCs w:val="20"/>
              </w:rPr>
            </w:pPr>
            <w:r w:rsidRPr="00DC5538">
              <w:rPr>
                <w:color w:val="000000"/>
                <w:sz w:val="20"/>
                <w:szCs w:val="20"/>
              </w:rPr>
              <w:t>0.00</w:t>
            </w:r>
          </w:p>
        </w:tc>
        <w:tc>
          <w:tcPr>
            <w:tcW w:w="990" w:type="dxa"/>
            <w:tcBorders>
              <w:top w:val="nil"/>
              <w:left w:val="single" w:sz="12" w:space="0" w:color="auto"/>
              <w:bottom w:val="nil"/>
              <w:right w:val="single" w:sz="12" w:space="0" w:color="auto"/>
            </w:tcBorders>
            <w:shd w:val="clear" w:color="auto" w:fill="auto"/>
            <w:noWrap/>
            <w:vAlign w:val="center"/>
            <w:hideMark/>
          </w:tcPr>
          <w:p w14:paraId="28ED7EFE" w14:textId="77777777" w:rsidR="00DC5538" w:rsidRPr="00DC5538" w:rsidRDefault="00DC5538" w:rsidP="00B826B9">
            <w:pPr>
              <w:tabs>
                <w:tab w:val="decimal" w:pos="211"/>
              </w:tabs>
              <w:spacing w:after="0" w:line="240" w:lineRule="auto"/>
              <w:jc w:val="center"/>
              <w:rPr>
                <w:color w:val="000000"/>
                <w:sz w:val="20"/>
                <w:szCs w:val="20"/>
              </w:rPr>
            </w:pPr>
            <w:r w:rsidRPr="00DC5538">
              <w:rPr>
                <w:color w:val="000000"/>
                <w:sz w:val="20"/>
                <w:szCs w:val="20"/>
              </w:rPr>
              <w:t>-0.68</w:t>
            </w:r>
          </w:p>
        </w:tc>
        <w:tc>
          <w:tcPr>
            <w:tcW w:w="1170" w:type="dxa"/>
            <w:tcBorders>
              <w:top w:val="nil"/>
              <w:left w:val="single" w:sz="12" w:space="0" w:color="auto"/>
              <w:bottom w:val="nil"/>
              <w:right w:val="nil"/>
            </w:tcBorders>
            <w:shd w:val="clear" w:color="auto" w:fill="auto"/>
            <w:noWrap/>
            <w:vAlign w:val="center"/>
            <w:hideMark/>
          </w:tcPr>
          <w:p w14:paraId="3A2D9B95" w14:textId="77777777" w:rsidR="00DC5538" w:rsidRPr="00DC5538" w:rsidRDefault="00DC5538" w:rsidP="00B826B9">
            <w:pPr>
              <w:tabs>
                <w:tab w:val="decimal" w:pos="211"/>
              </w:tabs>
              <w:spacing w:after="0" w:line="240" w:lineRule="auto"/>
              <w:jc w:val="center"/>
              <w:rPr>
                <w:color w:val="000000"/>
                <w:sz w:val="20"/>
                <w:szCs w:val="20"/>
              </w:rPr>
            </w:pPr>
            <w:r w:rsidRPr="00DC5538">
              <w:rPr>
                <w:color w:val="000000"/>
                <w:sz w:val="20"/>
                <w:szCs w:val="20"/>
              </w:rPr>
              <w:t>0</w:t>
            </w:r>
          </w:p>
        </w:tc>
        <w:tc>
          <w:tcPr>
            <w:tcW w:w="1440" w:type="dxa"/>
            <w:tcBorders>
              <w:top w:val="nil"/>
              <w:left w:val="nil"/>
              <w:bottom w:val="nil"/>
              <w:right w:val="nil"/>
            </w:tcBorders>
            <w:shd w:val="clear" w:color="auto" w:fill="auto"/>
            <w:noWrap/>
            <w:vAlign w:val="center"/>
            <w:hideMark/>
          </w:tcPr>
          <w:p w14:paraId="02B67DA5" w14:textId="77777777" w:rsidR="00DC5538" w:rsidRPr="00DC5538" w:rsidRDefault="00DC5538" w:rsidP="00B826B9">
            <w:pPr>
              <w:tabs>
                <w:tab w:val="decimal" w:pos="211"/>
              </w:tabs>
              <w:spacing w:after="0" w:line="240" w:lineRule="auto"/>
              <w:jc w:val="center"/>
              <w:rPr>
                <w:color w:val="000000"/>
                <w:sz w:val="20"/>
                <w:szCs w:val="20"/>
              </w:rPr>
            </w:pPr>
            <w:r w:rsidRPr="00DC5538">
              <w:rPr>
                <w:color w:val="000000"/>
                <w:sz w:val="20"/>
                <w:szCs w:val="20"/>
              </w:rPr>
              <w:t>6</w:t>
            </w:r>
          </w:p>
        </w:tc>
        <w:tc>
          <w:tcPr>
            <w:tcW w:w="1170" w:type="dxa"/>
            <w:tcBorders>
              <w:top w:val="nil"/>
              <w:left w:val="nil"/>
              <w:bottom w:val="nil"/>
              <w:right w:val="single" w:sz="4" w:space="0" w:color="auto"/>
            </w:tcBorders>
            <w:shd w:val="clear" w:color="auto" w:fill="auto"/>
            <w:noWrap/>
            <w:vAlign w:val="center"/>
            <w:hideMark/>
          </w:tcPr>
          <w:p w14:paraId="2DFEE69A" w14:textId="77777777" w:rsidR="00DC5538" w:rsidRPr="00DC5538" w:rsidRDefault="00DC5538" w:rsidP="00B826B9">
            <w:pPr>
              <w:tabs>
                <w:tab w:val="decimal" w:pos="211"/>
              </w:tabs>
              <w:spacing w:after="0" w:line="240" w:lineRule="auto"/>
              <w:jc w:val="center"/>
              <w:rPr>
                <w:color w:val="000000"/>
                <w:sz w:val="20"/>
                <w:szCs w:val="20"/>
              </w:rPr>
            </w:pPr>
            <w:r w:rsidRPr="00DC5538">
              <w:rPr>
                <w:color w:val="000000"/>
                <w:sz w:val="20"/>
                <w:szCs w:val="20"/>
              </w:rPr>
              <w:t>94</w:t>
            </w:r>
          </w:p>
        </w:tc>
        <w:tc>
          <w:tcPr>
            <w:tcW w:w="720" w:type="dxa"/>
            <w:tcBorders>
              <w:top w:val="nil"/>
              <w:left w:val="single" w:sz="4" w:space="0" w:color="auto"/>
              <w:bottom w:val="nil"/>
              <w:right w:val="single" w:sz="12" w:space="0" w:color="auto"/>
            </w:tcBorders>
            <w:shd w:val="clear" w:color="auto" w:fill="auto"/>
            <w:noWrap/>
            <w:vAlign w:val="center"/>
            <w:hideMark/>
          </w:tcPr>
          <w:p w14:paraId="26E17C9D" w14:textId="732062DB" w:rsidR="00DC5538" w:rsidRPr="00DC5538" w:rsidRDefault="00195E78" w:rsidP="00B826B9">
            <w:pPr>
              <w:spacing w:after="0" w:line="240" w:lineRule="auto"/>
              <w:jc w:val="center"/>
              <w:rPr>
                <w:color w:val="000000"/>
                <w:sz w:val="20"/>
                <w:szCs w:val="20"/>
              </w:rPr>
            </w:pPr>
            <w:r>
              <w:rPr>
                <w:color w:val="000000"/>
                <w:sz w:val="20"/>
                <w:szCs w:val="20"/>
              </w:rPr>
              <w:t xml:space="preserve">  </w:t>
            </w:r>
            <w:r w:rsidR="00DC5538" w:rsidRPr="00DC5538">
              <w:rPr>
                <w:color w:val="000000"/>
                <w:sz w:val="20"/>
                <w:szCs w:val="20"/>
              </w:rPr>
              <w:t>6</w:t>
            </w:r>
            <w:r>
              <w:rPr>
                <w:color w:val="000000"/>
                <w:sz w:val="20"/>
                <w:szCs w:val="20"/>
              </w:rPr>
              <w:t>.</w:t>
            </w:r>
            <w:r w:rsidR="00DC5538" w:rsidRPr="00DC5538">
              <w:rPr>
                <w:color w:val="000000"/>
                <w:sz w:val="20"/>
                <w:szCs w:val="20"/>
              </w:rPr>
              <w:t>10</w:t>
            </w:r>
          </w:p>
        </w:tc>
      </w:tr>
      <w:tr w:rsidR="00B826B9" w:rsidRPr="00DC5538" w14:paraId="6A600DC6" w14:textId="77777777" w:rsidTr="00B826B9">
        <w:trPr>
          <w:trHeight w:val="288"/>
          <w:jc w:val="center"/>
        </w:trPr>
        <w:tc>
          <w:tcPr>
            <w:tcW w:w="2060" w:type="dxa"/>
            <w:tcBorders>
              <w:top w:val="nil"/>
              <w:left w:val="single" w:sz="12" w:space="0" w:color="auto"/>
              <w:bottom w:val="nil"/>
              <w:right w:val="single" w:sz="12" w:space="0" w:color="auto"/>
            </w:tcBorders>
            <w:shd w:val="clear" w:color="auto" w:fill="auto"/>
            <w:noWrap/>
            <w:vAlign w:val="center"/>
            <w:hideMark/>
          </w:tcPr>
          <w:p w14:paraId="5DB227C8" w14:textId="77777777" w:rsidR="00DC5538" w:rsidRPr="00DC5538" w:rsidRDefault="00DC5538" w:rsidP="00B826B9">
            <w:pPr>
              <w:spacing w:after="0" w:line="240" w:lineRule="auto"/>
              <w:rPr>
                <w:color w:val="000000"/>
                <w:sz w:val="20"/>
                <w:szCs w:val="20"/>
              </w:rPr>
            </w:pPr>
            <w:r w:rsidRPr="00DC5538">
              <w:rPr>
                <w:color w:val="000000"/>
                <w:sz w:val="20"/>
                <w:szCs w:val="20"/>
              </w:rPr>
              <w:t>Race</w:t>
            </w:r>
          </w:p>
        </w:tc>
        <w:tc>
          <w:tcPr>
            <w:tcW w:w="2430" w:type="dxa"/>
            <w:tcBorders>
              <w:top w:val="nil"/>
              <w:left w:val="single" w:sz="12" w:space="0" w:color="auto"/>
              <w:bottom w:val="nil"/>
              <w:right w:val="nil"/>
            </w:tcBorders>
            <w:shd w:val="clear" w:color="auto" w:fill="auto"/>
            <w:noWrap/>
            <w:vAlign w:val="center"/>
            <w:hideMark/>
          </w:tcPr>
          <w:p w14:paraId="16AD1D31" w14:textId="77777777" w:rsidR="00DC5538" w:rsidRPr="00DC5538" w:rsidRDefault="00DC5538" w:rsidP="00B826B9">
            <w:pPr>
              <w:spacing w:after="0" w:line="240" w:lineRule="auto"/>
              <w:rPr>
                <w:color w:val="000000"/>
                <w:sz w:val="20"/>
                <w:szCs w:val="20"/>
              </w:rPr>
            </w:pPr>
            <w:r w:rsidRPr="00DC5538">
              <w:rPr>
                <w:color w:val="000000"/>
                <w:sz w:val="20"/>
                <w:szCs w:val="20"/>
              </w:rPr>
              <w:t>White</w:t>
            </w:r>
          </w:p>
        </w:tc>
        <w:tc>
          <w:tcPr>
            <w:tcW w:w="2430" w:type="dxa"/>
            <w:tcBorders>
              <w:top w:val="nil"/>
              <w:left w:val="nil"/>
              <w:bottom w:val="nil"/>
              <w:right w:val="single" w:sz="12" w:space="0" w:color="auto"/>
            </w:tcBorders>
            <w:shd w:val="clear" w:color="auto" w:fill="auto"/>
            <w:noWrap/>
            <w:vAlign w:val="center"/>
            <w:hideMark/>
          </w:tcPr>
          <w:p w14:paraId="0A45AC1B" w14:textId="77777777" w:rsidR="00DC5538" w:rsidRPr="00DC5538" w:rsidRDefault="00DC5538" w:rsidP="00B826B9">
            <w:pPr>
              <w:spacing w:after="0" w:line="240" w:lineRule="auto"/>
              <w:rPr>
                <w:color w:val="000000"/>
                <w:sz w:val="20"/>
                <w:szCs w:val="20"/>
              </w:rPr>
            </w:pPr>
            <w:r w:rsidRPr="00DC5538">
              <w:rPr>
                <w:color w:val="000000"/>
                <w:sz w:val="20"/>
                <w:szCs w:val="20"/>
              </w:rPr>
              <w:t>Other</w:t>
            </w:r>
          </w:p>
        </w:tc>
        <w:tc>
          <w:tcPr>
            <w:tcW w:w="990" w:type="dxa"/>
            <w:tcBorders>
              <w:top w:val="nil"/>
              <w:left w:val="single" w:sz="12" w:space="0" w:color="auto"/>
              <w:bottom w:val="nil"/>
              <w:right w:val="single" w:sz="12" w:space="0" w:color="auto"/>
            </w:tcBorders>
            <w:shd w:val="clear" w:color="auto" w:fill="auto"/>
            <w:noWrap/>
            <w:vAlign w:val="center"/>
            <w:hideMark/>
          </w:tcPr>
          <w:p w14:paraId="2DE85057" w14:textId="77777777" w:rsidR="00DC5538" w:rsidRPr="00DC5538" w:rsidRDefault="00DC5538" w:rsidP="00B826B9">
            <w:pPr>
              <w:tabs>
                <w:tab w:val="decimal" w:pos="211"/>
              </w:tabs>
              <w:spacing w:after="0" w:line="240" w:lineRule="auto"/>
              <w:jc w:val="center"/>
              <w:rPr>
                <w:color w:val="000000"/>
                <w:sz w:val="20"/>
                <w:szCs w:val="20"/>
              </w:rPr>
            </w:pPr>
            <w:r w:rsidRPr="00DC5538">
              <w:rPr>
                <w:color w:val="000000"/>
                <w:sz w:val="20"/>
                <w:szCs w:val="20"/>
              </w:rPr>
              <w:t>0.00</w:t>
            </w:r>
          </w:p>
        </w:tc>
        <w:tc>
          <w:tcPr>
            <w:tcW w:w="990" w:type="dxa"/>
            <w:tcBorders>
              <w:top w:val="nil"/>
              <w:left w:val="single" w:sz="12" w:space="0" w:color="auto"/>
              <w:bottom w:val="nil"/>
              <w:right w:val="single" w:sz="12" w:space="0" w:color="auto"/>
            </w:tcBorders>
            <w:shd w:val="clear" w:color="auto" w:fill="auto"/>
            <w:noWrap/>
            <w:vAlign w:val="center"/>
            <w:hideMark/>
          </w:tcPr>
          <w:p w14:paraId="445EECDA" w14:textId="77777777" w:rsidR="00DC5538" w:rsidRPr="00DC5538" w:rsidRDefault="00DC5538" w:rsidP="00B826B9">
            <w:pPr>
              <w:tabs>
                <w:tab w:val="decimal" w:pos="211"/>
              </w:tabs>
              <w:spacing w:after="0" w:line="240" w:lineRule="auto"/>
              <w:jc w:val="center"/>
              <w:rPr>
                <w:color w:val="000000"/>
                <w:sz w:val="20"/>
                <w:szCs w:val="20"/>
              </w:rPr>
            </w:pPr>
            <w:r w:rsidRPr="00DC5538">
              <w:rPr>
                <w:color w:val="000000"/>
                <w:sz w:val="20"/>
                <w:szCs w:val="20"/>
              </w:rPr>
              <w:t>-0.65</w:t>
            </w:r>
          </w:p>
        </w:tc>
        <w:tc>
          <w:tcPr>
            <w:tcW w:w="1170" w:type="dxa"/>
            <w:tcBorders>
              <w:top w:val="nil"/>
              <w:left w:val="single" w:sz="12" w:space="0" w:color="auto"/>
              <w:bottom w:val="nil"/>
              <w:right w:val="nil"/>
            </w:tcBorders>
            <w:shd w:val="clear" w:color="auto" w:fill="auto"/>
            <w:noWrap/>
            <w:vAlign w:val="center"/>
            <w:hideMark/>
          </w:tcPr>
          <w:p w14:paraId="08B13978" w14:textId="77777777" w:rsidR="00DC5538" w:rsidRPr="00DC5538" w:rsidRDefault="00DC5538" w:rsidP="00B826B9">
            <w:pPr>
              <w:tabs>
                <w:tab w:val="decimal" w:pos="211"/>
              </w:tabs>
              <w:spacing w:after="0" w:line="240" w:lineRule="auto"/>
              <w:jc w:val="center"/>
              <w:rPr>
                <w:color w:val="000000"/>
                <w:sz w:val="20"/>
                <w:szCs w:val="20"/>
              </w:rPr>
            </w:pPr>
            <w:r w:rsidRPr="00DC5538">
              <w:rPr>
                <w:color w:val="000000"/>
                <w:sz w:val="20"/>
                <w:szCs w:val="20"/>
              </w:rPr>
              <w:t>0</w:t>
            </w:r>
          </w:p>
        </w:tc>
        <w:tc>
          <w:tcPr>
            <w:tcW w:w="1440" w:type="dxa"/>
            <w:tcBorders>
              <w:top w:val="nil"/>
              <w:left w:val="nil"/>
              <w:bottom w:val="nil"/>
              <w:right w:val="nil"/>
            </w:tcBorders>
            <w:shd w:val="clear" w:color="auto" w:fill="auto"/>
            <w:noWrap/>
            <w:vAlign w:val="center"/>
            <w:hideMark/>
          </w:tcPr>
          <w:p w14:paraId="11F67502" w14:textId="77777777" w:rsidR="00DC5538" w:rsidRPr="00DC5538" w:rsidRDefault="00DC5538" w:rsidP="00B826B9">
            <w:pPr>
              <w:tabs>
                <w:tab w:val="decimal" w:pos="211"/>
              </w:tabs>
              <w:spacing w:after="0" w:line="240" w:lineRule="auto"/>
              <w:jc w:val="center"/>
              <w:rPr>
                <w:color w:val="000000"/>
                <w:sz w:val="20"/>
                <w:szCs w:val="20"/>
              </w:rPr>
            </w:pPr>
            <w:r w:rsidRPr="00DC5538">
              <w:rPr>
                <w:color w:val="000000"/>
                <w:sz w:val="20"/>
                <w:szCs w:val="20"/>
              </w:rPr>
              <w:t>8</w:t>
            </w:r>
          </w:p>
        </w:tc>
        <w:tc>
          <w:tcPr>
            <w:tcW w:w="1170" w:type="dxa"/>
            <w:tcBorders>
              <w:top w:val="nil"/>
              <w:left w:val="nil"/>
              <w:bottom w:val="nil"/>
              <w:right w:val="single" w:sz="4" w:space="0" w:color="auto"/>
            </w:tcBorders>
            <w:shd w:val="clear" w:color="auto" w:fill="auto"/>
            <w:noWrap/>
            <w:vAlign w:val="center"/>
            <w:hideMark/>
          </w:tcPr>
          <w:p w14:paraId="36F37AFC" w14:textId="77777777" w:rsidR="00DC5538" w:rsidRPr="00DC5538" w:rsidRDefault="00DC5538" w:rsidP="00B826B9">
            <w:pPr>
              <w:tabs>
                <w:tab w:val="decimal" w:pos="211"/>
              </w:tabs>
              <w:spacing w:after="0" w:line="240" w:lineRule="auto"/>
              <w:jc w:val="center"/>
              <w:rPr>
                <w:color w:val="000000"/>
                <w:sz w:val="20"/>
                <w:szCs w:val="20"/>
              </w:rPr>
            </w:pPr>
            <w:r w:rsidRPr="00DC5538">
              <w:rPr>
                <w:color w:val="000000"/>
                <w:sz w:val="20"/>
                <w:szCs w:val="20"/>
              </w:rPr>
              <w:t>92</w:t>
            </w:r>
          </w:p>
        </w:tc>
        <w:tc>
          <w:tcPr>
            <w:tcW w:w="720" w:type="dxa"/>
            <w:tcBorders>
              <w:top w:val="nil"/>
              <w:left w:val="single" w:sz="4" w:space="0" w:color="auto"/>
              <w:bottom w:val="nil"/>
              <w:right w:val="single" w:sz="12" w:space="0" w:color="auto"/>
            </w:tcBorders>
            <w:shd w:val="clear" w:color="auto" w:fill="auto"/>
            <w:noWrap/>
            <w:vAlign w:val="center"/>
            <w:hideMark/>
          </w:tcPr>
          <w:p w14:paraId="35C1E44C" w14:textId="7F3A4CC5" w:rsidR="00DC5538" w:rsidRPr="00DC5538" w:rsidRDefault="00195E78" w:rsidP="00B826B9">
            <w:pPr>
              <w:spacing w:after="0" w:line="240" w:lineRule="auto"/>
              <w:jc w:val="center"/>
              <w:rPr>
                <w:color w:val="000000"/>
                <w:sz w:val="20"/>
                <w:szCs w:val="20"/>
              </w:rPr>
            </w:pPr>
            <w:r>
              <w:rPr>
                <w:color w:val="000000"/>
                <w:sz w:val="20"/>
                <w:szCs w:val="20"/>
              </w:rPr>
              <w:t xml:space="preserve">  </w:t>
            </w:r>
            <w:r w:rsidR="00DC5538" w:rsidRPr="00DC5538">
              <w:rPr>
                <w:color w:val="000000"/>
                <w:sz w:val="20"/>
                <w:szCs w:val="20"/>
              </w:rPr>
              <w:t>4</w:t>
            </w:r>
            <w:r>
              <w:rPr>
                <w:color w:val="000000"/>
                <w:sz w:val="20"/>
                <w:szCs w:val="20"/>
              </w:rPr>
              <w:t>.</w:t>
            </w:r>
            <w:r w:rsidR="00DC5538" w:rsidRPr="00DC5538">
              <w:rPr>
                <w:color w:val="000000"/>
                <w:sz w:val="20"/>
                <w:szCs w:val="20"/>
              </w:rPr>
              <w:t>39</w:t>
            </w:r>
          </w:p>
        </w:tc>
      </w:tr>
      <w:tr w:rsidR="00B826B9" w:rsidRPr="00DC5538" w14:paraId="5AAE8E13" w14:textId="77777777" w:rsidTr="00B826B9">
        <w:trPr>
          <w:trHeight w:val="288"/>
          <w:jc w:val="center"/>
        </w:trPr>
        <w:tc>
          <w:tcPr>
            <w:tcW w:w="2060" w:type="dxa"/>
            <w:tcBorders>
              <w:top w:val="nil"/>
              <w:left w:val="single" w:sz="12" w:space="0" w:color="auto"/>
              <w:bottom w:val="nil"/>
              <w:right w:val="single" w:sz="12" w:space="0" w:color="auto"/>
            </w:tcBorders>
            <w:shd w:val="clear" w:color="auto" w:fill="auto"/>
            <w:noWrap/>
            <w:vAlign w:val="center"/>
            <w:hideMark/>
          </w:tcPr>
          <w:p w14:paraId="01FD60CA" w14:textId="77777777" w:rsidR="00DC5538" w:rsidRPr="00DC5538" w:rsidRDefault="00DC5538" w:rsidP="00B826B9">
            <w:pPr>
              <w:spacing w:after="0" w:line="240" w:lineRule="auto"/>
              <w:rPr>
                <w:color w:val="000000"/>
                <w:sz w:val="20"/>
                <w:szCs w:val="20"/>
              </w:rPr>
            </w:pPr>
            <w:r w:rsidRPr="00DC5538">
              <w:rPr>
                <w:color w:val="000000"/>
                <w:sz w:val="20"/>
                <w:szCs w:val="20"/>
              </w:rPr>
              <w:t>Educational Attainment</w:t>
            </w:r>
          </w:p>
        </w:tc>
        <w:tc>
          <w:tcPr>
            <w:tcW w:w="2430" w:type="dxa"/>
            <w:tcBorders>
              <w:top w:val="nil"/>
              <w:left w:val="single" w:sz="12" w:space="0" w:color="auto"/>
              <w:bottom w:val="nil"/>
              <w:right w:val="nil"/>
            </w:tcBorders>
            <w:shd w:val="clear" w:color="auto" w:fill="auto"/>
            <w:noWrap/>
            <w:vAlign w:val="center"/>
            <w:hideMark/>
          </w:tcPr>
          <w:p w14:paraId="7076E286" w14:textId="77777777" w:rsidR="00DC5538" w:rsidRPr="00DC5538" w:rsidRDefault="00DC5538" w:rsidP="00B826B9">
            <w:pPr>
              <w:spacing w:after="0" w:line="240" w:lineRule="auto"/>
              <w:rPr>
                <w:color w:val="000000"/>
                <w:sz w:val="20"/>
                <w:szCs w:val="20"/>
              </w:rPr>
            </w:pPr>
            <w:r w:rsidRPr="00DC5538">
              <w:rPr>
                <w:color w:val="000000"/>
                <w:sz w:val="20"/>
                <w:szCs w:val="20"/>
              </w:rPr>
              <w:t>No Diploma</w:t>
            </w:r>
          </w:p>
        </w:tc>
        <w:tc>
          <w:tcPr>
            <w:tcW w:w="2430" w:type="dxa"/>
            <w:tcBorders>
              <w:top w:val="nil"/>
              <w:left w:val="nil"/>
              <w:bottom w:val="nil"/>
              <w:right w:val="single" w:sz="12" w:space="0" w:color="auto"/>
            </w:tcBorders>
            <w:shd w:val="clear" w:color="auto" w:fill="auto"/>
            <w:noWrap/>
            <w:vAlign w:val="center"/>
            <w:hideMark/>
          </w:tcPr>
          <w:p w14:paraId="1BDD10EA" w14:textId="77777777" w:rsidR="00DC5538" w:rsidRPr="00DC5538" w:rsidRDefault="00DC5538" w:rsidP="00B826B9">
            <w:pPr>
              <w:spacing w:after="0" w:line="240" w:lineRule="auto"/>
              <w:rPr>
                <w:color w:val="000000"/>
                <w:sz w:val="20"/>
                <w:szCs w:val="20"/>
              </w:rPr>
            </w:pPr>
            <w:r w:rsidRPr="00DC5538">
              <w:rPr>
                <w:color w:val="000000"/>
                <w:sz w:val="20"/>
                <w:szCs w:val="20"/>
              </w:rPr>
              <w:t>Graduate Degree</w:t>
            </w:r>
          </w:p>
        </w:tc>
        <w:tc>
          <w:tcPr>
            <w:tcW w:w="990" w:type="dxa"/>
            <w:tcBorders>
              <w:top w:val="nil"/>
              <w:left w:val="single" w:sz="12" w:space="0" w:color="auto"/>
              <w:bottom w:val="nil"/>
              <w:right w:val="single" w:sz="12" w:space="0" w:color="auto"/>
            </w:tcBorders>
            <w:shd w:val="clear" w:color="auto" w:fill="auto"/>
            <w:noWrap/>
            <w:vAlign w:val="center"/>
            <w:hideMark/>
          </w:tcPr>
          <w:p w14:paraId="0ADEB083" w14:textId="77777777" w:rsidR="00DC5538" w:rsidRPr="00DC5538" w:rsidRDefault="00DC5538" w:rsidP="00B826B9">
            <w:pPr>
              <w:tabs>
                <w:tab w:val="decimal" w:pos="211"/>
              </w:tabs>
              <w:spacing w:after="0" w:line="240" w:lineRule="auto"/>
              <w:jc w:val="center"/>
              <w:rPr>
                <w:color w:val="000000"/>
                <w:sz w:val="20"/>
                <w:szCs w:val="20"/>
              </w:rPr>
            </w:pPr>
            <w:r w:rsidRPr="00DC5538">
              <w:rPr>
                <w:color w:val="000000"/>
                <w:sz w:val="20"/>
                <w:szCs w:val="20"/>
              </w:rPr>
              <w:t>1.35</w:t>
            </w:r>
          </w:p>
        </w:tc>
        <w:tc>
          <w:tcPr>
            <w:tcW w:w="990" w:type="dxa"/>
            <w:tcBorders>
              <w:top w:val="nil"/>
              <w:left w:val="single" w:sz="12" w:space="0" w:color="auto"/>
              <w:bottom w:val="nil"/>
              <w:right w:val="single" w:sz="12" w:space="0" w:color="auto"/>
            </w:tcBorders>
            <w:shd w:val="clear" w:color="auto" w:fill="auto"/>
            <w:noWrap/>
            <w:vAlign w:val="center"/>
            <w:hideMark/>
          </w:tcPr>
          <w:p w14:paraId="1C263A5A" w14:textId="77777777" w:rsidR="00DC5538" w:rsidRPr="00DC5538" w:rsidRDefault="00DC5538" w:rsidP="00B826B9">
            <w:pPr>
              <w:tabs>
                <w:tab w:val="decimal" w:pos="211"/>
              </w:tabs>
              <w:spacing w:after="0" w:line="240" w:lineRule="auto"/>
              <w:jc w:val="center"/>
              <w:rPr>
                <w:color w:val="000000"/>
                <w:sz w:val="20"/>
                <w:szCs w:val="20"/>
              </w:rPr>
            </w:pPr>
            <w:r w:rsidRPr="00DC5538">
              <w:rPr>
                <w:color w:val="000000"/>
                <w:sz w:val="20"/>
                <w:szCs w:val="20"/>
              </w:rPr>
              <w:t>2.75</w:t>
            </w:r>
          </w:p>
        </w:tc>
        <w:tc>
          <w:tcPr>
            <w:tcW w:w="1170" w:type="dxa"/>
            <w:tcBorders>
              <w:top w:val="nil"/>
              <w:left w:val="single" w:sz="12" w:space="0" w:color="auto"/>
              <w:bottom w:val="nil"/>
              <w:right w:val="nil"/>
            </w:tcBorders>
            <w:shd w:val="clear" w:color="auto" w:fill="auto"/>
            <w:noWrap/>
            <w:vAlign w:val="center"/>
            <w:hideMark/>
          </w:tcPr>
          <w:p w14:paraId="01996158" w14:textId="442B4A49" w:rsidR="00DC5538" w:rsidRPr="00DC5538" w:rsidRDefault="00DC5538" w:rsidP="00B826B9">
            <w:pPr>
              <w:tabs>
                <w:tab w:val="decimal" w:pos="211"/>
              </w:tabs>
              <w:spacing w:after="0" w:line="240" w:lineRule="auto"/>
              <w:jc w:val="center"/>
              <w:rPr>
                <w:color w:val="000000"/>
                <w:sz w:val="20"/>
                <w:szCs w:val="20"/>
              </w:rPr>
            </w:pPr>
            <w:r w:rsidRPr="00DC5538">
              <w:rPr>
                <w:color w:val="000000"/>
                <w:sz w:val="20"/>
                <w:szCs w:val="20"/>
              </w:rPr>
              <w:t>-1</w:t>
            </w:r>
            <w:r w:rsidR="0051016B">
              <w:rPr>
                <w:color w:val="000000"/>
                <w:sz w:val="20"/>
                <w:szCs w:val="20"/>
              </w:rPr>
              <w:t>6</w:t>
            </w:r>
          </w:p>
        </w:tc>
        <w:tc>
          <w:tcPr>
            <w:tcW w:w="1440" w:type="dxa"/>
            <w:tcBorders>
              <w:top w:val="nil"/>
              <w:left w:val="nil"/>
              <w:bottom w:val="nil"/>
              <w:right w:val="nil"/>
            </w:tcBorders>
            <w:shd w:val="clear" w:color="auto" w:fill="auto"/>
            <w:noWrap/>
            <w:vAlign w:val="center"/>
            <w:hideMark/>
          </w:tcPr>
          <w:p w14:paraId="74382DDB" w14:textId="77777777" w:rsidR="00DC5538" w:rsidRPr="00DC5538" w:rsidRDefault="00DC5538" w:rsidP="00B826B9">
            <w:pPr>
              <w:tabs>
                <w:tab w:val="decimal" w:pos="211"/>
              </w:tabs>
              <w:spacing w:after="0" w:line="240" w:lineRule="auto"/>
              <w:jc w:val="center"/>
              <w:rPr>
                <w:color w:val="000000"/>
                <w:sz w:val="20"/>
                <w:szCs w:val="20"/>
              </w:rPr>
            </w:pPr>
            <w:r w:rsidRPr="00DC5538">
              <w:rPr>
                <w:color w:val="000000"/>
                <w:sz w:val="20"/>
                <w:szCs w:val="20"/>
              </w:rPr>
              <w:t>-13</w:t>
            </w:r>
          </w:p>
        </w:tc>
        <w:tc>
          <w:tcPr>
            <w:tcW w:w="1170" w:type="dxa"/>
            <w:tcBorders>
              <w:top w:val="nil"/>
              <w:left w:val="nil"/>
              <w:bottom w:val="nil"/>
              <w:right w:val="single" w:sz="4" w:space="0" w:color="auto"/>
            </w:tcBorders>
            <w:shd w:val="clear" w:color="auto" w:fill="auto"/>
            <w:noWrap/>
            <w:vAlign w:val="center"/>
            <w:hideMark/>
          </w:tcPr>
          <w:p w14:paraId="2A440FF0" w14:textId="77777777" w:rsidR="00DC5538" w:rsidRPr="00DC5538" w:rsidRDefault="00DC5538" w:rsidP="00B826B9">
            <w:pPr>
              <w:tabs>
                <w:tab w:val="decimal" w:pos="211"/>
              </w:tabs>
              <w:spacing w:after="0" w:line="240" w:lineRule="auto"/>
              <w:jc w:val="center"/>
              <w:rPr>
                <w:color w:val="000000"/>
                <w:sz w:val="20"/>
                <w:szCs w:val="20"/>
              </w:rPr>
            </w:pPr>
            <w:r w:rsidRPr="00DC5538">
              <w:rPr>
                <w:color w:val="000000"/>
                <w:sz w:val="20"/>
                <w:szCs w:val="20"/>
              </w:rPr>
              <w:t>71</w:t>
            </w:r>
          </w:p>
        </w:tc>
        <w:tc>
          <w:tcPr>
            <w:tcW w:w="720" w:type="dxa"/>
            <w:tcBorders>
              <w:top w:val="nil"/>
              <w:left w:val="single" w:sz="4" w:space="0" w:color="auto"/>
              <w:bottom w:val="nil"/>
              <w:right w:val="single" w:sz="12" w:space="0" w:color="auto"/>
            </w:tcBorders>
            <w:shd w:val="clear" w:color="auto" w:fill="auto"/>
            <w:noWrap/>
            <w:vAlign w:val="center"/>
            <w:hideMark/>
          </w:tcPr>
          <w:p w14:paraId="1024466D" w14:textId="1C867B1E" w:rsidR="00DC5538" w:rsidRPr="00DC5538" w:rsidRDefault="00195E78" w:rsidP="00B826B9">
            <w:pPr>
              <w:spacing w:after="0" w:line="240" w:lineRule="auto"/>
              <w:jc w:val="center"/>
              <w:rPr>
                <w:color w:val="000000"/>
                <w:sz w:val="20"/>
                <w:szCs w:val="20"/>
              </w:rPr>
            </w:pPr>
            <w:r>
              <w:rPr>
                <w:color w:val="000000"/>
                <w:sz w:val="20"/>
                <w:szCs w:val="20"/>
              </w:rPr>
              <w:t xml:space="preserve">  </w:t>
            </w:r>
            <w:r w:rsidR="00DC5538" w:rsidRPr="00DC5538">
              <w:rPr>
                <w:color w:val="000000"/>
                <w:sz w:val="20"/>
                <w:szCs w:val="20"/>
              </w:rPr>
              <w:t>5</w:t>
            </w:r>
            <w:r>
              <w:rPr>
                <w:color w:val="000000"/>
                <w:sz w:val="20"/>
                <w:szCs w:val="20"/>
              </w:rPr>
              <w:t>.</w:t>
            </w:r>
            <w:r w:rsidR="00DC5538" w:rsidRPr="00DC5538">
              <w:rPr>
                <w:color w:val="000000"/>
                <w:sz w:val="20"/>
                <w:szCs w:val="20"/>
              </w:rPr>
              <w:t>04</w:t>
            </w:r>
          </w:p>
        </w:tc>
      </w:tr>
      <w:tr w:rsidR="00B826B9" w:rsidRPr="00DC5538" w14:paraId="68983AB7" w14:textId="77777777" w:rsidTr="00325067">
        <w:trPr>
          <w:trHeight w:val="288"/>
          <w:jc w:val="center"/>
        </w:trPr>
        <w:tc>
          <w:tcPr>
            <w:tcW w:w="2060" w:type="dxa"/>
            <w:tcBorders>
              <w:top w:val="nil"/>
              <w:left w:val="single" w:sz="12" w:space="0" w:color="auto"/>
              <w:right w:val="single" w:sz="12" w:space="0" w:color="auto"/>
            </w:tcBorders>
            <w:shd w:val="clear" w:color="auto" w:fill="auto"/>
            <w:noWrap/>
            <w:vAlign w:val="center"/>
            <w:hideMark/>
          </w:tcPr>
          <w:p w14:paraId="758D5DDE" w14:textId="77777777" w:rsidR="00DC5538" w:rsidRPr="00DC5538" w:rsidRDefault="00DC5538" w:rsidP="00B826B9">
            <w:pPr>
              <w:spacing w:after="0" w:line="240" w:lineRule="auto"/>
              <w:rPr>
                <w:color w:val="000000"/>
                <w:sz w:val="20"/>
                <w:szCs w:val="20"/>
              </w:rPr>
            </w:pPr>
            <w:r w:rsidRPr="00DC5538">
              <w:rPr>
                <w:color w:val="000000"/>
                <w:sz w:val="20"/>
                <w:szCs w:val="20"/>
              </w:rPr>
              <w:t>Driver Status</w:t>
            </w:r>
          </w:p>
        </w:tc>
        <w:tc>
          <w:tcPr>
            <w:tcW w:w="2430" w:type="dxa"/>
            <w:tcBorders>
              <w:top w:val="nil"/>
              <w:left w:val="single" w:sz="12" w:space="0" w:color="auto"/>
              <w:right w:val="nil"/>
            </w:tcBorders>
            <w:shd w:val="clear" w:color="auto" w:fill="auto"/>
            <w:noWrap/>
            <w:vAlign w:val="center"/>
            <w:hideMark/>
          </w:tcPr>
          <w:p w14:paraId="4B570E3A" w14:textId="77777777" w:rsidR="00DC5538" w:rsidRPr="00DC5538" w:rsidRDefault="00DC5538" w:rsidP="00B826B9">
            <w:pPr>
              <w:spacing w:after="0" w:line="240" w:lineRule="auto"/>
              <w:rPr>
                <w:color w:val="000000"/>
                <w:sz w:val="20"/>
                <w:szCs w:val="20"/>
              </w:rPr>
            </w:pPr>
            <w:r w:rsidRPr="00DC5538">
              <w:rPr>
                <w:color w:val="000000"/>
                <w:sz w:val="20"/>
                <w:szCs w:val="20"/>
              </w:rPr>
              <w:t>Driver</w:t>
            </w:r>
          </w:p>
        </w:tc>
        <w:tc>
          <w:tcPr>
            <w:tcW w:w="2430" w:type="dxa"/>
            <w:tcBorders>
              <w:top w:val="nil"/>
              <w:left w:val="nil"/>
              <w:right w:val="single" w:sz="12" w:space="0" w:color="auto"/>
            </w:tcBorders>
            <w:shd w:val="clear" w:color="auto" w:fill="auto"/>
            <w:noWrap/>
            <w:vAlign w:val="center"/>
            <w:hideMark/>
          </w:tcPr>
          <w:p w14:paraId="65C99538" w14:textId="77777777" w:rsidR="00DC5538" w:rsidRPr="00DC5538" w:rsidRDefault="00DC5538" w:rsidP="00B826B9">
            <w:pPr>
              <w:spacing w:after="0" w:line="240" w:lineRule="auto"/>
              <w:rPr>
                <w:color w:val="000000"/>
                <w:sz w:val="20"/>
                <w:szCs w:val="20"/>
              </w:rPr>
            </w:pPr>
            <w:r w:rsidRPr="00DC5538">
              <w:rPr>
                <w:color w:val="000000"/>
                <w:sz w:val="20"/>
                <w:szCs w:val="20"/>
              </w:rPr>
              <w:t>Non-Driver</w:t>
            </w:r>
          </w:p>
        </w:tc>
        <w:tc>
          <w:tcPr>
            <w:tcW w:w="990" w:type="dxa"/>
            <w:tcBorders>
              <w:top w:val="nil"/>
              <w:left w:val="single" w:sz="12" w:space="0" w:color="auto"/>
              <w:right w:val="single" w:sz="12" w:space="0" w:color="auto"/>
            </w:tcBorders>
            <w:shd w:val="clear" w:color="auto" w:fill="auto"/>
            <w:noWrap/>
            <w:vAlign w:val="center"/>
            <w:hideMark/>
          </w:tcPr>
          <w:p w14:paraId="016E707F" w14:textId="77777777" w:rsidR="00DC5538" w:rsidRPr="00DC5538" w:rsidRDefault="00DC5538" w:rsidP="00B826B9">
            <w:pPr>
              <w:tabs>
                <w:tab w:val="decimal" w:pos="211"/>
              </w:tabs>
              <w:spacing w:after="0" w:line="240" w:lineRule="auto"/>
              <w:jc w:val="center"/>
              <w:rPr>
                <w:color w:val="000000"/>
                <w:sz w:val="20"/>
                <w:szCs w:val="20"/>
              </w:rPr>
            </w:pPr>
            <w:r w:rsidRPr="00DC5538">
              <w:rPr>
                <w:color w:val="000000"/>
                <w:sz w:val="20"/>
                <w:szCs w:val="20"/>
              </w:rPr>
              <w:t>0.00</w:t>
            </w:r>
          </w:p>
        </w:tc>
        <w:tc>
          <w:tcPr>
            <w:tcW w:w="990" w:type="dxa"/>
            <w:tcBorders>
              <w:top w:val="nil"/>
              <w:left w:val="single" w:sz="12" w:space="0" w:color="auto"/>
              <w:right w:val="single" w:sz="12" w:space="0" w:color="auto"/>
            </w:tcBorders>
            <w:shd w:val="clear" w:color="auto" w:fill="auto"/>
            <w:noWrap/>
            <w:vAlign w:val="center"/>
            <w:hideMark/>
          </w:tcPr>
          <w:p w14:paraId="04DE61E0" w14:textId="77777777" w:rsidR="00DC5538" w:rsidRPr="00DC5538" w:rsidRDefault="00DC5538" w:rsidP="00B826B9">
            <w:pPr>
              <w:tabs>
                <w:tab w:val="decimal" w:pos="211"/>
              </w:tabs>
              <w:spacing w:after="0" w:line="240" w:lineRule="auto"/>
              <w:jc w:val="center"/>
              <w:rPr>
                <w:color w:val="000000"/>
                <w:sz w:val="20"/>
                <w:szCs w:val="20"/>
              </w:rPr>
            </w:pPr>
            <w:r w:rsidRPr="00DC5538">
              <w:rPr>
                <w:color w:val="000000"/>
                <w:sz w:val="20"/>
                <w:szCs w:val="20"/>
              </w:rPr>
              <w:t>0.00</w:t>
            </w:r>
          </w:p>
        </w:tc>
        <w:tc>
          <w:tcPr>
            <w:tcW w:w="1170" w:type="dxa"/>
            <w:tcBorders>
              <w:top w:val="nil"/>
              <w:left w:val="single" w:sz="12" w:space="0" w:color="auto"/>
              <w:right w:val="nil"/>
            </w:tcBorders>
            <w:shd w:val="clear" w:color="auto" w:fill="auto"/>
            <w:noWrap/>
            <w:vAlign w:val="center"/>
            <w:hideMark/>
          </w:tcPr>
          <w:p w14:paraId="625D8885" w14:textId="77777777" w:rsidR="00DC5538" w:rsidRPr="00DC5538" w:rsidRDefault="00DC5538" w:rsidP="00B826B9">
            <w:pPr>
              <w:tabs>
                <w:tab w:val="decimal" w:pos="211"/>
              </w:tabs>
              <w:spacing w:after="0" w:line="240" w:lineRule="auto"/>
              <w:jc w:val="center"/>
              <w:rPr>
                <w:color w:val="000000"/>
                <w:sz w:val="20"/>
                <w:szCs w:val="20"/>
              </w:rPr>
            </w:pPr>
            <w:r w:rsidRPr="00DC5538">
              <w:rPr>
                <w:color w:val="000000"/>
                <w:sz w:val="20"/>
                <w:szCs w:val="20"/>
              </w:rPr>
              <w:t>0</w:t>
            </w:r>
          </w:p>
        </w:tc>
        <w:tc>
          <w:tcPr>
            <w:tcW w:w="1440" w:type="dxa"/>
            <w:tcBorders>
              <w:top w:val="nil"/>
              <w:left w:val="nil"/>
              <w:right w:val="nil"/>
            </w:tcBorders>
            <w:shd w:val="clear" w:color="auto" w:fill="auto"/>
            <w:noWrap/>
            <w:vAlign w:val="center"/>
            <w:hideMark/>
          </w:tcPr>
          <w:p w14:paraId="394B39DB" w14:textId="77777777" w:rsidR="00DC5538" w:rsidRPr="00DC5538" w:rsidRDefault="00DC5538" w:rsidP="00B826B9">
            <w:pPr>
              <w:tabs>
                <w:tab w:val="decimal" w:pos="211"/>
              </w:tabs>
              <w:spacing w:after="0" w:line="240" w:lineRule="auto"/>
              <w:jc w:val="center"/>
              <w:rPr>
                <w:color w:val="000000"/>
                <w:sz w:val="20"/>
                <w:szCs w:val="20"/>
              </w:rPr>
            </w:pPr>
            <w:r w:rsidRPr="00DC5538">
              <w:rPr>
                <w:color w:val="000000"/>
                <w:sz w:val="20"/>
                <w:szCs w:val="20"/>
              </w:rPr>
              <w:t>0</w:t>
            </w:r>
          </w:p>
        </w:tc>
        <w:tc>
          <w:tcPr>
            <w:tcW w:w="1170" w:type="dxa"/>
            <w:tcBorders>
              <w:top w:val="nil"/>
              <w:left w:val="nil"/>
              <w:right w:val="single" w:sz="4" w:space="0" w:color="auto"/>
            </w:tcBorders>
            <w:shd w:val="clear" w:color="auto" w:fill="auto"/>
            <w:noWrap/>
            <w:vAlign w:val="center"/>
            <w:hideMark/>
          </w:tcPr>
          <w:p w14:paraId="15F7517D" w14:textId="77777777" w:rsidR="00DC5538" w:rsidRPr="00DC5538" w:rsidRDefault="00DC5538" w:rsidP="00B826B9">
            <w:pPr>
              <w:tabs>
                <w:tab w:val="decimal" w:pos="211"/>
              </w:tabs>
              <w:spacing w:after="0" w:line="240" w:lineRule="auto"/>
              <w:jc w:val="center"/>
              <w:rPr>
                <w:color w:val="000000"/>
                <w:sz w:val="20"/>
                <w:szCs w:val="20"/>
              </w:rPr>
            </w:pPr>
            <w:r w:rsidRPr="00DC5538">
              <w:rPr>
                <w:color w:val="000000"/>
                <w:sz w:val="20"/>
                <w:szCs w:val="20"/>
              </w:rPr>
              <w:t>100</w:t>
            </w:r>
          </w:p>
        </w:tc>
        <w:tc>
          <w:tcPr>
            <w:tcW w:w="720" w:type="dxa"/>
            <w:tcBorders>
              <w:top w:val="nil"/>
              <w:left w:val="single" w:sz="4" w:space="0" w:color="auto"/>
              <w:right w:val="single" w:sz="12" w:space="0" w:color="auto"/>
            </w:tcBorders>
            <w:shd w:val="clear" w:color="auto" w:fill="auto"/>
            <w:noWrap/>
            <w:vAlign w:val="center"/>
            <w:hideMark/>
          </w:tcPr>
          <w:p w14:paraId="4BFDF476" w14:textId="584F35E1" w:rsidR="00DC5538" w:rsidRPr="00DC5538" w:rsidRDefault="00195E78" w:rsidP="00B826B9">
            <w:pPr>
              <w:spacing w:after="0" w:line="240" w:lineRule="auto"/>
              <w:jc w:val="center"/>
              <w:rPr>
                <w:color w:val="000000"/>
                <w:sz w:val="20"/>
                <w:szCs w:val="20"/>
              </w:rPr>
            </w:pPr>
            <w:r>
              <w:rPr>
                <w:color w:val="000000"/>
                <w:sz w:val="20"/>
                <w:szCs w:val="20"/>
              </w:rPr>
              <w:t xml:space="preserve">  </w:t>
            </w:r>
            <w:r w:rsidR="00DC5538" w:rsidRPr="00DC5538">
              <w:rPr>
                <w:color w:val="000000"/>
                <w:sz w:val="20"/>
                <w:szCs w:val="20"/>
              </w:rPr>
              <w:t>4</w:t>
            </w:r>
            <w:r>
              <w:rPr>
                <w:color w:val="000000"/>
                <w:sz w:val="20"/>
                <w:szCs w:val="20"/>
              </w:rPr>
              <w:t>.</w:t>
            </w:r>
            <w:r w:rsidR="00DC5538" w:rsidRPr="00DC5538">
              <w:rPr>
                <w:color w:val="000000"/>
                <w:sz w:val="20"/>
                <w:szCs w:val="20"/>
              </w:rPr>
              <w:t>58</w:t>
            </w:r>
          </w:p>
        </w:tc>
      </w:tr>
      <w:tr w:rsidR="00B826B9" w:rsidRPr="00DC5538" w14:paraId="3959BA81" w14:textId="77777777" w:rsidTr="00325067">
        <w:trPr>
          <w:trHeight w:val="288"/>
          <w:jc w:val="center"/>
        </w:trPr>
        <w:tc>
          <w:tcPr>
            <w:tcW w:w="2060" w:type="dxa"/>
            <w:tcBorders>
              <w:top w:val="nil"/>
              <w:left w:val="single" w:sz="12" w:space="0" w:color="auto"/>
              <w:bottom w:val="single" w:sz="6" w:space="0" w:color="auto"/>
              <w:right w:val="single" w:sz="12" w:space="0" w:color="auto"/>
            </w:tcBorders>
            <w:shd w:val="clear" w:color="auto" w:fill="auto"/>
            <w:noWrap/>
            <w:vAlign w:val="center"/>
            <w:hideMark/>
          </w:tcPr>
          <w:p w14:paraId="3311753E" w14:textId="77777777" w:rsidR="00DC5538" w:rsidRPr="00DC5538" w:rsidRDefault="00DC5538" w:rsidP="00B826B9">
            <w:pPr>
              <w:spacing w:after="0" w:line="240" w:lineRule="auto"/>
              <w:rPr>
                <w:color w:val="000000"/>
                <w:sz w:val="20"/>
                <w:szCs w:val="20"/>
              </w:rPr>
            </w:pPr>
            <w:r w:rsidRPr="00DC5538">
              <w:rPr>
                <w:color w:val="000000"/>
                <w:sz w:val="20"/>
                <w:szCs w:val="20"/>
              </w:rPr>
              <w:t>Medical Condition</w:t>
            </w:r>
          </w:p>
        </w:tc>
        <w:tc>
          <w:tcPr>
            <w:tcW w:w="2430" w:type="dxa"/>
            <w:tcBorders>
              <w:top w:val="nil"/>
              <w:left w:val="single" w:sz="12" w:space="0" w:color="auto"/>
              <w:bottom w:val="single" w:sz="6" w:space="0" w:color="auto"/>
              <w:right w:val="nil"/>
            </w:tcBorders>
            <w:shd w:val="clear" w:color="auto" w:fill="auto"/>
            <w:noWrap/>
            <w:vAlign w:val="center"/>
            <w:hideMark/>
          </w:tcPr>
          <w:p w14:paraId="3FCBA18B" w14:textId="77777777" w:rsidR="00DC5538" w:rsidRPr="00DC5538" w:rsidRDefault="00DC5538" w:rsidP="00B826B9">
            <w:pPr>
              <w:spacing w:after="0" w:line="240" w:lineRule="auto"/>
              <w:rPr>
                <w:color w:val="000000"/>
                <w:sz w:val="20"/>
                <w:szCs w:val="20"/>
              </w:rPr>
            </w:pPr>
            <w:r w:rsidRPr="00DC5538">
              <w:rPr>
                <w:color w:val="000000"/>
                <w:sz w:val="20"/>
                <w:szCs w:val="20"/>
              </w:rPr>
              <w:t>No Medical Condition</w:t>
            </w:r>
          </w:p>
        </w:tc>
        <w:tc>
          <w:tcPr>
            <w:tcW w:w="2430" w:type="dxa"/>
            <w:tcBorders>
              <w:top w:val="nil"/>
              <w:left w:val="nil"/>
              <w:bottom w:val="single" w:sz="6" w:space="0" w:color="auto"/>
              <w:right w:val="single" w:sz="12" w:space="0" w:color="auto"/>
            </w:tcBorders>
            <w:shd w:val="clear" w:color="auto" w:fill="auto"/>
            <w:noWrap/>
            <w:vAlign w:val="center"/>
            <w:hideMark/>
          </w:tcPr>
          <w:p w14:paraId="0201190F" w14:textId="77777777" w:rsidR="00DC5538" w:rsidRPr="00DC5538" w:rsidRDefault="00DC5538" w:rsidP="00B826B9">
            <w:pPr>
              <w:spacing w:after="0" w:line="240" w:lineRule="auto"/>
              <w:rPr>
                <w:color w:val="000000"/>
                <w:sz w:val="20"/>
                <w:szCs w:val="20"/>
              </w:rPr>
            </w:pPr>
            <w:r w:rsidRPr="00DC5538">
              <w:rPr>
                <w:color w:val="000000"/>
                <w:sz w:val="20"/>
                <w:szCs w:val="20"/>
              </w:rPr>
              <w:t>Medical Condition</w:t>
            </w:r>
          </w:p>
        </w:tc>
        <w:tc>
          <w:tcPr>
            <w:tcW w:w="990" w:type="dxa"/>
            <w:tcBorders>
              <w:top w:val="nil"/>
              <w:left w:val="single" w:sz="12" w:space="0" w:color="auto"/>
              <w:bottom w:val="single" w:sz="6" w:space="0" w:color="auto"/>
              <w:right w:val="single" w:sz="12" w:space="0" w:color="auto"/>
            </w:tcBorders>
            <w:shd w:val="clear" w:color="auto" w:fill="auto"/>
            <w:noWrap/>
            <w:vAlign w:val="center"/>
            <w:hideMark/>
          </w:tcPr>
          <w:p w14:paraId="7F2AF377" w14:textId="77777777" w:rsidR="00DC5538" w:rsidRPr="00DC5538" w:rsidRDefault="00DC5538" w:rsidP="00B826B9">
            <w:pPr>
              <w:tabs>
                <w:tab w:val="decimal" w:pos="211"/>
              </w:tabs>
              <w:spacing w:after="0" w:line="240" w:lineRule="auto"/>
              <w:jc w:val="center"/>
              <w:rPr>
                <w:color w:val="000000"/>
                <w:sz w:val="20"/>
                <w:szCs w:val="20"/>
              </w:rPr>
            </w:pPr>
            <w:r w:rsidRPr="00DC5538">
              <w:rPr>
                <w:color w:val="000000"/>
                <w:sz w:val="20"/>
                <w:szCs w:val="20"/>
              </w:rPr>
              <w:t>0.91</w:t>
            </w:r>
          </w:p>
        </w:tc>
        <w:tc>
          <w:tcPr>
            <w:tcW w:w="990" w:type="dxa"/>
            <w:tcBorders>
              <w:top w:val="nil"/>
              <w:left w:val="single" w:sz="12" w:space="0" w:color="auto"/>
              <w:bottom w:val="single" w:sz="6" w:space="0" w:color="auto"/>
              <w:right w:val="single" w:sz="12" w:space="0" w:color="auto"/>
            </w:tcBorders>
            <w:shd w:val="clear" w:color="auto" w:fill="auto"/>
            <w:noWrap/>
            <w:vAlign w:val="center"/>
            <w:hideMark/>
          </w:tcPr>
          <w:p w14:paraId="2DCB2414" w14:textId="77777777" w:rsidR="00DC5538" w:rsidRPr="00DC5538" w:rsidRDefault="00DC5538" w:rsidP="00B826B9">
            <w:pPr>
              <w:tabs>
                <w:tab w:val="decimal" w:pos="211"/>
              </w:tabs>
              <w:spacing w:after="0" w:line="240" w:lineRule="auto"/>
              <w:jc w:val="center"/>
              <w:rPr>
                <w:color w:val="000000"/>
                <w:sz w:val="20"/>
                <w:szCs w:val="20"/>
              </w:rPr>
            </w:pPr>
            <w:r w:rsidRPr="00DC5538">
              <w:rPr>
                <w:color w:val="000000"/>
                <w:sz w:val="20"/>
                <w:szCs w:val="20"/>
              </w:rPr>
              <w:t>0.20</w:t>
            </w:r>
          </w:p>
        </w:tc>
        <w:tc>
          <w:tcPr>
            <w:tcW w:w="1170" w:type="dxa"/>
            <w:tcBorders>
              <w:top w:val="nil"/>
              <w:left w:val="single" w:sz="12" w:space="0" w:color="auto"/>
              <w:bottom w:val="single" w:sz="6" w:space="0" w:color="auto"/>
              <w:right w:val="nil"/>
            </w:tcBorders>
            <w:shd w:val="clear" w:color="auto" w:fill="auto"/>
            <w:noWrap/>
            <w:vAlign w:val="center"/>
            <w:hideMark/>
          </w:tcPr>
          <w:p w14:paraId="6533E9CE" w14:textId="77777777" w:rsidR="00DC5538" w:rsidRPr="00DC5538" w:rsidRDefault="00DC5538" w:rsidP="00B826B9">
            <w:pPr>
              <w:tabs>
                <w:tab w:val="decimal" w:pos="211"/>
              </w:tabs>
              <w:spacing w:after="0" w:line="240" w:lineRule="auto"/>
              <w:jc w:val="center"/>
              <w:rPr>
                <w:color w:val="000000"/>
                <w:sz w:val="20"/>
                <w:szCs w:val="20"/>
              </w:rPr>
            </w:pPr>
            <w:r w:rsidRPr="00DC5538">
              <w:rPr>
                <w:color w:val="000000"/>
                <w:sz w:val="20"/>
                <w:szCs w:val="20"/>
              </w:rPr>
              <w:t>-7</w:t>
            </w:r>
          </w:p>
        </w:tc>
        <w:tc>
          <w:tcPr>
            <w:tcW w:w="1440" w:type="dxa"/>
            <w:tcBorders>
              <w:top w:val="nil"/>
              <w:left w:val="nil"/>
              <w:bottom w:val="single" w:sz="6" w:space="0" w:color="auto"/>
              <w:right w:val="nil"/>
            </w:tcBorders>
            <w:shd w:val="clear" w:color="auto" w:fill="auto"/>
            <w:noWrap/>
            <w:vAlign w:val="center"/>
            <w:hideMark/>
          </w:tcPr>
          <w:p w14:paraId="139D7C2C" w14:textId="77777777" w:rsidR="00DC5538" w:rsidRPr="00DC5538" w:rsidRDefault="00DC5538" w:rsidP="00B826B9">
            <w:pPr>
              <w:tabs>
                <w:tab w:val="decimal" w:pos="211"/>
              </w:tabs>
              <w:spacing w:after="0" w:line="240" w:lineRule="auto"/>
              <w:jc w:val="center"/>
              <w:rPr>
                <w:color w:val="000000"/>
                <w:sz w:val="20"/>
                <w:szCs w:val="20"/>
              </w:rPr>
            </w:pPr>
            <w:r w:rsidRPr="00DC5538">
              <w:rPr>
                <w:color w:val="000000"/>
                <w:sz w:val="20"/>
                <w:szCs w:val="20"/>
              </w:rPr>
              <w:t>-1</w:t>
            </w:r>
          </w:p>
        </w:tc>
        <w:tc>
          <w:tcPr>
            <w:tcW w:w="1170" w:type="dxa"/>
            <w:tcBorders>
              <w:top w:val="nil"/>
              <w:left w:val="nil"/>
              <w:bottom w:val="single" w:sz="6" w:space="0" w:color="auto"/>
              <w:right w:val="single" w:sz="4" w:space="0" w:color="auto"/>
            </w:tcBorders>
            <w:shd w:val="clear" w:color="auto" w:fill="auto"/>
            <w:noWrap/>
            <w:vAlign w:val="center"/>
            <w:hideMark/>
          </w:tcPr>
          <w:p w14:paraId="1BB172E3" w14:textId="77777777" w:rsidR="00DC5538" w:rsidRPr="00DC5538" w:rsidRDefault="00DC5538" w:rsidP="00B826B9">
            <w:pPr>
              <w:tabs>
                <w:tab w:val="decimal" w:pos="211"/>
              </w:tabs>
              <w:spacing w:after="0" w:line="240" w:lineRule="auto"/>
              <w:jc w:val="center"/>
              <w:rPr>
                <w:color w:val="000000"/>
                <w:sz w:val="20"/>
                <w:szCs w:val="20"/>
              </w:rPr>
            </w:pPr>
            <w:r w:rsidRPr="00DC5538">
              <w:rPr>
                <w:color w:val="000000"/>
                <w:sz w:val="20"/>
                <w:szCs w:val="20"/>
              </w:rPr>
              <w:t>92</w:t>
            </w:r>
          </w:p>
        </w:tc>
        <w:tc>
          <w:tcPr>
            <w:tcW w:w="720" w:type="dxa"/>
            <w:tcBorders>
              <w:top w:val="nil"/>
              <w:left w:val="single" w:sz="4" w:space="0" w:color="auto"/>
              <w:bottom w:val="single" w:sz="6" w:space="0" w:color="auto"/>
              <w:right w:val="single" w:sz="12" w:space="0" w:color="auto"/>
            </w:tcBorders>
            <w:shd w:val="clear" w:color="auto" w:fill="auto"/>
            <w:noWrap/>
            <w:vAlign w:val="center"/>
            <w:hideMark/>
          </w:tcPr>
          <w:p w14:paraId="01912C36" w14:textId="0DA5D938" w:rsidR="00DC5538" w:rsidRPr="00DC5538" w:rsidRDefault="00DC5538" w:rsidP="00B826B9">
            <w:pPr>
              <w:spacing w:after="0" w:line="240" w:lineRule="auto"/>
              <w:jc w:val="center"/>
              <w:rPr>
                <w:color w:val="000000"/>
                <w:sz w:val="20"/>
                <w:szCs w:val="20"/>
              </w:rPr>
            </w:pPr>
            <w:r w:rsidRPr="00DC5538">
              <w:rPr>
                <w:color w:val="000000"/>
                <w:sz w:val="20"/>
                <w:szCs w:val="20"/>
              </w:rPr>
              <w:t>15</w:t>
            </w:r>
            <w:r w:rsidR="00195E78">
              <w:rPr>
                <w:color w:val="000000"/>
                <w:sz w:val="20"/>
                <w:szCs w:val="20"/>
              </w:rPr>
              <w:t>.</w:t>
            </w:r>
            <w:r w:rsidRPr="00DC5538">
              <w:rPr>
                <w:color w:val="000000"/>
                <w:sz w:val="20"/>
                <w:szCs w:val="20"/>
              </w:rPr>
              <w:t>79</w:t>
            </w:r>
          </w:p>
        </w:tc>
      </w:tr>
      <w:tr w:rsidR="00195E78" w:rsidRPr="00DC5538" w14:paraId="5AFADF6C" w14:textId="77777777" w:rsidTr="00325067">
        <w:trPr>
          <w:trHeight w:val="288"/>
          <w:jc w:val="center"/>
        </w:trPr>
        <w:tc>
          <w:tcPr>
            <w:tcW w:w="13400" w:type="dxa"/>
            <w:gridSpan w:val="9"/>
            <w:tcBorders>
              <w:top w:val="single" w:sz="6" w:space="0" w:color="auto"/>
              <w:left w:val="single" w:sz="12" w:space="0" w:color="auto"/>
              <w:bottom w:val="single" w:sz="6" w:space="0" w:color="auto"/>
              <w:right w:val="single" w:sz="12" w:space="0" w:color="auto"/>
            </w:tcBorders>
            <w:shd w:val="clear" w:color="auto" w:fill="auto"/>
            <w:noWrap/>
            <w:vAlign w:val="center"/>
          </w:tcPr>
          <w:p w14:paraId="77FA5E26" w14:textId="0008E471" w:rsidR="00195E78" w:rsidRPr="009F00CC" w:rsidRDefault="00195E78" w:rsidP="009F00CC">
            <w:pPr>
              <w:spacing w:after="0" w:line="240" w:lineRule="auto"/>
              <w:rPr>
                <w:b/>
                <w:bCs/>
                <w:color w:val="000000"/>
                <w:sz w:val="20"/>
                <w:szCs w:val="20"/>
              </w:rPr>
            </w:pPr>
            <w:r w:rsidRPr="009F00CC">
              <w:rPr>
                <w:b/>
                <w:bCs/>
                <w:color w:val="000000"/>
                <w:sz w:val="20"/>
                <w:szCs w:val="20"/>
              </w:rPr>
              <w:t>Endogenous Effects</w:t>
            </w:r>
          </w:p>
        </w:tc>
      </w:tr>
      <w:tr w:rsidR="00B826B9" w:rsidRPr="00DC5538" w14:paraId="3CCB139C" w14:textId="77777777" w:rsidTr="00325067">
        <w:trPr>
          <w:trHeight w:val="288"/>
          <w:jc w:val="center"/>
        </w:trPr>
        <w:tc>
          <w:tcPr>
            <w:tcW w:w="2060" w:type="dxa"/>
            <w:tcBorders>
              <w:top w:val="single" w:sz="6" w:space="0" w:color="auto"/>
              <w:left w:val="single" w:sz="12" w:space="0" w:color="auto"/>
              <w:bottom w:val="nil"/>
              <w:right w:val="single" w:sz="12" w:space="0" w:color="auto"/>
            </w:tcBorders>
            <w:shd w:val="clear" w:color="auto" w:fill="auto"/>
            <w:noWrap/>
            <w:vAlign w:val="center"/>
            <w:hideMark/>
          </w:tcPr>
          <w:p w14:paraId="4254CB1E" w14:textId="77777777" w:rsidR="00DC5538" w:rsidRPr="00DC5538" w:rsidRDefault="00DC5538" w:rsidP="00B826B9">
            <w:pPr>
              <w:spacing w:after="0" w:line="240" w:lineRule="auto"/>
              <w:rPr>
                <w:color w:val="000000"/>
                <w:sz w:val="20"/>
                <w:szCs w:val="20"/>
              </w:rPr>
            </w:pPr>
            <w:r w:rsidRPr="00DC5538">
              <w:rPr>
                <w:color w:val="000000"/>
                <w:sz w:val="20"/>
                <w:szCs w:val="20"/>
              </w:rPr>
              <w:t>Telework</w:t>
            </w:r>
          </w:p>
        </w:tc>
        <w:tc>
          <w:tcPr>
            <w:tcW w:w="2430" w:type="dxa"/>
            <w:tcBorders>
              <w:top w:val="single" w:sz="6" w:space="0" w:color="auto"/>
              <w:left w:val="single" w:sz="12" w:space="0" w:color="auto"/>
              <w:bottom w:val="nil"/>
              <w:right w:val="nil"/>
            </w:tcBorders>
            <w:shd w:val="clear" w:color="auto" w:fill="auto"/>
            <w:noWrap/>
            <w:vAlign w:val="center"/>
            <w:hideMark/>
          </w:tcPr>
          <w:p w14:paraId="4A01248D" w14:textId="77777777" w:rsidR="00DC5538" w:rsidRPr="00DC5538" w:rsidRDefault="00DC5538" w:rsidP="00B826B9">
            <w:pPr>
              <w:spacing w:after="0" w:line="240" w:lineRule="auto"/>
              <w:rPr>
                <w:color w:val="000000"/>
                <w:sz w:val="20"/>
                <w:szCs w:val="20"/>
              </w:rPr>
            </w:pPr>
            <w:r w:rsidRPr="00DC5538">
              <w:rPr>
                <w:color w:val="000000"/>
                <w:sz w:val="20"/>
                <w:szCs w:val="20"/>
              </w:rPr>
              <w:t>5+ Days per Week</w:t>
            </w:r>
          </w:p>
        </w:tc>
        <w:tc>
          <w:tcPr>
            <w:tcW w:w="2430" w:type="dxa"/>
            <w:tcBorders>
              <w:top w:val="single" w:sz="6" w:space="0" w:color="auto"/>
              <w:left w:val="nil"/>
              <w:bottom w:val="nil"/>
              <w:right w:val="single" w:sz="12" w:space="0" w:color="auto"/>
            </w:tcBorders>
            <w:shd w:val="clear" w:color="auto" w:fill="auto"/>
            <w:noWrap/>
            <w:vAlign w:val="center"/>
            <w:hideMark/>
          </w:tcPr>
          <w:p w14:paraId="28E40938" w14:textId="77777777" w:rsidR="00DC5538" w:rsidRPr="00DC5538" w:rsidRDefault="00DC5538" w:rsidP="00B826B9">
            <w:pPr>
              <w:spacing w:after="0" w:line="240" w:lineRule="auto"/>
              <w:rPr>
                <w:color w:val="000000"/>
                <w:sz w:val="20"/>
                <w:szCs w:val="20"/>
              </w:rPr>
            </w:pPr>
            <w:r w:rsidRPr="00DC5538">
              <w:rPr>
                <w:color w:val="000000"/>
                <w:sz w:val="20"/>
                <w:szCs w:val="20"/>
              </w:rPr>
              <w:t>None</w:t>
            </w:r>
          </w:p>
        </w:tc>
        <w:tc>
          <w:tcPr>
            <w:tcW w:w="990" w:type="dxa"/>
            <w:tcBorders>
              <w:top w:val="single" w:sz="6" w:space="0" w:color="auto"/>
              <w:left w:val="single" w:sz="12" w:space="0" w:color="auto"/>
              <w:bottom w:val="nil"/>
              <w:right w:val="single" w:sz="12" w:space="0" w:color="auto"/>
            </w:tcBorders>
            <w:shd w:val="clear" w:color="auto" w:fill="auto"/>
            <w:noWrap/>
            <w:vAlign w:val="center"/>
            <w:hideMark/>
          </w:tcPr>
          <w:p w14:paraId="4F427492" w14:textId="77777777" w:rsidR="00DC5538" w:rsidRPr="00DC5538" w:rsidRDefault="00DC5538" w:rsidP="00B826B9">
            <w:pPr>
              <w:tabs>
                <w:tab w:val="decimal" w:pos="211"/>
              </w:tabs>
              <w:spacing w:after="0" w:line="240" w:lineRule="auto"/>
              <w:jc w:val="center"/>
              <w:rPr>
                <w:color w:val="000000"/>
                <w:sz w:val="20"/>
                <w:szCs w:val="20"/>
              </w:rPr>
            </w:pPr>
            <w:r w:rsidRPr="00DC5538">
              <w:rPr>
                <w:color w:val="000000"/>
                <w:sz w:val="20"/>
                <w:szCs w:val="20"/>
              </w:rPr>
              <w:t>--</w:t>
            </w:r>
          </w:p>
        </w:tc>
        <w:tc>
          <w:tcPr>
            <w:tcW w:w="990" w:type="dxa"/>
            <w:tcBorders>
              <w:top w:val="single" w:sz="6" w:space="0" w:color="auto"/>
              <w:left w:val="single" w:sz="12" w:space="0" w:color="auto"/>
              <w:bottom w:val="nil"/>
              <w:right w:val="single" w:sz="12" w:space="0" w:color="auto"/>
            </w:tcBorders>
            <w:shd w:val="clear" w:color="auto" w:fill="auto"/>
            <w:noWrap/>
            <w:vAlign w:val="center"/>
            <w:hideMark/>
          </w:tcPr>
          <w:p w14:paraId="437EECF7" w14:textId="77777777" w:rsidR="00DC5538" w:rsidRPr="00DC5538" w:rsidRDefault="00DC5538" w:rsidP="00B826B9">
            <w:pPr>
              <w:tabs>
                <w:tab w:val="decimal" w:pos="211"/>
              </w:tabs>
              <w:spacing w:after="0" w:line="240" w:lineRule="auto"/>
              <w:jc w:val="center"/>
              <w:rPr>
                <w:color w:val="000000"/>
                <w:sz w:val="20"/>
                <w:szCs w:val="20"/>
              </w:rPr>
            </w:pPr>
            <w:r w:rsidRPr="00DC5538">
              <w:rPr>
                <w:color w:val="000000"/>
                <w:sz w:val="20"/>
                <w:szCs w:val="20"/>
              </w:rPr>
              <w:t>--</w:t>
            </w:r>
          </w:p>
        </w:tc>
        <w:tc>
          <w:tcPr>
            <w:tcW w:w="1170" w:type="dxa"/>
            <w:tcBorders>
              <w:top w:val="single" w:sz="6" w:space="0" w:color="auto"/>
              <w:left w:val="single" w:sz="12" w:space="0" w:color="auto"/>
              <w:bottom w:val="nil"/>
              <w:right w:val="nil"/>
            </w:tcBorders>
            <w:shd w:val="clear" w:color="auto" w:fill="auto"/>
            <w:noWrap/>
            <w:vAlign w:val="center"/>
            <w:hideMark/>
          </w:tcPr>
          <w:p w14:paraId="77559718" w14:textId="77777777" w:rsidR="00DC5538" w:rsidRPr="00DC5538" w:rsidRDefault="00DC5538" w:rsidP="00B826B9">
            <w:pPr>
              <w:tabs>
                <w:tab w:val="decimal" w:pos="211"/>
              </w:tabs>
              <w:spacing w:after="0" w:line="240" w:lineRule="auto"/>
              <w:jc w:val="center"/>
              <w:rPr>
                <w:color w:val="000000"/>
                <w:sz w:val="20"/>
                <w:szCs w:val="20"/>
              </w:rPr>
            </w:pPr>
            <w:r w:rsidRPr="00DC5538">
              <w:rPr>
                <w:color w:val="000000"/>
                <w:sz w:val="20"/>
                <w:szCs w:val="20"/>
              </w:rPr>
              <w:t>--</w:t>
            </w:r>
          </w:p>
        </w:tc>
        <w:tc>
          <w:tcPr>
            <w:tcW w:w="1440" w:type="dxa"/>
            <w:tcBorders>
              <w:top w:val="single" w:sz="6" w:space="0" w:color="auto"/>
              <w:left w:val="nil"/>
              <w:bottom w:val="nil"/>
              <w:right w:val="nil"/>
            </w:tcBorders>
            <w:shd w:val="clear" w:color="auto" w:fill="auto"/>
            <w:noWrap/>
            <w:vAlign w:val="center"/>
            <w:hideMark/>
          </w:tcPr>
          <w:p w14:paraId="29926BFB" w14:textId="77777777" w:rsidR="00DC5538" w:rsidRPr="00DC5538" w:rsidRDefault="00DC5538" w:rsidP="00B826B9">
            <w:pPr>
              <w:tabs>
                <w:tab w:val="decimal" w:pos="211"/>
              </w:tabs>
              <w:spacing w:after="0" w:line="240" w:lineRule="auto"/>
              <w:jc w:val="center"/>
              <w:rPr>
                <w:color w:val="000000"/>
                <w:sz w:val="20"/>
                <w:szCs w:val="20"/>
              </w:rPr>
            </w:pPr>
            <w:r w:rsidRPr="00DC5538">
              <w:rPr>
                <w:color w:val="000000"/>
                <w:sz w:val="20"/>
                <w:szCs w:val="20"/>
              </w:rPr>
              <w:t>--</w:t>
            </w:r>
          </w:p>
        </w:tc>
        <w:tc>
          <w:tcPr>
            <w:tcW w:w="1170" w:type="dxa"/>
            <w:tcBorders>
              <w:top w:val="single" w:sz="6" w:space="0" w:color="auto"/>
              <w:left w:val="nil"/>
              <w:bottom w:val="nil"/>
              <w:right w:val="single" w:sz="4" w:space="0" w:color="auto"/>
            </w:tcBorders>
            <w:shd w:val="clear" w:color="auto" w:fill="auto"/>
            <w:noWrap/>
            <w:vAlign w:val="center"/>
            <w:hideMark/>
          </w:tcPr>
          <w:p w14:paraId="71454430" w14:textId="77777777" w:rsidR="00DC5538" w:rsidRPr="00DC5538" w:rsidRDefault="00DC5538" w:rsidP="00B826B9">
            <w:pPr>
              <w:tabs>
                <w:tab w:val="decimal" w:pos="211"/>
              </w:tabs>
              <w:spacing w:after="0" w:line="240" w:lineRule="auto"/>
              <w:jc w:val="center"/>
              <w:rPr>
                <w:color w:val="000000"/>
                <w:sz w:val="20"/>
                <w:szCs w:val="20"/>
              </w:rPr>
            </w:pPr>
            <w:r w:rsidRPr="00DC5538">
              <w:rPr>
                <w:color w:val="000000"/>
                <w:sz w:val="20"/>
                <w:szCs w:val="20"/>
              </w:rPr>
              <w:t>100</w:t>
            </w:r>
          </w:p>
        </w:tc>
        <w:tc>
          <w:tcPr>
            <w:tcW w:w="720" w:type="dxa"/>
            <w:tcBorders>
              <w:top w:val="single" w:sz="6" w:space="0" w:color="auto"/>
              <w:left w:val="single" w:sz="4" w:space="0" w:color="auto"/>
              <w:bottom w:val="nil"/>
              <w:right w:val="single" w:sz="12" w:space="0" w:color="auto"/>
            </w:tcBorders>
            <w:shd w:val="clear" w:color="auto" w:fill="auto"/>
            <w:noWrap/>
            <w:vAlign w:val="center"/>
            <w:hideMark/>
          </w:tcPr>
          <w:p w14:paraId="0955D4A2" w14:textId="7E8CA467" w:rsidR="00DC5538" w:rsidRPr="00DC5538" w:rsidRDefault="00195E78" w:rsidP="00B826B9">
            <w:pPr>
              <w:spacing w:after="0" w:line="240" w:lineRule="auto"/>
              <w:jc w:val="center"/>
              <w:rPr>
                <w:color w:val="000000"/>
                <w:sz w:val="20"/>
                <w:szCs w:val="20"/>
              </w:rPr>
            </w:pPr>
            <w:r>
              <w:rPr>
                <w:color w:val="000000"/>
                <w:sz w:val="20"/>
                <w:szCs w:val="20"/>
              </w:rPr>
              <w:t xml:space="preserve">  </w:t>
            </w:r>
            <w:r w:rsidR="00DC5538" w:rsidRPr="00DC5538">
              <w:rPr>
                <w:color w:val="000000"/>
                <w:sz w:val="20"/>
                <w:szCs w:val="20"/>
              </w:rPr>
              <w:t>4</w:t>
            </w:r>
            <w:r>
              <w:rPr>
                <w:color w:val="000000"/>
                <w:sz w:val="20"/>
                <w:szCs w:val="20"/>
              </w:rPr>
              <w:t>.</w:t>
            </w:r>
            <w:r w:rsidR="00DC5538" w:rsidRPr="00DC5538">
              <w:rPr>
                <w:color w:val="000000"/>
                <w:sz w:val="20"/>
                <w:szCs w:val="20"/>
              </w:rPr>
              <w:t>67</w:t>
            </w:r>
          </w:p>
        </w:tc>
      </w:tr>
      <w:tr w:rsidR="00B826B9" w:rsidRPr="00DC5538" w14:paraId="0626150A" w14:textId="77777777" w:rsidTr="00B826B9">
        <w:trPr>
          <w:trHeight w:val="288"/>
          <w:jc w:val="center"/>
        </w:trPr>
        <w:tc>
          <w:tcPr>
            <w:tcW w:w="2060" w:type="dxa"/>
            <w:tcBorders>
              <w:top w:val="nil"/>
              <w:left w:val="single" w:sz="12" w:space="0" w:color="auto"/>
              <w:bottom w:val="single" w:sz="12" w:space="0" w:color="auto"/>
              <w:right w:val="single" w:sz="12" w:space="0" w:color="auto"/>
            </w:tcBorders>
            <w:shd w:val="clear" w:color="auto" w:fill="auto"/>
            <w:noWrap/>
            <w:vAlign w:val="center"/>
            <w:hideMark/>
          </w:tcPr>
          <w:p w14:paraId="55BC0975" w14:textId="77777777" w:rsidR="00DC5538" w:rsidRPr="00DC5538" w:rsidRDefault="00DC5538" w:rsidP="00B826B9">
            <w:pPr>
              <w:spacing w:after="0" w:line="240" w:lineRule="auto"/>
              <w:rPr>
                <w:color w:val="000000"/>
                <w:sz w:val="20"/>
                <w:szCs w:val="20"/>
              </w:rPr>
            </w:pPr>
            <w:r w:rsidRPr="00DC5538">
              <w:rPr>
                <w:color w:val="000000"/>
                <w:sz w:val="20"/>
                <w:szCs w:val="20"/>
              </w:rPr>
              <w:t>Deliveries</w:t>
            </w:r>
          </w:p>
        </w:tc>
        <w:tc>
          <w:tcPr>
            <w:tcW w:w="2430" w:type="dxa"/>
            <w:tcBorders>
              <w:top w:val="nil"/>
              <w:left w:val="single" w:sz="12" w:space="0" w:color="auto"/>
              <w:bottom w:val="single" w:sz="12" w:space="0" w:color="auto"/>
              <w:right w:val="nil"/>
            </w:tcBorders>
            <w:shd w:val="clear" w:color="auto" w:fill="auto"/>
            <w:noWrap/>
            <w:vAlign w:val="center"/>
            <w:hideMark/>
          </w:tcPr>
          <w:p w14:paraId="29C3B9C7" w14:textId="77777777" w:rsidR="00DC5538" w:rsidRPr="00DC5538" w:rsidRDefault="00DC5538" w:rsidP="00B826B9">
            <w:pPr>
              <w:spacing w:after="0" w:line="240" w:lineRule="auto"/>
              <w:rPr>
                <w:color w:val="000000"/>
                <w:sz w:val="20"/>
                <w:szCs w:val="20"/>
              </w:rPr>
            </w:pPr>
            <w:r w:rsidRPr="00DC5538">
              <w:rPr>
                <w:color w:val="000000"/>
                <w:sz w:val="20"/>
                <w:szCs w:val="20"/>
              </w:rPr>
              <w:t>More than 10</w:t>
            </w:r>
          </w:p>
        </w:tc>
        <w:tc>
          <w:tcPr>
            <w:tcW w:w="2430" w:type="dxa"/>
            <w:tcBorders>
              <w:top w:val="nil"/>
              <w:left w:val="nil"/>
              <w:bottom w:val="single" w:sz="12" w:space="0" w:color="auto"/>
              <w:right w:val="single" w:sz="12" w:space="0" w:color="auto"/>
            </w:tcBorders>
            <w:shd w:val="clear" w:color="auto" w:fill="auto"/>
            <w:noWrap/>
            <w:vAlign w:val="center"/>
            <w:hideMark/>
          </w:tcPr>
          <w:p w14:paraId="54BACCD3" w14:textId="77777777" w:rsidR="00DC5538" w:rsidRPr="00DC5538" w:rsidRDefault="00DC5538" w:rsidP="00B826B9">
            <w:pPr>
              <w:spacing w:after="0" w:line="240" w:lineRule="auto"/>
              <w:rPr>
                <w:color w:val="000000"/>
                <w:sz w:val="20"/>
                <w:szCs w:val="20"/>
              </w:rPr>
            </w:pPr>
            <w:r w:rsidRPr="00DC5538">
              <w:rPr>
                <w:color w:val="000000"/>
                <w:sz w:val="20"/>
                <w:szCs w:val="20"/>
              </w:rPr>
              <w:t>None</w:t>
            </w:r>
          </w:p>
        </w:tc>
        <w:tc>
          <w:tcPr>
            <w:tcW w:w="990" w:type="dxa"/>
            <w:tcBorders>
              <w:top w:val="nil"/>
              <w:left w:val="single" w:sz="12" w:space="0" w:color="auto"/>
              <w:bottom w:val="single" w:sz="12" w:space="0" w:color="auto"/>
              <w:right w:val="single" w:sz="12" w:space="0" w:color="auto"/>
            </w:tcBorders>
            <w:shd w:val="clear" w:color="auto" w:fill="auto"/>
            <w:noWrap/>
            <w:vAlign w:val="center"/>
            <w:hideMark/>
          </w:tcPr>
          <w:p w14:paraId="1D50AA13" w14:textId="77777777" w:rsidR="00DC5538" w:rsidRPr="00DC5538" w:rsidRDefault="00DC5538" w:rsidP="00B826B9">
            <w:pPr>
              <w:tabs>
                <w:tab w:val="decimal" w:pos="211"/>
              </w:tabs>
              <w:spacing w:after="0" w:line="240" w:lineRule="auto"/>
              <w:jc w:val="center"/>
              <w:rPr>
                <w:color w:val="000000"/>
                <w:sz w:val="20"/>
                <w:szCs w:val="20"/>
              </w:rPr>
            </w:pPr>
            <w:r w:rsidRPr="00DC5538">
              <w:rPr>
                <w:color w:val="000000"/>
                <w:sz w:val="20"/>
                <w:szCs w:val="20"/>
              </w:rPr>
              <w:t>--</w:t>
            </w:r>
          </w:p>
        </w:tc>
        <w:tc>
          <w:tcPr>
            <w:tcW w:w="990" w:type="dxa"/>
            <w:tcBorders>
              <w:top w:val="nil"/>
              <w:left w:val="single" w:sz="12" w:space="0" w:color="auto"/>
              <w:bottom w:val="single" w:sz="12" w:space="0" w:color="auto"/>
              <w:right w:val="single" w:sz="12" w:space="0" w:color="auto"/>
            </w:tcBorders>
            <w:shd w:val="clear" w:color="auto" w:fill="auto"/>
            <w:noWrap/>
            <w:vAlign w:val="center"/>
            <w:hideMark/>
          </w:tcPr>
          <w:p w14:paraId="3A995233" w14:textId="77777777" w:rsidR="00DC5538" w:rsidRPr="00DC5538" w:rsidRDefault="00DC5538" w:rsidP="00B826B9">
            <w:pPr>
              <w:tabs>
                <w:tab w:val="decimal" w:pos="211"/>
              </w:tabs>
              <w:spacing w:after="0" w:line="240" w:lineRule="auto"/>
              <w:jc w:val="center"/>
              <w:rPr>
                <w:color w:val="000000"/>
                <w:sz w:val="20"/>
                <w:szCs w:val="20"/>
              </w:rPr>
            </w:pPr>
            <w:r w:rsidRPr="00DC5538">
              <w:rPr>
                <w:color w:val="000000"/>
                <w:sz w:val="20"/>
                <w:szCs w:val="20"/>
              </w:rPr>
              <w:t>--</w:t>
            </w:r>
          </w:p>
        </w:tc>
        <w:tc>
          <w:tcPr>
            <w:tcW w:w="1170" w:type="dxa"/>
            <w:tcBorders>
              <w:top w:val="nil"/>
              <w:left w:val="single" w:sz="12" w:space="0" w:color="auto"/>
              <w:bottom w:val="single" w:sz="12" w:space="0" w:color="auto"/>
              <w:right w:val="nil"/>
            </w:tcBorders>
            <w:shd w:val="clear" w:color="auto" w:fill="auto"/>
            <w:noWrap/>
            <w:vAlign w:val="center"/>
            <w:hideMark/>
          </w:tcPr>
          <w:p w14:paraId="26F34A51" w14:textId="77777777" w:rsidR="00DC5538" w:rsidRPr="00DC5538" w:rsidRDefault="00DC5538" w:rsidP="00B826B9">
            <w:pPr>
              <w:tabs>
                <w:tab w:val="decimal" w:pos="211"/>
              </w:tabs>
              <w:spacing w:after="0" w:line="240" w:lineRule="auto"/>
              <w:jc w:val="center"/>
              <w:rPr>
                <w:color w:val="000000"/>
                <w:sz w:val="20"/>
                <w:szCs w:val="20"/>
              </w:rPr>
            </w:pPr>
            <w:r w:rsidRPr="00DC5538">
              <w:rPr>
                <w:color w:val="000000"/>
                <w:sz w:val="20"/>
                <w:szCs w:val="20"/>
              </w:rPr>
              <w:t>--</w:t>
            </w:r>
          </w:p>
        </w:tc>
        <w:tc>
          <w:tcPr>
            <w:tcW w:w="1440" w:type="dxa"/>
            <w:tcBorders>
              <w:top w:val="nil"/>
              <w:left w:val="nil"/>
              <w:bottom w:val="single" w:sz="12" w:space="0" w:color="auto"/>
              <w:right w:val="nil"/>
            </w:tcBorders>
            <w:shd w:val="clear" w:color="auto" w:fill="auto"/>
            <w:noWrap/>
            <w:vAlign w:val="center"/>
            <w:hideMark/>
          </w:tcPr>
          <w:p w14:paraId="5E76CC75" w14:textId="77777777" w:rsidR="00DC5538" w:rsidRPr="00DC5538" w:rsidRDefault="00DC5538" w:rsidP="00B826B9">
            <w:pPr>
              <w:tabs>
                <w:tab w:val="decimal" w:pos="211"/>
              </w:tabs>
              <w:spacing w:after="0" w:line="240" w:lineRule="auto"/>
              <w:jc w:val="center"/>
              <w:rPr>
                <w:color w:val="000000"/>
                <w:sz w:val="20"/>
                <w:szCs w:val="20"/>
              </w:rPr>
            </w:pPr>
            <w:r w:rsidRPr="00DC5538">
              <w:rPr>
                <w:color w:val="000000"/>
                <w:sz w:val="20"/>
                <w:szCs w:val="20"/>
              </w:rPr>
              <w:t>--</w:t>
            </w:r>
          </w:p>
        </w:tc>
        <w:tc>
          <w:tcPr>
            <w:tcW w:w="1170" w:type="dxa"/>
            <w:tcBorders>
              <w:top w:val="nil"/>
              <w:left w:val="nil"/>
              <w:bottom w:val="single" w:sz="12" w:space="0" w:color="auto"/>
              <w:right w:val="single" w:sz="4" w:space="0" w:color="auto"/>
            </w:tcBorders>
            <w:shd w:val="clear" w:color="auto" w:fill="auto"/>
            <w:noWrap/>
            <w:vAlign w:val="center"/>
            <w:hideMark/>
          </w:tcPr>
          <w:p w14:paraId="0E8E85D7" w14:textId="77777777" w:rsidR="00DC5538" w:rsidRPr="00DC5538" w:rsidRDefault="00DC5538" w:rsidP="00B826B9">
            <w:pPr>
              <w:tabs>
                <w:tab w:val="decimal" w:pos="211"/>
              </w:tabs>
              <w:spacing w:after="0" w:line="240" w:lineRule="auto"/>
              <w:jc w:val="center"/>
              <w:rPr>
                <w:color w:val="000000"/>
                <w:sz w:val="20"/>
                <w:szCs w:val="20"/>
              </w:rPr>
            </w:pPr>
            <w:r w:rsidRPr="00DC5538">
              <w:rPr>
                <w:color w:val="000000"/>
                <w:sz w:val="20"/>
                <w:szCs w:val="20"/>
              </w:rPr>
              <w:t>100</w:t>
            </w:r>
          </w:p>
        </w:tc>
        <w:tc>
          <w:tcPr>
            <w:tcW w:w="720" w:type="dxa"/>
            <w:tcBorders>
              <w:top w:val="nil"/>
              <w:left w:val="single" w:sz="4" w:space="0" w:color="auto"/>
              <w:bottom w:val="single" w:sz="12" w:space="0" w:color="auto"/>
              <w:right w:val="single" w:sz="12" w:space="0" w:color="auto"/>
            </w:tcBorders>
            <w:shd w:val="clear" w:color="auto" w:fill="auto"/>
            <w:noWrap/>
            <w:vAlign w:val="center"/>
            <w:hideMark/>
          </w:tcPr>
          <w:p w14:paraId="0CB13AB6" w14:textId="585FA989" w:rsidR="00DC5538" w:rsidRPr="00DC5538" w:rsidRDefault="00195E78" w:rsidP="00B826B9">
            <w:pPr>
              <w:spacing w:after="0" w:line="240" w:lineRule="auto"/>
              <w:jc w:val="center"/>
              <w:rPr>
                <w:color w:val="000000"/>
                <w:sz w:val="20"/>
                <w:szCs w:val="20"/>
              </w:rPr>
            </w:pPr>
            <w:r>
              <w:rPr>
                <w:color w:val="000000"/>
                <w:sz w:val="20"/>
                <w:szCs w:val="20"/>
              </w:rPr>
              <w:t xml:space="preserve">  </w:t>
            </w:r>
            <w:r w:rsidR="00DC5538" w:rsidRPr="00DC5538">
              <w:rPr>
                <w:color w:val="000000"/>
                <w:sz w:val="20"/>
                <w:szCs w:val="20"/>
              </w:rPr>
              <w:t>8</w:t>
            </w:r>
            <w:r>
              <w:rPr>
                <w:color w:val="000000"/>
                <w:sz w:val="20"/>
                <w:szCs w:val="20"/>
              </w:rPr>
              <w:t>.</w:t>
            </w:r>
            <w:r w:rsidR="00DC5538" w:rsidRPr="00DC5538">
              <w:rPr>
                <w:color w:val="000000"/>
                <w:sz w:val="20"/>
                <w:szCs w:val="20"/>
              </w:rPr>
              <w:t>90</w:t>
            </w:r>
          </w:p>
        </w:tc>
      </w:tr>
      <w:bookmarkEnd w:id="3"/>
    </w:tbl>
    <w:p w14:paraId="63646B65" w14:textId="77777777" w:rsidR="00B826B9" w:rsidRDefault="00B826B9" w:rsidP="00687312">
      <w:pPr>
        <w:spacing w:after="0" w:line="240" w:lineRule="auto"/>
        <w:rPr>
          <w:b/>
          <w:bCs/>
        </w:rPr>
      </w:pPr>
    </w:p>
    <w:sectPr w:rsidR="00B826B9" w:rsidSect="006873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0A5B9" w14:textId="77777777" w:rsidR="000D77EB" w:rsidRDefault="000D77EB" w:rsidP="00F60E57">
      <w:pPr>
        <w:spacing w:after="0" w:line="240" w:lineRule="auto"/>
      </w:pPr>
      <w:r>
        <w:separator/>
      </w:r>
    </w:p>
  </w:endnote>
  <w:endnote w:type="continuationSeparator" w:id="0">
    <w:p w14:paraId="5988DF06" w14:textId="77777777" w:rsidR="000D77EB" w:rsidRDefault="000D77EB" w:rsidP="00F60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7572386"/>
      <w:docPartObj>
        <w:docPartGallery w:val="Page Numbers (Bottom of Page)"/>
        <w:docPartUnique/>
      </w:docPartObj>
    </w:sdtPr>
    <w:sdtEndPr>
      <w:rPr>
        <w:noProof/>
      </w:rPr>
    </w:sdtEndPr>
    <w:sdtContent>
      <w:p w14:paraId="31860643" w14:textId="40370194" w:rsidR="00F60E57" w:rsidRDefault="00F60E57" w:rsidP="00D218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162475"/>
      <w:docPartObj>
        <w:docPartGallery w:val="Page Numbers (Bottom of Page)"/>
        <w:docPartUnique/>
      </w:docPartObj>
    </w:sdtPr>
    <w:sdtEndPr>
      <w:rPr>
        <w:noProof/>
      </w:rPr>
    </w:sdtEndPr>
    <w:sdtContent>
      <w:p w14:paraId="5F5972D0" w14:textId="0F45AC45" w:rsidR="002961DC" w:rsidRDefault="002961DC" w:rsidP="006873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3888365"/>
      <w:docPartObj>
        <w:docPartGallery w:val="Page Numbers (Bottom of Page)"/>
        <w:docPartUnique/>
      </w:docPartObj>
    </w:sdtPr>
    <w:sdtEndPr>
      <w:rPr>
        <w:noProof/>
      </w:rPr>
    </w:sdtEndPr>
    <w:sdtContent>
      <w:p w14:paraId="3D2B1520" w14:textId="3E70FA78" w:rsidR="0098301E" w:rsidRDefault="0098301E" w:rsidP="006873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CCA90" w14:textId="77777777" w:rsidR="000D77EB" w:rsidRDefault="000D77EB" w:rsidP="00F60E57">
      <w:pPr>
        <w:spacing w:after="0" w:line="240" w:lineRule="auto"/>
      </w:pPr>
      <w:r>
        <w:separator/>
      </w:r>
    </w:p>
  </w:footnote>
  <w:footnote w:type="continuationSeparator" w:id="0">
    <w:p w14:paraId="7E52D032" w14:textId="77777777" w:rsidR="000D77EB" w:rsidRDefault="000D77EB" w:rsidP="00F60E57">
      <w:pPr>
        <w:spacing w:after="0" w:line="240" w:lineRule="auto"/>
      </w:pPr>
      <w:r>
        <w:continuationSeparator/>
      </w:r>
    </w:p>
  </w:footnote>
  <w:footnote w:id="1">
    <w:p w14:paraId="63A0DA92" w14:textId="7D79C8C7" w:rsidR="00DD3E3D" w:rsidRDefault="00DD3E3D" w:rsidP="00DD3E3D">
      <w:pPr>
        <w:pStyle w:val="FootnoteText"/>
      </w:pPr>
      <w:r>
        <w:rPr>
          <w:rStyle w:val="FootnoteReference"/>
        </w:rPr>
        <w:footnoteRef/>
      </w:r>
      <w:r>
        <w:rPr>
          <w:bCs/>
        </w:rPr>
        <w:t>“Physical accessibility</w:t>
      </w:r>
      <w:r w:rsidR="000F5E3D">
        <w:rPr>
          <w:bCs/>
        </w:rPr>
        <w:t>,</w:t>
      </w:r>
      <w:r>
        <w:rPr>
          <w:bCs/>
        </w:rPr>
        <w:t xml:space="preserve">” as referred to in this paper, includes the holistic set of objective and subjective features of the transportation system that facilitate physical participation, while “virtual accessibility” refers to the objective and subjective factors that facilitate </w:t>
      </w:r>
      <w:r w:rsidR="009648C6">
        <w:rPr>
          <w:bCs/>
        </w:rPr>
        <w:t xml:space="preserve">virtual </w:t>
      </w:r>
      <w:r>
        <w:rPr>
          <w:bCs/>
        </w:rPr>
        <w:t>participation.</w:t>
      </w:r>
    </w:p>
  </w:footnote>
  <w:footnote w:id="2">
    <w:p w14:paraId="67CC9FDF" w14:textId="0E1B4DF7" w:rsidR="007A40D5" w:rsidRDefault="007A40D5" w:rsidP="007A40D5">
      <w:pPr>
        <w:pStyle w:val="FootnoteText"/>
        <w:jc w:val="both"/>
      </w:pPr>
      <w:r>
        <w:rPr>
          <w:rStyle w:val="FootnoteReference"/>
        </w:rPr>
        <w:footnoteRef/>
      </w:r>
      <w:r>
        <w:t xml:space="preserve"> </w:t>
      </w:r>
      <w:r w:rsidR="000A1C17">
        <w:t>The intent of the equity section of the survey was to determine how extensive trip suppression of planned trips was because of transportation</w:t>
      </w:r>
      <w:r w:rsidR="009648C6">
        <w:t xml:space="preserve"> accessibility </w:t>
      </w:r>
      <w:r w:rsidR="000A1C17">
        <w:t>c</w:t>
      </w:r>
      <w:r w:rsidR="009648C6">
        <w:t>hallenges</w:t>
      </w:r>
      <w:r w:rsidR="000A1C17">
        <w:t>, and whether this varied by population groups</w:t>
      </w:r>
      <w:r w:rsidR="009648C6">
        <w:t xml:space="preserve">, which </w:t>
      </w:r>
      <w:r w:rsidR="00670CB2">
        <w:t xml:space="preserve">dovetails nicely with our study of PPD. </w:t>
      </w:r>
      <w:r w:rsidR="005C4DB9">
        <w:t xml:space="preserve">But, in the survey, </w:t>
      </w:r>
      <w:r w:rsidR="009648C6">
        <w:t xml:space="preserve">in addition to the eight reasons identified above, </w:t>
      </w:r>
      <w:r w:rsidR="005C4DB9">
        <w:t>i</w:t>
      </w:r>
      <w:r w:rsidR="00965E73">
        <w:t xml:space="preserve">ndividuals </w:t>
      </w:r>
      <w:r w:rsidR="005C4DB9">
        <w:t xml:space="preserve">had the option of </w:t>
      </w:r>
      <w:r w:rsidR="00965E73">
        <w:t>provid</w:t>
      </w:r>
      <w:r w:rsidR="005C4DB9">
        <w:t xml:space="preserve">ing </w:t>
      </w:r>
      <w:r w:rsidR="00965E73">
        <w:t xml:space="preserve">their response in </w:t>
      </w:r>
      <w:r w:rsidR="00FA5711">
        <w:t xml:space="preserve">an </w:t>
      </w:r>
      <w:r w:rsidR="00965E73">
        <w:t xml:space="preserve">additional </w:t>
      </w:r>
      <w:r w:rsidR="00FA5711">
        <w:t>“other” reason category</w:t>
      </w:r>
      <w:r w:rsidR="005C4DB9">
        <w:t xml:space="preserve"> (for suppressing trips)</w:t>
      </w:r>
      <w:r w:rsidR="00670CB2">
        <w:t xml:space="preserve">. </w:t>
      </w:r>
      <w:r w:rsidR="00230EE9">
        <w:t xml:space="preserve">We attempted to obtain the textual </w:t>
      </w:r>
      <w:r w:rsidR="00B60950">
        <w:t>characterizations</w:t>
      </w:r>
      <w:r w:rsidR="009648C6">
        <w:t xml:space="preserve"> corresponding to this “other” reason</w:t>
      </w:r>
      <w:r w:rsidR="00B60950">
        <w:t xml:space="preserve"> but were informed that it would not be available. </w:t>
      </w:r>
      <w:r w:rsidR="000A1C17">
        <w:t xml:space="preserve">Given that this non-descriptive “other” category could be for a variety of reasons </w:t>
      </w:r>
      <w:r w:rsidR="00670CB2">
        <w:t xml:space="preserve">not related to PPD, </w:t>
      </w:r>
      <w:r w:rsidR="000A1C17">
        <w:t>such as “</w:t>
      </w:r>
      <w:r w:rsidR="005C4DB9">
        <w:t>f</w:t>
      </w:r>
      <w:r w:rsidR="000A1C17">
        <w:t xml:space="preserve">elt tired” or </w:t>
      </w:r>
      <w:r w:rsidR="005C4DB9">
        <w:t xml:space="preserve">“was ill” or </w:t>
      </w:r>
      <w:r w:rsidR="000A1C17">
        <w:t xml:space="preserve">“inclement weather during the past 30 days” or any of many other reasons </w:t>
      </w:r>
      <w:r w:rsidR="00670CB2">
        <w:t xml:space="preserve">for suppressing trips, </w:t>
      </w:r>
      <w:r w:rsidR="005C4DB9">
        <w:t>we only included individuals who either did not suppress trips, or, if they suppressed trips, marked at least one of the eight reasons listed above.</w:t>
      </w:r>
      <w:r w:rsidR="00B60950">
        <w:t xml:space="preserve"> One more issue here. An additional </w:t>
      </w:r>
      <w:r w:rsidR="009648C6">
        <w:t xml:space="preserve">tenth </w:t>
      </w:r>
      <w:r w:rsidR="00B60950">
        <w:t>PPD reason category in the survey was “I had more home deliveries instead of going to trips to stores</w:t>
      </w:r>
      <w:r w:rsidR="00321C06">
        <w:t>.</w:t>
      </w:r>
      <w:r w:rsidR="00B60950">
        <w:t xml:space="preserve">” While we could have used this as a metric for virtual activity, this PPD reason is available only </w:t>
      </w:r>
      <w:r w:rsidR="009648C6">
        <w:t xml:space="preserve">for </w:t>
      </w:r>
      <w:r w:rsidR="00B60950">
        <w:t xml:space="preserve">those who reported having PPD (and not for the vast number of other individuals in our sample who did not report PPD). Thus, we dropped individuals who reported this PPD reason </w:t>
      </w:r>
      <w:r w:rsidR="009648C6">
        <w:t>(there were anyway very few individuals who cho</w:t>
      </w:r>
      <w:r w:rsidR="00522A5F">
        <w:t>s</w:t>
      </w:r>
      <w:r w:rsidR="009648C6">
        <w:t xml:space="preserve">e this tenth reason exclusively without choosing any of the eight </w:t>
      </w:r>
      <w:r w:rsidR="0019104F">
        <w:t xml:space="preserve">PPD </w:t>
      </w:r>
      <w:r w:rsidR="009648C6">
        <w:t>reasons</w:t>
      </w:r>
      <w:r w:rsidR="0019104F">
        <w:t xml:space="preserve"> considered here</w:t>
      </w:r>
      <w:r w:rsidR="009648C6">
        <w:t>)</w:t>
      </w:r>
      <w:r w:rsidR="0019104F">
        <w:t>. I</w:t>
      </w:r>
      <w:r w:rsidR="00B60950">
        <w:t>nstead</w:t>
      </w:r>
      <w:r w:rsidR="0019104F">
        <w:t>, we</w:t>
      </w:r>
      <w:r w:rsidR="00B60950">
        <w:t xml:space="preserve"> used the actual reported number of deliveries as a separate virtual participation outcome, since this information is available for all individuals. </w:t>
      </w:r>
    </w:p>
  </w:footnote>
  <w:footnote w:id="3">
    <w:p w14:paraId="04B621AF" w14:textId="71F70202" w:rsidR="00CD64FD" w:rsidRDefault="00CD64FD" w:rsidP="00F94EF6">
      <w:pPr>
        <w:pStyle w:val="FootnoteText"/>
        <w:jc w:val="both"/>
      </w:pPr>
      <w:r>
        <w:rPr>
          <w:rStyle w:val="FootnoteReference"/>
        </w:rPr>
        <w:footnoteRef/>
      </w:r>
      <w:r>
        <w:rPr>
          <w:rStyle w:val="FootnoteReference"/>
        </w:rPr>
        <w:t xml:space="preserve"> </w:t>
      </w:r>
      <w:r w:rsidR="00321C06">
        <w:t>The nine U.S. divisions were defined according to the Census groupings. These divisions include the New England (Connecticut, Main, Massachusetts, New Hampshire, Rhode Island, and Vermont), Middle Atlantic (New Jersey, New York, and Pennsylvania), East North Central (Indiana, Illinois, Michigan, Ohio, and Wisconsin), West North Central (Iowa, Kansas, Minnesota, Missouri, Nebraska, North Dakota, and South Dakota), South Atlantic (Delaware, District of Columbia, Florida, Georgia, Maryland, North Carolina, South Carolina, Virginia, and West Virginia), East South Central (Alabama, Kentucky, Mississippi, and Tennessee), West South Central (Arkansas, Louisiana, Oklahoma, and Texas), Mountain (Arizona, Colorado, Idaho, New Mexico, Montana, Utah, Nevada, and Wyoming) and Pacific (Alaska, California, Hawaii, Oregon, and Washington).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488B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298633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B98CD7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79CA4D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232A90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E02924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EE4489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AD88DB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83A665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E6AE88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D76A37"/>
    <w:multiLevelType w:val="hybridMultilevel"/>
    <w:tmpl w:val="1EF400FC"/>
    <w:lvl w:ilvl="0" w:tplc="16C60A3C">
      <w:start w:val="1"/>
      <w:numFmt w:val="bullet"/>
      <w:lvlText w:val="-"/>
      <w:lvlJc w:val="left"/>
      <w:pPr>
        <w:tabs>
          <w:tab w:val="num" w:pos="720"/>
        </w:tabs>
        <w:ind w:left="720" w:hanging="360"/>
      </w:pPr>
      <w:rPr>
        <w:rFonts w:ascii="Aptos" w:hAnsi="Aptos" w:hint="default"/>
      </w:rPr>
    </w:lvl>
    <w:lvl w:ilvl="1" w:tplc="1194A32A" w:tentative="1">
      <w:start w:val="1"/>
      <w:numFmt w:val="bullet"/>
      <w:lvlText w:val="-"/>
      <w:lvlJc w:val="left"/>
      <w:pPr>
        <w:tabs>
          <w:tab w:val="num" w:pos="1440"/>
        </w:tabs>
        <w:ind w:left="1440" w:hanging="360"/>
      </w:pPr>
      <w:rPr>
        <w:rFonts w:ascii="Aptos" w:hAnsi="Aptos" w:hint="default"/>
      </w:rPr>
    </w:lvl>
    <w:lvl w:ilvl="2" w:tplc="05E2F0BC" w:tentative="1">
      <w:start w:val="1"/>
      <w:numFmt w:val="bullet"/>
      <w:lvlText w:val="-"/>
      <w:lvlJc w:val="left"/>
      <w:pPr>
        <w:tabs>
          <w:tab w:val="num" w:pos="2160"/>
        </w:tabs>
        <w:ind w:left="2160" w:hanging="360"/>
      </w:pPr>
      <w:rPr>
        <w:rFonts w:ascii="Aptos" w:hAnsi="Aptos" w:hint="default"/>
      </w:rPr>
    </w:lvl>
    <w:lvl w:ilvl="3" w:tplc="F176D42E" w:tentative="1">
      <w:start w:val="1"/>
      <w:numFmt w:val="bullet"/>
      <w:lvlText w:val="-"/>
      <w:lvlJc w:val="left"/>
      <w:pPr>
        <w:tabs>
          <w:tab w:val="num" w:pos="2880"/>
        </w:tabs>
        <w:ind w:left="2880" w:hanging="360"/>
      </w:pPr>
      <w:rPr>
        <w:rFonts w:ascii="Aptos" w:hAnsi="Aptos" w:hint="default"/>
      </w:rPr>
    </w:lvl>
    <w:lvl w:ilvl="4" w:tplc="71D8EEE8" w:tentative="1">
      <w:start w:val="1"/>
      <w:numFmt w:val="bullet"/>
      <w:lvlText w:val="-"/>
      <w:lvlJc w:val="left"/>
      <w:pPr>
        <w:tabs>
          <w:tab w:val="num" w:pos="3600"/>
        </w:tabs>
        <w:ind w:left="3600" w:hanging="360"/>
      </w:pPr>
      <w:rPr>
        <w:rFonts w:ascii="Aptos" w:hAnsi="Aptos" w:hint="default"/>
      </w:rPr>
    </w:lvl>
    <w:lvl w:ilvl="5" w:tplc="CFE07DD0" w:tentative="1">
      <w:start w:val="1"/>
      <w:numFmt w:val="bullet"/>
      <w:lvlText w:val="-"/>
      <w:lvlJc w:val="left"/>
      <w:pPr>
        <w:tabs>
          <w:tab w:val="num" w:pos="4320"/>
        </w:tabs>
        <w:ind w:left="4320" w:hanging="360"/>
      </w:pPr>
      <w:rPr>
        <w:rFonts w:ascii="Aptos" w:hAnsi="Aptos" w:hint="default"/>
      </w:rPr>
    </w:lvl>
    <w:lvl w:ilvl="6" w:tplc="09685D26" w:tentative="1">
      <w:start w:val="1"/>
      <w:numFmt w:val="bullet"/>
      <w:lvlText w:val="-"/>
      <w:lvlJc w:val="left"/>
      <w:pPr>
        <w:tabs>
          <w:tab w:val="num" w:pos="5040"/>
        </w:tabs>
        <w:ind w:left="5040" w:hanging="360"/>
      </w:pPr>
      <w:rPr>
        <w:rFonts w:ascii="Aptos" w:hAnsi="Aptos" w:hint="default"/>
      </w:rPr>
    </w:lvl>
    <w:lvl w:ilvl="7" w:tplc="DB62FA42" w:tentative="1">
      <w:start w:val="1"/>
      <w:numFmt w:val="bullet"/>
      <w:lvlText w:val="-"/>
      <w:lvlJc w:val="left"/>
      <w:pPr>
        <w:tabs>
          <w:tab w:val="num" w:pos="5760"/>
        </w:tabs>
        <w:ind w:left="5760" w:hanging="360"/>
      </w:pPr>
      <w:rPr>
        <w:rFonts w:ascii="Aptos" w:hAnsi="Aptos" w:hint="default"/>
      </w:rPr>
    </w:lvl>
    <w:lvl w:ilvl="8" w:tplc="4BBCCD3A" w:tentative="1">
      <w:start w:val="1"/>
      <w:numFmt w:val="bullet"/>
      <w:lvlText w:val="-"/>
      <w:lvlJc w:val="left"/>
      <w:pPr>
        <w:tabs>
          <w:tab w:val="num" w:pos="6480"/>
        </w:tabs>
        <w:ind w:left="6480" w:hanging="360"/>
      </w:pPr>
      <w:rPr>
        <w:rFonts w:ascii="Aptos" w:hAnsi="Aptos" w:hint="default"/>
      </w:rPr>
    </w:lvl>
  </w:abstractNum>
  <w:abstractNum w:abstractNumId="11" w15:restartNumberingAfterBreak="0">
    <w:nsid w:val="166B490D"/>
    <w:multiLevelType w:val="hybridMultilevel"/>
    <w:tmpl w:val="CB12F4FA"/>
    <w:lvl w:ilvl="0" w:tplc="EF703CA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6F15204"/>
    <w:multiLevelType w:val="hybridMultilevel"/>
    <w:tmpl w:val="E90C1EAC"/>
    <w:lvl w:ilvl="0" w:tplc="4280BAC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625B2E"/>
    <w:multiLevelType w:val="hybridMultilevel"/>
    <w:tmpl w:val="2EEA2B40"/>
    <w:lvl w:ilvl="0" w:tplc="BEE4A0B8">
      <w:start w:val="2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DA0684"/>
    <w:multiLevelType w:val="hybridMultilevel"/>
    <w:tmpl w:val="6192AD20"/>
    <w:lvl w:ilvl="0" w:tplc="866C8810">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B67689"/>
    <w:multiLevelType w:val="hybridMultilevel"/>
    <w:tmpl w:val="9348B570"/>
    <w:lvl w:ilvl="0" w:tplc="75D025B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EB646A"/>
    <w:multiLevelType w:val="hybridMultilevel"/>
    <w:tmpl w:val="CFC43346"/>
    <w:lvl w:ilvl="0" w:tplc="EF703C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B44732"/>
    <w:multiLevelType w:val="hybridMultilevel"/>
    <w:tmpl w:val="C5EA1B08"/>
    <w:lvl w:ilvl="0" w:tplc="4992ED6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BB326B"/>
    <w:multiLevelType w:val="hybridMultilevel"/>
    <w:tmpl w:val="55EEE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2B6018"/>
    <w:multiLevelType w:val="hybridMultilevel"/>
    <w:tmpl w:val="A8A8B9B2"/>
    <w:lvl w:ilvl="0" w:tplc="69ECE18C">
      <w:start w:val="1"/>
      <w:numFmt w:val="bullet"/>
      <w:lvlText w:val="-"/>
      <w:lvlJc w:val="left"/>
      <w:pPr>
        <w:tabs>
          <w:tab w:val="num" w:pos="720"/>
        </w:tabs>
        <w:ind w:left="720" w:hanging="360"/>
      </w:pPr>
      <w:rPr>
        <w:rFonts w:ascii="Aptos" w:hAnsi="Aptos" w:hint="default"/>
      </w:rPr>
    </w:lvl>
    <w:lvl w:ilvl="1" w:tplc="6B0635CE" w:tentative="1">
      <w:start w:val="1"/>
      <w:numFmt w:val="bullet"/>
      <w:lvlText w:val="-"/>
      <w:lvlJc w:val="left"/>
      <w:pPr>
        <w:tabs>
          <w:tab w:val="num" w:pos="1440"/>
        </w:tabs>
        <w:ind w:left="1440" w:hanging="360"/>
      </w:pPr>
      <w:rPr>
        <w:rFonts w:ascii="Aptos" w:hAnsi="Aptos" w:hint="default"/>
      </w:rPr>
    </w:lvl>
    <w:lvl w:ilvl="2" w:tplc="94589F4A" w:tentative="1">
      <w:start w:val="1"/>
      <w:numFmt w:val="bullet"/>
      <w:lvlText w:val="-"/>
      <w:lvlJc w:val="left"/>
      <w:pPr>
        <w:tabs>
          <w:tab w:val="num" w:pos="2160"/>
        </w:tabs>
        <w:ind w:left="2160" w:hanging="360"/>
      </w:pPr>
      <w:rPr>
        <w:rFonts w:ascii="Aptos" w:hAnsi="Aptos" w:hint="default"/>
      </w:rPr>
    </w:lvl>
    <w:lvl w:ilvl="3" w:tplc="6464F050" w:tentative="1">
      <w:start w:val="1"/>
      <w:numFmt w:val="bullet"/>
      <w:lvlText w:val="-"/>
      <w:lvlJc w:val="left"/>
      <w:pPr>
        <w:tabs>
          <w:tab w:val="num" w:pos="2880"/>
        </w:tabs>
        <w:ind w:left="2880" w:hanging="360"/>
      </w:pPr>
      <w:rPr>
        <w:rFonts w:ascii="Aptos" w:hAnsi="Aptos" w:hint="default"/>
      </w:rPr>
    </w:lvl>
    <w:lvl w:ilvl="4" w:tplc="E5C43A2C" w:tentative="1">
      <w:start w:val="1"/>
      <w:numFmt w:val="bullet"/>
      <w:lvlText w:val="-"/>
      <w:lvlJc w:val="left"/>
      <w:pPr>
        <w:tabs>
          <w:tab w:val="num" w:pos="3600"/>
        </w:tabs>
        <w:ind w:left="3600" w:hanging="360"/>
      </w:pPr>
      <w:rPr>
        <w:rFonts w:ascii="Aptos" w:hAnsi="Aptos" w:hint="default"/>
      </w:rPr>
    </w:lvl>
    <w:lvl w:ilvl="5" w:tplc="0020340A" w:tentative="1">
      <w:start w:val="1"/>
      <w:numFmt w:val="bullet"/>
      <w:lvlText w:val="-"/>
      <w:lvlJc w:val="left"/>
      <w:pPr>
        <w:tabs>
          <w:tab w:val="num" w:pos="4320"/>
        </w:tabs>
        <w:ind w:left="4320" w:hanging="360"/>
      </w:pPr>
      <w:rPr>
        <w:rFonts w:ascii="Aptos" w:hAnsi="Aptos" w:hint="default"/>
      </w:rPr>
    </w:lvl>
    <w:lvl w:ilvl="6" w:tplc="CD746A94" w:tentative="1">
      <w:start w:val="1"/>
      <w:numFmt w:val="bullet"/>
      <w:lvlText w:val="-"/>
      <w:lvlJc w:val="left"/>
      <w:pPr>
        <w:tabs>
          <w:tab w:val="num" w:pos="5040"/>
        </w:tabs>
        <w:ind w:left="5040" w:hanging="360"/>
      </w:pPr>
      <w:rPr>
        <w:rFonts w:ascii="Aptos" w:hAnsi="Aptos" w:hint="default"/>
      </w:rPr>
    </w:lvl>
    <w:lvl w:ilvl="7" w:tplc="2496DAC6" w:tentative="1">
      <w:start w:val="1"/>
      <w:numFmt w:val="bullet"/>
      <w:lvlText w:val="-"/>
      <w:lvlJc w:val="left"/>
      <w:pPr>
        <w:tabs>
          <w:tab w:val="num" w:pos="5760"/>
        </w:tabs>
        <w:ind w:left="5760" w:hanging="360"/>
      </w:pPr>
      <w:rPr>
        <w:rFonts w:ascii="Aptos" w:hAnsi="Aptos" w:hint="default"/>
      </w:rPr>
    </w:lvl>
    <w:lvl w:ilvl="8" w:tplc="6FF8FB9A" w:tentative="1">
      <w:start w:val="1"/>
      <w:numFmt w:val="bullet"/>
      <w:lvlText w:val="-"/>
      <w:lvlJc w:val="left"/>
      <w:pPr>
        <w:tabs>
          <w:tab w:val="num" w:pos="6480"/>
        </w:tabs>
        <w:ind w:left="6480" w:hanging="360"/>
      </w:pPr>
      <w:rPr>
        <w:rFonts w:ascii="Aptos" w:hAnsi="Aptos" w:hint="default"/>
      </w:rPr>
    </w:lvl>
  </w:abstractNum>
  <w:abstractNum w:abstractNumId="20" w15:restartNumberingAfterBreak="0">
    <w:nsid w:val="3D831206"/>
    <w:multiLevelType w:val="hybridMultilevel"/>
    <w:tmpl w:val="BFCA19EA"/>
    <w:lvl w:ilvl="0" w:tplc="757A47B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6A3A4E"/>
    <w:multiLevelType w:val="hybridMultilevel"/>
    <w:tmpl w:val="6A86117C"/>
    <w:lvl w:ilvl="0" w:tplc="EF703C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551F17"/>
    <w:multiLevelType w:val="hybridMultilevel"/>
    <w:tmpl w:val="17E28AB8"/>
    <w:lvl w:ilvl="0" w:tplc="2116966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7A741B"/>
    <w:multiLevelType w:val="hybridMultilevel"/>
    <w:tmpl w:val="72AC9DB6"/>
    <w:lvl w:ilvl="0" w:tplc="0176598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FF38B7"/>
    <w:multiLevelType w:val="hybridMultilevel"/>
    <w:tmpl w:val="A79C849A"/>
    <w:lvl w:ilvl="0" w:tplc="EF703C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7019A4"/>
    <w:multiLevelType w:val="hybridMultilevel"/>
    <w:tmpl w:val="47D4051C"/>
    <w:lvl w:ilvl="0" w:tplc="4D1A61E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E321AA"/>
    <w:multiLevelType w:val="hybridMultilevel"/>
    <w:tmpl w:val="436870A4"/>
    <w:lvl w:ilvl="0" w:tplc="60309A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E44817"/>
    <w:multiLevelType w:val="hybridMultilevel"/>
    <w:tmpl w:val="32704DF6"/>
    <w:lvl w:ilvl="0" w:tplc="8C9E1634">
      <w:start w:val="2"/>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24"/>
  </w:num>
  <w:num w:numId="4">
    <w:abstractNumId w:val="21"/>
  </w:num>
  <w:num w:numId="5">
    <w:abstractNumId w:val="26"/>
  </w:num>
  <w:num w:numId="6">
    <w:abstractNumId w:val="18"/>
  </w:num>
  <w:num w:numId="7">
    <w:abstractNumId w:val="17"/>
  </w:num>
  <w:num w:numId="8">
    <w:abstractNumId w:val="12"/>
  </w:num>
  <w:num w:numId="9">
    <w:abstractNumId w:val="25"/>
  </w:num>
  <w:num w:numId="10">
    <w:abstractNumId w:val="27"/>
  </w:num>
  <w:num w:numId="11">
    <w:abstractNumId w:val="15"/>
  </w:num>
  <w:num w:numId="12">
    <w:abstractNumId w:val="23"/>
  </w:num>
  <w:num w:numId="13">
    <w:abstractNumId w:val="11"/>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9"/>
  </w:num>
  <w:num w:numId="25">
    <w:abstractNumId w:val="10"/>
  </w:num>
  <w:num w:numId="26">
    <w:abstractNumId w:val="20"/>
  </w:num>
  <w:num w:numId="27">
    <w:abstractNumId w:val="14"/>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EDF"/>
    <w:rsid w:val="00000029"/>
    <w:rsid w:val="00002ACB"/>
    <w:rsid w:val="00003531"/>
    <w:rsid w:val="00003E93"/>
    <w:rsid w:val="00004CBF"/>
    <w:rsid w:val="00004E6A"/>
    <w:rsid w:val="0000512D"/>
    <w:rsid w:val="0000631D"/>
    <w:rsid w:val="0000662D"/>
    <w:rsid w:val="00007104"/>
    <w:rsid w:val="00007201"/>
    <w:rsid w:val="00007D33"/>
    <w:rsid w:val="00007D35"/>
    <w:rsid w:val="00007DD5"/>
    <w:rsid w:val="00010501"/>
    <w:rsid w:val="000110A9"/>
    <w:rsid w:val="00011BBC"/>
    <w:rsid w:val="00011D24"/>
    <w:rsid w:val="00012459"/>
    <w:rsid w:val="0001308C"/>
    <w:rsid w:val="000133F3"/>
    <w:rsid w:val="000138B3"/>
    <w:rsid w:val="000138C1"/>
    <w:rsid w:val="00013ABA"/>
    <w:rsid w:val="00013C5B"/>
    <w:rsid w:val="00013FB2"/>
    <w:rsid w:val="00014723"/>
    <w:rsid w:val="00015D5A"/>
    <w:rsid w:val="0001608F"/>
    <w:rsid w:val="000173A5"/>
    <w:rsid w:val="000175CF"/>
    <w:rsid w:val="000202C0"/>
    <w:rsid w:val="000207F0"/>
    <w:rsid w:val="0002100E"/>
    <w:rsid w:val="000212A8"/>
    <w:rsid w:val="000212C9"/>
    <w:rsid w:val="00022B81"/>
    <w:rsid w:val="00022CB3"/>
    <w:rsid w:val="00022E88"/>
    <w:rsid w:val="00022F2E"/>
    <w:rsid w:val="00023BB0"/>
    <w:rsid w:val="0002426F"/>
    <w:rsid w:val="00024448"/>
    <w:rsid w:val="00024791"/>
    <w:rsid w:val="00024F29"/>
    <w:rsid w:val="00025560"/>
    <w:rsid w:val="0002620E"/>
    <w:rsid w:val="00027100"/>
    <w:rsid w:val="00031343"/>
    <w:rsid w:val="000317CB"/>
    <w:rsid w:val="00031D1C"/>
    <w:rsid w:val="000320A3"/>
    <w:rsid w:val="00032109"/>
    <w:rsid w:val="000329D5"/>
    <w:rsid w:val="00032BEA"/>
    <w:rsid w:val="00034050"/>
    <w:rsid w:val="000347E4"/>
    <w:rsid w:val="000348F6"/>
    <w:rsid w:val="00034A24"/>
    <w:rsid w:val="00034DB1"/>
    <w:rsid w:val="00034EF2"/>
    <w:rsid w:val="00035C7C"/>
    <w:rsid w:val="00035FAF"/>
    <w:rsid w:val="00036E2C"/>
    <w:rsid w:val="00037073"/>
    <w:rsid w:val="00037136"/>
    <w:rsid w:val="000372BF"/>
    <w:rsid w:val="00037841"/>
    <w:rsid w:val="00040C1F"/>
    <w:rsid w:val="00041BE5"/>
    <w:rsid w:val="00042486"/>
    <w:rsid w:val="00042612"/>
    <w:rsid w:val="00042BC7"/>
    <w:rsid w:val="00043836"/>
    <w:rsid w:val="00044155"/>
    <w:rsid w:val="00044637"/>
    <w:rsid w:val="00044C75"/>
    <w:rsid w:val="000457B3"/>
    <w:rsid w:val="00045830"/>
    <w:rsid w:val="00045A87"/>
    <w:rsid w:val="00045EC9"/>
    <w:rsid w:val="00046562"/>
    <w:rsid w:val="0004703E"/>
    <w:rsid w:val="000472DD"/>
    <w:rsid w:val="0004773C"/>
    <w:rsid w:val="000477A3"/>
    <w:rsid w:val="00047973"/>
    <w:rsid w:val="00050182"/>
    <w:rsid w:val="00050792"/>
    <w:rsid w:val="00050F96"/>
    <w:rsid w:val="0005203A"/>
    <w:rsid w:val="00052072"/>
    <w:rsid w:val="00052BDD"/>
    <w:rsid w:val="00052D7B"/>
    <w:rsid w:val="00053542"/>
    <w:rsid w:val="00053726"/>
    <w:rsid w:val="000539F5"/>
    <w:rsid w:val="00054121"/>
    <w:rsid w:val="000548F2"/>
    <w:rsid w:val="00054C7E"/>
    <w:rsid w:val="00055B73"/>
    <w:rsid w:val="00056145"/>
    <w:rsid w:val="00056411"/>
    <w:rsid w:val="000567C7"/>
    <w:rsid w:val="00056870"/>
    <w:rsid w:val="00056A52"/>
    <w:rsid w:val="00057059"/>
    <w:rsid w:val="00057390"/>
    <w:rsid w:val="00057842"/>
    <w:rsid w:val="000579B1"/>
    <w:rsid w:val="0006031E"/>
    <w:rsid w:val="0006145C"/>
    <w:rsid w:val="000618D7"/>
    <w:rsid w:val="00062C8D"/>
    <w:rsid w:val="00063E6D"/>
    <w:rsid w:val="00065C95"/>
    <w:rsid w:val="00066105"/>
    <w:rsid w:val="0006686C"/>
    <w:rsid w:val="000669B8"/>
    <w:rsid w:val="0006777D"/>
    <w:rsid w:val="0007086D"/>
    <w:rsid w:val="00070EFE"/>
    <w:rsid w:val="00070F4C"/>
    <w:rsid w:val="00071A0C"/>
    <w:rsid w:val="00071AB5"/>
    <w:rsid w:val="00071F65"/>
    <w:rsid w:val="00072001"/>
    <w:rsid w:val="00072385"/>
    <w:rsid w:val="00072CBA"/>
    <w:rsid w:val="00073092"/>
    <w:rsid w:val="000733FD"/>
    <w:rsid w:val="00073D5D"/>
    <w:rsid w:val="000741F0"/>
    <w:rsid w:val="0007556D"/>
    <w:rsid w:val="0007598C"/>
    <w:rsid w:val="00076F1B"/>
    <w:rsid w:val="00077494"/>
    <w:rsid w:val="00077867"/>
    <w:rsid w:val="00077FEA"/>
    <w:rsid w:val="00080D3C"/>
    <w:rsid w:val="00080F9C"/>
    <w:rsid w:val="000812C0"/>
    <w:rsid w:val="000822F0"/>
    <w:rsid w:val="000829E5"/>
    <w:rsid w:val="00082B8B"/>
    <w:rsid w:val="00082E49"/>
    <w:rsid w:val="000842B9"/>
    <w:rsid w:val="00084924"/>
    <w:rsid w:val="000849A8"/>
    <w:rsid w:val="00084D8E"/>
    <w:rsid w:val="000853D7"/>
    <w:rsid w:val="00085D89"/>
    <w:rsid w:val="00085E2C"/>
    <w:rsid w:val="00085ECE"/>
    <w:rsid w:val="00086373"/>
    <w:rsid w:val="000865A8"/>
    <w:rsid w:val="00087751"/>
    <w:rsid w:val="0008799C"/>
    <w:rsid w:val="0009009D"/>
    <w:rsid w:val="000901CF"/>
    <w:rsid w:val="00091E47"/>
    <w:rsid w:val="0009201A"/>
    <w:rsid w:val="00092F4F"/>
    <w:rsid w:val="00094A52"/>
    <w:rsid w:val="00094A5A"/>
    <w:rsid w:val="0009518B"/>
    <w:rsid w:val="00095276"/>
    <w:rsid w:val="00095F35"/>
    <w:rsid w:val="00096367"/>
    <w:rsid w:val="000963C7"/>
    <w:rsid w:val="00097241"/>
    <w:rsid w:val="00097345"/>
    <w:rsid w:val="00097458"/>
    <w:rsid w:val="00097783"/>
    <w:rsid w:val="000A04EC"/>
    <w:rsid w:val="000A06C0"/>
    <w:rsid w:val="000A11D6"/>
    <w:rsid w:val="000A1B80"/>
    <w:rsid w:val="000A1C17"/>
    <w:rsid w:val="000A2004"/>
    <w:rsid w:val="000A2821"/>
    <w:rsid w:val="000A2B1B"/>
    <w:rsid w:val="000A302D"/>
    <w:rsid w:val="000A3180"/>
    <w:rsid w:val="000A3323"/>
    <w:rsid w:val="000A401E"/>
    <w:rsid w:val="000A4137"/>
    <w:rsid w:val="000A4737"/>
    <w:rsid w:val="000A4BC9"/>
    <w:rsid w:val="000A508C"/>
    <w:rsid w:val="000A5393"/>
    <w:rsid w:val="000A54D7"/>
    <w:rsid w:val="000A5CCF"/>
    <w:rsid w:val="000A72A5"/>
    <w:rsid w:val="000A77D8"/>
    <w:rsid w:val="000B0DA3"/>
    <w:rsid w:val="000B1090"/>
    <w:rsid w:val="000B1659"/>
    <w:rsid w:val="000B29F9"/>
    <w:rsid w:val="000B3411"/>
    <w:rsid w:val="000B342E"/>
    <w:rsid w:val="000B4351"/>
    <w:rsid w:val="000B4AAD"/>
    <w:rsid w:val="000B4C95"/>
    <w:rsid w:val="000B4CBB"/>
    <w:rsid w:val="000B4D7B"/>
    <w:rsid w:val="000B4DD9"/>
    <w:rsid w:val="000B5354"/>
    <w:rsid w:val="000B582D"/>
    <w:rsid w:val="000B5FC9"/>
    <w:rsid w:val="000B6B29"/>
    <w:rsid w:val="000B735D"/>
    <w:rsid w:val="000B76DD"/>
    <w:rsid w:val="000B7720"/>
    <w:rsid w:val="000B7CD5"/>
    <w:rsid w:val="000C0219"/>
    <w:rsid w:val="000C0577"/>
    <w:rsid w:val="000C09B5"/>
    <w:rsid w:val="000C0D95"/>
    <w:rsid w:val="000C14B7"/>
    <w:rsid w:val="000C14E9"/>
    <w:rsid w:val="000C17D1"/>
    <w:rsid w:val="000C34FA"/>
    <w:rsid w:val="000C39F7"/>
    <w:rsid w:val="000C4761"/>
    <w:rsid w:val="000C4D67"/>
    <w:rsid w:val="000C516A"/>
    <w:rsid w:val="000C5C17"/>
    <w:rsid w:val="000C7A95"/>
    <w:rsid w:val="000D0066"/>
    <w:rsid w:val="000D0E5D"/>
    <w:rsid w:val="000D113A"/>
    <w:rsid w:val="000D134B"/>
    <w:rsid w:val="000D1F8B"/>
    <w:rsid w:val="000D1FEB"/>
    <w:rsid w:val="000D2216"/>
    <w:rsid w:val="000D2341"/>
    <w:rsid w:val="000D2495"/>
    <w:rsid w:val="000D2832"/>
    <w:rsid w:val="000D2C87"/>
    <w:rsid w:val="000D4E78"/>
    <w:rsid w:val="000D53D8"/>
    <w:rsid w:val="000D5ABB"/>
    <w:rsid w:val="000D615F"/>
    <w:rsid w:val="000D6CFE"/>
    <w:rsid w:val="000D6D48"/>
    <w:rsid w:val="000D77EB"/>
    <w:rsid w:val="000E0570"/>
    <w:rsid w:val="000E0AED"/>
    <w:rsid w:val="000E0FC8"/>
    <w:rsid w:val="000E1683"/>
    <w:rsid w:val="000E2577"/>
    <w:rsid w:val="000E3859"/>
    <w:rsid w:val="000E3DB5"/>
    <w:rsid w:val="000E40E0"/>
    <w:rsid w:val="000E4321"/>
    <w:rsid w:val="000E4CA8"/>
    <w:rsid w:val="000E5FC4"/>
    <w:rsid w:val="000E663B"/>
    <w:rsid w:val="000E6809"/>
    <w:rsid w:val="000E6AD5"/>
    <w:rsid w:val="000E6C8A"/>
    <w:rsid w:val="000E7263"/>
    <w:rsid w:val="000E7265"/>
    <w:rsid w:val="000E7D86"/>
    <w:rsid w:val="000F07C7"/>
    <w:rsid w:val="000F130C"/>
    <w:rsid w:val="000F1E00"/>
    <w:rsid w:val="000F29DC"/>
    <w:rsid w:val="000F34A4"/>
    <w:rsid w:val="000F3500"/>
    <w:rsid w:val="000F3E21"/>
    <w:rsid w:val="000F465D"/>
    <w:rsid w:val="000F48C1"/>
    <w:rsid w:val="000F508D"/>
    <w:rsid w:val="000F5494"/>
    <w:rsid w:val="000F59FE"/>
    <w:rsid w:val="000F5E3D"/>
    <w:rsid w:val="000F61B1"/>
    <w:rsid w:val="000F74B8"/>
    <w:rsid w:val="00100C7D"/>
    <w:rsid w:val="00100F42"/>
    <w:rsid w:val="001012D2"/>
    <w:rsid w:val="001015C4"/>
    <w:rsid w:val="00101AD7"/>
    <w:rsid w:val="001023D1"/>
    <w:rsid w:val="00102BE7"/>
    <w:rsid w:val="00103BCC"/>
    <w:rsid w:val="00103EEB"/>
    <w:rsid w:val="00104FEC"/>
    <w:rsid w:val="00105045"/>
    <w:rsid w:val="001054B9"/>
    <w:rsid w:val="001060C5"/>
    <w:rsid w:val="00106D16"/>
    <w:rsid w:val="001073D6"/>
    <w:rsid w:val="0010780D"/>
    <w:rsid w:val="00107AD8"/>
    <w:rsid w:val="00107C17"/>
    <w:rsid w:val="00107E99"/>
    <w:rsid w:val="0011067E"/>
    <w:rsid w:val="00110B07"/>
    <w:rsid w:val="001115F1"/>
    <w:rsid w:val="001118DF"/>
    <w:rsid w:val="00111B21"/>
    <w:rsid w:val="00112F7F"/>
    <w:rsid w:val="00113D8E"/>
    <w:rsid w:val="001142E5"/>
    <w:rsid w:val="00114390"/>
    <w:rsid w:val="001159BB"/>
    <w:rsid w:val="0011634F"/>
    <w:rsid w:val="00116D7E"/>
    <w:rsid w:val="00116E28"/>
    <w:rsid w:val="001178FD"/>
    <w:rsid w:val="00120B11"/>
    <w:rsid w:val="00121CB5"/>
    <w:rsid w:val="001222B6"/>
    <w:rsid w:val="00122623"/>
    <w:rsid w:val="00122BBC"/>
    <w:rsid w:val="00122CDB"/>
    <w:rsid w:val="00122ED8"/>
    <w:rsid w:val="0012307D"/>
    <w:rsid w:val="00123444"/>
    <w:rsid w:val="00123A9D"/>
    <w:rsid w:val="0012442D"/>
    <w:rsid w:val="00124558"/>
    <w:rsid w:val="001245FB"/>
    <w:rsid w:val="001254BF"/>
    <w:rsid w:val="00125F74"/>
    <w:rsid w:val="00125FFC"/>
    <w:rsid w:val="001265E9"/>
    <w:rsid w:val="0012661F"/>
    <w:rsid w:val="00126B16"/>
    <w:rsid w:val="00126E22"/>
    <w:rsid w:val="00126F2C"/>
    <w:rsid w:val="0012714B"/>
    <w:rsid w:val="001274D8"/>
    <w:rsid w:val="00127A66"/>
    <w:rsid w:val="00127EB5"/>
    <w:rsid w:val="00130307"/>
    <w:rsid w:val="00131C19"/>
    <w:rsid w:val="00131DD8"/>
    <w:rsid w:val="001320FA"/>
    <w:rsid w:val="00132F02"/>
    <w:rsid w:val="00133626"/>
    <w:rsid w:val="00134DE3"/>
    <w:rsid w:val="00135838"/>
    <w:rsid w:val="00135873"/>
    <w:rsid w:val="00135ADC"/>
    <w:rsid w:val="00140066"/>
    <w:rsid w:val="00140369"/>
    <w:rsid w:val="00140A6A"/>
    <w:rsid w:val="00140A98"/>
    <w:rsid w:val="00140EA5"/>
    <w:rsid w:val="0014191C"/>
    <w:rsid w:val="001431C3"/>
    <w:rsid w:val="001434DD"/>
    <w:rsid w:val="00143672"/>
    <w:rsid w:val="00143CFA"/>
    <w:rsid w:val="00144653"/>
    <w:rsid w:val="00145871"/>
    <w:rsid w:val="00145BE1"/>
    <w:rsid w:val="00145F70"/>
    <w:rsid w:val="00146DA2"/>
    <w:rsid w:val="00147124"/>
    <w:rsid w:val="00150311"/>
    <w:rsid w:val="00150ADE"/>
    <w:rsid w:val="00150C8F"/>
    <w:rsid w:val="00151F94"/>
    <w:rsid w:val="00152098"/>
    <w:rsid w:val="001520FD"/>
    <w:rsid w:val="00152B97"/>
    <w:rsid w:val="00152FC2"/>
    <w:rsid w:val="00153EE8"/>
    <w:rsid w:val="00154BDE"/>
    <w:rsid w:val="0015562B"/>
    <w:rsid w:val="00155693"/>
    <w:rsid w:val="00156753"/>
    <w:rsid w:val="00157560"/>
    <w:rsid w:val="0016071B"/>
    <w:rsid w:val="00160F04"/>
    <w:rsid w:val="001611ED"/>
    <w:rsid w:val="00161424"/>
    <w:rsid w:val="00161574"/>
    <w:rsid w:val="0016185E"/>
    <w:rsid w:val="00161C33"/>
    <w:rsid w:val="001620A7"/>
    <w:rsid w:val="00162DD0"/>
    <w:rsid w:val="001634EC"/>
    <w:rsid w:val="001641C1"/>
    <w:rsid w:val="00164719"/>
    <w:rsid w:val="0016478D"/>
    <w:rsid w:val="001650B6"/>
    <w:rsid w:val="00166BF8"/>
    <w:rsid w:val="00170014"/>
    <w:rsid w:val="001712DF"/>
    <w:rsid w:val="001717B7"/>
    <w:rsid w:val="001717BA"/>
    <w:rsid w:val="00171964"/>
    <w:rsid w:val="00171B55"/>
    <w:rsid w:val="00171C3E"/>
    <w:rsid w:val="001722B3"/>
    <w:rsid w:val="00172629"/>
    <w:rsid w:val="00172701"/>
    <w:rsid w:val="00172901"/>
    <w:rsid w:val="00172FBB"/>
    <w:rsid w:val="001735BF"/>
    <w:rsid w:val="00173EFD"/>
    <w:rsid w:val="0017403E"/>
    <w:rsid w:val="001742B6"/>
    <w:rsid w:val="00174404"/>
    <w:rsid w:val="001749EC"/>
    <w:rsid w:val="00174B2F"/>
    <w:rsid w:val="00174CFF"/>
    <w:rsid w:val="00175FEC"/>
    <w:rsid w:val="00176570"/>
    <w:rsid w:val="00176AF5"/>
    <w:rsid w:val="00176CA8"/>
    <w:rsid w:val="00176D54"/>
    <w:rsid w:val="0017737E"/>
    <w:rsid w:val="00177AAE"/>
    <w:rsid w:val="00180119"/>
    <w:rsid w:val="00180232"/>
    <w:rsid w:val="001811A1"/>
    <w:rsid w:val="001814F6"/>
    <w:rsid w:val="0018183D"/>
    <w:rsid w:val="0018223E"/>
    <w:rsid w:val="00182BEA"/>
    <w:rsid w:val="00183A4D"/>
    <w:rsid w:val="00184D72"/>
    <w:rsid w:val="00185456"/>
    <w:rsid w:val="00185829"/>
    <w:rsid w:val="00185EAF"/>
    <w:rsid w:val="001875BC"/>
    <w:rsid w:val="00187DB5"/>
    <w:rsid w:val="001903F2"/>
    <w:rsid w:val="00190873"/>
    <w:rsid w:val="00190F55"/>
    <w:rsid w:val="0019104F"/>
    <w:rsid w:val="00191244"/>
    <w:rsid w:val="001912B2"/>
    <w:rsid w:val="00191724"/>
    <w:rsid w:val="00191BC7"/>
    <w:rsid w:val="00192DAC"/>
    <w:rsid w:val="001934FE"/>
    <w:rsid w:val="00193D77"/>
    <w:rsid w:val="00193E4D"/>
    <w:rsid w:val="0019570A"/>
    <w:rsid w:val="001959C5"/>
    <w:rsid w:val="00195E78"/>
    <w:rsid w:val="001978A7"/>
    <w:rsid w:val="00197C29"/>
    <w:rsid w:val="001A0F6A"/>
    <w:rsid w:val="001A1228"/>
    <w:rsid w:val="001A12A9"/>
    <w:rsid w:val="001A28AD"/>
    <w:rsid w:val="001A2E48"/>
    <w:rsid w:val="001A2F9E"/>
    <w:rsid w:val="001A4E3F"/>
    <w:rsid w:val="001A53AB"/>
    <w:rsid w:val="001A64D9"/>
    <w:rsid w:val="001A7032"/>
    <w:rsid w:val="001A784F"/>
    <w:rsid w:val="001B0303"/>
    <w:rsid w:val="001B1021"/>
    <w:rsid w:val="001B1119"/>
    <w:rsid w:val="001B1460"/>
    <w:rsid w:val="001B1A53"/>
    <w:rsid w:val="001B1A61"/>
    <w:rsid w:val="001B238C"/>
    <w:rsid w:val="001B2E19"/>
    <w:rsid w:val="001B2FB8"/>
    <w:rsid w:val="001B44B4"/>
    <w:rsid w:val="001B4A9F"/>
    <w:rsid w:val="001B4D58"/>
    <w:rsid w:val="001B4F42"/>
    <w:rsid w:val="001B5194"/>
    <w:rsid w:val="001B5B05"/>
    <w:rsid w:val="001B65FD"/>
    <w:rsid w:val="001B67AB"/>
    <w:rsid w:val="001B6F71"/>
    <w:rsid w:val="001B7CC2"/>
    <w:rsid w:val="001B7DC4"/>
    <w:rsid w:val="001C0290"/>
    <w:rsid w:val="001C02B4"/>
    <w:rsid w:val="001C0F14"/>
    <w:rsid w:val="001C1694"/>
    <w:rsid w:val="001C1AF7"/>
    <w:rsid w:val="001C1E2D"/>
    <w:rsid w:val="001C2061"/>
    <w:rsid w:val="001C2184"/>
    <w:rsid w:val="001C2993"/>
    <w:rsid w:val="001C2A23"/>
    <w:rsid w:val="001C2C36"/>
    <w:rsid w:val="001C2EF1"/>
    <w:rsid w:val="001C2FEF"/>
    <w:rsid w:val="001C35DC"/>
    <w:rsid w:val="001C4C3E"/>
    <w:rsid w:val="001C4E5B"/>
    <w:rsid w:val="001C4E66"/>
    <w:rsid w:val="001C4FC6"/>
    <w:rsid w:val="001C507D"/>
    <w:rsid w:val="001C56BA"/>
    <w:rsid w:val="001C5ED7"/>
    <w:rsid w:val="001C6415"/>
    <w:rsid w:val="001C66E8"/>
    <w:rsid w:val="001C7E9E"/>
    <w:rsid w:val="001D02CF"/>
    <w:rsid w:val="001D08F3"/>
    <w:rsid w:val="001D0974"/>
    <w:rsid w:val="001D13A8"/>
    <w:rsid w:val="001D1783"/>
    <w:rsid w:val="001D1DEE"/>
    <w:rsid w:val="001D1EE7"/>
    <w:rsid w:val="001D2212"/>
    <w:rsid w:val="001D2D47"/>
    <w:rsid w:val="001D3A2E"/>
    <w:rsid w:val="001D42F0"/>
    <w:rsid w:val="001D460E"/>
    <w:rsid w:val="001D48AF"/>
    <w:rsid w:val="001D4F2E"/>
    <w:rsid w:val="001D5007"/>
    <w:rsid w:val="001D51DA"/>
    <w:rsid w:val="001D543C"/>
    <w:rsid w:val="001D6A8D"/>
    <w:rsid w:val="001D70EF"/>
    <w:rsid w:val="001D7113"/>
    <w:rsid w:val="001D77F0"/>
    <w:rsid w:val="001D7E86"/>
    <w:rsid w:val="001E03A2"/>
    <w:rsid w:val="001E077C"/>
    <w:rsid w:val="001E07B8"/>
    <w:rsid w:val="001E097F"/>
    <w:rsid w:val="001E0A95"/>
    <w:rsid w:val="001E210C"/>
    <w:rsid w:val="001E2920"/>
    <w:rsid w:val="001E2ED1"/>
    <w:rsid w:val="001E31C0"/>
    <w:rsid w:val="001E32FB"/>
    <w:rsid w:val="001E3BEA"/>
    <w:rsid w:val="001E3EB4"/>
    <w:rsid w:val="001E574B"/>
    <w:rsid w:val="001E6681"/>
    <w:rsid w:val="001E7206"/>
    <w:rsid w:val="001E7ADB"/>
    <w:rsid w:val="001E7D62"/>
    <w:rsid w:val="001F018F"/>
    <w:rsid w:val="001F0551"/>
    <w:rsid w:val="001F084D"/>
    <w:rsid w:val="001F116E"/>
    <w:rsid w:val="001F1C4D"/>
    <w:rsid w:val="001F1E63"/>
    <w:rsid w:val="001F2260"/>
    <w:rsid w:val="001F2785"/>
    <w:rsid w:val="001F314A"/>
    <w:rsid w:val="001F4419"/>
    <w:rsid w:val="001F458F"/>
    <w:rsid w:val="001F6419"/>
    <w:rsid w:val="001F65A6"/>
    <w:rsid w:val="001F691D"/>
    <w:rsid w:val="001F7B64"/>
    <w:rsid w:val="002007B4"/>
    <w:rsid w:val="00200D1F"/>
    <w:rsid w:val="00200DAD"/>
    <w:rsid w:val="00200E14"/>
    <w:rsid w:val="00201225"/>
    <w:rsid w:val="00202117"/>
    <w:rsid w:val="002021B5"/>
    <w:rsid w:val="0020287E"/>
    <w:rsid w:val="00202880"/>
    <w:rsid w:val="00202BB5"/>
    <w:rsid w:val="0020340F"/>
    <w:rsid w:val="0020353F"/>
    <w:rsid w:val="00204072"/>
    <w:rsid w:val="002044B1"/>
    <w:rsid w:val="0020520D"/>
    <w:rsid w:val="002055D3"/>
    <w:rsid w:val="002062B1"/>
    <w:rsid w:val="002063F7"/>
    <w:rsid w:val="00206544"/>
    <w:rsid w:val="0020716E"/>
    <w:rsid w:val="00207AA8"/>
    <w:rsid w:val="00207CC7"/>
    <w:rsid w:val="002101CC"/>
    <w:rsid w:val="00210785"/>
    <w:rsid w:val="0021080A"/>
    <w:rsid w:val="0021184A"/>
    <w:rsid w:val="00211A0E"/>
    <w:rsid w:val="00212443"/>
    <w:rsid w:val="00213773"/>
    <w:rsid w:val="00213D38"/>
    <w:rsid w:val="002143E3"/>
    <w:rsid w:val="0021491F"/>
    <w:rsid w:val="002152CC"/>
    <w:rsid w:val="002153E9"/>
    <w:rsid w:val="002155D5"/>
    <w:rsid w:val="00215645"/>
    <w:rsid w:val="00215835"/>
    <w:rsid w:val="002172E4"/>
    <w:rsid w:val="00217DC1"/>
    <w:rsid w:val="00220189"/>
    <w:rsid w:val="0022019A"/>
    <w:rsid w:val="002212B3"/>
    <w:rsid w:val="0022178E"/>
    <w:rsid w:val="00221E1C"/>
    <w:rsid w:val="0022249D"/>
    <w:rsid w:val="0022262E"/>
    <w:rsid w:val="00222968"/>
    <w:rsid w:val="002239C3"/>
    <w:rsid w:val="00223F4C"/>
    <w:rsid w:val="002242C1"/>
    <w:rsid w:val="00224D30"/>
    <w:rsid w:val="00224EFC"/>
    <w:rsid w:val="002255D2"/>
    <w:rsid w:val="002259E3"/>
    <w:rsid w:val="00225E4D"/>
    <w:rsid w:val="00225FF3"/>
    <w:rsid w:val="00226D41"/>
    <w:rsid w:val="00227818"/>
    <w:rsid w:val="0022793E"/>
    <w:rsid w:val="00227C75"/>
    <w:rsid w:val="00227DBC"/>
    <w:rsid w:val="00230BC6"/>
    <w:rsid w:val="00230EE9"/>
    <w:rsid w:val="00231404"/>
    <w:rsid w:val="002319A0"/>
    <w:rsid w:val="00231A83"/>
    <w:rsid w:val="002327A9"/>
    <w:rsid w:val="002335DC"/>
    <w:rsid w:val="00233D6F"/>
    <w:rsid w:val="00234186"/>
    <w:rsid w:val="00234EDB"/>
    <w:rsid w:val="00235244"/>
    <w:rsid w:val="00235709"/>
    <w:rsid w:val="00235B3D"/>
    <w:rsid w:val="00235E98"/>
    <w:rsid w:val="00236360"/>
    <w:rsid w:val="002364F3"/>
    <w:rsid w:val="002364FC"/>
    <w:rsid w:val="00236870"/>
    <w:rsid w:val="002370B5"/>
    <w:rsid w:val="00237866"/>
    <w:rsid w:val="002406A9"/>
    <w:rsid w:val="002412C6"/>
    <w:rsid w:val="002447AD"/>
    <w:rsid w:val="002455E5"/>
    <w:rsid w:val="0024647D"/>
    <w:rsid w:val="00247C83"/>
    <w:rsid w:val="0025002F"/>
    <w:rsid w:val="0025064D"/>
    <w:rsid w:val="00250832"/>
    <w:rsid w:val="00250B75"/>
    <w:rsid w:val="00250FC5"/>
    <w:rsid w:val="00251A39"/>
    <w:rsid w:val="0025302D"/>
    <w:rsid w:val="002532CD"/>
    <w:rsid w:val="00253758"/>
    <w:rsid w:val="00253D26"/>
    <w:rsid w:val="00254F8D"/>
    <w:rsid w:val="002551F1"/>
    <w:rsid w:val="002552B5"/>
    <w:rsid w:val="00255D1F"/>
    <w:rsid w:val="00255E22"/>
    <w:rsid w:val="00256588"/>
    <w:rsid w:val="00256864"/>
    <w:rsid w:val="0025693D"/>
    <w:rsid w:val="00256F3F"/>
    <w:rsid w:val="0025798E"/>
    <w:rsid w:val="00257EF4"/>
    <w:rsid w:val="00257F4F"/>
    <w:rsid w:val="002603F8"/>
    <w:rsid w:val="00260513"/>
    <w:rsid w:val="0026055F"/>
    <w:rsid w:val="00260B7A"/>
    <w:rsid w:val="00260CEC"/>
    <w:rsid w:val="00260D4C"/>
    <w:rsid w:val="0026184C"/>
    <w:rsid w:val="002624D0"/>
    <w:rsid w:val="002628A9"/>
    <w:rsid w:val="00262A1B"/>
    <w:rsid w:val="00262F56"/>
    <w:rsid w:val="00263CB6"/>
    <w:rsid w:val="00265877"/>
    <w:rsid w:val="00265BAA"/>
    <w:rsid w:val="00265C05"/>
    <w:rsid w:val="00266364"/>
    <w:rsid w:val="002664D1"/>
    <w:rsid w:val="00266911"/>
    <w:rsid w:val="00266CF6"/>
    <w:rsid w:val="00266D3D"/>
    <w:rsid w:val="00267537"/>
    <w:rsid w:val="00267F8B"/>
    <w:rsid w:val="00271833"/>
    <w:rsid w:val="00271E43"/>
    <w:rsid w:val="00272840"/>
    <w:rsid w:val="00273357"/>
    <w:rsid w:val="002734DB"/>
    <w:rsid w:val="00273AFA"/>
    <w:rsid w:val="00273D07"/>
    <w:rsid w:val="0027644F"/>
    <w:rsid w:val="002766AF"/>
    <w:rsid w:val="00276F2E"/>
    <w:rsid w:val="002776AA"/>
    <w:rsid w:val="00277AAF"/>
    <w:rsid w:val="00277AEF"/>
    <w:rsid w:val="00277E7F"/>
    <w:rsid w:val="00277FCD"/>
    <w:rsid w:val="00280157"/>
    <w:rsid w:val="00281C78"/>
    <w:rsid w:val="00282366"/>
    <w:rsid w:val="00283428"/>
    <w:rsid w:val="00284766"/>
    <w:rsid w:val="002849C7"/>
    <w:rsid w:val="00285A18"/>
    <w:rsid w:val="002866AE"/>
    <w:rsid w:val="00286863"/>
    <w:rsid w:val="002868AE"/>
    <w:rsid w:val="00287006"/>
    <w:rsid w:val="00287060"/>
    <w:rsid w:val="002872A2"/>
    <w:rsid w:val="00290D91"/>
    <w:rsid w:val="00291B01"/>
    <w:rsid w:val="002922EF"/>
    <w:rsid w:val="0029250E"/>
    <w:rsid w:val="002937BA"/>
    <w:rsid w:val="002949C7"/>
    <w:rsid w:val="0029506D"/>
    <w:rsid w:val="00295081"/>
    <w:rsid w:val="002961DC"/>
    <w:rsid w:val="00296422"/>
    <w:rsid w:val="002968D4"/>
    <w:rsid w:val="00296EA2"/>
    <w:rsid w:val="002974F3"/>
    <w:rsid w:val="002979FC"/>
    <w:rsid w:val="00297D11"/>
    <w:rsid w:val="002A08AE"/>
    <w:rsid w:val="002A285B"/>
    <w:rsid w:val="002A2896"/>
    <w:rsid w:val="002A38A8"/>
    <w:rsid w:val="002A4085"/>
    <w:rsid w:val="002A4213"/>
    <w:rsid w:val="002A4494"/>
    <w:rsid w:val="002A4B74"/>
    <w:rsid w:val="002A4E2B"/>
    <w:rsid w:val="002A4F9B"/>
    <w:rsid w:val="002A540D"/>
    <w:rsid w:val="002A54F7"/>
    <w:rsid w:val="002A58F8"/>
    <w:rsid w:val="002A6328"/>
    <w:rsid w:val="002A6528"/>
    <w:rsid w:val="002A6842"/>
    <w:rsid w:val="002B0064"/>
    <w:rsid w:val="002B2636"/>
    <w:rsid w:val="002B2709"/>
    <w:rsid w:val="002B27A2"/>
    <w:rsid w:val="002B27AF"/>
    <w:rsid w:val="002B28E8"/>
    <w:rsid w:val="002B2B5B"/>
    <w:rsid w:val="002B3140"/>
    <w:rsid w:val="002B33FA"/>
    <w:rsid w:val="002B34B2"/>
    <w:rsid w:val="002B4D87"/>
    <w:rsid w:val="002B5812"/>
    <w:rsid w:val="002B5E48"/>
    <w:rsid w:val="002B68BF"/>
    <w:rsid w:val="002B6B08"/>
    <w:rsid w:val="002B718B"/>
    <w:rsid w:val="002C0A06"/>
    <w:rsid w:val="002C129C"/>
    <w:rsid w:val="002C12F8"/>
    <w:rsid w:val="002C13D3"/>
    <w:rsid w:val="002C1845"/>
    <w:rsid w:val="002C1C88"/>
    <w:rsid w:val="002C32DF"/>
    <w:rsid w:val="002C335F"/>
    <w:rsid w:val="002C3686"/>
    <w:rsid w:val="002C413E"/>
    <w:rsid w:val="002C48B6"/>
    <w:rsid w:val="002C4A12"/>
    <w:rsid w:val="002C4C66"/>
    <w:rsid w:val="002C506E"/>
    <w:rsid w:val="002C638F"/>
    <w:rsid w:val="002C6A01"/>
    <w:rsid w:val="002C6CF6"/>
    <w:rsid w:val="002C6EEE"/>
    <w:rsid w:val="002C7140"/>
    <w:rsid w:val="002C784A"/>
    <w:rsid w:val="002C7DA0"/>
    <w:rsid w:val="002D0ACC"/>
    <w:rsid w:val="002D0F05"/>
    <w:rsid w:val="002D1E67"/>
    <w:rsid w:val="002D1EC6"/>
    <w:rsid w:val="002D3715"/>
    <w:rsid w:val="002D382A"/>
    <w:rsid w:val="002D419C"/>
    <w:rsid w:val="002D43B2"/>
    <w:rsid w:val="002D46EE"/>
    <w:rsid w:val="002D481E"/>
    <w:rsid w:val="002D48F6"/>
    <w:rsid w:val="002D4CB0"/>
    <w:rsid w:val="002D4E1D"/>
    <w:rsid w:val="002D4EC4"/>
    <w:rsid w:val="002D63DE"/>
    <w:rsid w:val="002D7921"/>
    <w:rsid w:val="002E089B"/>
    <w:rsid w:val="002E1461"/>
    <w:rsid w:val="002E1EDB"/>
    <w:rsid w:val="002E2E2E"/>
    <w:rsid w:val="002E374B"/>
    <w:rsid w:val="002E4194"/>
    <w:rsid w:val="002E4A5E"/>
    <w:rsid w:val="002E4A9D"/>
    <w:rsid w:val="002E4FE7"/>
    <w:rsid w:val="002E5B01"/>
    <w:rsid w:val="002E6300"/>
    <w:rsid w:val="002E6675"/>
    <w:rsid w:val="002E7F95"/>
    <w:rsid w:val="002F02C6"/>
    <w:rsid w:val="002F035A"/>
    <w:rsid w:val="002F13BA"/>
    <w:rsid w:val="002F1665"/>
    <w:rsid w:val="002F1678"/>
    <w:rsid w:val="002F1D08"/>
    <w:rsid w:val="002F2902"/>
    <w:rsid w:val="002F32AA"/>
    <w:rsid w:val="002F3A87"/>
    <w:rsid w:val="002F4BF5"/>
    <w:rsid w:val="002F6991"/>
    <w:rsid w:val="002F74E5"/>
    <w:rsid w:val="002F7A37"/>
    <w:rsid w:val="00300758"/>
    <w:rsid w:val="003009E9"/>
    <w:rsid w:val="00301B66"/>
    <w:rsid w:val="00301E14"/>
    <w:rsid w:val="00301EA1"/>
    <w:rsid w:val="00302022"/>
    <w:rsid w:val="0030214C"/>
    <w:rsid w:val="00302987"/>
    <w:rsid w:val="00303165"/>
    <w:rsid w:val="003035E6"/>
    <w:rsid w:val="0030362F"/>
    <w:rsid w:val="00303945"/>
    <w:rsid w:val="00303AB0"/>
    <w:rsid w:val="00303B28"/>
    <w:rsid w:val="00303D18"/>
    <w:rsid w:val="003044EE"/>
    <w:rsid w:val="00305A99"/>
    <w:rsid w:val="00305C30"/>
    <w:rsid w:val="00305D04"/>
    <w:rsid w:val="00306E67"/>
    <w:rsid w:val="003071C0"/>
    <w:rsid w:val="0030777E"/>
    <w:rsid w:val="00307952"/>
    <w:rsid w:val="00307FF7"/>
    <w:rsid w:val="00310EAA"/>
    <w:rsid w:val="00311231"/>
    <w:rsid w:val="00311A7F"/>
    <w:rsid w:val="00311A92"/>
    <w:rsid w:val="00311DB9"/>
    <w:rsid w:val="00312588"/>
    <w:rsid w:val="00312718"/>
    <w:rsid w:val="003128B1"/>
    <w:rsid w:val="00312C32"/>
    <w:rsid w:val="00312CD1"/>
    <w:rsid w:val="00313F35"/>
    <w:rsid w:val="003140F5"/>
    <w:rsid w:val="00314367"/>
    <w:rsid w:val="0031447F"/>
    <w:rsid w:val="00314A41"/>
    <w:rsid w:val="0031592D"/>
    <w:rsid w:val="00315AB8"/>
    <w:rsid w:val="00315BBC"/>
    <w:rsid w:val="00316201"/>
    <w:rsid w:val="0031629A"/>
    <w:rsid w:val="00317042"/>
    <w:rsid w:val="0031751C"/>
    <w:rsid w:val="0031755B"/>
    <w:rsid w:val="00320BB6"/>
    <w:rsid w:val="00320E73"/>
    <w:rsid w:val="00321C06"/>
    <w:rsid w:val="00321D5C"/>
    <w:rsid w:val="0032221C"/>
    <w:rsid w:val="00322358"/>
    <w:rsid w:val="003223A3"/>
    <w:rsid w:val="00322752"/>
    <w:rsid w:val="003227EB"/>
    <w:rsid w:val="00322B1B"/>
    <w:rsid w:val="00322B5D"/>
    <w:rsid w:val="00322BAC"/>
    <w:rsid w:val="003231B7"/>
    <w:rsid w:val="00323256"/>
    <w:rsid w:val="00323CCA"/>
    <w:rsid w:val="003243D3"/>
    <w:rsid w:val="00324C99"/>
    <w:rsid w:val="00324D97"/>
    <w:rsid w:val="00325067"/>
    <w:rsid w:val="00325455"/>
    <w:rsid w:val="00325799"/>
    <w:rsid w:val="00325B3F"/>
    <w:rsid w:val="00326376"/>
    <w:rsid w:val="00326BB2"/>
    <w:rsid w:val="00326CA5"/>
    <w:rsid w:val="00327052"/>
    <w:rsid w:val="00327152"/>
    <w:rsid w:val="00330E78"/>
    <w:rsid w:val="0033133F"/>
    <w:rsid w:val="00331EB4"/>
    <w:rsid w:val="00332693"/>
    <w:rsid w:val="003335F9"/>
    <w:rsid w:val="00333CF3"/>
    <w:rsid w:val="003340D3"/>
    <w:rsid w:val="0033421A"/>
    <w:rsid w:val="003344AB"/>
    <w:rsid w:val="00334775"/>
    <w:rsid w:val="00334E11"/>
    <w:rsid w:val="00334F02"/>
    <w:rsid w:val="003351A5"/>
    <w:rsid w:val="00335916"/>
    <w:rsid w:val="00335CE8"/>
    <w:rsid w:val="003368CA"/>
    <w:rsid w:val="00336BA4"/>
    <w:rsid w:val="00337153"/>
    <w:rsid w:val="003373EA"/>
    <w:rsid w:val="00340919"/>
    <w:rsid w:val="00341715"/>
    <w:rsid w:val="00342918"/>
    <w:rsid w:val="00342B72"/>
    <w:rsid w:val="003430D0"/>
    <w:rsid w:val="0034383D"/>
    <w:rsid w:val="003442D5"/>
    <w:rsid w:val="0034439A"/>
    <w:rsid w:val="003445CF"/>
    <w:rsid w:val="003448B0"/>
    <w:rsid w:val="00344C35"/>
    <w:rsid w:val="0034513A"/>
    <w:rsid w:val="0034520E"/>
    <w:rsid w:val="00345CA7"/>
    <w:rsid w:val="00345D6D"/>
    <w:rsid w:val="00345E83"/>
    <w:rsid w:val="00345F95"/>
    <w:rsid w:val="003461DF"/>
    <w:rsid w:val="003470C7"/>
    <w:rsid w:val="0034721F"/>
    <w:rsid w:val="003475FC"/>
    <w:rsid w:val="00347801"/>
    <w:rsid w:val="003503C7"/>
    <w:rsid w:val="00350A8D"/>
    <w:rsid w:val="00350BD1"/>
    <w:rsid w:val="00351102"/>
    <w:rsid w:val="00351D3A"/>
    <w:rsid w:val="003520AF"/>
    <w:rsid w:val="003520FA"/>
    <w:rsid w:val="00352729"/>
    <w:rsid w:val="003533FE"/>
    <w:rsid w:val="0035378A"/>
    <w:rsid w:val="00353D42"/>
    <w:rsid w:val="00354B82"/>
    <w:rsid w:val="003550E9"/>
    <w:rsid w:val="003553BE"/>
    <w:rsid w:val="003560A1"/>
    <w:rsid w:val="003560FD"/>
    <w:rsid w:val="00356C8C"/>
    <w:rsid w:val="00357270"/>
    <w:rsid w:val="003600C6"/>
    <w:rsid w:val="003618C3"/>
    <w:rsid w:val="00361A53"/>
    <w:rsid w:val="00361C71"/>
    <w:rsid w:val="00361FC6"/>
    <w:rsid w:val="00362AF4"/>
    <w:rsid w:val="00363546"/>
    <w:rsid w:val="00363CEE"/>
    <w:rsid w:val="0036454D"/>
    <w:rsid w:val="00364D63"/>
    <w:rsid w:val="0036607D"/>
    <w:rsid w:val="00366614"/>
    <w:rsid w:val="0036695F"/>
    <w:rsid w:val="00366F32"/>
    <w:rsid w:val="003675DD"/>
    <w:rsid w:val="003678D7"/>
    <w:rsid w:val="00367982"/>
    <w:rsid w:val="00367C56"/>
    <w:rsid w:val="00370471"/>
    <w:rsid w:val="00370F85"/>
    <w:rsid w:val="00371B12"/>
    <w:rsid w:val="00372246"/>
    <w:rsid w:val="00372AC1"/>
    <w:rsid w:val="00372CB6"/>
    <w:rsid w:val="0037308A"/>
    <w:rsid w:val="0037309F"/>
    <w:rsid w:val="0037315F"/>
    <w:rsid w:val="003732F2"/>
    <w:rsid w:val="00373F9C"/>
    <w:rsid w:val="003740C5"/>
    <w:rsid w:val="00374A3B"/>
    <w:rsid w:val="00374D45"/>
    <w:rsid w:val="003751E6"/>
    <w:rsid w:val="003753AB"/>
    <w:rsid w:val="003764CA"/>
    <w:rsid w:val="00376A4D"/>
    <w:rsid w:val="00377FCC"/>
    <w:rsid w:val="00377FFD"/>
    <w:rsid w:val="00380837"/>
    <w:rsid w:val="0038096B"/>
    <w:rsid w:val="003813B5"/>
    <w:rsid w:val="00381B58"/>
    <w:rsid w:val="003820AB"/>
    <w:rsid w:val="0038269F"/>
    <w:rsid w:val="00382B99"/>
    <w:rsid w:val="00382F34"/>
    <w:rsid w:val="00383127"/>
    <w:rsid w:val="003854F7"/>
    <w:rsid w:val="00385608"/>
    <w:rsid w:val="00385808"/>
    <w:rsid w:val="00385C02"/>
    <w:rsid w:val="0038637E"/>
    <w:rsid w:val="00386383"/>
    <w:rsid w:val="00387642"/>
    <w:rsid w:val="00387B55"/>
    <w:rsid w:val="00387B59"/>
    <w:rsid w:val="00387BA7"/>
    <w:rsid w:val="00387D0B"/>
    <w:rsid w:val="00390D1F"/>
    <w:rsid w:val="00390D29"/>
    <w:rsid w:val="003916A9"/>
    <w:rsid w:val="003923CA"/>
    <w:rsid w:val="00393E25"/>
    <w:rsid w:val="00393EF8"/>
    <w:rsid w:val="003944F8"/>
    <w:rsid w:val="00394954"/>
    <w:rsid w:val="00394EA4"/>
    <w:rsid w:val="00395003"/>
    <w:rsid w:val="003950D8"/>
    <w:rsid w:val="0039587B"/>
    <w:rsid w:val="00397085"/>
    <w:rsid w:val="00397117"/>
    <w:rsid w:val="00397A09"/>
    <w:rsid w:val="00397C46"/>
    <w:rsid w:val="00397E25"/>
    <w:rsid w:val="00397FCA"/>
    <w:rsid w:val="003A03EE"/>
    <w:rsid w:val="003A04A2"/>
    <w:rsid w:val="003A06D7"/>
    <w:rsid w:val="003A17A0"/>
    <w:rsid w:val="003A21BA"/>
    <w:rsid w:val="003A2E78"/>
    <w:rsid w:val="003A3DEE"/>
    <w:rsid w:val="003A40DB"/>
    <w:rsid w:val="003A428A"/>
    <w:rsid w:val="003A4F85"/>
    <w:rsid w:val="003A5FC3"/>
    <w:rsid w:val="003A6295"/>
    <w:rsid w:val="003A63F9"/>
    <w:rsid w:val="003A6C7E"/>
    <w:rsid w:val="003A6E79"/>
    <w:rsid w:val="003A6F96"/>
    <w:rsid w:val="003A71DF"/>
    <w:rsid w:val="003B058E"/>
    <w:rsid w:val="003B0659"/>
    <w:rsid w:val="003B30E4"/>
    <w:rsid w:val="003B3471"/>
    <w:rsid w:val="003B3616"/>
    <w:rsid w:val="003B37B1"/>
    <w:rsid w:val="003B383E"/>
    <w:rsid w:val="003B4218"/>
    <w:rsid w:val="003B4851"/>
    <w:rsid w:val="003B5F40"/>
    <w:rsid w:val="003B6317"/>
    <w:rsid w:val="003B69BA"/>
    <w:rsid w:val="003B7577"/>
    <w:rsid w:val="003B775B"/>
    <w:rsid w:val="003C039C"/>
    <w:rsid w:val="003C11EF"/>
    <w:rsid w:val="003C1352"/>
    <w:rsid w:val="003C151A"/>
    <w:rsid w:val="003C1D8B"/>
    <w:rsid w:val="003C2D26"/>
    <w:rsid w:val="003C3DEC"/>
    <w:rsid w:val="003C4385"/>
    <w:rsid w:val="003C457C"/>
    <w:rsid w:val="003C4F0B"/>
    <w:rsid w:val="003C519F"/>
    <w:rsid w:val="003C534D"/>
    <w:rsid w:val="003C5920"/>
    <w:rsid w:val="003C6FED"/>
    <w:rsid w:val="003C727D"/>
    <w:rsid w:val="003D0134"/>
    <w:rsid w:val="003D1161"/>
    <w:rsid w:val="003D12D0"/>
    <w:rsid w:val="003D172C"/>
    <w:rsid w:val="003D1C0D"/>
    <w:rsid w:val="003D1C36"/>
    <w:rsid w:val="003D27D2"/>
    <w:rsid w:val="003D2BCB"/>
    <w:rsid w:val="003D36F4"/>
    <w:rsid w:val="003D37F3"/>
    <w:rsid w:val="003D39D5"/>
    <w:rsid w:val="003D44FF"/>
    <w:rsid w:val="003D4FE2"/>
    <w:rsid w:val="003D5193"/>
    <w:rsid w:val="003D5377"/>
    <w:rsid w:val="003D645C"/>
    <w:rsid w:val="003D6D01"/>
    <w:rsid w:val="003D75B3"/>
    <w:rsid w:val="003D7D8D"/>
    <w:rsid w:val="003D7F91"/>
    <w:rsid w:val="003E021C"/>
    <w:rsid w:val="003E2408"/>
    <w:rsid w:val="003E2E0A"/>
    <w:rsid w:val="003E34ED"/>
    <w:rsid w:val="003E3E56"/>
    <w:rsid w:val="003E55F4"/>
    <w:rsid w:val="003E5CE4"/>
    <w:rsid w:val="003E65B7"/>
    <w:rsid w:val="003E65D6"/>
    <w:rsid w:val="003E7555"/>
    <w:rsid w:val="003E7FE1"/>
    <w:rsid w:val="003F0152"/>
    <w:rsid w:val="003F019C"/>
    <w:rsid w:val="003F0C93"/>
    <w:rsid w:val="003F1329"/>
    <w:rsid w:val="003F2519"/>
    <w:rsid w:val="003F3157"/>
    <w:rsid w:val="003F4C76"/>
    <w:rsid w:val="003F4D82"/>
    <w:rsid w:val="003F508C"/>
    <w:rsid w:val="003F52E8"/>
    <w:rsid w:val="003F607A"/>
    <w:rsid w:val="003F64A3"/>
    <w:rsid w:val="003F7684"/>
    <w:rsid w:val="003F792C"/>
    <w:rsid w:val="003F7CF1"/>
    <w:rsid w:val="00400FA9"/>
    <w:rsid w:val="004011F7"/>
    <w:rsid w:val="00401C00"/>
    <w:rsid w:val="0040245F"/>
    <w:rsid w:val="00402B86"/>
    <w:rsid w:val="00402E9E"/>
    <w:rsid w:val="004041DB"/>
    <w:rsid w:val="00404409"/>
    <w:rsid w:val="00404AA7"/>
    <w:rsid w:val="00404F97"/>
    <w:rsid w:val="00405360"/>
    <w:rsid w:val="00405BAF"/>
    <w:rsid w:val="00406C6A"/>
    <w:rsid w:val="00410ABD"/>
    <w:rsid w:val="00410F17"/>
    <w:rsid w:val="004111EB"/>
    <w:rsid w:val="00411DF4"/>
    <w:rsid w:val="00412A89"/>
    <w:rsid w:val="004139C9"/>
    <w:rsid w:val="00413D95"/>
    <w:rsid w:val="00414546"/>
    <w:rsid w:val="0041775D"/>
    <w:rsid w:val="00417EDF"/>
    <w:rsid w:val="00420121"/>
    <w:rsid w:val="004208DA"/>
    <w:rsid w:val="0042095F"/>
    <w:rsid w:val="004213C8"/>
    <w:rsid w:val="00422271"/>
    <w:rsid w:val="00422CD4"/>
    <w:rsid w:val="00423048"/>
    <w:rsid w:val="00423653"/>
    <w:rsid w:val="00424117"/>
    <w:rsid w:val="00424428"/>
    <w:rsid w:val="0042501A"/>
    <w:rsid w:val="004254B0"/>
    <w:rsid w:val="00425995"/>
    <w:rsid w:val="00425EB4"/>
    <w:rsid w:val="00426A01"/>
    <w:rsid w:val="0042747F"/>
    <w:rsid w:val="00430411"/>
    <w:rsid w:val="00430741"/>
    <w:rsid w:val="004309CC"/>
    <w:rsid w:val="004323C4"/>
    <w:rsid w:val="004323DA"/>
    <w:rsid w:val="004326F0"/>
    <w:rsid w:val="0043278C"/>
    <w:rsid w:val="00433510"/>
    <w:rsid w:val="00433A2E"/>
    <w:rsid w:val="00434781"/>
    <w:rsid w:val="0043487E"/>
    <w:rsid w:val="00435184"/>
    <w:rsid w:val="004356D9"/>
    <w:rsid w:val="00436B27"/>
    <w:rsid w:val="004379B2"/>
    <w:rsid w:val="00437F97"/>
    <w:rsid w:val="0044001A"/>
    <w:rsid w:val="00440916"/>
    <w:rsid w:val="00440B8E"/>
    <w:rsid w:val="004414DE"/>
    <w:rsid w:val="00441699"/>
    <w:rsid w:val="004417BE"/>
    <w:rsid w:val="00442E23"/>
    <w:rsid w:val="00443CE1"/>
    <w:rsid w:val="00444053"/>
    <w:rsid w:val="00446542"/>
    <w:rsid w:val="00447A99"/>
    <w:rsid w:val="00447BC5"/>
    <w:rsid w:val="00447CDA"/>
    <w:rsid w:val="0045084D"/>
    <w:rsid w:val="00451AE0"/>
    <w:rsid w:val="00451BD5"/>
    <w:rsid w:val="0045202D"/>
    <w:rsid w:val="00452375"/>
    <w:rsid w:val="00452A19"/>
    <w:rsid w:val="004538D9"/>
    <w:rsid w:val="00453A8B"/>
    <w:rsid w:val="00453B65"/>
    <w:rsid w:val="00455864"/>
    <w:rsid w:val="004566ED"/>
    <w:rsid w:val="004568ED"/>
    <w:rsid w:val="00456BA2"/>
    <w:rsid w:val="00456C44"/>
    <w:rsid w:val="00456CA8"/>
    <w:rsid w:val="0045721B"/>
    <w:rsid w:val="0046183B"/>
    <w:rsid w:val="00461EBA"/>
    <w:rsid w:val="0046229F"/>
    <w:rsid w:val="0046276B"/>
    <w:rsid w:val="00464FC3"/>
    <w:rsid w:val="004655BB"/>
    <w:rsid w:val="0046658E"/>
    <w:rsid w:val="0046674B"/>
    <w:rsid w:val="00466EC3"/>
    <w:rsid w:val="0046766F"/>
    <w:rsid w:val="00467838"/>
    <w:rsid w:val="00467F2C"/>
    <w:rsid w:val="004703A3"/>
    <w:rsid w:val="004705FC"/>
    <w:rsid w:val="004710CB"/>
    <w:rsid w:val="0047129C"/>
    <w:rsid w:val="0047156F"/>
    <w:rsid w:val="00471684"/>
    <w:rsid w:val="00471CF1"/>
    <w:rsid w:val="00472230"/>
    <w:rsid w:val="0047259C"/>
    <w:rsid w:val="0047340F"/>
    <w:rsid w:val="00473541"/>
    <w:rsid w:val="00473617"/>
    <w:rsid w:val="00473DC2"/>
    <w:rsid w:val="004757A0"/>
    <w:rsid w:val="004807F1"/>
    <w:rsid w:val="004809D1"/>
    <w:rsid w:val="00480B09"/>
    <w:rsid w:val="00480FE5"/>
    <w:rsid w:val="00481398"/>
    <w:rsid w:val="00481C5C"/>
    <w:rsid w:val="00481D49"/>
    <w:rsid w:val="00481EEB"/>
    <w:rsid w:val="00482796"/>
    <w:rsid w:val="004827BE"/>
    <w:rsid w:val="004831AF"/>
    <w:rsid w:val="004839E5"/>
    <w:rsid w:val="0048480C"/>
    <w:rsid w:val="00484CF1"/>
    <w:rsid w:val="00485380"/>
    <w:rsid w:val="00486A0B"/>
    <w:rsid w:val="00486BE6"/>
    <w:rsid w:val="00486D19"/>
    <w:rsid w:val="00487851"/>
    <w:rsid w:val="00490044"/>
    <w:rsid w:val="004906FD"/>
    <w:rsid w:val="004908C1"/>
    <w:rsid w:val="00490A54"/>
    <w:rsid w:val="00491635"/>
    <w:rsid w:val="004916B5"/>
    <w:rsid w:val="004927F1"/>
    <w:rsid w:val="00492E2F"/>
    <w:rsid w:val="004931D3"/>
    <w:rsid w:val="004944C5"/>
    <w:rsid w:val="004948D6"/>
    <w:rsid w:val="0049519E"/>
    <w:rsid w:val="0049530A"/>
    <w:rsid w:val="004978D7"/>
    <w:rsid w:val="00497FDB"/>
    <w:rsid w:val="004A0186"/>
    <w:rsid w:val="004A01AB"/>
    <w:rsid w:val="004A0225"/>
    <w:rsid w:val="004A099A"/>
    <w:rsid w:val="004A0B4A"/>
    <w:rsid w:val="004A0F0C"/>
    <w:rsid w:val="004A26A4"/>
    <w:rsid w:val="004A2D0E"/>
    <w:rsid w:val="004A2D7C"/>
    <w:rsid w:val="004A327A"/>
    <w:rsid w:val="004A46A6"/>
    <w:rsid w:val="004A46C4"/>
    <w:rsid w:val="004A53D5"/>
    <w:rsid w:val="004A6BD4"/>
    <w:rsid w:val="004A7454"/>
    <w:rsid w:val="004A7B2D"/>
    <w:rsid w:val="004B09AF"/>
    <w:rsid w:val="004B0A9C"/>
    <w:rsid w:val="004B0BE8"/>
    <w:rsid w:val="004B255F"/>
    <w:rsid w:val="004B3062"/>
    <w:rsid w:val="004B3355"/>
    <w:rsid w:val="004B398A"/>
    <w:rsid w:val="004B3DAB"/>
    <w:rsid w:val="004B4533"/>
    <w:rsid w:val="004B45E8"/>
    <w:rsid w:val="004B48E6"/>
    <w:rsid w:val="004B4E6A"/>
    <w:rsid w:val="004B4F8D"/>
    <w:rsid w:val="004B52AC"/>
    <w:rsid w:val="004B5FDB"/>
    <w:rsid w:val="004B6985"/>
    <w:rsid w:val="004B713B"/>
    <w:rsid w:val="004B737C"/>
    <w:rsid w:val="004B7ADA"/>
    <w:rsid w:val="004C0358"/>
    <w:rsid w:val="004C077C"/>
    <w:rsid w:val="004C2E47"/>
    <w:rsid w:val="004C2EF9"/>
    <w:rsid w:val="004C31C8"/>
    <w:rsid w:val="004C3436"/>
    <w:rsid w:val="004C355B"/>
    <w:rsid w:val="004C38A8"/>
    <w:rsid w:val="004C3E77"/>
    <w:rsid w:val="004C447C"/>
    <w:rsid w:val="004C53EC"/>
    <w:rsid w:val="004C5EE8"/>
    <w:rsid w:val="004C6D47"/>
    <w:rsid w:val="004D015F"/>
    <w:rsid w:val="004D031E"/>
    <w:rsid w:val="004D10BE"/>
    <w:rsid w:val="004D1A46"/>
    <w:rsid w:val="004D1B20"/>
    <w:rsid w:val="004D2243"/>
    <w:rsid w:val="004D25DB"/>
    <w:rsid w:val="004D40CC"/>
    <w:rsid w:val="004D46BC"/>
    <w:rsid w:val="004D5231"/>
    <w:rsid w:val="004D5E5E"/>
    <w:rsid w:val="004D63D1"/>
    <w:rsid w:val="004D68AE"/>
    <w:rsid w:val="004D7014"/>
    <w:rsid w:val="004D77BF"/>
    <w:rsid w:val="004D78E6"/>
    <w:rsid w:val="004D7C89"/>
    <w:rsid w:val="004E007B"/>
    <w:rsid w:val="004E09BB"/>
    <w:rsid w:val="004E1329"/>
    <w:rsid w:val="004E281C"/>
    <w:rsid w:val="004E394C"/>
    <w:rsid w:val="004E3AF7"/>
    <w:rsid w:val="004E4292"/>
    <w:rsid w:val="004E5C5A"/>
    <w:rsid w:val="004E5D3A"/>
    <w:rsid w:val="004E666B"/>
    <w:rsid w:val="004E66E4"/>
    <w:rsid w:val="004E6B42"/>
    <w:rsid w:val="004E6FE3"/>
    <w:rsid w:val="004E75EF"/>
    <w:rsid w:val="004E7B08"/>
    <w:rsid w:val="004E7B96"/>
    <w:rsid w:val="004E7DC9"/>
    <w:rsid w:val="004E7DD1"/>
    <w:rsid w:val="004F0358"/>
    <w:rsid w:val="004F060F"/>
    <w:rsid w:val="004F0990"/>
    <w:rsid w:val="004F1057"/>
    <w:rsid w:val="004F3030"/>
    <w:rsid w:val="004F3BBC"/>
    <w:rsid w:val="004F41AC"/>
    <w:rsid w:val="004F4C03"/>
    <w:rsid w:val="004F5B7D"/>
    <w:rsid w:val="004F627A"/>
    <w:rsid w:val="004F68B5"/>
    <w:rsid w:val="004F68EA"/>
    <w:rsid w:val="004F69B8"/>
    <w:rsid w:val="004F6E35"/>
    <w:rsid w:val="004F6FBE"/>
    <w:rsid w:val="004F7455"/>
    <w:rsid w:val="004F7561"/>
    <w:rsid w:val="0050001D"/>
    <w:rsid w:val="00500482"/>
    <w:rsid w:val="00500B8B"/>
    <w:rsid w:val="00500EDD"/>
    <w:rsid w:val="00501BE4"/>
    <w:rsid w:val="0050269D"/>
    <w:rsid w:val="005026F6"/>
    <w:rsid w:val="005027D2"/>
    <w:rsid w:val="00502C2F"/>
    <w:rsid w:val="00502EEE"/>
    <w:rsid w:val="00504665"/>
    <w:rsid w:val="00504AA6"/>
    <w:rsid w:val="00504B25"/>
    <w:rsid w:val="005056A7"/>
    <w:rsid w:val="005065F0"/>
    <w:rsid w:val="0050729F"/>
    <w:rsid w:val="00507830"/>
    <w:rsid w:val="0051016B"/>
    <w:rsid w:val="00510347"/>
    <w:rsid w:val="00510C24"/>
    <w:rsid w:val="00510C78"/>
    <w:rsid w:val="00510FFA"/>
    <w:rsid w:val="005112BF"/>
    <w:rsid w:val="00511458"/>
    <w:rsid w:val="00511A4B"/>
    <w:rsid w:val="00511A6D"/>
    <w:rsid w:val="00511C07"/>
    <w:rsid w:val="00511F06"/>
    <w:rsid w:val="005122C9"/>
    <w:rsid w:val="005135E3"/>
    <w:rsid w:val="00513B9B"/>
    <w:rsid w:val="00513E16"/>
    <w:rsid w:val="0051457F"/>
    <w:rsid w:val="0051478C"/>
    <w:rsid w:val="005148B7"/>
    <w:rsid w:val="00515124"/>
    <w:rsid w:val="005156F8"/>
    <w:rsid w:val="00515920"/>
    <w:rsid w:val="00516718"/>
    <w:rsid w:val="005170A1"/>
    <w:rsid w:val="00517720"/>
    <w:rsid w:val="00517DFD"/>
    <w:rsid w:val="00520986"/>
    <w:rsid w:val="00520A2B"/>
    <w:rsid w:val="00520AEC"/>
    <w:rsid w:val="00520D6A"/>
    <w:rsid w:val="00521979"/>
    <w:rsid w:val="00521B12"/>
    <w:rsid w:val="00521D45"/>
    <w:rsid w:val="0052210F"/>
    <w:rsid w:val="005223A2"/>
    <w:rsid w:val="00522A5F"/>
    <w:rsid w:val="00522EA8"/>
    <w:rsid w:val="00523732"/>
    <w:rsid w:val="00523928"/>
    <w:rsid w:val="005239BF"/>
    <w:rsid w:val="005240E2"/>
    <w:rsid w:val="005243BC"/>
    <w:rsid w:val="005249C3"/>
    <w:rsid w:val="00524F10"/>
    <w:rsid w:val="00524F16"/>
    <w:rsid w:val="00525B71"/>
    <w:rsid w:val="00525EBA"/>
    <w:rsid w:val="005264F2"/>
    <w:rsid w:val="00526858"/>
    <w:rsid w:val="0052696C"/>
    <w:rsid w:val="005273C5"/>
    <w:rsid w:val="00527654"/>
    <w:rsid w:val="00527B95"/>
    <w:rsid w:val="00527D74"/>
    <w:rsid w:val="00530A57"/>
    <w:rsid w:val="005321FA"/>
    <w:rsid w:val="00532DA1"/>
    <w:rsid w:val="00532DCA"/>
    <w:rsid w:val="005332E5"/>
    <w:rsid w:val="00533761"/>
    <w:rsid w:val="00534D6A"/>
    <w:rsid w:val="00535ACD"/>
    <w:rsid w:val="00535F48"/>
    <w:rsid w:val="00536FB4"/>
    <w:rsid w:val="00537220"/>
    <w:rsid w:val="0053772E"/>
    <w:rsid w:val="0054001C"/>
    <w:rsid w:val="0054022F"/>
    <w:rsid w:val="00540AEC"/>
    <w:rsid w:val="00542331"/>
    <w:rsid w:val="005425B7"/>
    <w:rsid w:val="00542A84"/>
    <w:rsid w:val="00542D82"/>
    <w:rsid w:val="005438D9"/>
    <w:rsid w:val="00544293"/>
    <w:rsid w:val="00544A25"/>
    <w:rsid w:val="00544D58"/>
    <w:rsid w:val="00545090"/>
    <w:rsid w:val="0054556D"/>
    <w:rsid w:val="00545774"/>
    <w:rsid w:val="00545C59"/>
    <w:rsid w:val="00547ED6"/>
    <w:rsid w:val="00550001"/>
    <w:rsid w:val="0055077F"/>
    <w:rsid w:val="00551367"/>
    <w:rsid w:val="00551B9E"/>
    <w:rsid w:val="00552095"/>
    <w:rsid w:val="005522E8"/>
    <w:rsid w:val="005537A8"/>
    <w:rsid w:val="00553979"/>
    <w:rsid w:val="0055470D"/>
    <w:rsid w:val="00555521"/>
    <w:rsid w:val="005556B9"/>
    <w:rsid w:val="00555FA2"/>
    <w:rsid w:val="005563C7"/>
    <w:rsid w:val="00556903"/>
    <w:rsid w:val="00556A65"/>
    <w:rsid w:val="00556CEE"/>
    <w:rsid w:val="00557B82"/>
    <w:rsid w:val="00557FE2"/>
    <w:rsid w:val="00560A65"/>
    <w:rsid w:val="00560B35"/>
    <w:rsid w:val="005612CB"/>
    <w:rsid w:val="005613DE"/>
    <w:rsid w:val="00561BC8"/>
    <w:rsid w:val="0056224C"/>
    <w:rsid w:val="00562714"/>
    <w:rsid w:val="00562BA1"/>
    <w:rsid w:val="005645BC"/>
    <w:rsid w:val="00565B11"/>
    <w:rsid w:val="00565F3F"/>
    <w:rsid w:val="00566CA2"/>
    <w:rsid w:val="005671D3"/>
    <w:rsid w:val="005673B1"/>
    <w:rsid w:val="00567667"/>
    <w:rsid w:val="00567B93"/>
    <w:rsid w:val="00567E98"/>
    <w:rsid w:val="0057039B"/>
    <w:rsid w:val="005722F7"/>
    <w:rsid w:val="005734DD"/>
    <w:rsid w:val="0057363A"/>
    <w:rsid w:val="00573A74"/>
    <w:rsid w:val="00573CEC"/>
    <w:rsid w:val="00573E14"/>
    <w:rsid w:val="00575560"/>
    <w:rsid w:val="00575EFB"/>
    <w:rsid w:val="00576709"/>
    <w:rsid w:val="005775BD"/>
    <w:rsid w:val="0058052F"/>
    <w:rsid w:val="005821F1"/>
    <w:rsid w:val="00582B6F"/>
    <w:rsid w:val="00584E14"/>
    <w:rsid w:val="00585AFC"/>
    <w:rsid w:val="005865E8"/>
    <w:rsid w:val="00586E5C"/>
    <w:rsid w:val="005873A2"/>
    <w:rsid w:val="005879CE"/>
    <w:rsid w:val="00587C17"/>
    <w:rsid w:val="005903DA"/>
    <w:rsid w:val="0059065F"/>
    <w:rsid w:val="00590AAA"/>
    <w:rsid w:val="00590AE5"/>
    <w:rsid w:val="00590E1B"/>
    <w:rsid w:val="00590E79"/>
    <w:rsid w:val="00591E85"/>
    <w:rsid w:val="00592134"/>
    <w:rsid w:val="00592E50"/>
    <w:rsid w:val="0059462B"/>
    <w:rsid w:val="005946FC"/>
    <w:rsid w:val="00594C5D"/>
    <w:rsid w:val="00594D8E"/>
    <w:rsid w:val="005951B4"/>
    <w:rsid w:val="00596587"/>
    <w:rsid w:val="00596C3C"/>
    <w:rsid w:val="00597273"/>
    <w:rsid w:val="005A027F"/>
    <w:rsid w:val="005A04DC"/>
    <w:rsid w:val="005A1396"/>
    <w:rsid w:val="005A170B"/>
    <w:rsid w:val="005A2724"/>
    <w:rsid w:val="005A2E77"/>
    <w:rsid w:val="005A3CB0"/>
    <w:rsid w:val="005A596D"/>
    <w:rsid w:val="005A5A67"/>
    <w:rsid w:val="005A5C46"/>
    <w:rsid w:val="005A6086"/>
    <w:rsid w:val="005A63A5"/>
    <w:rsid w:val="005A6BBD"/>
    <w:rsid w:val="005B077D"/>
    <w:rsid w:val="005B1576"/>
    <w:rsid w:val="005B15C6"/>
    <w:rsid w:val="005B25E4"/>
    <w:rsid w:val="005B262F"/>
    <w:rsid w:val="005B284E"/>
    <w:rsid w:val="005B2931"/>
    <w:rsid w:val="005B3244"/>
    <w:rsid w:val="005B33D5"/>
    <w:rsid w:val="005B364D"/>
    <w:rsid w:val="005B3C7A"/>
    <w:rsid w:val="005B4C15"/>
    <w:rsid w:val="005B538E"/>
    <w:rsid w:val="005B5852"/>
    <w:rsid w:val="005B5E7C"/>
    <w:rsid w:val="005B5F9C"/>
    <w:rsid w:val="005B6BF3"/>
    <w:rsid w:val="005B768A"/>
    <w:rsid w:val="005B7D0B"/>
    <w:rsid w:val="005C0180"/>
    <w:rsid w:val="005C0482"/>
    <w:rsid w:val="005C0B93"/>
    <w:rsid w:val="005C0C67"/>
    <w:rsid w:val="005C0E79"/>
    <w:rsid w:val="005C1178"/>
    <w:rsid w:val="005C218B"/>
    <w:rsid w:val="005C32BD"/>
    <w:rsid w:val="005C3FE2"/>
    <w:rsid w:val="005C4B9E"/>
    <w:rsid w:val="005C4BB4"/>
    <w:rsid w:val="005C4DB9"/>
    <w:rsid w:val="005C56AE"/>
    <w:rsid w:val="005C58E9"/>
    <w:rsid w:val="005C6BE7"/>
    <w:rsid w:val="005C6F57"/>
    <w:rsid w:val="005C7DD4"/>
    <w:rsid w:val="005C7F75"/>
    <w:rsid w:val="005D090C"/>
    <w:rsid w:val="005D0A7F"/>
    <w:rsid w:val="005D11B0"/>
    <w:rsid w:val="005D1539"/>
    <w:rsid w:val="005D159E"/>
    <w:rsid w:val="005D183F"/>
    <w:rsid w:val="005D1ED7"/>
    <w:rsid w:val="005D3199"/>
    <w:rsid w:val="005D3443"/>
    <w:rsid w:val="005D382E"/>
    <w:rsid w:val="005D3D9A"/>
    <w:rsid w:val="005D480D"/>
    <w:rsid w:val="005D492B"/>
    <w:rsid w:val="005D4A01"/>
    <w:rsid w:val="005D4AB2"/>
    <w:rsid w:val="005D52EA"/>
    <w:rsid w:val="005D57CF"/>
    <w:rsid w:val="005D5B95"/>
    <w:rsid w:val="005D5F7F"/>
    <w:rsid w:val="005D67B1"/>
    <w:rsid w:val="005D6CBA"/>
    <w:rsid w:val="005D78A9"/>
    <w:rsid w:val="005D7B16"/>
    <w:rsid w:val="005E0645"/>
    <w:rsid w:val="005E1639"/>
    <w:rsid w:val="005E22F9"/>
    <w:rsid w:val="005E3246"/>
    <w:rsid w:val="005E3B80"/>
    <w:rsid w:val="005E4068"/>
    <w:rsid w:val="005E52A2"/>
    <w:rsid w:val="005E52CE"/>
    <w:rsid w:val="005E59E5"/>
    <w:rsid w:val="005E5EEF"/>
    <w:rsid w:val="005E6024"/>
    <w:rsid w:val="005E6096"/>
    <w:rsid w:val="005E628A"/>
    <w:rsid w:val="005F03A0"/>
    <w:rsid w:val="005F0F65"/>
    <w:rsid w:val="005F1450"/>
    <w:rsid w:val="005F1944"/>
    <w:rsid w:val="005F1A93"/>
    <w:rsid w:val="005F1F0F"/>
    <w:rsid w:val="005F23F6"/>
    <w:rsid w:val="005F2675"/>
    <w:rsid w:val="005F2AE9"/>
    <w:rsid w:val="005F35BD"/>
    <w:rsid w:val="005F3C12"/>
    <w:rsid w:val="005F3E9E"/>
    <w:rsid w:val="005F4BF0"/>
    <w:rsid w:val="005F554A"/>
    <w:rsid w:val="005F5F63"/>
    <w:rsid w:val="005F6AA5"/>
    <w:rsid w:val="005F7C4A"/>
    <w:rsid w:val="005F7CB6"/>
    <w:rsid w:val="005F7E53"/>
    <w:rsid w:val="005F7F44"/>
    <w:rsid w:val="00600963"/>
    <w:rsid w:val="00600EDA"/>
    <w:rsid w:val="0060141E"/>
    <w:rsid w:val="00602512"/>
    <w:rsid w:val="006033D8"/>
    <w:rsid w:val="006038C2"/>
    <w:rsid w:val="006039E5"/>
    <w:rsid w:val="00604CDA"/>
    <w:rsid w:val="006061AB"/>
    <w:rsid w:val="00606506"/>
    <w:rsid w:val="006073A2"/>
    <w:rsid w:val="00611907"/>
    <w:rsid w:val="00611ECB"/>
    <w:rsid w:val="00611F66"/>
    <w:rsid w:val="0061206D"/>
    <w:rsid w:val="00612564"/>
    <w:rsid w:val="00612859"/>
    <w:rsid w:val="00612889"/>
    <w:rsid w:val="00613104"/>
    <w:rsid w:val="00613AEE"/>
    <w:rsid w:val="0061465D"/>
    <w:rsid w:val="0061481F"/>
    <w:rsid w:val="0061484F"/>
    <w:rsid w:val="006149B0"/>
    <w:rsid w:val="00614E50"/>
    <w:rsid w:val="00616190"/>
    <w:rsid w:val="0061699E"/>
    <w:rsid w:val="006175EE"/>
    <w:rsid w:val="0061779A"/>
    <w:rsid w:val="00617801"/>
    <w:rsid w:val="006202E4"/>
    <w:rsid w:val="00620368"/>
    <w:rsid w:val="006203E7"/>
    <w:rsid w:val="00620B9D"/>
    <w:rsid w:val="00620EC2"/>
    <w:rsid w:val="0062171E"/>
    <w:rsid w:val="006217B5"/>
    <w:rsid w:val="006223C8"/>
    <w:rsid w:val="006232AB"/>
    <w:rsid w:val="00623B5A"/>
    <w:rsid w:val="00623C20"/>
    <w:rsid w:val="006241A4"/>
    <w:rsid w:val="0062484A"/>
    <w:rsid w:val="00624879"/>
    <w:rsid w:val="006248A5"/>
    <w:rsid w:val="00624B38"/>
    <w:rsid w:val="006252F7"/>
    <w:rsid w:val="00625D0C"/>
    <w:rsid w:val="00626598"/>
    <w:rsid w:val="00627518"/>
    <w:rsid w:val="006319E2"/>
    <w:rsid w:val="00631F61"/>
    <w:rsid w:val="00632558"/>
    <w:rsid w:val="0063380B"/>
    <w:rsid w:val="00633A17"/>
    <w:rsid w:val="00634014"/>
    <w:rsid w:val="0063427D"/>
    <w:rsid w:val="0063555B"/>
    <w:rsid w:val="006357AD"/>
    <w:rsid w:val="006367EE"/>
    <w:rsid w:val="00636B92"/>
    <w:rsid w:val="00637BDB"/>
    <w:rsid w:val="00637DED"/>
    <w:rsid w:val="00637E0D"/>
    <w:rsid w:val="006402E9"/>
    <w:rsid w:val="00640D2E"/>
    <w:rsid w:val="00641CA2"/>
    <w:rsid w:val="00642820"/>
    <w:rsid w:val="00642CDD"/>
    <w:rsid w:val="00643042"/>
    <w:rsid w:val="00643289"/>
    <w:rsid w:val="00643968"/>
    <w:rsid w:val="00644DDE"/>
    <w:rsid w:val="00645EF3"/>
    <w:rsid w:val="006471AD"/>
    <w:rsid w:val="00647ED9"/>
    <w:rsid w:val="00650CB5"/>
    <w:rsid w:val="00651843"/>
    <w:rsid w:val="006518CE"/>
    <w:rsid w:val="00651A40"/>
    <w:rsid w:val="00651A85"/>
    <w:rsid w:val="00651E31"/>
    <w:rsid w:val="006525CA"/>
    <w:rsid w:val="00653246"/>
    <w:rsid w:val="00653CFF"/>
    <w:rsid w:val="0065495A"/>
    <w:rsid w:val="00655398"/>
    <w:rsid w:val="00655895"/>
    <w:rsid w:val="006559F1"/>
    <w:rsid w:val="0065661A"/>
    <w:rsid w:val="006567EA"/>
    <w:rsid w:val="006568FB"/>
    <w:rsid w:val="00656A55"/>
    <w:rsid w:val="00656C86"/>
    <w:rsid w:val="00656D3F"/>
    <w:rsid w:val="00657786"/>
    <w:rsid w:val="00660A00"/>
    <w:rsid w:val="0066264D"/>
    <w:rsid w:val="00663429"/>
    <w:rsid w:val="0066395F"/>
    <w:rsid w:val="00663AAE"/>
    <w:rsid w:val="00663CC3"/>
    <w:rsid w:val="00663CE2"/>
    <w:rsid w:val="006640A5"/>
    <w:rsid w:val="0066413C"/>
    <w:rsid w:val="00664451"/>
    <w:rsid w:val="006648EE"/>
    <w:rsid w:val="00664CB3"/>
    <w:rsid w:val="00664E67"/>
    <w:rsid w:val="006656CD"/>
    <w:rsid w:val="00667C52"/>
    <w:rsid w:val="0067025F"/>
    <w:rsid w:val="00670470"/>
    <w:rsid w:val="00670CAF"/>
    <w:rsid w:val="00670CB2"/>
    <w:rsid w:val="006711F7"/>
    <w:rsid w:val="00671B7B"/>
    <w:rsid w:val="00672640"/>
    <w:rsid w:val="00673952"/>
    <w:rsid w:val="006746C2"/>
    <w:rsid w:val="00674F31"/>
    <w:rsid w:val="00675394"/>
    <w:rsid w:val="00675DA6"/>
    <w:rsid w:val="00676935"/>
    <w:rsid w:val="00676A80"/>
    <w:rsid w:val="00677B44"/>
    <w:rsid w:val="00677BBA"/>
    <w:rsid w:val="00680B62"/>
    <w:rsid w:val="006823F9"/>
    <w:rsid w:val="006838F2"/>
    <w:rsid w:val="00683965"/>
    <w:rsid w:val="00683AD2"/>
    <w:rsid w:val="00685154"/>
    <w:rsid w:val="006851C5"/>
    <w:rsid w:val="006858FD"/>
    <w:rsid w:val="006863F7"/>
    <w:rsid w:val="006864B9"/>
    <w:rsid w:val="00686D15"/>
    <w:rsid w:val="00687312"/>
    <w:rsid w:val="00687BC5"/>
    <w:rsid w:val="00687BD2"/>
    <w:rsid w:val="00690C1E"/>
    <w:rsid w:val="00690F4D"/>
    <w:rsid w:val="00691657"/>
    <w:rsid w:val="00691F52"/>
    <w:rsid w:val="00691FAE"/>
    <w:rsid w:val="0069216D"/>
    <w:rsid w:val="00692235"/>
    <w:rsid w:val="0069245D"/>
    <w:rsid w:val="00693403"/>
    <w:rsid w:val="0069391C"/>
    <w:rsid w:val="00694B5E"/>
    <w:rsid w:val="0069582C"/>
    <w:rsid w:val="00695919"/>
    <w:rsid w:val="00695FC2"/>
    <w:rsid w:val="00696939"/>
    <w:rsid w:val="00696AA2"/>
    <w:rsid w:val="006A0220"/>
    <w:rsid w:val="006A0862"/>
    <w:rsid w:val="006A0FF2"/>
    <w:rsid w:val="006A1881"/>
    <w:rsid w:val="006A1C00"/>
    <w:rsid w:val="006A1FF0"/>
    <w:rsid w:val="006A2270"/>
    <w:rsid w:val="006A2A62"/>
    <w:rsid w:val="006A2DF1"/>
    <w:rsid w:val="006A3322"/>
    <w:rsid w:val="006A337F"/>
    <w:rsid w:val="006A3699"/>
    <w:rsid w:val="006A36A6"/>
    <w:rsid w:val="006A3C85"/>
    <w:rsid w:val="006A3FCE"/>
    <w:rsid w:val="006A69A6"/>
    <w:rsid w:val="006A75E5"/>
    <w:rsid w:val="006B03F4"/>
    <w:rsid w:val="006B0508"/>
    <w:rsid w:val="006B0DDF"/>
    <w:rsid w:val="006B1D30"/>
    <w:rsid w:val="006B1E43"/>
    <w:rsid w:val="006B3218"/>
    <w:rsid w:val="006B4273"/>
    <w:rsid w:val="006B465E"/>
    <w:rsid w:val="006B4C02"/>
    <w:rsid w:val="006B5B90"/>
    <w:rsid w:val="006B61B6"/>
    <w:rsid w:val="006C0BB1"/>
    <w:rsid w:val="006C1BBF"/>
    <w:rsid w:val="006C27B8"/>
    <w:rsid w:val="006C28B3"/>
    <w:rsid w:val="006C2E97"/>
    <w:rsid w:val="006C3683"/>
    <w:rsid w:val="006C4219"/>
    <w:rsid w:val="006C430A"/>
    <w:rsid w:val="006C4A7F"/>
    <w:rsid w:val="006C4D43"/>
    <w:rsid w:val="006C517B"/>
    <w:rsid w:val="006C53A7"/>
    <w:rsid w:val="006C639E"/>
    <w:rsid w:val="006C6A98"/>
    <w:rsid w:val="006C6DCA"/>
    <w:rsid w:val="006C6E18"/>
    <w:rsid w:val="006D011A"/>
    <w:rsid w:val="006D08ED"/>
    <w:rsid w:val="006D0E32"/>
    <w:rsid w:val="006D1F33"/>
    <w:rsid w:val="006D30AE"/>
    <w:rsid w:val="006D37DE"/>
    <w:rsid w:val="006D4A91"/>
    <w:rsid w:val="006D4E56"/>
    <w:rsid w:val="006D50E2"/>
    <w:rsid w:val="006D55A8"/>
    <w:rsid w:val="006D59CC"/>
    <w:rsid w:val="006D5F21"/>
    <w:rsid w:val="006D640B"/>
    <w:rsid w:val="006D65C6"/>
    <w:rsid w:val="006D65F6"/>
    <w:rsid w:val="006D6CFC"/>
    <w:rsid w:val="006D6D75"/>
    <w:rsid w:val="006E01B0"/>
    <w:rsid w:val="006E05AC"/>
    <w:rsid w:val="006E0707"/>
    <w:rsid w:val="006E179B"/>
    <w:rsid w:val="006E186B"/>
    <w:rsid w:val="006E1C29"/>
    <w:rsid w:val="006E1F5B"/>
    <w:rsid w:val="006E274E"/>
    <w:rsid w:val="006E30BA"/>
    <w:rsid w:val="006E31DE"/>
    <w:rsid w:val="006E3DF9"/>
    <w:rsid w:val="006E42EE"/>
    <w:rsid w:val="006E4EDB"/>
    <w:rsid w:val="006E56F7"/>
    <w:rsid w:val="006E5905"/>
    <w:rsid w:val="006E5959"/>
    <w:rsid w:val="006E5D53"/>
    <w:rsid w:val="006E68F6"/>
    <w:rsid w:val="006E6BDD"/>
    <w:rsid w:val="006E6CA4"/>
    <w:rsid w:val="006E75C8"/>
    <w:rsid w:val="006F0026"/>
    <w:rsid w:val="006F0ABD"/>
    <w:rsid w:val="006F0C77"/>
    <w:rsid w:val="006F0DD5"/>
    <w:rsid w:val="006F0FA7"/>
    <w:rsid w:val="006F16C6"/>
    <w:rsid w:val="006F1841"/>
    <w:rsid w:val="006F281A"/>
    <w:rsid w:val="006F3518"/>
    <w:rsid w:val="006F3AD1"/>
    <w:rsid w:val="006F46D7"/>
    <w:rsid w:val="006F49FA"/>
    <w:rsid w:val="006F4AC6"/>
    <w:rsid w:val="006F4E14"/>
    <w:rsid w:val="006F5394"/>
    <w:rsid w:val="006F5965"/>
    <w:rsid w:val="006F64BC"/>
    <w:rsid w:val="006F6D5E"/>
    <w:rsid w:val="006F6EDE"/>
    <w:rsid w:val="006F6F7B"/>
    <w:rsid w:val="006F73F9"/>
    <w:rsid w:val="006F7E12"/>
    <w:rsid w:val="00700064"/>
    <w:rsid w:val="007000C3"/>
    <w:rsid w:val="00700757"/>
    <w:rsid w:val="00700DBD"/>
    <w:rsid w:val="007021AE"/>
    <w:rsid w:val="00702325"/>
    <w:rsid w:val="00702424"/>
    <w:rsid w:val="0070300D"/>
    <w:rsid w:val="00703215"/>
    <w:rsid w:val="00703452"/>
    <w:rsid w:val="00703AA2"/>
    <w:rsid w:val="00704105"/>
    <w:rsid w:val="00704716"/>
    <w:rsid w:val="007047B9"/>
    <w:rsid w:val="007048D9"/>
    <w:rsid w:val="00704F34"/>
    <w:rsid w:val="00705134"/>
    <w:rsid w:val="0070550E"/>
    <w:rsid w:val="007061A2"/>
    <w:rsid w:val="00706669"/>
    <w:rsid w:val="00706E26"/>
    <w:rsid w:val="00707A73"/>
    <w:rsid w:val="00707E46"/>
    <w:rsid w:val="00710306"/>
    <w:rsid w:val="007108C4"/>
    <w:rsid w:val="0071175A"/>
    <w:rsid w:val="00711858"/>
    <w:rsid w:val="00712454"/>
    <w:rsid w:val="007126AD"/>
    <w:rsid w:val="007130E5"/>
    <w:rsid w:val="007134AF"/>
    <w:rsid w:val="00713797"/>
    <w:rsid w:val="007139E1"/>
    <w:rsid w:val="00713AD7"/>
    <w:rsid w:val="00713DD7"/>
    <w:rsid w:val="00713EF5"/>
    <w:rsid w:val="00714CB3"/>
    <w:rsid w:val="00715DE3"/>
    <w:rsid w:val="00716967"/>
    <w:rsid w:val="00716C39"/>
    <w:rsid w:val="0071756C"/>
    <w:rsid w:val="00717EFC"/>
    <w:rsid w:val="007209CA"/>
    <w:rsid w:val="00720A9D"/>
    <w:rsid w:val="0072241B"/>
    <w:rsid w:val="00722545"/>
    <w:rsid w:val="007230A2"/>
    <w:rsid w:val="0072381D"/>
    <w:rsid w:val="00724B2B"/>
    <w:rsid w:val="00724C36"/>
    <w:rsid w:val="00725221"/>
    <w:rsid w:val="007253FC"/>
    <w:rsid w:val="007256AE"/>
    <w:rsid w:val="00727068"/>
    <w:rsid w:val="0073037E"/>
    <w:rsid w:val="00730630"/>
    <w:rsid w:val="00730E8B"/>
    <w:rsid w:val="007310BA"/>
    <w:rsid w:val="00732096"/>
    <w:rsid w:val="007325E8"/>
    <w:rsid w:val="00732AF0"/>
    <w:rsid w:val="007330F1"/>
    <w:rsid w:val="00733486"/>
    <w:rsid w:val="00733B7C"/>
    <w:rsid w:val="00733E15"/>
    <w:rsid w:val="0073698D"/>
    <w:rsid w:val="0073773C"/>
    <w:rsid w:val="007404F6"/>
    <w:rsid w:val="00740CF3"/>
    <w:rsid w:val="00740FAA"/>
    <w:rsid w:val="00741E43"/>
    <w:rsid w:val="00742E9A"/>
    <w:rsid w:val="00743624"/>
    <w:rsid w:val="0074395E"/>
    <w:rsid w:val="00743DDA"/>
    <w:rsid w:val="00743E9B"/>
    <w:rsid w:val="007441CD"/>
    <w:rsid w:val="00744238"/>
    <w:rsid w:val="0074470E"/>
    <w:rsid w:val="007448EB"/>
    <w:rsid w:val="0074497A"/>
    <w:rsid w:val="00745115"/>
    <w:rsid w:val="007459A0"/>
    <w:rsid w:val="0074622B"/>
    <w:rsid w:val="00746833"/>
    <w:rsid w:val="00747F8F"/>
    <w:rsid w:val="0075010A"/>
    <w:rsid w:val="00750201"/>
    <w:rsid w:val="00750656"/>
    <w:rsid w:val="0075089C"/>
    <w:rsid w:val="00751236"/>
    <w:rsid w:val="007517B7"/>
    <w:rsid w:val="00752203"/>
    <w:rsid w:val="007529AB"/>
    <w:rsid w:val="00752ABC"/>
    <w:rsid w:val="007532C4"/>
    <w:rsid w:val="0075333E"/>
    <w:rsid w:val="00753510"/>
    <w:rsid w:val="00753595"/>
    <w:rsid w:val="0075361B"/>
    <w:rsid w:val="0075395E"/>
    <w:rsid w:val="00753C00"/>
    <w:rsid w:val="00753F07"/>
    <w:rsid w:val="00754528"/>
    <w:rsid w:val="00755869"/>
    <w:rsid w:val="00755EFD"/>
    <w:rsid w:val="007566AD"/>
    <w:rsid w:val="00756B5E"/>
    <w:rsid w:val="0075742F"/>
    <w:rsid w:val="00757606"/>
    <w:rsid w:val="00760C74"/>
    <w:rsid w:val="007610DE"/>
    <w:rsid w:val="00761E28"/>
    <w:rsid w:val="00762163"/>
    <w:rsid w:val="00762781"/>
    <w:rsid w:val="00762AAA"/>
    <w:rsid w:val="00762D2A"/>
    <w:rsid w:val="00762EEE"/>
    <w:rsid w:val="00763108"/>
    <w:rsid w:val="00763D6B"/>
    <w:rsid w:val="00764E1E"/>
    <w:rsid w:val="00764EA9"/>
    <w:rsid w:val="007654FF"/>
    <w:rsid w:val="00765639"/>
    <w:rsid w:val="00765667"/>
    <w:rsid w:val="00766596"/>
    <w:rsid w:val="00767A30"/>
    <w:rsid w:val="00770346"/>
    <w:rsid w:val="00770A4B"/>
    <w:rsid w:val="00770EDF"/>
    <w:rsid w:val="0077130C"/>
    <w:rsid w:val="00771448"/>
    <w:rsid w:val="00771C4F"/>
    <w:rsid w:val="00773D1C"/>
    <w:rsid w:val="0077410A"/>
    <w:rsid w:val="007745B8"/>
    <w:rsid w:val="00774CC9"/>
    <w:rsid w:val="00774FF9"/>
    <w:rsid w:val="00775190"/>
    <w:rsid w:val="00775B79"/>
    <w:rsid w:val="00776DEF"/>
    <w:rsid w:val="00776F23"/>
    <w:rsid w:val="00777E54"/>
    <w:rsid w:val="00780006"/>
    <w:rsid w:val="007803DA"/>
    <w:rsid w:val="007806C8"/>
    <w:rsid w:val="007806E2"/>
    <w:rsid w:val="00780DE4"/>
    <w:rsid w:val="007821CB"/>
    <w:rsid w:val="00782611"/>
    <w:rsid w:val="00783D46"/>
    <w:rsid w:val="00784A64"/>
    <w:rsid w:val="00784F79"/>
    <w:rsid w:val="0078567F"/>
    <w:rsid w:val="00785957"/>
    <w:rsid w:val="007859AF"/>
    <w:rsid w:val="00786077"/>
    <w:rsid w:val="00786126"/>
    <w:rsid w:val="0078661B"/>
    <w:rsid w:val="00786DCE"/>
    <w:rsid w:val="00787CD6"/>
    <w:rsid w:val="007918C7"/>
    <w:rsid w:val="007921B6"/>
    <w:rsid w:val="007925DB"/>
    <w:rsid w:val="00792BE8"/>
    <w:rsid w:val="00793221"/>
    <w:rsid w:val="007932B7"/>
    <w:rsid w:val="007939B9"/>
    <w:rsid w:val="00793C49"/>
    <w:rsid w:val="00793F19"/>
    <w:rsid w:val="0079561B"/>
    <w:rsid w:val="00796004"/>
    <w:rsid w:val="00796CBE"/>
    <w:rsid w:val="007970F0"/>
    <w:rsid w:val="00797B9A"/>
    <w:rsid w:val="007A018D"/>
    <w:rsid w:val="007A070E"/>
    <w:rsid w:val="007A0FDA"/>
    <w:rsid w:val="007A105F"/>
    <w:rsid w:val="007A1B85"/>
    <w:rsid w:val="007A30C3"/>
    <w:rsid w:val="007A378E"/>
    <w:rsid w:val="007A37FC"/>
    <w:rsid w:val="007A3EB9"/>
    <w:rsid w:val="007A40D5"/>
    <w:rsid w:val="007A4247"/>
    <w:rsid w:val="007A4CE1"/>
    <w:rsid w:val="007A4F77"/>
    <w:rsid w:val="007A5BCF"/>
    <w:rsid w:val="007A5DEA"/>
    <w:rsid w:val="007A5F6D"/>
    <w:rsid w:val="007A68F8"/>
    <w:rsid w:val="007A6B74"/>
    <w:rsid w:val="007A7070"/>
    <w:rsid w:val="007A7A96"/>
    <w:rsid w:val="007B0C52"/>
    <w:rsid w:val="007B0F14"/>
    <w:rsid w:val="007B2C5F"/>
    <w:rsid w:val="007B2E7B"/>
    <w:rsid w:val="007B2EDD"/>
    <w:rsid w:val="007B329E"/>
    <w:rsid w:val="007B32C3"/>
    <w:rsid w:val="007B3852"/>
    <w:rsid w:val="007B4ACC"/>
    <w:rsid w:val="007B606F"/>
    <w:rsid w:val="007B6FFC"/>
    <w:rsid w:val="007B70F8"/>
    <w:rsid w:val="007B7647"/>
    <w:rsid w:val="007C03C1"/>
    <w:rsid w:val="007C1853"/>
    <w:rsid w:val="007C2455"/>
    <w:rsid w:val="007C29FE"/>
    <w:rsid w:val="007C31D4"/>
    <w:rsid w:val="007C4104"/>
    <w:rsid w:val="007C4344"/>
    <w:rsid w:val="007C4475"/>
    <w:rsid w:val="007C4B4F"/>
    <w:rsid w:val="007C55FB"/>
    <w:rsid w:val="007C572F"/>
    <w:rsid w:val="007C5931"/>
    <w:rsid w:val="007C63AC"/>
    <w:rsid w:val="007C6547"/>
    <w:rsid w:val="007C68F2"/>
    <w:rsid w:val="007C6A7E"/>
    <w:rsid w:val="007C6E5F"/>
    <w:rsid w:val="007C710F"/>
    <w:rsid w:val="007D032D"/>
    <w:rsid w:val="007D0EB0"/>
    <w:rsid w:val="007D13B3"/>
    <w:rsid w:val="007D18C4"/>
    <w:rsid w:val="007D29A9"/>
    <w:rsid w:val="007D313A"/>
    <w:rsid w:val="007D33EE"/>
    <w:rsid w:val="007D35C8"/>
    <w:rsid w:val="007D37E2"/>
    <w:rsid w:val="007D3F50"/>
    <w:rsid w:val="007D46E7"/>
    <w:rsid w:val="007D4B01"/>
    <w:rsid w:val="007D6396"/>
    <w:rsid w:val="007D759F"/>
    <w:rsid w:val="007D790F"/>
    <w:rsid w:val="007D79DD"/>
    <w:rsid w:val="007D7FC1"/>
    <w:rsid w:val="007E02B0"/>
    <w:rsid w:val="007E08CB"/>
    <w:rsid w:val="007E091B"/>
    <w:rsid w:val="007E12AC"/>
    <w:rsid w:val="007E157B"/>
    <w:rsid w:val="007E1DDF"/>
    <w:rsid w:val="007E2DE9"/>
    <w:rsid w:val="007E3938"/>
    <w:rsid w:val="007E3B63"/>
    <w:rsid w:val="007E4048"/>
    <w:rsid w:val="007E509F"/>
    <w:rsid w:val="007E50FE"/>
    <w:rsid w:val="007E5278"/>
    <w:rsid w:val="007E56F8"/>
    <w:rsid w:val="007E61D5"/>
    <w:rsid w:val="007E6FAC"/>
    <w:rsid w:val="007E7259"/>
    <w:rsid w:val="007E7CEF"/>
    <w:rsid w:val="007E7F1F"/>
    <w:rsid w:val="007F0296"/>
    <w:rsid w:val="007F0369"/>
    <w:rsid w:val="007F03F2"/>
    <w:rsid w:val="007F0668"/>
    <w:rsid w:val="007F1C9E"/>
    <w:rsid w:val="007F2389"/>
    <w:rsid w:val="007F23F4"/>
    <w:rsid w:val="007F2717"/>
    <w:rsid w:val="007F274F"/>
    <w:rsid w:val="007F2CAA"/>
    <w:rsid w:val="007F3CEE"/>
    <w:rsid w:val="007F3E32"/>
    <w:rsid w:val="007F4305"/>
    <w:rsid w:val="007F437A"/>
    <w:rsid w:val="007F59E8"/>
    <w:rsid w:val="007F758D"/>
    <w:rsid w:val="007F773C"/>
    <w:rsid w:val="007F7CD0"/>
    <w:rsid w:val="008009A3"/>
    <w:rsid w:val="008024B6"/>
    <w:rsid w:val="00803E46"/>
    <w:rsid w:val="00804FC0"/>
    <w:rsid w:val="00805294"/>
    <w:rsid w:val="00805811"/>
    <w:rsid w:val="00805912"/>
    <w:rsid w:val="008066FF"/>
    <w:rsid w:val="008077ED"/>
    <w:rsid w:val="00807EA9"/>
    <w:rsid w:val="0081030C"/>
    <w:rsid w:val="00810ABD"/>
    <w:rsid w:val="00810F52"/>
    <w:rsid w:val="008115F5"/>
    <w:rsid w:val="00811FCF"/>
    <w:rsid w:val="008127DD"/>
    <w:rsid w:val="008128B0"/>
    <w:rsid w:val="00812CC2"/>
    <w:rsid w:val="00812F4E"/>
    <w:rsid w:val="00812FD0"/>
    <w:rsid w:val="008130AB"/>
    <w:rsid w:val="008137A7"/>
    <w:rsid w:val="00813E36"/>
    <w:rsid w:val="0081498F"/>
    <w:rsid w:val="00815BA3"/>
    <w:rsid w:val="00815D57"/>
    <w:rsid w:val="00816667"/>
    <w:rsid w:val="008168EE"/>
    <w:rsid w:val="00816B98"/>
    <w:rsid w:val="00821B45"/>
    <w:rsid w:val="00821D65"/>
    <w:rsid w:val="00822A38"/>
    <w:rsid w:val="008234C7"/>
    <w:rsid w:val="00823D15"/>
    <w:rsid w:val="00823E43"/>
    <w:rsid w:val="0082483E"/>
    <w:rsid w:val="00824ABE"/>
    <w:rsid w:val="0082503B"/>
    <w:rsid w:val="00825DDA"/>
    <w:rsid w:val="00825F2F"/>
    <w:rsid w:val="00826816"/>
    <w:rsid w:val="008268B2"/>
    <w:rsid w:val="008270C5"/>
    <w:rsid w:val="0082746C"/>
    <w:rsid w:val="00830329"/>
    <w:rsid w:val="00830E04"/>
    <w:rsid w:val="00830E50"/>
    <w:rsid w:val="008317AF"/>
    <w:rsid w:val="00831EB2"/>
    <w:rsid w:val="00832DE9"/>
    <w:rsid w:val="00832F72"/>
    <w:rsid w:val="00832FE1"/>
    <w:rsid w:val="00833085"/>
    <w:rsid w:val="00833313"/>
    <w:rsid w:val="008335AE"/>
    <w:rsid w:val="00833CFE"/>
    <w:rsid w:val="00835435"/>
    <w:rsid w:val="00835FBB"/>
    <w:rsid w:val="00836363"/>
    <w:rsid w:val="0083640A"/>
    <w:rsid w:val="00836C1C"/>
    <w:rsid w:val="00837D5D"/>
    <w:rsid w:val="0084010C"/>
    <w:rsid w:val="00840BB6"/>
    <w:rsid w:val="00840F80"/>
    <w:rsid w:val="00840F9B"/>
    <w:rsid w:val="00841209"/>
    <w:rsid w:val="00842887"/>
    <w:rsid w:val="00843661"/>
    <w:rsid w:val="00844430"/>
    <w:rsid w:val="008451C0"/>
    <w:rsid w:val="0084571F"/>
    <w:rsid w:val="00846047"/>
    <w:rsid w:val="0084628C"/>
    <w:rsid w:val="0084634F"/>
    <w:rsid w:val="00846585"/>
    <w:rsid w:val="00847C8A"/>
    <w:rsid w:val="00847E59"/>
    <w:rsid w:val="0085021A"/>
    <w:rsid w:val="0085046C"/>
    <w:rsid w:val="008508B1"/>
    <w:rsid w:val="00851381"/>
    <w:rsid w:val="008523DF"/>
    <w:rsid w:val="00853859"/>
    <w:rsid w:val="00853FBA"/>
    <w:rsid w:val="00855C96"/>
    <w:rsid w:val="008561E0"/>
    <w:rsid w:val="008565C1"/>
    <w:rsid w:val="00856C22"/>
    <w:rsid w:val="00857046"/>
    <w:rsid w:val="0085759F"/>
    <w:rsid w:val="00857A3F"/>
    <w:rsid w:val="0086050B"/>
    <w:rsid w:val="008610CD"/>
    <w:rsid w:val="00861FC8"/>
    <w:rsid w:val="0086276A"/>
    <w:rsid w:val="00862AD0"/>
    <w:rsid w:val="00862C1D"/>
    <w:rsid w:val="00862E80"/>
    <w:rsid w:val="00863027"/>
    <w:rsid w:val="00863C2A"/>
    <w:rsid w:val="008648C4"/>
    <w:rsid w:val="00864F67"/>
    <w:rsid w:val="0086518E"/>
    <w:rsid w:val="00865322"/>
    <w:rsid w:val="008663B9"/>
    <w:rsid w:val="008667FA"/>
    <w:rsid w:val="008669C3"/>
    <w:rsid w:val="00866A16"/>
    <w:rsid w:val="008675E4"/>
    <w:rsid w:val="00867E2C"/>
    <w:rsid w:val="00870886"/>
    <w:rsid w:val="008708DF"/>
    <w:rsid w:val="00870DCB"/>
    <w:rsid w:val="00870FA5"/>
    <w:rsid w:val="00871366"/>
    <w:rsid w:val="00871D72"/>
    <w:rsid w:val="00872CEB"/>
    <w:rsid w:val="00872F4F"/>
    <w:rsid w:val="008734DF"/>
    <w:rsid w:val="008738D1"/>
    <w:rsid w:val="00874395"/>
    <w:rsid w:val="00874398"/>
    <w:rsid w:val="0087452A"/>
    <w:rsid w:val="008751A7"/>
    <w:rsid w:val="00875747"/>
    <w:rsid w:val="00875A21"/>
    <w:rsid w:val="00875C85"/>
    <w:rsid w:val="00875EAB"/>
    <w:rsid w:val="0087671E"/>
    <w:rsid w:val="00876B47"/>
    <w:rsid w:val="00877FD3"/>
    <w:rsid w:val="00880800"/>
    <w:rsid w:val="00881167"/>
    <w:rsid w:val="00881A68"/>
    <w:rsid w:val="00883246"/>
    <w:rsid w:val="0088325F"/>
    <w:rsid w:val="0088328F"/>
    <w:rsid w:val="00883519"/>
    <w:rsid w:val="00884DA1"/>
    <w:rsid w:val="00886041"/>
    <w:rsid w:val="00886095"/>
    <w:rsid w:val="00887F1D"/>
    <w:rsid w:val="00890C77"/>
    <w:rsid w:val="00890D0F"/>
    <w:rsid w:val="008910E5"/>
    <w:rsid w:val="0089118E"/>
    <w:rsid w:val="00891291"/>
    <w:rsid w:val="00891CF3"/>
    <w:rsid w:val="00892FD2"/>
    <w:rsid w:val="008938EE"/>
    <w:rsid w:val="00893E8A"/>
    <w:rsid w:val="00894082"/>
    <w:rsid w:val="00894F04"/>
    <w:rsid w:val="008953EB"/>
    <w:rsid w:val="008954E3"/>
    <w:rsid w:val="00895C18"/>
    <w:rsid w:val="008964CD"/>
    <w:rsid w:val="008970EA"/>
    <w:rsid w:val="008A11CB"/>
    <w:rsid w:val="008A1550"/>
    <w:rsid w:val="008A2010"/>
    <w:rsid w:val="008A22E2"/>
    <w:rsid w:val="008A2518"/>
    <w:rsid w:val="008A2CB7"/>
    <w:rsid w:val="008A32F3"/>
    <w:rsid w:val="008A333D"/>
    <w:rsid w:val="008A33C4"/>
    <w:rsid w:val="008A3479"/>
    <w:rsid w:val="008A406F"/>
    <w:rsid w:val="008A484E"/>
    <w:rsid w:val="008A62DB"/>
    <w:rsid w:val="008A6619"/>
    <w:rsid w:val="008A72CA"/>
    <w:rsid w:val="008A7A1A"/>
    <w:rsid w:val="008A7D16"/>
    <w:rsid w:val="008A7D5D"/>
    <w:rsid w:val="008B00D2"/>
    <w:rsid w:val="008B0118"/>
    <w:rsid w:val="008B15B0"/>
    <w:rsid w:val="008B1790"/>
    <w:rsid w:val="008B1C0C"/>
    <w:rsid w:val="008B23B0"/>
    <w:rsid w:val="008B2E58"/>
    <w:rsid w:val="008B34AA"/>
    <w:rsid w:val="008B3608"/>
    <w:rsid w:val="008B3B94"/>
    <w:rsid w:val="008B3E6F"/>
    <w:rsid w:val="008B4DAF"/>
    <w:rsid w:val="008B51AB"/>
    <w:rsid w:val="008B6065"/>
    <w:rsid w:val="008B610B"/>
    <w:rsid w:val="008B64FC"/>
    <w:rsid w:val="008B6CB4"/>
    <w:rsid w:val="008B70FE"/>
    <w:rsid w:val="008B79EA"/>
    <w:rsid w:val="008B7DA1"/>
    <w:rsid w:val="008C0661"/>
    <w:rsid w:val="008C2288"/>
    <w:rsid w:val="008C2A46"/>
    <w:rsid w:val="008C2EB9"/>
    <w:rsid w:val="008C36C7"/>
    <w:rsid w:val="008C4036"/>
    <w:rsid w:val="008C4717"/>
    <w:rsid w:val="008C4BA4"/>
    <w:rsid w:val="008C5393"/>
    <w:rsid w:val="008C5577"/>
    <w:rsid w:val="008C68C8"/>
    <w:rsid w:val="008C6E56"/>
    <w:rsid w:val="008C70F7"/>
    <w:rsid w:val="008C77FB"/>
    <w:rsid w:val="008C7C27"/>
    <w:rsid w:val="008C7C51"/>
    <w:rsid w:val="008C7D16"/>
    <w:rsid w:val="008C7E00"/>
    <w:rsid w:val="008D0FDD"/>
    <w:rsid w:val="008D21A0"/>
    <w:rsid w:val="008D228E"/>
    <w:rsid w:val="008D26D0"/>
    <w:rsid w:val="008D26FE"/>
    <w:rsid w:val="008D2F1F"/>
    <w:rsid w:val="008D3921"/>
    <w:rsid w:val="008D3AC4"/>
    <w:rsid w:val="008D49F1"/>
    <w:rsid w:val="008D4E69"/>
    <w:rsid w:val="008D721D"/>
    <w:rsid w:val="008D76EF"/>
    <w:rsid w:val="008D77A5"/>
    <w:rsid w:val="008D7A99"/>
    <w:rsid w:val="008D7E80"/>
    <w:rsid w:val="008E0134"/>
    <w:rsid w:val="008E08E4"/>
    <w:rsid w:val="008E0BD8"/>
    <w:rsid w:val="008E114C"/>
    <w:rsid w:val="008E1649"/>
    <w:rsid w:val="008E26A8"/>
    <w:rsid w:val="008E2FB7"/>
    <w:rsid w:val="008E39E9"/>
    <w:rsid w:val="008E465E"/>
    <w:rsid w:val="008E51B9"/>
    <w:rsid w:val="008E552D"/>
    <w:rsid w:val="008E66DB"/>
    <w:rsid w:val="008E6740"/>
    <w:rsid w:val="008E6FE0"/>
    <w:rsid w:val="008E7CEA"/>
    <w:rsid w:val="008F0048"/>
    <w:rsid w:val="008F050B"/>
    <w:rsid w:val="008F0B82"/>
    <w:rsid w:val="008F112F"/>
    <w:rsid w:val="008F196B"/>
    <w:rsid w:val="008F1A1F"/>
    <w:rsid w:val="008F1BA7"/>
    <w:rsid w:val="008F1D0F"/>
    <w:rsid w:val="008F29B1"/>
    <w:rsid w:val="008F2BDA"/>
    <w:rsid w:val="008F2C75"/>
    <w:rsid w:val="008F36CB"/>
    <w:rsid w:val="008F43D4"/>
    <w:rsid w:val="008F4D59"/>
    <w:rsid w:val="008F5E57"/>
    <w:rsid w:val="008F66A3"/>
    <w:rsid w:val="008F70BD"/>
    <w:rsid w:val="008F751B"/>
    <w:rsid w:val="008F7766"/>
    <w:rsid w:val="008F7A94"/>
    <w:rsid w:val="008F7FD2"/>
    <w:rsid w:val="00900476"/>
    <w:rsid w:val="009004D5"/>
    <w:rsid w:val="00900663"/>
    <w:rsid w:val="00900B62"/>
    <w:rsid w:val="00900E10"/>
    <w:rsid w:val="009020BD"/>
    <w:rsid w:val="00904120"/>
    <w:rsid w:val="009044AE"/>
    <w:rsid w:val="00904D46"/>
    <w:rsid w:val="00904D5C"/>
    <w:rsid w:val="00906070"/>
    <w:rsid w:val="00906260"/>
    <w:rsid w:val="00906B2B"/>
    <w:rsid w:val="00907003"/>
    <w:rsid w:val="009070BE"/>
    <w:rsid w:val="00907428"/>
    <w:rsid w:val="00907687"/>
    <w:rsid w:val="00907D91"/>
    <w:rsid w:val="00910336"/>
    <w:rsid w:val="00910A04"/>
    <w:rsid w:val="009121F6"/>
    <w:rsid w:val="009139C9"/>
    <w:rsid w:val="00913DD7"/>
    <w:rsid w:val="00914E32"/>
    <w:rsid w:val="00915275"/>
    <w:rsid w:val="009162DE"/>
    <w:rsid w:val="009168F1"/>
    <w:rsid w:val="00916B96"/>
    <w:rsid w:val="009202AE"/>
    <w:rsid w:val="00920DAD"/>
    <w:rsid w:val="009213D5"/>
    <w:rsid w:val="00922724"/>
    <w:rsid w:val="00922B29"/>
    <w:rsid w:val="00922B39"/>
    <w:rsid w:val="00922E6C"/>
    <w:rsid w:val="00922E86"/>
    <w:rsid w:val="009230F1"/>
    <w:rsid w:val="0092343B"/>
    <w:rsid w:val="00923F10"/>
    <w:rsid w:val="0092413E"/>
    <w:rsid w:val="009244F0"/>
    <w:rsid w:val="00924574"/>
    <w:rsid w:val="009246FD"/>
    <w:rsid w:val="00926508"/>
    <w:rsid w:val="009270F9"/>
    <w:rsid w:val="009279BD"/>
    <w:rsid w:val="00927BA6"/>
    <w:rsid w:val="00930763"/>
    <w:rsid w:val="0093081E"/>
    <w:rsid w:val="00930D31"/>
    <w:rsid w:val="0093146E"/>
    <w:rsid w:val="00931D66"/>
    <w:rsid w:val="00931E2D"/>
    <w:rsid w:val="00931F37"/>
    <w:rsid w:val="0093201A"/>
    <w:rsid w:val="00932169"/>
    <w:rsid w:val="009324C7"/>
    <w:rsid w:val="009326F3"/>
    <w:rsid w:val="0093320E"/>
    <w:rsid w:val="009336CA"/>
    <w:rsid w:val="009337E9"/>
    <w:rsid w:val="00934184"/>
    <w:rsid w:val="00934E69"/>
    <w:rsid w:val="00935447"/>
    <w:rsid w:val="00935E12"/>
    <w:rsid w:val="00935FBB"/>
    <w:rsid w:val="00936C4E"/>
    <w:rsid w:val="0093767F"/>
    <w:rsid w:val="00940106"/>
    <w:rsid w:val="0094021F"/>
    <w:rsid w:val="0094068D"/>
    <w:rsid w:val="00940C61"/>
    <w:rsid w:val="00940F79"/>
    <w:rsid w:val="00941A41"/>
    <w:rsid w:val="00942331"/>
    <w:rsid w:val="00942753"/>
    <w:rsid w:val="00942BA2"/>
    <w:rsid w:val="00942F55"/>
    <w:rsid w:val="009439C0"/>
    <w:rsid w:val="00943A54"/>
    <w:rsid w:val="00943A83"/>
    <w:rsid w:val="00944613"/>
    <w:rsid w:val="009446D5"/>
    <w:rsid w:val="00944D76"/>
    <w:rsid w:val="00944EB4"/>
    <w:rsid w:val="0094557D"/>
    <w:rsid w:val="00945C60"/>
    <w:rsid w:val="0094600E"/>
    <w:rsid w:val="009464B2"/>
    <w:rsid w:val="00946E45"/>
    <w:rsid w:val="00947578"/>
    <w:rsid w:val="00950788"/>
    <w:rsid w:val="0095086B"/>
    <w:rsid w:val="00952281"/>
    <w:rsid w:val="0095282C"/>
    <w:rsid w:val="00952E2F"/>
    <w:rsid w:val="009530AB"/>
    <w:rsid w:val="00953213"/>
    <w:rsid w:val="00953C65"/>
    <w:rsid w:val="00953F20"/>
    <w:rsid w:val="009545FE"/>
    <w:rsid w:val="00954B9D"/>
    <w:rsid w:val="0095575B"/>
    <w:rsid w:val="00955ADE"/>
    <w:rsid w:val="00955C1A"/>
    <w:rsid w:val="00955EBD"/>
    <w:rsid w:val="009563EA"/>
    <w:rsid w:val="00956DDB"/>
    <w:rsid w:val="00956F6C"/>
    <w:rsid w:val="00957047"/>
    <w:rsid w:val="009571D7"/>
    <w:rsid w:val="0096037D"/>
    <w:rsid w:val="009608AC"/>
    <w:rsid w:val="00960AA3"/>
    <w:rsid w:val="00960F30"/>
    <w:rsid w:val="009625B0"/>
    <w:rsid w:val="0096263A"/>
    <w:rsid w:val="00962781"/>
    <w:rsid w:val="00962ACC"/>
    <w:rsid w:val="00963269"/>
    <w:rsid w:val="00963D0D"/>
    <w:rsid w:val="009648C6"/>
    <w:rsid w:val="0096499E"/>
    <w:rsid w:val="00964A1A"/>
    <w:rsid w:val="00964F05"/>
    <w:rsid w:val="00965E73"/>
    <w:rsid w:val="00966C25"/>
    <w:rsid w:val="00967440"/>
    <w:rsid w:val="00967504"/>
    <w:rsid w:val="009676E9"/>
    <w:rsid w:val="00967D44"/>
    <w:rsid w:val="009704D9"/>
    <w:rsid w:val="00970515"/>
    <w:rsid w:val="00971617"/>
    <w:rsid w:val="009719F2"/>
    <w:rsid w:val="00971F7E"/>
    <w:rsid w:val="00973A01"/>
    <w:rsid w:val="00973A3E"/>
    <w:rsid w:val="00974755"/>
    <w:rsid w:val="00974B47"/>
    <w:rsid w:val="00975268"/>
    <w:rsid w:val="00975E00"/>
    <w:rsid w:val="00975E55"/>
    <w:rsid w:val="009767E9"/>
    <w:rsid w:val="00977255"/>
    <w:rsid w:val="009776B9"/>
    <w:rsid w:val="00977C9F"/>
    <w:rsid w:val="00977CBF"/>
    <w:rsid w:val="00977CC8"/>
    <w:rsid w:val="00981821"/>
    <w:rsid w:val="009818DF"/>
    <w:rsid w:val="00981907"/>
    <w:rsid w:val="00981DF6"/>
    <w:rsid w:val="00981E06"/>
    <w:rsid w:val="00982B1C"/>
    <w:rsid w:val="0098301E"/>
    <w:rsid w:val="009837D6"/>
    <w:rsid w:val="009842FC"/>
    <w:rsid w:val="00984C4F"/>
    <w:rsid w:val="00984E53"/>
    <w:rsid w:val="00985CFA"/>
    <w:rsid w:val="009866C3"/>
    <w:rsid w:val="0098695C"/>
    <w:rsid w:val="00986D38"/>
    <w:rsid w:val="00987C34"/>
    <w:rsid w:val="00987DEF"/>
    <w:rsid w:val="0099023C"/>
    <w:rsid w:val="00990C9C"/>
    <w:rsid w:val="0099159B"/>
    <w:rsid w:val="00992C33"/>
    <w:rsid w:val="009933E9"/>
    <w:rsid w:val="00993F24"/>
    <w:rsid w:val="0099453B"/>
    <w:rsid w:val="00994742"/>
    <w:rsid w:val="00994D64"/>
    <w:rsid w:val="009951B8"/>
    <w:rsid w:val="00995E1D"/>
    <w:rsid w:val="009970B2"/>
    <w:rsid w:val="009A0A02"/>
    <w:rsid w:val="009A1557"/>
    <w:rsid w:val="009A2ABD"/>
    <w:rsid w:val="009A2E0D"/>
    <w:rsid w:val="009A334E"/>
    <w:rsid w:val="009A35B1"/>
    <w:rsid w:val="009A38A8"/>
    <w:rsid w:val="009A3B78"/>
    <w:rsid w:val="009A3FF1"/>
    <w:rsid w:val="009A4843"/>
    <w:rsid w:val="009A4B3A"/>
    <w:rsid w:val="009A4D78"/>
    <w:rsid w:val="009A5C8F"/>
    <w:rsid w:val="009A7409"/>
    <w:rsid w:val="009B0077"/>
    <w:rsid w:val="009B038E"/>
    <w:rsid w:val="009B0B19"/>
    <w:rsid w:val="009B0E5D"/>
    <w:rsid w:val="009B1F2B"/>
    <w:rsid w:val="009B2335"/>
    <w:rsid w:val="009B2509"/>
    <w:rsid w:val="009B3C78"/>
    <w:rsid w:val="009B497C"/>
    <w:rsid w:val="009B527F"/>
    <w:rsid w:val="009B744A"/>
    <w:rsid w:val="009C0217"/>
    <w:rsid w:val="009C169F"/>
    <w:rsid w:val="009C1DFF"/>
    <w:rsid w:val="009C2665"/>
    <w:rsid w:val="009C2A15"/>
    <w:rsid w:val="009C2D35"/>
    <w:rsid w:val="009C2F03"/>
    <w:rsid w:val="009C3B3C"/>
    <w:rsid w:val="009C3E1D"/>
    <w:rsid w:val="009C4D0E"/>
    <w:rsid w:val="009C5509"/>
    <w:rsid w:val="009C73A6"/>
    <w:rsid w:val="009C78F2"/>
    <w:rsid w:val="009C7AC2"/>
    <w:rsid w:val="009D0B9F"/>
    <w:rsid w:val="009D0EF1"/>
    <w:rsid w:val="009D139A"/>
    <w:rsid w:val="009D18D7"/>
    <w:rsid w:val="009D1C58"/>
    <w:rsid w:val="009D2AFD"/>
    <w:rsid w:val="009D2F87"/>
    <w:rsid w:val="009D4796"/>
    <w:rsid w:val="009D4C03"/>
    <w:rsid w:val="009D4F0C"/>
    <w:rsid w:val="009D5156"/>
    <w:rsid w:val="009D51BC"/>
    <w:rsid w:val="009D54EB"/>
    <w:rsid w:val="009D5FFB"/>
    <w:rsid w:val="009D7494"/>
    <w:rsid w:val="009D7E32"/>
    <w:rsid w:val="009E0947"/>
    <w:rsid w:val="009E1044"/>
    <w:rsid w:val="009E1252"/>
    <w:rsid w:val="009E153D"/>
    <w:rsid w:val="009E1596"/>
    <w:rsid w:val="009E38D5"/>
    <w:rsid w:val="009E4BD7"/>
    <w:rsid w:val="009E675C"/>
    <w:rsid w:val="009E6C2B"/>
    <w:rsid w:val="009E7A34"/>
    <w:rsid w:val="009E7C51"/>
    <w:rsid w:val="009F00CC"/>
    <w:rsid w:val="009F0669"/>
    <w:rsid w:val="009F073E"/>
    <w:rsid w:val="009F14E7"/>
    <w:rsid w:val="009F1FAA"/>
    <w:rsid w:val="009F21BD"/>
    <w:rsid w:val="009F244F"/>
    <w:rsid w:val="009F2EBE"/>
    <w:rsid w:val="009F3281"/>
    <w:rsid w:val="009F3ABD"/>
    <w:rsid w:val="009F3D43"/>
    <w:rsid w:val="009F3D9F"/>
    <w:rsid w:val="009F401B"/>
    <w:rsid w:val="009F4A4C"/>
    <w:rsid w:val="009F4B49"/>
    <w:rsid w:val="009F5343"/>
    <w:rsid w:val="009F541B"/>
    <w:rsid w:val="009F58C6"/>
    <w:rsid w:val="009F5938"/>
    <w:rsid w:val="009F5A83"/>
    <w:rsid w:val="009F5FCA"/>
    <w:rsid w:val="009F6024"/>
    <w:rsid w:val="009F681A"/>
    <w:rsid w:val="009F68F4"/>
    <w:rsid w:val="009F768F"/>
    <w:rsid w:val="009F776F"/>
    <w:rsid w:val="009F7E6D"/>
    <w:rsid w:val="00A0003C"/>
    <w:rsid w:val="00A00201"/>
    <w:rsid w:val="00A00390"/>
    <w:rsid w:val="00A01360"/>
    <w:rsid w:val="00A01A5E"/>
    <w:rsid w:val="00A01C6C"/>
    <w:rsid w:val="00A02CBC"/>
    <w:rsid w:val="00A03343"/>
    <w:rsid w:val="00A03969"/>
    <w:rsid w:val="00A03AB0"/>
    <w:rsid w:val="00A03D9C"/>
    <w:rsid w:val="00A03F6C"/>
    <w:rsid w:val="00A0402F"/>
    <w:rsid w:val="00A04876"/>
    <w:rsid w:val="00A054AE"/>
    <w:rsid w:val="00A0592E"/>
    <w:rsid w:val="00A06050"/>
    <w:rsid w:val="00A06C6E"/>
    <w:rsid w:val="00A07536"/>
    <w:rsid w:val="00A07579"/>
    <w:rsid w:val="00A076CD"/>
    <w:rsid w:val="00A077E7"/>
    <w:rsid w:val="00A07C40"/>
    <w:rsid w:val="00A10A2A"/>
    <w:rsid w:val="00A11296"/>
    <w:rsid w:val="00A11CAB"/>
    <w:rsid w:val="00A11EF6"/>
    <w:rsid w:val="00A1299A"/>
    <w:rsid w:val="00A1299F"/>
    <w:rsid w:val="00A12F4A"/>
    <w:rsid w:val="00A133CC"/>
    <w:rsid w:val="00A135DE"/>
    <w:rsid w:val="00A1360A"/>
    <w:rsid w:val="00A144A6"/>
    <w:rsid w:val="00A14A0A"/>
    <w:rsid w:val="00A14F53"/>
    <w:rsid w:val="00A15944"/>
    <w:rsid w:val="00A1720F"/>
    <w:rsid w:val="00A173EA"/>
    <w:rsid w:val="00A174B2"/>
    <w:rsid w:val="00A17532"/>
    <w:rsid w:val="00A17570"/>
    <w:rsid w:val="00A17DF2"/>
    <w:rsid w:val="00A204B2"/>
    <w:rsid w:val="00A20556"/>
    <w:rsid w:val="00A214A6"/>
    <w:rsid w:val="00A2243E"/>
    <w:rsid w:val="00A22750"/>
    <w:rsid w:val="00A22A6D"/>
    <w:rsid w:val="00A23608"/>
    <w:rsid w:val="00A23E42"/>
    <w:rsid w:val="00A2442A"/>
    <w:rsid w:val="00A24F30"/>
    <w:rsid w:val="00A25121"/>
    <w:rsid w:val="00A253CD"/>
    <w:rsid w:val="00A2583E"/>
    <w:rsid w:val="00A27BA8"/>
    <w:rsid w:val="00A300EC"/>
    <w:rsid w:val="00A3038F"/>
    <w:rsid w:val="00A304E3"/>
    <w:rsid w:val="00A30622"/>
    <w:rsid w:val="00A322F0"/>
    <w:rsid w:val="00A32795"/>
    <w:rsid w:val="00A34958"/>
    <w:rsid w:val="00A34CD6"/>
    <w:rsid w:val="00A35289"/>
    <w:rsid w:val="00A355BE"/>
    <w:rsid w:val="00A35D9F"/>
    <w:rsid w:val="00A364DD"/>
    <w:rsid w:val="00A365C4"/>
    <w:rsid w:val="00A36628"/>
    <w:rsid w:val="00A36978"/>
    <w:rsid w:val="00A3715C"/>
    <w:rsid w:val="00A3757E"/>
    <w:rsid w:val="00A3767F"/>
    <w:rsid w:val="00A40772"/>
    <w:rsid w:val="00A415C6"/>
    <w:rsid w:val="00A4225F"/>
    <w:rsid w:val="00A425B1"/>
    <w:rsid w:val="00A4264C"/>
    <w:rsid w:val="00A442FE"/>
    <w:rsid w:val="00A4434E"/>
    <w:rsid w:val="00A445C9"/>
    <w:rsid w:val="00A44C62"/>
    <w:rsid w:val="00A460B2"/>
    <w:rsid w:val="00A466DB"/>
    <w:rsid w:val="00A47A05"/>
    <w:rsid w:val="00A50DBC"/>
    <w:rsid w:val="00A51394"/>
    <w:rsid w:val="00A514A5"/>
    <w:rsid w:val="00A51C12"/>
    <w:rsid w:val="00A52076"/>
    <w:rsid w:val="00A5296C"/>
    <w:rsid w:val="00A532C9"/>
    <w:rsid w:val="00A53548"/>
    <w:rsid w:val="00A53626"/>
    <w:rsid w:val="00A56209"/>
    <w:rsid w:val="00A56381"/>
    <w:rsid w:val="00A565CC"/>
    <w:rsid w:val="00A56FDF"/>
    <w:rsid w:val="00A5703A"/>
    <w:rsid w:val="00A571FF"/>
    <w:rsid w:val="00A6151C"/>
    <w:rsid w:val="00A61527"/>
    <w:rsid w:val="00A6161D"/>
    <w:rsid w:val="00A61842"/>
    <w:rsid w:val="00A61F20"/>
    <w:rsid w:val="00A62983"/>
    <w:rsid w:val="00A62B06"/>
    <w:rsid w:val="00A63050"/>
    <w:rsid w:val="00A634D3"/>
    <w:rsid w:val="00A63BD1"/>
    <w:rsid w:val="00A63F5E"/>
    <w:rsid w:val="00A63FDE"/>
    <w:rsid w:val="00A64337"/>
    <w:rsid w:val="00A64DE1"/>
    <w:rsid w:val="00A64F8C"/>
    <w:rsid w:val="00A654F3"/>
    <w:rsid w:val="00A65C6D"/>
    <w:rsid w:val="00A65F4B"/>
    <w:rsid w:val="00A662E0"/>
    <w:rsid w:val="00A668A2"/>
    <w:rsid w:val="00A66C88"/>
    <w:rsid w:val="00A66FCB"/>
    <w:rsid w:val="00A6733C"/>
    <w:rsid w:val="00A674A3"/>
    <w:rsid w:val="00A7014B"/>
    <w:rsid w:val="00A705B3"/>
    <w:rsid w:val="00A70CA9"/>
    <w:rsid w:val="00A70EB7"/>
    <w:rsid w:val="00A71737"/>
    <w:rsid w:val="00A71A52"/>
    <w:rsid w:val="00A71DD8"/>
    <w:rsid w:val="00A72A6E"/>
    <w:rsid w:val="00A72E83"/>
    <w:rsid w:val="00A732B2"/>
    <w:rsid w:val="00A732FC"/>
    <w:rsid w:val="00A733C0"/>
    <w:rsid w:val="00A73D5B"/>
    <w:rsid w:val="00A73E6B"/>
    <w:rsid w:val="00A74702"/>
    <w:rsid w:val="00A755E6"/>
    <w:rsid w:val="00A75C9F"/>
    <w:rsid w:val="00A75F0B"/>
    <w:rsid w:val="00A76260"/>
    <w:rsid w:val="00A76263"/>
    <w:rsid w:val="00A76307"/>
    <w:rsid w:val="00A76522"/>
    <w:rsid w:val="00A767F4"/>
    <w:rsid w:val="00A76E46"/>
    <w:rsid w:val="00A80085"/>
    <w:rsid w:val="00A80097"/>
    <w:rsid w:val="00A80A0F"/>
    <w:rsid w:val="00A80C47"/>
    <w:rsid w:val="00A80F16"/>
    <w:rsid w:val="00A8227C"/>
    <w:rsid w:val="00A862A4"/>
    <w:rsid w:val="00A8633C"/>
    <w:rsid w:val="00A863F2"/>
    <w:rsid w:val="00A86A09"/>
    <w:rsid w:val="00A87D76"/>
    <w:rsid w:val="00A90438"/>
    <w:rsid w:val="00A90603"/>
    <w:rsid w:val="00A90B4B"/>
    <w:rsid w:val="00A90EC1"/>
    <w:rsid w:val="00A91605"/>
    <w:rsid w:val="00A92021"/>
    <w:rsid w:val="00A92A5B"/>
    <w:rsid w:val="00A92C33"/>
    <w:rsid w:val="00A930A0"/>
    <w:rsid w:val="00A93901"/>
    <w:rsid w:val="00A93B45"/>
    <w:rsid w:val="00A93E03"/>
    <w:rsid w:val="00A945E0"/>
    <w:rsid w:val="00A94E4E"/>
    <w:rsid w:val="00A9534B"/>
    <w:rsid w:val="00A95790"/>
    <w:rsid w:val="00A957D4"/>
    <w:rsid w:val="00A9626F"/>
    <w:rsid w:val="00A968E2"/>
    <w:rsid w:val="00A9752A"/>
    <w:rsid w:val="00A979A6"/>
    <w:rsid w:val="00A97C3F"/>
    <w:rsid w:val="00AA1E1D"/>
    <w:rsid w:val="00AA2A56"/>
    <w:rsid w:val="00AA381F"/>
    <w:rsid w:val="00AA3A25"/>
    <w:rsid w:val="00AA6211"/>
    <w:rsid w:val="00AA6361"/>
    <w:rsid w:val="00AA74C1"/>
    <w:rsid w:val="00AA7529"/>
    <w:rsid w:val="00AA775A"/>
    <w:rsid w:val="00AA7E2C"/>
    <w:rsid w:val="00AB0875"/>
    <w:rsid w:val="00AB0AB8"/>
    <w:rsid w:val="00AB14FA"/>
    <w:rsid w:val="00AB1A20"/>
    <w:rsid w:val="00AB2625"/>
    <w:rsid w:val="00AB2760"/>
    <w:rsid w:val="00AB3135"/>
    <w:rsid w:val="00AB3380"/>
    <w:rsid w:val="00AB35A3"/>
    <w:rsid w:val="00AB3873"/>
    <w:rsid w:val="00AB401C"/>
    <w:rsid w:val="00AB40ED"/>
    <w:rsid w:val="00AB426C"/>
    <w:rsid w:val="00AB4580"/>
    <w:rsid w:val="00AB54A7"/>
    <w:rsid w:val="00AB5D12"/>
    <w:rsid w:val="00AB6389"/>
    <w:rsid w:val="00AB6F82"/>
    <w:rsid w:val="00AB762F"/>
    <w:rsid w:val="00AC01AC"/>
    <w:rsid w:val="00AC05F1"/>
    <w:rsid w:val="00AC0959"/>
    <w:rsid w:val="00AC102E"/>
    <w:rsid w:val="00AC10C0"/>
    <w:rsid w:val="00AC123C"/>
    <w:rsid w:val="00AC2575"/>
    <w:rsid w:val="00AC312A"/>
    <w:rsid w:val="00AC3AA5"/>
    <w:rsid w:val="00AC5436"/>
    <w:rsid w:val="00AC60B9"/>
    <w:rsid w:val="00AC76D2"/>
    <w:rsid w:val="00AD0FAE"/>
    <w:rsid w:val="00AD24DA"/>
    <w:rsid w:val="00AD287E"/>
    <w:rsid w:val="00AD2D44"/>
    <w:rsid w:val="00AD484B"/>
    <w:rsid w:val="00AD4942"/>
    <w:rsid w:val="00AD4A6C"/>
    <w:rsid w:val="00AD4B16"/>
    <w:rsid w:val="00AD4EEC"/>
    <w:rsid w:val="00AD528D"/>
    <w:rsid w:val="00AD5DFC"/>
    <w:rsid w:val="00AD613F"/>
    <w:rsid w:val="00AD6281"/>
    <w:rsid w:val="00AD62B3"/>
    <w:rsid w:val="00AD6D8A"/>
    <w:rsid w:val="00AE0440"/>
    <w:rsid w:val="00AE0A51"/>
    <w:rsid w:val="00AE0AD8"/>
    <w:rsid w:val="00AE18D1"/>
    <w:rsid w:val="00AE204A"/>
    <w:rsid w:val="00AE2784"/>
    <w:rsid w:val="00AE347F"/>
    <w:rsid w:val="00AE3566"/>
    <w:rsid w:val="00AE40B2"/>
    <w:rsid w:val="00AE4551"/>
    <w:rsid w:val="00AE49B2"/>
    <w:rsid w:val="00AE4E82"/>
    <w:rsid w:val="00AE4F35"/>
    <w:rsid w:val="00AE534B"/>
    <w:rsid w:val="00AE6D67"/>
    <w:rsid w:val="00AE71A6"/>
    <w:rsid w:val="00AF04FC"/>
    <w:rsid w:val="00AF2309"/>
    <w:rsid w:val="00AF2570"/>
    <w:rsid w:val="00AF306F"/>
    <w:rsid w:val="00AF36BD"/>
    <w:rsid w:val="00AF4130"/>
    <w:rsid w:val="00AF555F"/>
    <w:rsid w:val="00AF67F7"/>
    <w:rsid w:val="00AF6B93"/>
    <w:rsid w:val="00B00927"/>
    <w:rsid w:val="00B009AD"/>
    <w:rsid w:val="00B01805"/>
    <w:rsid w:val="00B0290C"/>
    <w:rsid w:val="00B030A0"/>
    <w:rsid w:val="00B03E3A"/>
    <w:rsid w:val="00B0401E"/>
    <w:rsid w:val="00B041DA"/>
    <w:rsid w:val="00B043F2"/>
    <w:rsid w:val="00B048E9"/>
    <w:rsid w:val="00B04E3B"/>
    <w:rsid w:val="00B05EA6"/>
    <w:rsid w:val="00B06036"/>
    <w:rsid w:val="00B06B2D"/>
    <w:rsid w:val="00B10586"/>
    <w:rsid w:val="00B107EC"/>
    <w:rsid w:val="00B118B1"/>
    <w:rsid w:val="00B118FA"/>
    <w:rsid w:val="00B11C41"/>
    <w:rsid w:val="00B11D35"/>
    <w:rsid w:val="00B1233D"/>
    <w:rsid w:val="00B1390F"/>
    <w:rsid w:val="00B1461A"/>
    <w:rsid w:val="00B15575"/>
    <w:rsid w:val="00B155D8"/>
    <w:rsid w:val="00B16D37"/>
    <w:rsid w:val="00B217D7"/>
    <w:rsid w:val="00B22080"/>
    <w:rsid w:val="00B23176"/>
    <w:rsid w:val="00B23F97"/>
    <w:rsid w:val="00B24AC9"/>
    <w:rsid w:val="00B24B07"/>
    <w:rsid w:val="00B251D2"/>
    <w:rsid w:val="00B25892"/>
    <w:rsid w:val="00B25BBC"/>
    <w:rsid w:val="00B26292"/>
    <w:rsid w:val="00B26577"/>
    <w:rsid w:val="00B26791"/>
    <w:rsid w:val="00B27589"/>
    <w:rsid w:val="00B2767D"/>
    <w:rsid w:val="00B27901"/>
    <w:rsid w:val="00B27D21"/>
    <w:rsid w:val="00B3034A"/>
    <w:rsid w:val="00B31B4C"/>
    <w:rsid w:val="00B3211D"/>
    <w:rsid w:val="00B32522"/>
    <w:rsid w:val="00B32BEB"/>
    <w:rsid w:val="00B36191"/>
    <w:rsid w:val="00B36430"/>
    <w:rsid w:val="00B37A53"/>
    <w:rsid w:val="00B40A13"/>
    <w:rsid w:val="00B40E76"/>
    <w:rsid w:val="00B41316"/>
    <w:rsid w:val="00B41317"/>
    <w:rsid w:val="00B41336"/>
    <w:rsid w:val="00B413DE"/>
    <w:rsid w:val="00B4189D"/>
    <w:rsid w:val="00B41CC8"/>
    <w:rsid w:val="00B42A38"/>
    <w:rsid w:val="00B43160"/>
    <w:rsid w:val="00B44234"/>
    <w:rsid w:val="00B449DB"/>
    <w:rsid w:val="00B45502"/>
    <w:rsid w:val="00B455CE"/>
    <w:rsid w:val="00B45ABE"/>
    <w:rsid w:val="00B45ED8"/>
    <w:rsid w:val="00B46433"/>
    <w:rsid w:val="00B466CF"/>
    <w:rsid w:val="00B47915"/>
    <w:rsid w:val="00B507D2"/>
    <w:rsid w:val="00B50896"/>
    <w:rsid w:val="00B51186"/>
    <w:rsid w:val="00B51204"/>
    <w:rsid w:val="00B51874"/>
    <w:rsid w:val="00B52DFB"/>
    <w:rsid w:val="00B53F79"/>
    <w:rsid w:val="00B55048"/>
    <w:rsid w:val="00B55160"/>
    <w:rsid w:val="00B5568B"/>
    <w:rsid w:val="00B55ADC"/>
    <w:rsid w:val="00B56304"/>
    <w:rsid w:val="00B56B67"/>
    <w:rsid w:val="00B570B1"/>
    <w:rsid w:val="00B57F70"/>
    <w:rsid w:val="00B60475"/>
    <w:rsid w:val="00B6061D"/>
    <w:rsid w:val="00B60950"/>
    <w:rsid w:val="00B612B5"/>
    <w:rsid w:val="00B6153C"/>
    <w:rsid w:val="00B6178F"/>
    <w:rsid w:val="00B61A7A"/>
    <w:rsid w:val="00B61D0F"/>
    <w:rsid w:val="00B62187"/>
    <w:rsid w:val="00B63160"/>
    <w:rsid w:val="00B63777"/>
    <w:rsid w:val="00B63BBE"/>
    <w:rsid w:val="00B63C0C"/>
    <w:rsid w:val="00B643EC"/>
    <w:rsid w:val="00B64F5C"/>
    <w:rsid w:val="00B651E6"/>
    <w:rsid w:val="00B66319"/>
    <w:rsid w:val="00B6652E"/>
    <w:rsid w:val="00B67571"/>
    <w:rsid w:val="00B7017B"/>
    <w:rsid w:val="00B704E1"/>
    <w:rsid w:val="00B7069B"/>
    <w:rsid w:val="00B7151D"/>
    <w:rsid w:val="00B71551"/>
    <w:rsid w:val="00B717D2"/>
    <w:rsid w:val="00B71FFB"/>
    <w:rsid w:val="00B72EA3"/>
    <w:rsid w:val="00B735BC"/>
    <w:rsid w:val="00B73694"/>
    <w:rsid w:val="00B74CF3"/>
    <w:rsid w:val="00B75959"/>
    <w:rsid w:val="00B76924"/>
    <w:rsid w:val="00B76BBA"/>
    <w:rsid w:val="00B80E5D"/>
    <w:rsid w:val="00B81205"/>
    <w:rsid w:val="00B81379"/>
    <w:rsid w:val="00B82336"/>
    <w:rsid w:val="00B826B9"/>
    <w:rsid w:val="00B82A8C"/>
    <w:rsid w:val="00B83E79"/>
    <w:rsid w:val="00B83F7E"/>
    <w:rsid w:val="00B83F99"/>
    <w:rsid w:val="00B841DD"/>
    <w:rsid w:val="00B85827"/>
    <w:rsid w:val="00B85E4F"/>
    <w:rsid w:val="00B864B5"/>
    <w:rsid w:val="00B86599"/>
    <w:rsid w:val="00B86DDA"/>
    <w:rsid w:val="00B870F3"/>
    <w:rsid w:val="00B8789A"/>
    <w:rsid w:val="00B90012"/>
    <w:rsid w:val="00B9084C"/>
    <w:rsid w:val="00B91557"/>
    <w:rsid w:val="00B9168C"/>
    <w:rsid w:val="00B91D98"/>
    <w:rsid w:val="00B92916"/>
    <w:rsid w:val="00B92BE9"/>
    <w:rsid w:val="00B93C2D"/>
    <w:rsid w:val="00B940EF"/>
    <w:rsid w:val="00B948A8"/>
    <w:rsid w:val="00B94A31"/>
    <w:rsid w:val="00B950AC"/>
    <w:rsid w:val="00B95F41"/>
    <w:rsid w:val="00B96245"/>
    <w:rsid w:val="00B96651"/>
    <w:rsid w:val="00B96B3F"/>
    <w:rsid w:val="00B972A3"/>
    <w:rsid w:val="00B97829"/>
    <w:rsid w:val="00B97D41"/>
    <w:rsid w:val="00BA0375"/>
    <w:rsid w:val="00BA03C2"/>
    <w:rsid w:val="00BA044D"/>
    <w:rsid w:val="00BA0660"/>
    <w:rsid w:val="00BA077F"/>
    <w:rsid w:val="00BA07DF"/>
    <w:rsid w:val="00BA0FE5"/>
    <w:rsid w:val="00BA11D1"/>
    <w:rsid w:val="00BA1243"/>
    <w:rsid w:val="00BA1CE8"/>
    <w:rsid w:val="00BA2606"/>
    <w:rsid w:val="00BA2895"/>
    <w:rsid w:val="00BA3031"/>
    <w:rsid w:val="00BA3903"/>
    <w:rsid w:val="00BA494C"/>
    <w:rsid w:val="00BA5EB4"/>
    <w:rsid w:val="00BA6A60"/>
    <w:rsid w:val="00BA6ED8"/>
    <w:rsid w:val="00BA7FFA"/>
    <w:rsid w:val="00BB179B"/>
    <w:rsid w:val="00BB1814"/>
    <w:rsid w:val="00BB194E"/>
    <w:rsid w:val="00BB1B93"/>
    <w:rsid w:val="00BB2B66"/>
    <w:rsid w:val="00BB36E6"/>
    <w:rsid w:val="00BB3EB4"/>
    <w:rsid w:val="00BB3EEB"/>
    <w:rsid w:val="00BB5BBF"/>
    <w:rsid w:val="00BB61B4"/>
    <w:rsid w:val="00BB630B"/>
    <w:rsid w:val="00BB648C"/>
    <w:rsid w:val="00BC0DDA"/>
    <w:rsid w:val="00BC1043"/>
    <w:rsid w:val="00BC1B63"/>
    <w:rsid w:val="00BC2617"/>
    <w:rsid w:val="00BC33BD"/>
    <w:rsid w:val="00BC3922"/>
    <w:rsid w:val="00BC4FEA"/>
    <w:rsid w:val="00BC5C52"/>
    <w:rsid w:val="00BC6B1B"/>
    <w:rsid w:val="00BC6BE8"/>
    <w:rsid w:val="00BD00B7"/>
    <w:rsid w:val="00BD0C99"/>
    <w:rsid w:val="00BD0F04"/>
    <w:rsid w:val="00BD166D"/>
    <w:rsid w:val="00BD16A4"/>
    <w:rsid w:val="00BD2045"/>
    <w:rsid w:val="00BD21D1"/>
    <w:rsid w:val="00BD2552"/>
    <w:rsid w:val="00BD2B3F"/>
    <w:rsid w:val="00BD30EB"/>
    <w:rsid w:val="00BD3222"/>
    <w:rsid w:val="00BD3AB0"/>
    <w:rsid w:val="00BD3CA6"/>
    <w:rsid w:val="00BD3CCD"/>
    <w:rsid w:val="00BD3D0B"/>
    <w:rsid w:val="00BD3D11"/>
    <w:rsid w:val="00BD406A"/>
    <w:rsid w:val="00BD4469"/>
    <w:rsid w:val="00BD531C"/>
    <w:rsid w:val="00BD5432"/>
    <w:rsid w:val="00BD6AEB"/>
    <w:rsid w:val="00BD77B3"/>
    <w:rsid w:val="00BE0224"/>
    <w:rsid w:val="00BE128D"/>
    <w:rsid w:val="00BE1C2C"/>
    <w:rsid w:val="00BE1F79"/>
    <w:rsid w:val="00BE22DC"/>
    <w:rsid w:val="00BE2786"/>
    <w:rsid w:val="00BE2963"/>
    <w:rsid w:val="00BE3BAE"/>
    <w:rsid w:val="00BE4294"/>
    <w:rsid w:val="00BE4962"/>
    <w:rsid w:val="00BE5362"/>
    <w:rsid w:val="00BE551D"/>
    <w:rsid w:val="00BE5520"/>
    <w:rsid w:val="00BE586B"/>
    <w:rsid w:val="00BE5A9A"/>
    <w:rsid w:val="00BE5C1F"/>
    <w:rsid w:val="00BE6AD8"/>
    <w:rsid w:val="00BE6E11"/>
    <w:rsid w:val="00BE70EE"/>
    <w:rsid w:val="00BE7380"/>
    <w:rsid w:val="00BE76AE"/>
    <w:rsid w:val="00BF08A8"/>
    <w:rsid w:val="00BF0BED"/>
    <w:rsid w:val="00BF10B0"/>
    <w:rsid w:val="00BF1847"/>
    <w:rsid w:val="00BF2B8F"/>
    <w:rsid w:val="00BF2C1B"/>
    <w:rsid w:val="00BF4233"/>
    <w:rsid w:val="00BF58C6"/>
    <w:rsid w:val="00BF67D9"/>
    <w:rsid w:val="00BF6FD5"/>
    <w:rsid w:val="00BF7C85"/>
    <w:rsid w:val="00C009D1"/>
    <w:rsid w:val="00C00EAF"/>
    <w:rsid w:val="00C01242"/>
    <w:rsid w:val="00C0228B"/>
    <w:rsid w:val="00C023B5"/>
    <w:rsid w:val="00C025ED"/>
    <w:rsid w:val="00C02F67"/>
    <w:rsid w:val="00C02FA9"/>
    <w:rsid w:val="00C03197"/>
    <w:rsid w:val="00C03252"/>
    <w:rsid w:val="00C033E7"/>
    <w:rsid w:val="00C037C7"/>
    <w:rsid w:val="00C0394B"/>
    <w:rsid w:val="00C0414B"/>
    <w:rsid w:val="00C04340"/>
    <w:rsid w:val="00C04B3F"/>
    <w:rsid w:val="00C05078"/>
    <w:rsid w:val="00C05953"/>
    <w:rsid w:val="00C05C6A"/>
    <w:rsid w:val="00C06951"/>
    <w:rsid w:val="00C06B8E"/>
    <w:rsid w:val="00C06E6F"/>
    <w:rsid w:val="00C075AF"/>
    <w:rsid w:val="00C079AB"/>
    <w:rsid w:val="00C07AC3"/>
    <w:rsid w:val="00C07C77"/>
    <w:rsid w:val="00C1080C"/>
    <w:rsid w:val="00C109FA"/>
    <w:rsid w:val="00C10F32"/>
    <w:rsid w:val="00C10F70"/>
    <w:rsid w:val="00C11014"/>
    <w:rsid w:val="00C118F9"/>
    <w:rsid w:val="00C12DB4"/>
    <w:rsid w:val="00C12F57"/>
    <w:rsid w:val="00C13042"/>
    <w:rsid w:val="00C137A7"/>
    <w:rsid w:val="00C13DBF"/>
    <w:rsid w:val="00C13E66"/>
    <w:rsid w:val="00C1449B"/>
    <w:rsid w:val="00C146A0"/>
    <w:rsid w:val="00C14E7A"/>
    <w:rsid w:val="00C15082"/>
    <w:rsid w:val="00C15112"/>
    <w:rsid w:val="00C154BF"/>
    <w:rsid w:val="00C154E7"/>
    <w:rsid w:val="00C15605"/>
    <w:rsid w:val="00C15B8D"/>
    <w:rsid w:val="00C1645F"/>
    <w:rsid w:val="00C176B2"/>
    <w:rsid w:val="00C22CB6"/>
    <w:rsid w:val="00C22D59"/>
    <w:rsid w:val="00C2388D"/>
    <w:rsid w:val="00C2488F"/>
    <w:rsid w:val="00C248A6"/>
    <w:rsid w:val="00C24B70"/>
    <w:rsid w:val="00C25F48"/>
    <w:rsid w:val="00C25F59"/>
    <w:rsid w:val="00C26107"/>
    <w:rsid w:val="00C261E7"/>
    <w:rsid w:val="00C26A0B"/>
    <w:rsid w:val="00C26A2A"/>
    <w:rsid w:val="00C27600"/>
    <w:rsid w:val="00C279F4"/>
    <w:rsid w:val="00C302EC"/>
    <w:rsid w:val="00C33221"/>
    <w:rsid w:val="00C340AA"/>
    <w:rsid w:val="00C34530"/>
    <w:rsid w:val="00C34685"/>
    <w:rsid w:val="00C359FB"/>
    <w:rsid w:val="00C36198"/>
    <w:rsid w:val="00C3644A"/>
    <w:rsid w:val="00C36ED0"/>
    <w:rsid w:val="00C36ED5"/>
    <w:rsid w:val="00C37793"/>
    <w:rsid w:val="00C4020C"/>
    <w:rsid w:val="00C40926"/>
    <w:rsid w:val="00C40DEB"/>
    <w:rsid w:val="00C40EF7"/>
    <w:rsid w:val="00C42AB9"/>
    <w:rsid w:val="00C42B9B"/>
    <w:rsid w:val="00C42DA9"/>
    <w:rsid w:val="00C42F55"/>
    <w:rsid w:val="00C43161"/>
    <w:rsid w:val="00C43214"/>
    <w:rsid w:val="00C432EA"/>
    <w:rsid w:val="00C437D7"/>
    <w:rsid w:val="00C4388A"/>
    <w:rsid w:val="00C440E4"/>
    <w:rsid w:val="00C44100"/>
    <w:rsid w:val="00C4415D"/>
    <w:rsid w:val="00C45582"/>
    <w:rsid w:val="00C4629A"/>
    <w:rsid w:val="00C467D8"/>
    <w:rsid w:val="00C46AE8"/>
    <w:rsid w:val="00C46E42"/>
    <w:rsid w:val="00C46F51"/>
    <w:rsid w:val="00C50919"/>
    <w:rsid w:val="00C50E22"/>
    <w:rsid w:val="00C51DE4"/>
    <w:rsid w:val="00C52041"/>
    <w:rsid w:val="00C5254E"/>
    <w:rsid w:val="00C52572"/>
    <w:rsid w:val="00C525D7"/>
    <w:rsid w:val="00C52653"/>
    <w:rsid w:val="00C528E2"/>
    <w:rsid w:val="00C52F76"/>
    <w:rsid w:val="00C53B0D"/>
    <w:rsid w:val="00C5486F"/>
    <w:rsid w:val="00C54E2F"/>
    <w:rsid w:val="00C55312"/>
    <w:rsid w:val="00C556E5"/>
    <w:rsid w:val="00C57BB1"/>
    <w:rsid w:val="00C60051"/>
    <w:rsid w:val="00C6077B"/>
    <w:rsid w:val="00C609D1"/>
    <w:rsid w:val="00C60B89"/>
    <w:rsid w:val="00C620BE"/>
    <w:rsid w:val="00C62614"/>
    <w:rsid w:val="00C62A13"/>
    <w:rsid w:val="00C631FB"/>
    <w:rsid w:val="00C6356B"/>
    <w:rsid w:val="00C635CC"/>
    <w:rsid w:val="00C640F7"/>
    <w:rsid w:val="00C65470"/>
    <w:rsid w:val="00C660AC"/>
    <w:rsid w:val="00C66492"/>
    <w:rsid w:val="00C66E48"/>
    <w:rsid w:val="00C677A9"/>
    <w:rsid w:val="00C700B0"/>
    <w:rsid w:val="00C7022C"/>
    <w:rsid w:val="00C70AA2"/>
    <w:rsid w:val="00C70DEC"/>
    <w:rsid w:val="00C72227"/>
    <w:rsid w:val="00C725D6"/>
    <w:rsid w:val="00C72B81"/>
    <w:rsid w:val="00C732FE"/>
    <w:rsid w:val="00C73C44"/>
    <w:rsid w:val="00C73CF6"/>
    <w:rsid w:val="00C74A71"/>
    <w:rsid w:val="00C74C13"/>
    <w:rsid w:val="00C752B0"/>
    <w:rsid w:val="00C75F7F"/>
    <w:rsid w:val="00C7610B"/>
    <w:rsid w:val="00C772A2"/>
    <w:rsid w:val="00C77B1E"/>
    <w:rsid w:val="00C77B4C"/>
    <w:rsid w:val="00C803A1"/>
    <w:rsid w:val="00C817EF"/>
    <w:rsid w:val="00C81896"/>
    <w:rsid w:val="00C82600"/>
    <w:rsid w:val="00C852D5"/>
    <w:rsid w:val="00C859CE"/>
    <w:rsid w:val="00C85FBE"/>
    <w:rsid w:val="00C8655C"/>
    <w:rsid w:val="00C867A0"/>
    <w:rsid w:val="00C87228"/>
    <w:rsid w:val="00C87277"/>
    <w:rsid w:val="00C90AD9"/>
    <w:rsid w:val="00C90ED0"/>
    <w:rsid w:val="00C912BF"/>
    <w:rsid w:val="00C919E1"/>
    <w:rsid w:val="00C92158"/>
    <w:rsid w:val="00C92FC3"/>
    <w:rsid w:val="00C937BF"/>
    <w:rsid w:val="00C942D0"/>
    <w:rsid w:val="00C942F0"/>
    <w:rsid w:val="00C9439D"/>
    <w:rsid w:val="00C94C93"/>
    <w:rsid w:val="00C9522B"/>
    <w:rsid w:val="00C96005"/>
    <w:rsid w:val="00C96085"/>
    <w:rsid w:val="00CA0415"/>
    <w:rsid w:val="00CA066D"/>
    <w:rsid w:val="00CA1284"/>
    <w:rsid w:val="00CA181A"/>
    <w:rsid w:val="00CA1B91"/>
    <w:rsid w:val="00CA2705"/>
    <w:rsid w:val="00CA2A83"/>
    <w:rsid w:val="00CA3496"/>
    <w:rsid w:val="00CA3DCD"/>
    <w:rsid w:val="00CA3F0B"/>
    <w:rsid w:val="00CA489B"/>
    <w:rsid w:val="00CA4CF6"/>
    <w:rsid w:val="00CA5A08"/>
    <w:rsid w:val="00CA5CF9"/>
    <w:rsid w:val="00CA650D"/>
    <w:rsid w:val="00CA666B"/>
    <w:rsid w:val="00CA7350"/>
    <w:rsid w:val="00CA77B2"/>
    <w:rsid w:val="00CA7ED4"/>
    <w:rsid w:val="00CB00FE"/>
    <w:rsid w:val="00CB0E6C"/>
    <w:rsid w:val="00CB0F91"/>
    <w:rsid w:val="00CB1D08"/>
    <w:rsid w:val="00CB2192"/>
    <w:rsid w:val="00CB297E"/>
    <w:rsid w:val="00CB39D1"/>
    <w:rsid w:val="00CB3E04"/>
    <w:rsid w:val="00CB44FA"/>
    <w:rsid w:val="00CB4EE8"/>
    <w:rsid w:val="00CB52CE"/>
    <w:rsid w:val="00CB54C2"/>
    <w:rsid w:val="00CB5C43"/>
    <w:rsid w:val="00CB5EF2"/>
    <w:rsid w:val="00CB6377"/>
    <w:rsid w:val="00CB63C5"/>
    <w:rsid w:val="00CB6ADB"/>
    <w:rsid w:val="00CB78FD"/>
    <w:rsid w:val="00CC012E"/>
    <w:rsid w:val="00CC03B4"/>
    <w:rsid w:val="00CC0CCB"/>
    <w:rsid w:val="00CC0DD6"/>
    <w:rsid w:val="00CC17C8"/>
    <w:rsid w:val="00CC1CDF"/>
    <w:rsid w:val="00CC29B3"/>
    <w:rsid w:val="00CC342E"/>
    <w:rsid w:val="00CC3889"/>
    <w:rsid w:val="00CC415D"/>
    <w:rsid w:val="00CC4884"/>
    <w:rsid w:val="00CC4E20"/>
    <w:rsid w:val="00CC50DF"/>
    <w:rsid w:val="00CC743B"/>
    <w:rsid w:val="00CC7758"/>
    <w:rsid w:val="00CC7FEE"/>
    <w:rsid w:val="00CD25AC"/>
    <w:rsid w:val="00CD2A72"/>
    <w:rsid w:val="00CD2C11"/>
    <w:rsid w:val="00CD2C7C"/>
    <w:rsid w:val="00CD2FDC"/>
    <w:rsid w:val="00CD350E"/>
    <w:rsid w:val="00CD3AB9"/>
    <w:rsid w:val="00CD3DAA"/>
    <w:rsid w:val="00CD5630"/>
    <w:rsid w:val="00CD5BC8"/>
    <w:rsid w:val="00CD64AA"/>
    <w:rsid w:val="00CD64FD"/>
    <w:rsid w:val="00CD6FFD"/>
    <w:rsid w:val="00CD7B01"/>
    <w:rsid w:val="00CD7BC1"/>
    <w:rsid w:val="00CE0A7C"/>
    <w:rsid w:val="00CE0ABA"/>
    <w:rsid w:val="00CE0B9F"/>
    <w:rsid w:val="00CE0CB7"/>
    <w:rsid w:val="00CE0DA7"/>
    <w:rsid w:val="00CE119E"/>
    <w:rsid w:val="00CE1A46"/>
    <w:rsid w:val="00CE2D5C"/>
    <w:rsid w:val="00CE338C"/>
    <w:rsid w:val="00CE33F4"/>
    <w:rsid w:val="00CE3C52"/>
    <w:rsid w:val="00CE4DB0"/>
    <w:rsid w:val="00CE52B4"/>
    <w:rsid w:val="00CE5802"/>
    <w:rsid w:val="00CE5E03"/>
    <w:rsid w:val="00CE606E"/>
    <w:rsid w:val="00CE7014"/>
    <w:rsid w:val="00CE79D0"/>
    <w:rsid w:val="00CE7C8E"/>
    <w:rsid w:val="00CE7E00"/>
    <w:rsid w:val="00CF05D0"/>
    <w:rsid w:val="00CF0798"/>
    <w:rsid w:val="00CF0A8B"/>
    <w:rsid w:val="00CF10B9"/>
    <w:rsid w:val="00CF157C"/>
    <w:rsid w:val="00CF2905"/>
    <w:rsid w:val="00CF31B0"/>
    <w:rsid w:val="00CF3211"/>
    <w:rsid w:val="00CF35F3"/>
    <w:rsid w:val="00CF39DE"/>
    <w:rsid w:val="00CF4492"/>
    <w:rsid w:val="00CF4D7B"/>
    <w:rsid w:val="00CF4F84"/>
    <w:rsid w:val="00CF505C"/>
    <w:rsid w:val="00CF5194"/>
    <w:rsid w:val="00CF5346"/>
    <w:rsid w:val="00CF6516"/>
    <w:rsid w:val="00CF6A25"/>
    <w:rsid w:val="00CF6BF6"/>
    <w:rsid w:val="00CF7230"/>
    <w:rsid w:val="00CF7292"/>
    <w:rsid w:val="00CF7667"/>
    <w:rsid w:val="00D003C1"/>
    <w:rsid w:val="00D00C53"/>
    <w:rsid w:val="00D00C7C"/>
    <w:rsid w:val="00D02091"/>
    <w:rsid w:val="00D0220C"/>
    <w:rsid w:val="00D026BD"/>
    <w:rsid w:val="00D0273E"/>
    <w:rsid w:val="00D02989"/>
    <w:rsid w:val="00D02D21"/>
    <w:rsid w:val="00D02D6A"/>
    <w:rsid w:val="00D037B4"/>
    <w:rsid w:val="00D04412"/>
    <w:rsid w:val="00D04605"/>
    <w:rsid w:val="00D04652"/>
    <w:rsid w:val="00D047E9"/>
    <w:rsid w:val="00D04B46"/>
    <w:rsid w:val="00D05FE0"/>
    <w:rsid w:val="00D075A4"/>
    <w:rsid w:val="00D07C93"/>
    <w:rsid w:val="00D113BE"/>
    <w:rsid w:val="00D117E7"/>
    <w:rsid w:val="00D13810"/>
    <w:rsid w:val="00D140BE"/>
    <w:rsid w:val="00D1415F"/>
    <w:rsid w:val="00D14381"/>
    <w:rsid w:val="00D14385"/>
    <w:rsid w:val="00D15CD7"/>
    <w:rsid w:val="00D16C8A"/>
    <w:rsid w:val="00D16D23"/>
    <w:rsid w:val="00D17675"/>
    <w:rsid w:val="00D202D9"/>
    <w:rsid w:val="00D216C1"/>
    <w:rsid w:val="00D21858"/>
    <w:rsid w:val="00D22116"/>
    <w:rsid w:val="00D22469"/>
    <w:rsid w:val="00D22509"/>
    <w:rsid w:val="00D2272C"/>
    <w:rsid w:val="00D22CEA"/>
    <w:rsid w:val="00D22EE1"/>
    <w:rsid w:val="00D23465"/>
    <w:rsid w:val="00D23971"/>
    <w:rsid w:val="00D23FC5"/>
    <w:rsid w:val="00D24539"/>
    <w:rsid w:val="00D25386"/>
    <w:rsid w:val="00D25958"/>
    <w:rsid w:val="00D259BE"/>
    <w:rsid w:val="00D25E42"/>
    <w:rsid w:val="00D269FE"/>
    <w:rsid w:val="00D273CA"/>
    <w:rsid w:val="00D2784C"/>
    <w:rsid w:val="00D27D59"/>
    <w:rsid w:val="00D27F21"/>
    <w:rsid w:val="00D30778"/>
    <w:rsid w:val="00D3089B"/>
    <w:rsid w:val="00D31B8F"/>
    <w:rsid w:val="00D32A3A"/>
    <w:rsid w:val="00D33481"/>
    <w:rsid w:val="00D334B7"/>
    <w:rsid w:val="00D33F25"/>
    <w:rsid w:val="00D34798"/>
    <w:rsid w:val="00D36056"/>
    <w:rsid w:val="00D36697"/>
    <w:rsid w:val="00D36A8D"/>
    <w:rsid w:val="00D37FBB"/>
    <w:rsid w:val="00D40511"/>
    <w:rsid w:val="00D40B45"/>
    <w:rsid w:val="00D40B70"/>
    <w:rsid w:val="00D413E8"/>
    <w:rsid w:val="00D426BC"/>
    <w:rsid w:val="00D42AAB"/>
    <w:rsid w:val="00D430EC"/>
    <w:rsid w:val="00D436A2"/>
    <w:rsid w:val="00D4579F"/>
    <w:rsid w:val="00D45CE0"/>
    <w:rsid w:val="00D4664F"/>
    <w:rsid w:val="00D46DD5"/>
    <w:rsid w:val="00D473E9"/>
    <w:rsid w:val="00D47B6E"/>
    <w:rsid w:val="00D47FA4"/>
    <w:rsid w:val="00D50AE8"/>
    <w:rsid w:val="00D510BC"/>
    <w:rsid w:val="00D511D3"/>
    <w:rsid w:val="00D51EBB"/>
    <w:rsid w:val="00D53C12"/>
    <w:rsid w:val="00D54AAB"/>
    <w:rsid w:val="00D55CDB"/>
    <w:rsid w:val="00D55D15"/>
    <w:rsid w:val="00D564A0"/>
    <w:rsid w:val="00D56669"/>
    <w:rsid w:val="00D574D3"/>
    <w:rsid w:val="00D57619"/>
    <w:rsid w:val="00D57683"/>
    <w:rsid w:val="00D57CD1"/>
    <w:rsid w:val="00D57E9A"/>
    <w:rsid w:val="00D607E1"/>
    <w:rsid w:val="00D60B29"/>
    <w:rsid w:val="00D60C02"/>
    <w:rsid w:val="00D613C4"/>
    <w:rsid w:val="00D61592"/>
    <w:rsid w:val="00D618DA"/>
    <w:rsid w:val="00D61B65"/>
    <w:rsid w:val="00D61BB7"/>
    <w:rsid w:val="00D623F9"/>
    <w:rsid w:val="00D6246D"/>
    <w:rsid w:val="00D62CE7"/>
    <w:rsid w:val="00D63526"/>
    <w:rsid w:val="00D63B31"/>
    <w:rsid w:val="00D64683"/>
    <w:rsid w:val="00D64BBF"/>
    <w:rsid w:val="00D652B4"/>
    <w:rsid w:val="00D6536B"/>
    <w:rsid w:val="00D659DA"/>
    <w:rsid w:val="00D65C3E"/>
    <w:rsid w:val="00D6612F"/>
    <w:rsid w:val="00D66505"/>
    <w:rsid w:val="00D66847"/>
    <w:rsid w:val="00D66CD9"/>
    <w:rsid w:val="00D67911"/>
    <w:rsid w:val="00D70033"/>
    <w:rsid w:val="00D701E7"/>
    <w:rsid w:val="00D70D44"/>
    <w:rsid w:val="00D715EB"/>
    <w:rsid w:val="00D71C3E"/>
    <w:rsid w:val="00D72077"/>
    <w:rsid w:val="00D724F4"/>
    <w:rsid w:val="00D7271E"/>
    <w:rsid w:val="00D73B1B"/>
    <w:rsid w:val="00D750BB"/>
    <w:rsid w:val="00D757DF"/>
    <w:rsid w:val="00D7658B"/>
    <w:rsid w:val="00D7659B"/>
    <w:rsid w:val="00D76677"/>
    <w:rsid w:val="00D766FE"/>
    <w:rsid w:val="00D779B4"/>
    <w:rsid w:val="00D77FC6"/>
    <w:rsid w:val="00D806AC"/>
    <w:rsid w:val="00D81DA0"/>
    <w:rsid w:val="00D82995"/>
    <w:rsid w:val="00D83706"/>
    <w:rsid w:val="00D8435E"/>
    <w:rsid w:val="00D843B2"/>
    <w:rsid w:val="00D84A83"/>
    <w:rsid w:val="00D84CAA"/>
    <w:rsid w:val="00D84D1C"/>
    <w:rsid w:val="00D850D5"/>
    <w:rsid w:val="00D8515E"/>
    <w:rsid w:val="00D85368"/>
    <w:rsid w:val="00D85B54"/>
    <w:rsid w:val="00D86271"/>
    <w:rsid w:val="00D86FA3"/>
    <w:rsid w:val="00D875D9"/>
    <w:rsid w:val="00D87BE0"/>
    <w:rsid w:val="00D87C8D"/>
    <w:rsid w:val="00D90539"/>
    <w:rsid w:val="00D912DF"/>
    <w:rsid w:val="00D91A3C"/>
    <w:rsid w:val="00D91AD9"/>
    <w:rsid w:val="00D91C74"/>
    <w:rsid w:val="00D91E4D"/>
    <w:rsid w:val="00D92136"/>
    <w:rsid w:val="00D92DA9"/>
    <w:rsid w:val="00D933D0"/>
    <w:rsid w:val="00D937A9"/>
    <w:rsid w:val="00D93B2D"/>
    <w:rsid w:val="00D9469B"/>
    <w:rsid w:val="00D946C0"/>
    <w:rsid w:val="00D94A1A"/>
    <w:rsid w:val="00D94AEC"/>
    <w:rsid w:val="00D94CCB"/>
    <w:rsid w:val="00D95557"/>
    <w:rsid w:val="00D964CE"/>
    <w:rsid w:val="00D96E8A"/>
    <w:rsid w:val="00D97412"/>
    <w:rsid w:val="00D974EC"/>
    <w:rsid w:val="00DA0B7C"/>
    <w:rsid w:val="00DA1550"/>
    <w:rsid w:val="00DA2EA5"/>
    <w:rsid w:val="00DA3B5F"/>
    <w:rsid w:val="00DA5AF8"/>
    <w:rsid w:val="00DA66BB"/>
    <w:rsid w:val="00DA67C9"/>
    <w:rsid w:val="00DA6E5B"/>
    <w:rsid w:val="00DA73C1"/>
    <w:rsid w:val="00DA76E6"/>
    <w:rsid w:val="00DA7E2B"/>
    <w:rsid w:val="00DB00EF"/>
    <w:rsid w:val="00DB0174"/>
    <w:rsid w:val="00DB0205"/>
    <w:rsid w:val="00DB04D5"/>
    <w:rsid w:val="00DB0ACC"/>
    <w:rsid w:val="00DB0BD4"/>
    <w:rsid w:val="00DB0E7F"/>
    <w:rsid w:val="00DB1E6D"/>
    <w:rsid w:val="00DB2667"/>
    <w:rsid w:val="00DB31EB"/>
    <w:rsid w:val="00DB4995"/>
    <w:rsid w:val="00DB51EF"/>
    <w:rsid w:val="00DB5485"/>
    <w:rsid w:val="00DB5E2C"/>
    <w:rsid w:val="00DB67F8"/>
    <w:rsid w:val="00DB6EB6"/>
    <w:rsid w:val="00DB7356"/>
    <w:rsid w:val="00DC0E77"/>
    <w:rsid w:val="00DC13B3"/>
    <w:rsid w:val="00DC1BB5"/>
    <w:rsid w:val="00DC1CA8"/>
    <w:rsid w:val="00DC2032"/>
    <w:rsid w:val="00DC37FB"/>
    <w:rsid w:val="00DC4134"/>
    <w:rsid w:val="00DC4C8A"/>
    <w:rsid w:val="00DC4D11"/>
    <w:rsid w:val="00DC4D3F"/>
    <w:rsid w:val="00DC4F4E"/>
    <w:rsid w:val="00DC536A"/>
    <w:rsid w:val="00DC546D"/>
    <w:rsid w:val="00DC5538"/>
    <w:rsid w:val="00DC69B3"/>
    <w:rsid w:val="00DC6B85"/>
    <w:rsid w:val="00DC7402"/>
    <w:rsid w:val="00DD03AF"/>
    <w:rsid w:val="00DD072E"/>
    <w:rsid w:val="00DD0A9C"/>
    <w:rsid w:val="00DD3894"/>
    <w:rsid w:val="00DD3D93"/>
    <w:rsid w:val="00DD3E3D"/>
    <w:rsid w:val="00DD45A2"/>
    <w:rsid w:val="00DD4B8B"/>
    <w:rsid w:val="00DD4ED9"/>
    <w:rsid w:val="00DD4FA1"/>
    <w:rsid w:val="00DD5B14"/>
    <w:rsid w:val="00DD5BB1"/>
    <w:rsid w:val="00DD5D8A"/>
    <w:rsid w:val="00DD5FFA"/>
    <w:rsid w:val="00DD6199"/>
    <w:rsid w:val="00DD6A3B"/>
    <w:rsid w:val="00DD7435"/>
    <w:rsid w:val="00DD7566"/>
    <w:rsid w:val="00DD79EF"/>
    <w:rsid w:val="00DE05A8"/>
    <w:rsid w:val="00DE073A"/>
    <w:rsid w:val="00DE0C52"/>
    <w:rsid w:val="00DE1AEF"/>
    <w:rsid w:val="00DE22D8"/>
    <w:rsid w:val="00DE2327"/>
    <w:rsid w:val="00DE2BE2"/>
    <w:rsid w:val="00DE326A"/>
    <w:rsid w:val="00DE3909"/>
    <w:rsid w:val="00DE3CFE"/>
    <w:rsid w:val="00DE44D6"/>
    <w:rsid w:val="00DE46F5"/>
    <w:rsid w:val="00DE48AE"/>
    <w:rsid w:val="00DE4E50"/>
    <w:rsid w:val="00DE5FC7"/>
    <w:rsid w:val="00DE7374"/>
    <w:rsid w:val="00DE7BF6"/>
    <w:rsid w:val="00DF0477"/>
    <w:rsid w:val="00DF07E2"/>
    <w:rsid w:val="00DF093D"/>
    <w:rsid w:val="00DF14CD"/>
    <w:rsid w:val="00DF14E7"/>
    <w:rsid w:val="00DF2746"/>
    <w:rsid w:val="00DF31B5"/>
    <w:rsid w:val="00DF3D55"/>
    <w:rsid w:val="00DF3E27"/>
    <w:rsid w:val="00DF52CE"/>
    <w:rsid w:val="00DF5BD3"/>
    <w:rsid w:val="00DF607B"/>
    <w:rsid w:val="00DF6513"/>
    <w:rsid w:val="00DF69DB"/>
    <w:rsid w:val="00DF7254"/>
    <w:rsid w:val="00DF745A"/>
    <w:rsid w:val="00DF771C"/>
    <w:rsid w:val="00DF79A0"/>
    <w:rsid w:val="00E009E8"/>
    <w:rsid w:val="00E0135E"/>
    <w:rsid w:val="00E01836"/>
    <w:rsid w:val="00E01FC3"/>
    <w:rsid w:val="00E020A7"/>
    <w:rsid w:val="00E02163"/>
    <w:rsid w:val="00E02CB1"/>
    <w:rsid w:val="00E04057"/>
    <w:rsid w:val="00E042E5"/>
    <w:rsid w:val="00E05B8B"/>
    <w:rsid w:val="00E05E73"/>
    <w:rsid w:val="00E062BE"/>
    <w:rsid w:val="00E06D5C"/>
    <w:rsid w:val="00E0755C"/>
    <w:rsid w:val="00E07726"/>
    <w:rsid w:val="00E07746"/>
    <w:rsid w:val="00E07800"/>
    <w:rsid w:val="00E07898"/>
    <w:rsid w:val="00E10659"/>
    <w:rsid w:val="00E113CF"/>
    <w:rsid w:val="00E114DB"/>
    <w:rsid w:val="00E126DA"/>
    <w:rsid w:val="00E12F04"/>
    <w:rsid w:val="00E13B41"/>
    <w:rsid w:val="00E15908"/>
    <w:rsid w:val="00E1697C"/>
    <w:rsid w:val="00E206BE"/>
    <w:rsid w:val="00E21530"/>
    <w:rsid w:val="00E2248F"/>
    <w:rsid w:val="00E2327F"/>
    <w:rsid w:val="00E2474B"/>
    <w:rsid w:val="00E24B81"/>
    <w:rsid w:val="00E24C2C"/>
    <w:rsid w:val="00E2602B"/>
    <w:rsid w:val="00E26311"/>
    <w:rsid w:val="00E268F1"/>
    <w:rsid w:val="00E27927"/>
    <w:rsid w:val="00E27D46"/>
    <w:rsid w:val="00E3061C"/>
    <w:rsid w:val="00E3108E"/>
    <w:rsid w:val="00E31405"/>
    <w:rsid w:val="00E32A01"/>
    <w:rsid w:val="00E32D60"/>
    <w:rsid w:val="00E32D63"/>
    <w:rsid w:val="00E3318A"/>
    <w:rsid w:val="00E331FF"/>
    <w:rsid w:val="00E33A10"/>
    <w:rsid w:val="00E33B3F"/>
    <w:rsid w:val="00E33ED4"/>
    <w:rsid w:val="00E34263"/>
    <w:rsid w:val="00E347BD"/>
    <w:rsid w:val="00E34C99"/>
    <w:rsid w:val="00E34EEF"/>
    <w:rsid w:val="00E35C31"/>
    <w:rsid w:val="00E35C46"/>
    <w:rsid w:val="00E36587"/>
    <w:rsid w:val="00E36CC5"/>
    <w:rsid w:val="00E376A2"/>
    <w:rsid w:val="00E3781C"/>
    <w:rsid w:val="00E37856"/>
    <w:rsid w:val="00E40364"/>
    <w:rsid w:val="00E40837"/>
    <w:rsid w:val="00E40E00"/>
    <w:rsid w:val="00E40E0F"/>
    <w:rsid w:val="00E4136D"/>
    <w:rsid w:val="00E42FA5"/>
    <w:rsid w:val="00E433F9"/>
    <w:rsid w:val="00E438B0"/>
    <w:rsid w:val="00E43DA4"/>
    <w:rsid w:val="00E4447A"/>
    <w:rsid w:val="00E4480B"/>
    <w:rsid w:val="00E44873"/>
    <w:rsid w:val="00E4492B"/>
    <w:rsid w:val="00E44EFC"/>
    <w:rsid w:val="00E45D26"/>
    <w:rsid w:val="00E4701F"/>
    <w:rsid w:val="00E476BF"/>
    <w:rsid w:val="00E507E2"/>
    <w:rsid w:val="00E51094"/>
    <w:rsid w:val="00E51A9A"/>
    <w:rsid w:val="00E51D90"/>
    <w:rsid w:val="00E52631"/>
    <w:rsid w:val="00E52920"/>
    <w:rsid w:val="00E530F6"/>
    <w:rsid w:val="00E53978"/>
    <w:rsid w:val="00E53A01"/>
    <w:rsid w:val="00E53F68"/>
    <w:rsid w:val="00E54196"/>
    <w:rsid w:val="00E541E9"/>
    <w:rsid w:val="00E54D05"/>
    <w:rsid w:val="00E5506A"/>
    <w:rsid w:val="00E56A34"/>
    <w:rsid w:val="00E56C66"/>
    <w:rsid w:val="00E57073"/>
    <w:rsid w:val="00E5718B"/>
    <w:rsid w:val="00E576D2"/>
    <w:rsid w:val="00E57BA9"/>
    <w:rsid w:val="00E60DA9"/>
    <w:rsid w:val="00E61F09"/>
    <w:rsid w:val="00E6301F"/>
    <w:rsid w:val="00E63CC3"/>
    <w:rsid w:val="00E63E50"/>
    <w:rsid w:val="00E64A29"/>
    <w:rsid w:val="00E64FDB"/>
    <w:rsid w:val="00E650D5"/>
    <w:rsid w:val="00E65269"/>
    <w:rsid w:val="00E65FFF"/>
    <w:rsid w:val="00E6703F"/>
    <w:rsid w:val="00E672EC"/>
    <w:rsid w:val="00E676D9"/>
    <w:rsid w:val="00E709D5"/>
    <w:rsid w:val="00E70F03"/>
    <w:rsid w:val="00E71DF1"/>
    <w:rsid w:val="00E71E8A"/>
    <w:rsid w:val="00E71FA4"/>
    <w:rsid w:val="00E7414A"/>
    <w:rsid w:val="00E7524D"/>
    <w:rsid w:val="00E7574B"/>
    <w:rsid w:val="00E758C4"/>
    <w:rsid w:val="00E761B7"/>
    <w:rsid w:val="00E770D3"/>
    <w:rsid w:val="00E775B8"/>
    <w:rsid w:val="00E77B5B"/>
    <w:rsid w:val="00E77F51"/>
    <w:rsid w:val="00E811BA"/>
    <w:rsid w:val="00E81274"/>
    <w:rsid w:val="00E8145E"/>
    <w:rsid w:val="00E81746"/>
    <w:rsid w:val="00E835BC"/>
    <w:rsid w:val="00E83BBB"/>
    <w:rsid w:val="00E83CCF"/>
    <w:rsid w:val="00E83E41"/>
    <w:rsid w:val="00E83E57"/>
    <w:rsid w:val="00E84735"/>
    <w:rsid w:val="00E84B86"/>
    <w:rsid w:val="00E85078"/>
    <w:rsid w:val="00E86D4E"/>
    <w:rsid w:val="00E87375"/>
    <w:rsid w:val="00E90359"/>
    <w:rsid w:val="00E907A2"/>
    <w:rsid w:val="00E907B2"/>
    <w:rsid w:val="00E90A63"/>
    <w:rsid w:val="00E90B19"/>
    <w:rsid w:val="00E90B76"/>
    <w:rsid w:val="00E92D81"/>
    <w:rsid w:val="00E93933"/>
    <w:rsid w:val="00E93FD0"/>
    <w:rsid w:val="00E94228"/>
    <w:rsid w:val="00E942CF"/>
    <w:rsid w:val="00E94776"/>
    <w:rsid w:val="00E94F81"/>
    <w:rsid w:val="00E94FC7"/>
    <w:rsid w:val="00E963D8"/>
    <w:rsid w:val="00E96BCB"/>
    <w:rsid w:val="00E971BC"/>
    <w:rsid w:val="00E9728A"/>
    <w:rsid w:val="00E976E6"/>
    <w:rsid w:val="00EA04E9"/>
    <w:rsid w:val="00EA078C"/>
    <w:rsid w:val="00EA0B1F"/>
    <w:rsid w:val="00EA1C3A"/>
    <w:rsid w:val="00EA498A"/>
    <w:rsid w:val="00EA509F"/>
    <w:rsid w:val="00EA50BA"/>
    <w:rsid w:val="00EA5312"/>
    <w:rsid w:val="00EA5B06"/>
    <w:rsid w:val="00EA60B1"/>
    <w:rsid w:val="00EA644E"/>
    <w:rsid w:val="00EA674E"/>
    <w:rsid w:val="00EA68D0"/>
    <w:rsid w:val="00EA747B"/>
    <w:rsid w:val="00EA7BBE"/>
    <w:rsid w:val="00EB0239"/>
    <w:rsid w:val="00EB02B4"/>
    <w:rsid w:val="00EB0659"/>
    <w:rsid w:val="00EB0902"/>
    <w:rsid w:val="00EB0BAA"/>
    <w:rsid w:val="00EB0DCD"/>
    <w:rsid w:val="00EB136A"/>
    <w:rsid w:val="00EB2445"/>
    <w:rsid w:val="00EB34EE"/>
    <w:rsid w:val="00EB35B4"/>
    <w:rsid w:val="00EB4520"/>
    <w:rsid w:val="00EB549E"/>
    <w:rsid w:val="00EB59EB"/>
    <w:rsid w:val="00EB5D1F"/>
    <w:rsid w:val="00EB6457"/>
    <w:rsid w:val="00EB734B"/>
    <w:rsid w:val="00EB74EB"/>
    <w:rsid w:val="00EC02D4"/>
    <w:rsid w:val="00EC034F"/>
    <w:rsid w:val="00EC11B6"/>
    <w:rsid w:val="00EC2469"/>
    <w:rsid w:val="00EC26E1"/>
    <w:rsid w:val="00EC2881"/>
    <w:rsid w:val="00EC331A"/>
    <w:rsid w:val="00EC3EEE"/>
    <w:rsid w:val="00EC48D6"/>
    <w:rsid w:val="00EC4AEE"/>
    <w:rsid w:val="00EC5ABD"/>
    <w:rsid w:val="00EC6147"/>
    <w:rsid w:val="00EC6E23"/>
    <w:rsid w:val="00ED0D0D"/>
    <w:rsid w:val="00ED1192"/>
    <w:rsid w:val="00ED11CB"/>
    <w:rsid w:val="00ED12B2"/>
    <w:rsid w:val="00ED2465"/>
    <w:rsid w:val="00ED260C"/>
    <w:rsid w:val="00ED3247"/>
    <w:rsid w:val="00ED4367"/>
    <w:rsid w:val="00ED4396"/>
    <w:rsid w:val="00ED4A85"/>
    <w:rsid w:val="00ED4AC1"/>
    <w:rsid w:val="00ED6558"/>
    <w:rsid w:val="00ED6D34"/>
    <w:rsid w:val="00ED7A69"/>
    <w:rsid w:val="00ED7B58"/>
    <w:rsid w:val="00EE0451"/>
    <w:rsid w:val="00EE0868"/>
    <w:rsid w:val="00EE1E0E"/>
    <w:rsid w:val="00EE20E8"/>
    <w:rsid w:val="00EE2C0C"/>
    <w:rsid w:val="00EE314A"/>
    <w:rsid w:val="00EE3640"/>
    <w:rsid w:val="00EE540D"/>
    <w:rsid w:val="00EE779D"/>
    <w:rsid w:val="00EE7F28"/>
    <w:rsid w:val="00EF063A"/>
    <w:rsid w:val="00EF18A5"/>
    <w:rsid w:val="00EF1B07"/>
    <w:rsid w:val="00EF23FE"/>
    <w:rsid w:val="00EF2802"/>
    <w:rsid w:val="00EF293C"/>
    <w:rsid w:val="00EF3249"/>
    <w:rsid w:val="00EF41C5"/>
    <w:rsid w:val="00EF4F7A"/>
    <w:rsid w:val="00EF5562"/>
    <w:rsid w:val="00EF58FF"/>
    <w:rsid w:val="00EF61D3"/>
    <w:rsid w:val="00EF6614"/>
    <w:rsid w:val="00EF6912"/>
    <w:rsid w:val="00EF7F7B"/>
    <w:rsid w:val="00F00246"/>
    <w:rsid w:val="00F00AA8"/>
    <w:rsid w:val="00F0169F"/>
    <w:rsid w:val="00F016BB"/>
    <w:rsid w:val="00F02000"/>
    <w:rsid w:val="00F02980"/>
    <w:rsid w:val="00F02D72"/>
    <w:rsid w:val="00F02FB4"/>
    <w:rsid w:val="00F03F87"/>
    <w:rsid w:val="00F04A29"/>
    <w:rsid w:val="00F068DA"/>
    <w:rsid w:val="00F06A45"/>
    <w:rsid w:val="00F06D47"/>
    <w:rsid w:val="00F07131"/>
    <w:rsid w:val="00F105CE"/>
    <w:rsid w:val="00F10D9B"/>
    <w:rsid w:val="00F113EF"/>
    <w:rsid w:val="00F11572"/>
    <w:rsid w:val="00F11BB0"/>
    <w:rsid w:val="00F12B8C"/>
    <w:rsid w:val="00F136DE"/>
    <w:rsid w:val="00F13ED6"/>
    <w:rsid w:val="00F14781"/>
    <w:rsid w:val="00F149DE"/>
    <w:rsid w:val="00F15193"/>
    <w:rsid w:val="00F16519"/>
    <w:rsid w:val="00F16B30"/>
    <w:rsid w:val="00F16F97"/>
    <w:rsid w:val="00F16FFF"/>
    <w:rsid w:val="00F17B1D"/>
    <w:rsid w:val="00F17E7A"/>
    <w:rsid w:val="00F20305"/>
    <w:rsid w:val="00F20953"/>
    <w:rsid w:val="00F21D3B"/>
    <w:rsid w:val="00F21ED1"/>
    <w:rsid w:val="00F2221E"/>
    <w:rsid w:val="00F225BA"/>
    <w:rsid w:val="00F225BC"/>
    <w:rsid w:val="00F235D4"/>
    <w:rsid w:val="00F241BC"/>
    <w:rsid w:val="00F24BF2"/>
    <w:rsid w:val="00F2520C"/>
    <w:rsid w:val="00F25E5E"/>
    <w:rsid w:val="00F26449"/>
    <w:rsid w:val="00F269C3"/>
    <w:rsid w:val="00F27428"/>
    <w:rsid w:val="00F27478"/>
    <w:rsid w:val="00F274FF"/>
    <w:rsid w:val="00F27A95"/>
    <w:rsid w:val="00F31538"/>
    <w:rsid w:val="00F326A4"/>
    <w:rsid w:val="00F32AF6"/>
    <w:rsid w:val="00F32CF4"/>
    <w:rsid w:val="00F337C1"/>
    <w:rsid w:val="00F33DFE"/>
    <w:rsid w:val="00F3412C"/>
    <w:rsid w:val="00F35672"/>
    <w:rsid w:val="00F357F9"/>
    <w:rsid w:val="00F3589A"/>
    <w:rsid w:val="00F35B8A"/>
    <w:rsid w:val="00F364DB"/>
    <w:rsid w:val="00F36898"/>
    <w:rsid w:val="00F36B86"/>
    <w:rsid w:val="00F36D89"/>
    <w:rsid w:val="00F36E82"/>
    <w:rsid w:val="00F36F62"/>
    <w:rsid w:val="00F40209"/>
    <w:rsid w:val="00F40C1E"/>
    <w:rsid w:val="00F415CA"/>
    <w:rsid w:val="00F41AC6"/>
    <w:rsid w:val="00F41BBD"/>
    <w:rsid w:val="00F421AC"/>
    <w:rsid w:val="00F4297B"/>
    <w:rsid w:val="00F4298A"/>
    <w:rsid w:val="00F436FC"/>
    <w:rsid w:val="00F43F62"/>
    <w:rsid w:val="00F44592"/>
    <w:rsid w:val="00F447E1"/>
    <w:rsid w:val="00F44AA9"/>
    <w:rsid w:val="00F45197"/>
    <w:rsid w:val="00F456EE"/>
    <w:rsid w:val="00F45C2A"/>
    <w:rsid w:val="00F4612B"/>
    <w:rsid w:val="00F471C3"/>
    <w:rsid w:val="00F474A3"/>
    <w:rsid w:val="00F47AC9"/>
    <w:rsid w:val="00F47C38"/>
    <w:rsid w:val="00F50596"/>
    <w:rsid w:val="00F51655"/>
    <w:rsid w:val="00F51697"/>
    <w:rsid w:val="00F51D81"/>
    <w:rsid w:val="00F52877"/>
    <w:rsid w:val="00F52923"/>
    <w:rsid w:val="00F53403"/>
    <w:rsid w:val="00F540E0"/>
    <w:rsid w:val="00F54184"/>
    <w:rsid w:val="00F543BF"/>
    <w:rsid w:val="00F5496E"/>
    <w:rsid w:val="00F55799"/>
    <w:rsid w:val="00F56AF4"/>
    <w:rsid w:val="00F57589"/>
    <w:rsid w:val="00F575E4"/>
    <w:rsid w:val="00F579D1"/>
    <w:rsid w:val="00F57FF8"/>
    <w:rsid w:val="00F60118"/>
    <w:rsid w:val="00F60E57"/>
    <w:rsid w:val="00F60F9A"/>
    <w:rsid w:val="00F614A2"/>
    <w:rsid w:val="00F61738"/>
    <w:rsid w:val="00F620C5"/>
    <w:rsid w:val="00F621AE"/>
    <w:rsid w:val="00F622F9"/>
    <w:rsid w:val="00F6233C"/>
    <w:rsid w:val="00F6295D"/>
    <w:rsid w:val="00F63286"/>
    <w:rsid w:val="00F6390F"/>
    <w:rsid w:val="00F64F8F"/>
    <w:rsid w:val="00F65213"/>
    <w:rsid w:val="00F65222"/>
    <w:rsid w:val="00F67EB5"/>
    <w:rsid w:val="00F70124"/>
    <w:rsid w:val="00F703B7"/>
    <w:rsid w:val="00F705A3"/>
    <w:rsid w:val="00F70A2A"/>
    <w:rsid w:val="00F714E8"/>
    <w:rsid w:val="00F726F5"/>
    <w:rsid w:val="00F7384F"/>
    <w:rsid w:val="00F73D18"/>
    <w:rsid w:val="00F741D6"/>
    <w:rsid w:val="00F758AF"/>
    <w:rsid w:val="00F769E4"/>
    <w:rsid w:val="00F77F47"/>
    <w:rsid w:val="00F80139"/>
    <w:rsid w:val="00F80B55"/>
    <w:rsid w:val="00F811B3"/>
    <w:rsid w:val="00F81225"/>
    <w:rsid w:val="00F8178D"/>
    <w:rsid w:val="00F81B44"/>
    <w:rsid w:val="00F81BF0"/>
    <w:rsid w:val="00F82F2C"/>
    <w:rsid w:val="00F83069"/>
    <w:rsid w:val="00F83512"/>
    <w:rsid w:val="00F841F7"/>
    <w:rsid w:val="00F84FC3"/>
    <w:rsid w:val="00F85934"/>
    <w:rsid w:val="00F85982"/>
    <w:rsid w:val="00F859AD"/>
    <w:rsid w:val="00F85C32"/>
    <w:rsid w:val="00F86975"/>
    <w:rsid w:val="00F87026"/>
    <w:rsid w:val="00F876D0"/>
    <w:rsid w:val="00F877A5"/>
    <w:rsid w:val="00F87830"/>
    <w:rsid w:val="00F87C47"/>
    <w:rsid w:val="00F90FF0"/>
    <w:rsid w:val="00F910CA"/>
    <w:rsid w:val="00F9167E"/>
    <w:rsid w:val="00F9169D"/>
    <w:rsid w:val="00F91A7A"/>
    <w:rsid w:val="00F92434"/>
    <w:rsid w:val="00F927C6"/>
    <w:rsid w:val="00F928A9"/>
    <w:rsid w:val="00F9344A"/>
    <w:rsid w:val="00F9437E"/>
    <w:rsid w:val="00F944F0"/>
    <w:rsid w:val="00F94A28"/>
    <w:rsid w:val="00F94EF6"/>
    <w:rsid w:val="00F952E9"/>
    <w:rsid w:val="00F95554"/>
    <w:rsid w:val="00F95AD3"/>
    <w:rsid w:val="00F95B70"/>
    <w:rsid w:val="00F96405"/>
    <w:rsid w:val="00F97110"/>
    <w:rsid w:val="00F973F5"/>
    <w:rsid w:val="00F97CDD"/>
    <w:rsid w:val="00F97D80"/>
    <w:rsid w:val="00FA098E"/>
    <w:rsid w:val="00FA13AF"/>
    <w:rsid w:val="00FA28BA"/>
    <w:rsid w:val="00FA2B2F"/>
    <w:rsid w:val="00FA3412"/>
    <w:rsid w:val="00FA366D"/>
    <w:rsid w:val="00FA3CCB"/>
    <w:rsid w:val="00FA45C3"/>
    <w:rsid w:val="00FA4922"/>
    <w:rsid w:val="00FA51D4"/>
    <w:rsid w:val="00FA52A8"/>
    <w:rsid w:val="00FA5711"/>
    <w:rsid w:val="00FA59E8"/>
    <w:rsid w:val="00FA644D"/>
    <w:rsid w:val="00FA6C33"/>
    <w:rsid w:val="00FA6DF8"/>
    <w:rsid w:val="00FA6FC5"/>
    <w:rsid w:val="00FB02AB"/>
    <w:rsid w:val="00FB1D4D"/>
    <w:rsid w:val="00FB3EE0"/>
    <w:rsid w:val="00FB419B"/>
    <w:rsid w:val="00FB420E"/>
    <w:rsid w:val="00FB6633"/>
    <w:rsid w:val="00FB776D"/>
    <w:rsid w:val="00FB7B9C"/>
    <w:rsid w:val="00FC03D0"/>
    <w:rsid w:val="00FC103D"/>
    <w:rsid w:val="00FC15BD"/>
    <w:rsid w:val="00FC207B"/>
    <w:rsid w:val="00FC26F6"/>
    <w:rsid w:val="00FC2C7D"/>
    <w:rsid w:val="00FC33D4"/>
    <w:rsid w:val="00FC34E6"/>
    <w:rsid w:val="00FC3998"/>
    <w:rsid w:val="00FC419B"/>
    <w:rsid w:val="00FC4233"/>
    <w:rsid w:val="00FC5834"/>
    <w:rsid w:val="00FC62EA"/>
    <w:rsid w:val="00FC6676"/>
    <w:rsid w:val="00FC6B39"/>
    <w:rsid w:val="00FC76B8"/>
    <w:rsid w:val="00FC77FC"/>
    <w:rsid w:val="00FD01C5"/>
    <w:rsid w:val="00FD04E0"/>
    <w:rsid w:val="00FD0A4B"/>
    <w:rsid w:val="00FD0E08"/>
    <w:rsid w:val="00FD0F72"/>
    <w:rsid w:val="00FD167B"/>
    <w:rsid w:val="00FD2074"/>
    <w:rsid w:val="00FD21C7"/>
    <w:rsid w:val="00FD2C65"/>
    <w:rsid w:val="00FD390C"/>
    <w:rsid w:val="00FD39C5"/>
    <w:rsid w:val="00FD4195"/>
    <w:rsid w:val="00FD47FC"/>
    <w:rsid w:val="00FD4C8F"/>
    <w:rsid w:val="00FD51CB"/>
    <w:rsid w:val="00FD5AEE"/>
    <w:rsid w:val="00FD5C16"/>
    <w:rsid w:val="00FD783C"/>
    <w:rsid w:val="00FD7DC6"/>
    <w:rsid w:val="00FE02C2"/>
    <w:rsid w:val="00FE1092"/>
    <w:rsid w:val="00FE13C9"/>
    <w:rsid w:val="00FE1E79"/>
    <w:rsid w:val="00FE21F0"/>
    <w:rsid w:val="00FE22DA"/>
    <w:rsid w:val="00FE232D"/>
    <w:rsid w:val="00FE2550"/>
    <w:rsid w:val="00FE2E77"/>
    <w:rsid w:val="00FE3251"/>
    <w:rsid w:val="00FE3601"/>
    <w:rsid w:val="00FE3776"/>
    <w:rsid w:val="00FE37BA"/>
    <w:rsid w:val="00FE3C71"/>
    <w:rsid w:val="00FE5243"/>
    <w:rsid w:val="00FE583D"/>
    <w:rsid w:val="00FE5C5E"/>
    <w:rsid w:val="00FE6283"/>
    <w:rsid w:val="00FE6424"/>
    <w:rsid w:val="00FE6445"/>
    <w:rsid w:val="00FE7FEF"/>
    <w:rsid w:val="00FF0DA3"/>
    <w:rsid w:val="00FF11CE"/>
    <w:rsid w:val="00FF131B"/>
    <w:rsid w:val="00FF1FCC"/>
    <w:rsid w:val="00FF2050"/>
    <w:rsid w:val="00FF3191"/>
    <w:rsid w:val="00FF323B"/>
    <w:rsid w:val="00FF373D"/>
    <w:rsid w:val="00FF387C"/>
    <w:rsid w:val="00FF48A6"/>
    <w:rsid w:val="00FF4DE5"/>
    <w:rsid w:val="00FF5265"/>
    <w:rsid w:val="00FF5AFA"/>
    <w:rsid w:val="00FF6417"/>
    <w:rsid w:val="00FF6F4D"/>
    <w:rsid w:val="00FF7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B8FC68"/>
  <w15:chartTrackingRefBased/>
  <w15:docId w15:val="{05DA0D76-A8B6-44F3-904F-42EAF9DC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5A6"/>
  </w:style>
  <w:style w:type="paragraph" w:styleId="Heading1">
    <w:name w:val="heading 1"/>
    <w:basedOn w:val="Normal"/>
    <w:next w:val="Normal"/>
    <w:link w:val="Heading1Char"/>
    <w:uiPriority w:val="9"/>
    <w:qFormat/>
    <w:rsid w:val="005D09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D090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D090C"/>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5D090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D090C"/>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D090C"/>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D090C"/>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D090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D090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D75"/>
    <w:pPr>
      <w:ind w:left="720"/>
      <w:contextualSpacing/>
    </w:pPr>
  </w:style>
  <w:style w:type="character" w:styleId="Hyperlink">
    <w:name w:val="Hyperlink"/>
    <w:basedOn w:val="DefaultParagraphFont"/>
    <w:uiPriority w:val="99"/>
    <w:unhideWhenUsed/>
    <w:rsid w:val="00277AAF"/>
    <w:rPr>
      <w:color w:val="0563C1" w:themeColor="hyperlink"/>
      <w:u w:val="single"/>
    </w:rPr>
  </w:style>
  <w:style w:type="character" w:styleId="UnresolvedMention">
    <w:name w:val="Unresolved Mention"/>
    <w:basedOn w:val="DefaultParagraphFont"/>
    <w:uiPriority w:val="99"/>
    <w:semiHidden/>
    <w:unhideWhenUsed/>
    <w:rsid w:val="00277AAF"/>
    <w:rPr>
      <w:color w:val="605E5C"/>
      <w:shd w:val="clear" w:color="auto" w:fill="E1DFDD"/>
    </w:rPr>
  </w:style>
  <w:style w:type="paragraph" w:styleId="Bibliography">
    <w:name w:val="Bibliography"/>
    <w:basedOn w:val="Normal"/>
    <w:next w:val="Normal"/>
    <w:uiPriority w:val="37"/>
    <w:unhideWhenUsed/>
    <w:rsid w:val="002B0064"/>
    <w:pPr>
      <w:spacing w:after="0" w:line="240" w:lineRule="auto"/>
      <w:ind w:left="720" w:hanging="720"/>
    </w:pPr>
  </w:style>
  <w:style w:type="paragraph" w:styleId="Header">
    <w:name w:val="header"/>
    <w:basedOn w:val="Normal"/>
    <w:link w:val="HeaderChar"/>
    <w:uiPriority w:val="99"/>
    <w:unhideWhenUsed/>
    <w:rsid w:val="00F60E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E57"/>
  </w:style>
  <w:style w:type="paragraph" w:styleId="Footer">
    <w:name w:val="footer"/>
    <w:basedOn w:val="Normal"/>
    <w:link w:val="FooterChar"/>
    <w:uiPriority w:val="99"/>
    <w:unhideWhenUsed/>
    <w:rsid w:val="00F60E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E57"/>
  </w:style>
  <w:style w:type="character" w:styleId="CommentReference">
    <w:name w:val="annotation reference"/>
    <w:basedOn w:val="DefaultParagraphFont"/>
    <w:uiPriority w:val="99"/>
    <w:semiHidden/>
    <w:unhideWhenUsed/>
    <w:rsid w:val="00145871"/>
    <w:rPr>
      <w:sz w:val="16"/>
      <w:szCs w:val="16"/>
    </w:rPr>
  </w:style>
  <w:style w:type="paragraph" w:styleId="CommentText">
    <w:name w:val="annotation text"/>
    <w:basedOn w:val="Normal"/>
    <w:link w:val="CommentTextChar"/>
    <w:uiPriority w:val="99"/>
    <w:unhideWhenUsed/>
    <w:rsid w:val="00145871"/>
    <w:pPr>
      <w:spacing w:line="240" w:lineRule="auto"/>
    </w:pPr>
    <w:rPr>
      <w:sz w:val="20"/>
      <w:szCs w:val="20"/>
    </w:rPr>
  </w:style>
  <w:style w:type="character" w:customStyle="1" w:styleId="CommentTextChar">
    <w:name w:val="Comment Text Char"/>
    <w:basedOn w:val="DefaultParagraphFont"/>
    <w:link w:val="CommentText"/>
    <w:uiPriority w:val="99"/>
    <w:rsid w:val="00145871"/>
    <w:rPr>
      <w:sz w:val="20"/>
      <w:szCs w:val="20"/>
    </w:rPr>
  </w:style>
  <w:style w:type="paragraph" w:styleId="CommentSubject">
    <w:name w:val="annotation subject"/>
    <w:basedOn w:val="CommentText"/>
    <w:next w:val="CommentText"/>
    <w:link w:val="CommentSubjectChar"/>
    <w:uiPriority w:val="99"/>
    <w:semiHidden/>
    <w:unhideWhenUsed/>
    <w:rsid w:val="00145871"/>
    <w:rPr>
      <w:b/>
      <w:bCs/>
    </w:rPr>
  </w:style>
  <w:style w:type="character" w:customStyle="1" w:styleId="CommentSubjectChar">
    <w:name w:val="Comment Subject Char"/>
    <w:basedOn w:val="CommentTextChar"/>
    <w:link w:val="CommentSubject"/>
    <w:uiPriority w:val="99"/>
    <w:semiHidden/>
    <w:rsid w:val="00145871"/>
    <w:rPr>
      <w:b/>
      <w:bCs/>
      <w:sz w:val="20"/>
      <w:szCs w:val="20"/>
    </w:rPr>
  </w:style>
  <w:style w:type="character" w:styleId="FollowedHyperlink">
    <w:name w:val="FollowedHyperlink"/>
    <w:basedOn w:val="DefaultParagraphFont"/>
    <w:uiPriority w:val="99"/>
    <w:semiHidden/>
    <w:unhideWhenUsed/>
    <w:rsid w:val="0000631D"/>
    <w:rPr>
      <w:color w:val="954F72" w:themeColor="followedHyperlink"/>
      <w:u w:val="single"/>
    </w:rPr>
  </w:style>
  <w:style w:type="character" w:customStyle="1" w:styleId="MTEquationSection">
    <w:name w:val="MTEquationSection"/>
    <w:basedOn w:val="DefaultParagraphFont"/>
    <w:rsid w:val="009C0217"/>
    <w:rPr>
      <w:b/>
      <w:vanish/>
      <w:color w:val="FF0000"/>
    </w:rPr>
  </w:style>
  <w:style w:type="paragraph" w:customStyle="1" w:styleId="MTDisplayEquation">
    <w:name w:val="MTDisplayEquation"/>
    <w:basedOn w:val="Normal"/>
    <w:next w:val="Normal"/>
    <w:link w:val="MTDisplayEquationChar"/>
    <w:rsid w:val="009C0217"/>
    <w:pPr>
      <w:tabs>
        <w:tab w:val="center" w:pos="4680"/>
        <w:tab w:val="right" w:pos="9360"/>
      </w:tabs>
      <w:spacing w:after="0" w:line="240" w:lineRule="auto"/>
      <w:jc w:val="both"/>
    </w:pPr>
  </w:style>
  <w:style w:type="character" w:customStyle="1" w:styleId="MTDisplayEquationChar">
    <w:name w:val="MTDisplayEquation Char"/>
    <w:basedOn w:val="DefaultParagraphFont"/>
    <w:link w:val="MTDisplayEquation"/>
    <w:rsid w:val="009C0217"/>
  </w:style>
  <w:style w:type="paragraph" w:customStyle="1" w:styleId="msonormal0">
    <w:name w:val="msonormal"/>
    <w:basedOn w:val="Normal"/>
    <w:rsid w:val="001A64D9"/>
    <w:pPr>
      <w:spacing w:before="100" w:beforeAutospacing="1" w:after="100" w:afterAutospacing="1" w:line="240" w:lineRule="auto"/>
    </w:pPr>
    <w:rPr>
      <w:rFonts w:eastAsia="Times New Roman"/>
    </w:rPr>
  </w:style>
  <w:style w:type="paragraph" w:customStyle="1" w:styleId="xl65">
    <w:name w:val="xl65"/>
    <w:basedOn w:val="Normal"/>
    <w:rsid w:val="001A64D9"/>
    <w:pPr>
      <w:shd w:val="clear" w:color="000000" w:fill="FFFFFF"/>
      <w:spacing w:before="100" w:beforeAutospacing="1" w:after="100" w:afterAutospacing="1" w:line="240" w:lineRule="auto"/>
    </w:pPr>
    <w:rPr>
      <w:rFonts w:eastAsia="Times New Roman"/>
    </w:rPr>
  </w:style>
  <w:style w:type="paragraph" w:customStyle="1" w:styleId="xl66">
    <w:name w:val="xl66"/>
    <w:basedOn w:val="Normal"/>
    <w:rsid w:val="001A64D9"/>
    <w:pPr>
      <w:pBdr>
        <w:bottom w:val="single" w:sz="8" w:space="0" w:color="auto"/>
      </w:pBdr>
      <w:shd w:val="clear" w:color="000000" w:fill="FFFFFF"/>
      <w:spacing w:before="100" w:beforeAutospacing="1" w:after="100" w:afterAutospacing="1" w:line="240" w:lineRule="auto"/>
    </w:pPr>
    <w:rPr>
      <w:rFonts w:eastAsia="Times New Roman"/>
    </w:rPr>
  </w:style>
  <w:style w:type="paragraph" w:customStyle="1" w:styleId="xl67">
    <w:name w:val="xl67"/>
    <w:basedOn w:val="Normal"/>
    <w:rsid w:val="001A64D9"/>
    <w:pPr>
      <w:pBdr>
        <w:bottom w:val="single" w:sz="8" w:space="0" w:color="auto"/>
        <w:right w:val="single" w:sz="8" w:space="0" w:color="auto"/>
      </w:pBdr>
      <w:shd w:val="clear" w:color="000000" w:fill="FFFFFF"/>
      <w:spacing w:before="100" w:beforeAutospacing="1" w:after="100" w:afterAutospacing="1" w:line="240" w:lineRule="auto"/>
    </w:pPr>
    <w:rPr>
      <w:rFonts w:eastAsia="Times New Roman"/>
    </w:rPr>
  </w:style>
  <w:style w:type="paragraph" w:customStyle="1" w:styleId="xl68">
    <w:name w:val="xl68"/>
    <w:basedOn w:val="Normal"/>
    <w:rsid w:val="001A64D9"/>
    <w:pPr>
      <w:pBdr>
        <w:left w:val="single" w:sz="8" w:space="0" w:color="auto"/>
        <w:right w:val="single" w:sz="8" w:space="0" w:color="auto"/>
      </w:pBdr>
      <w:shd w:val="clear" w:color="000000" w:fill="FFFFFF"/>
      <w:spacing w:before="100" w:beforeAutospacing="1" w:after="100" w:afterAutospacing="1" w:line="240" w:lineRule="auto"/>
    </w:pPr>
    <w:rPr>
      <w:rFonts w:eastAsia="Times New Roman"/>
    </w:rPr>
  </w:style>
  <w:style w:type="paragraph" w:customStyle="1" w:styleId="xl69">
    <w:name w:val="xl69"/>
    <w:basedOn w:val="Normal"/>
    <w:rsid w:val="001A64D9"/>
    <w:pPr>
      <w:pBdr>
        <w:left w:val="single" w:sz="8" w:space="0" w:color="auto"/>
        <w:right w:val="single" w:sz="8" w:space="0" w:color="auto"/>
      </w:pBdr>
      <w:shd w:val="clear" w:color="000000" w:fill="FFFFFF"/>
      <w:spacing w:before="100" w:beforeAutospacing="1" w:after="100" w:afterAutospacing="1" w:line="240" w:lineRule="auto"/>
    </w:pPr>
    <w:rPr>
      <w:rFonts w:eastAsia="Times New Roman"/>
    </w:rPr>
  </w:style>
  <w:style w:type="paragraph" w:customStyle="1" w:styleId="xl70">
    <w:name w:val="xl70"/>
    <w:basedOn w:val="Normal"/>
    <w:rsid w:val="001A64D9"/>
    <w:pPr>
      <w:pBdr>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eastAsia="Times New Roman"/>
    </w:rPr>
  </w:style>
  <w:style w:type="paragraph" w:customStyle="1" w:styleId="xl71">
    <w:name w:val="xl71"/>
    <w:basedOn w:val="Normal"/>
    <w:rsid w:val="001A64D9"/>
    <w:pPr>
      <w:pBdr>
        <w:left w:val="single" w:sz="8" w:space="0" w:color="auto"/>
        <w:bottom w:val="single" w:sz="8" w:space="0" w:color="auto"/>
      </w:pBdr>
      <w:shd w:val="clear" w:color="000000" w:fill="FFFFFF"/>
      <w:spacing w:before="100" w:beforeAutospacing="1" w:after="100" w:afterAutospacing="1" w:line="240" w:lineRule="auto"/>
    </w:pPr>
    <w:rPr>
      <w:rFonts w:eastAsia="Times New Roman"/>
    </w:rPr>
  </w:style>
  <w:style w:type="paragraph" w:customStyle="1" w:styleId="xl72">
    <w:name w:val="xl72"/>
    <w:basedOn w:val="Normal"/>
    <w:rsid w:val="001A64D9"/>
    <w:pPr>
      <w:pBdr>
        <w:bottom w:val="single" w:sz="8" w:space="0" w:color="auto"/>
        <w:right w:val="single" w:sz="4" w:space="0" w:color="auto"/>
      </w:pBdr>
      <w:shd w:val="clear" w:color="000000" w:fill="FFFFFF"/>
      <w:spacing w:before="100" w:beforeAutospacing="1" w:after="100" w:afterAutospacing="1" w:line="240" w:lineRule="auto"/>
    </w:pPr>
    <w:rPr>
      <w:rFonts w:eastAsia="Times New Roman"/>
    </w:rPr>
  </w:style>
  <w:style w:type="paragraph" w:customStyle="1" w:styleId="xl73">
    <w:name w:val="xl73"/>
    <w:basedOn w:val="Normal"/>
    <w:rsid w:val="001A64D9"/>
    <w:pPr>
      <w:pBdr>
        <w:left w:val="single" w:sz="4" w:space="0" w:color="auto"/>
        <w:bottom w:val="single" w:sz="8" w:space="0" w:color="auto"/>
      </w:pBdr>
      <w:shd w:val="clear" w:color="000000" w:fill="FFFFFF"/>
      <w:spacing w:before="100" w:beforeAutospacing="1" w:after="100" w:afterAutospacing="1" w:line="240" w:lineRule="auto"/>
    </w:pPr>
    <w:rPr>
      <w:rFonts w:eastAsia="Times New Roman"/>
    </w:rPr>
  </w:style>
  <w:style w:type="paragraph" w:customStyle="1" w:styleId="xl74">
    <w:name w:val="xl74"/>
    <w:basedOn w:val="Normal"/>
    <w:rsid w:val="001A64D9"/>
    <w:pPr>
      <w:pBdr>
        <w:right w:val="single" w:sz="4" w:space="0" w:color="auto"/>
      </w:pBdr>
      <w:shd w:val="clear" w:color="000000" w:fill="FFFFFF"/>
      <w:spacing w:before="100" w:beforeAutospacing="1" w:after="100" w:afterAutospacing="1" w:line="240" w:lineRule="auto"/>
      <w:jc w:val="center"/>
      <w:textAlignment w:val="center"/>
    </w:pPr>
    <w:rPr>
      <w:rFonts w:eastAsia="Times New Roman"/>
    </w:rPr>
  </w:style>
  <w:style w:type="paragraph" w:customStyle="1" w:styleId="xl75">
    <w:name w:val="xl75"/>
    <w:basedOn w:val="Normal"/>
    <w:rsid w:val="001A64D9"/>
    <w:pPr>
      <w:pBdr>
        <w:right w:val="single" w:sz="8" w:space="0" w:color="auto"/>
      </w:pBdr>
      <w:shd w:val="clear" w:color="000000" w:fill="FFFFFF"/>
      <w:spacing w:before="100" w:beforeAutospacing="1" w:after="100" w:afterAutospacing="1" w:line="240" w:lineRule="auto"/>
      <w:jc w:val="center"/>
      <w:textAlignment w:val="center"/>
    </w:pPr>
    <w:rPr>
      <w:rFonts w:eastAsia="Times New Roman"/>
    </w:rPr>
  </w:style>
  <w:style w:type="paragraph" w:customStyle="1" w:styleId="xl76">
    <w:name w:val="xl76"/>
    <w:basedOn w:val="Normal"/>
    <w:rsid w:val="001A64D9"/>
    <w:pPr>
      <w:pBdr>
        <w:right w:val="single" w:sz="4" w:space="0" w:color="auto"/>
      </w:pBdr>
      <w:shd w:val="clear" w:color="000000" w:fill="FFFFFF"/>
      <w:spacing w:before="100" w:beforeAutospacing="1" w:after="100" w:afterAutospacing="1" w:line="240" w:lineRule="auto"/>
      <w:jc w:val="center"/>
      <w:textAlignment w:val="center"/>
    </w:pPr>
    <w:rPr>
      <w:rFonts w:eastAsia="Times New Roman"/>
    </w:rPr>
  </w:style>
  <w:style w:type="paragraph" w:customStyle="1" w:styleId="xl77">
    <w:name w:val="xl77"/>
    <w:basedOn w:val="Normal"/>
    <w:rsid w:val="001A64D9"/>
    <w:pPr>
      <w:pBdr>
        <w:right w:val="single" w:sz="8" w:space="0" w:color="auto"/>
      </w:pBdr>
      <w:shd w:val="clear" w:color="000000" w:fill="FFFFFF"/>
      <w:spacing w:before="100" w:beforeAutospacing="1" w:after="100" w:afterAutospacing="1" w:line="240" w:lineRule="auto"/>
      <w:jc w:val="center"/>
      <w:textAlignment w:val="center"/>
    </w:pPr>
    <w:rPr>
      <w:rFonts w:eastAsia="Times New Roman"/>
    </w:rPr>
  </w:style>
  <w:style w:type="paragraph" w:customStyle="1" w:styleId="xl78">
    <w:name w:val="xl78"/>
    <w:basedOn w:val="Normal"/>
    <w:rsid w:val="001A64D9"/>
    <w:pPr>
      <w:pBdr>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rPr>
  </w:style>
  <w:style w:type="paragraph" w:customStyle="1" w:styleId="xl79">
    <w:name w:val="xl79"/>
    <w:basedOn w:val="Normal"/>
    <w:rsid w:val="001A64D9"/>
    <w:pPr>
      <w:pBdr>
        <w:bottom w:val="single" w:sz="8" w:space="0" w:color="auto"/>
      </w:pBdr>
      <w:shd w:val="clear" w:color="000000" w:fill="FFFFFF"/>
      <w:spacing w:before="100" w:beforeAutospacing="1" w:after="100" w:afterAutospacing="1" w:line="240" w:lineRule="auto"/>
      <w:jc w:val="center"/>
      <w:textAlignment w:val="center"/>
    </w:pPr>
    <w:rPr>
      <w:rFonts w:eastAsia="Times New Roman"/>
    </w:rPr>
  </w:style>
  <w:style w:type="paragraph" w:customStyle="1" w:styleId="xl80">
    <w:name w:val="xl80"/>
    <w:basedOn w:val="Normal"/>
    <w:rsid w:val="001A64D9"/>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rPr>
  </w:style>
  <w:style w:type="paragraph" w:customStyle="1" w:styleId="xl81">
    <w:name w:val="xl81"/>
    <w:basedOn w:val="Normal"/>
    <w:rsid w:val="001A64D9"/>
    <w:pPr>
      <w:pBdr>
        <w:left w:val="single" w:sz="8" w:space="0" w:color="auto"/>
        <w:right w:val="single" w:sz="8" w:space="0" w:color="auto"/>
      </w:pBdr>
      <w:shd w:val="clear" w:color="000000" w:fill="FFFFFF"/>
      <w:spacing w:before="100" w:beforeAutospacing="1" w:after="100" w:afterAutospacing="1" w:line="240" w:lineRule="auto"/>
    </w:pPr>
    <w:rPr>
      <w:rFonts w:eastAsia="Times New Roman"/>
      <w:b/>
      <w:bCs/>
    </w:rPr>
  </w:style>
  <w:style w:type="paragraph" w:customStyle="1" w:styleId="xl82">
    <w:name w:val="xl82"/>
    <w:basedOn w:val="Normal"/>
    <w:rsid w:val="001A64D9"/>
    <w:pPr>
      <w:pBdr>
        <w:top w:val="single" w:sz="8" w:space="0" w:color="auto"/>
        <w:left w:val="single" w:sz="8" w:space="0" w:color="auto"/>
        <w:right w:val="single" w:sz="8" w:space="0" w:color="auto"/>
      </w:pBdr>
      <w:shd w:val="clear" w:color="000000" w:fill="FFFFFF"/>
      <w:spacing w:before="100" w:beforeAutospacing="1" w:after="100" w:afterAutospacing="1" w:line="240" w:lineRule="auto"/>
    </w:pPr>
    <w:rPr>
      <w:rFonts w:eastAsia="Times New Roman"/>
      <w:b/>
      <w:bCs/>
    </w:rPr>
  </w:style>
  <w:style w:type="paragraph" w:customStyle="1" w:styleId="xl83">
    <w:name w:val="xl83"/>
    <w:basedOn w:val="Normal"/>
    <w:rsid w:val="001A64D9"/>
    <w:pPr>
      <w:pBdr>
        <w:top w:val="single" w:sz="8" w:space="0" w:color="auto"/>
      </w:pBdr>
      <w:shd w:val="clear" w:color="000000" w:fill="FFFFFF"/>
      <w:spacing w:before="100" w:beforeAutospacing="1" w:after="100" w:afterAutospacing="1" w:line="240" w:lineRule="auto"/>
    </w:pPr>
    <w:rPr>
      <w:rFonts w:eastAsia="Times New Roman"/>
    </w:rPr>
  </w:style>
  <w:style w:type="paragraph" w:customStyle="1" w:styleId="xl84">
    <w:name w:val="xl84"/>
    <w:basedOn w:val="Normal"/>
    <w:rsid w:val="001A64D9"/>
    <w:pPr>
      <w:pBdr>
        <w:top w:val="single" w:sz="8" w:space="0" w:color="auto"/>
        <w:right w:val="single" w:sz="8" w:space="0" w:color="auto"/>
      </w:pBdr>
      <w:shd w:val="clear" w:color="000000" w:fill="FFFFFF"/>
      <w:spacing w:before="100" w:beforeAutospacing="1" w:after="100" w:afterAutospacing="1" w:line="240" w:lineRule="auto"/>
    </w:pPr>
    <w:rPr>
      <w:rFonts w:eastAsia="Times New Roman"/>
    </w:rPr>
  </w:style>
  <w:style w:type="paragraph" w:customStyle="1" w:styleId="xl85">
    <w:name w:val="xl85"/>
    <w:basedOn w:val="Normal"/>
    <w:rsid w:val="001A64D9"/>
    <w:pPr>
      <w:shd w:val="clear" w:color="000000" w:fill="FFFFFF"/>
      <w:spacing w:before="100" w:beforeAutospacing="1" w:after="100" w:afterAutospacing="1" w:line="240" w:lineRule="auto"/>
      <w:jc w:val="center"/>
      <w:textAlignment w:val="center"/>
    </w:pPr>
    <w:rPr>
      <w:rFonts w:eastAsia="Times New Roman"/>
    </w:rPr>
  </w:style>
  <w:style w:type="paragraph" w:customStyle="1" w:styleId="xl86">
    <w:name w:val="xl86"/>
    <w:basedOn w:val="Normal"/>
    <w:rsid w:val="001A64D9"/>
    <w:pPr>
      <w:shd w:val="clear" w:color="000000" w:fill="FFFFFF"/>
      <w:spacing w:before="100" w:beforeAutospacing="1" w:after="100" w:afterAutospacing="1" w:line="240" w:lineRule="auto"/>
      <w:jc w:val="center"/>
      <w:textAlignment w:val="center"/>
    </w:pPr>
    <w:rPr>
      <w:rFonts w:eastAsia="Times New Roman"/>
    </w:rPr>
  </w:style>
  <w:style w:type="paragraph" w:customStyle="1" w:styleId="xl87">
    <w:name w:val="xl87"/>
    <w:basedOn w:val="Normal"/>
    <w:rsid w:val="001A64D9"/>
    <w:pPr>
      <w:pBdr>
        <w:right w:val="single" w:sz="8" w:space="0" w:color="auto"/>
      </w:pBdr>
      <w:shd w:val="clear" w:color="000000" w:fill="FFFFFF"/>
      <w:spacing w:before="100" w:beforeAutospacing="1" w:after="100" w:afterAutospacing="1" w:line="240" w:lineRule="auto"/>
    </w:pPr>
    <w:rPr>
      <w:rFonts w:eastAsia="Times New Roman"/>
    </w:rPr>
  </w:style>
  <w:style w:type="paragraph" w:customStyle="1" w:styleId="xl88">
    <w:name w:val="xl88"/>
    <w:basedOn w:val="Normal"/>
    <w:rsid w:val="001A64D9"/>
    <w:pPr>
      <w:pBdr>
        <w:top w:val="single" w:sz="8" w:space="0" w:color="auto"/>
        <w:right w:val="single" w:sz="4" w:space="0" w:color="auto"/>
      </w:pBdr>
      <w:shd w:val="clear" w:color="000000" w:fill="FFFFFF"/>
      <w:spacing w:before="100" w:beforeAutospacing="1" w:after="100" w:afterAutospacing="1" w:line="240" w:lineRule="auto"/>
    </w:pPr>
    <w:rPr>
      <w:rFonts w:eastAsia="Times New Roman"/>
    </w:rPr>
  </w:style>
  <w:style w:type="paragraph" w:customStyle="1" w:styleId="xl89">
    <w:name w:val="xl89"/>
    <w:basedOn w:val="Normal"/>
    <w:rsid w:val="001A64D9"/>
    <w:pPr>
      <w:pBdr>
        <w:right w:val="single" w:sz="4" w:space="0" w:color="auto"/>
      </w:pBdr>
      <w:shd w:val="clear" w:color="000000" w:fill="FFFFFF"/>
      <w:spacing w:before="100" w:beforeAutospacing="1" w:after="100" w:afterAutospacing="1" w:line="240" w:lineRule="auto"/>
    </w:pPr>
    <w:rPr>
      <w:rFonts w:eastAsia="Times New Roman"/>
    </w:rPr>
  </w:style>
  <w:style w:type="paragraph" w:customStyle="1" w:styleId="xl90">
    <w:name w:val="xl90"/>
    <w:basedOn w:val="Normal"/>
    <w:rsid w:val="001A64D9"/>
    <w:pPr>
      <w:pBdr>
        <w:top w:val="single" w:sz="8" w:space="0" w:color="auto"/>
        <w:left w:val="single" w:sz="8" w:space="0" w:color="auto"/>
        <w:bottom w:val="single" w:sz="4" w:space="0" w:color="auto"/>
      </w:pBdr>
      <w:shd w:val="clear" w:color="000000" w:fill="FFFFFF"/>
      <w:spacing w:before="100" w:beforeAutospacing="1" w:after="100" w:afterAutospacing="1" w:line="240" w:lineRule="auto"/>
      <w:jc w:val="center"/>
    </w:pPr>
    <w:rPr>
      <w:rFonts w:eastAsia="Times New Roman"/>
    </w:rPr>
  </w:style>
  <w:style w:type="paragraph" w:customStyle="1" w:styleId="xl91">
    <w:name w:val="xl91"/>
    <w:basedOn w:val="Normal"/>
    <w:rsid w:val="001A64D9"/>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eastAsia="Times New Roman"/>
    </w:rPr>
  </w:style>
  <w:style w:type="paragraph" w:customStyle="1" w:styleId="xl92">
    <w:name w:val="xl92"/>
    <w:basedOn w:val="Normal"/>
    <w:rsid w:val="001A64D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rPr>
  </w:style>
  <w:style w:type="paragraph" w:customStyle="1" w:styleId="xl93">
    <w:name w:val="xl93"/>
    <w:basedOn w:val="Normal"/>
    <w:rsid w:val="001A64D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rPr>
  </w:style>
  <w:style w:type="paragraph" w:customStyle="1" w:styleId="xl94">
    <w:name w:val="xl94"/>
    <w:basedOn w:val="Normal"/>
    <w:rsid w:val="001A64D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pPr>
    <w:rPr>
      <w:rFonts w:eastAsia="Times New Roman"/>
    </w:rPr>
  </w:style>
  <w:style w:type="paragraph" w:customStyle="1" w:styleId="xl95">
    <w:name w:val="xl95"/>
    <w:basedOn w:val="Normal"/>
    <w:rsid w:val="001A64D9"/>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rPr>
  </w:style>
  <w:style w:type="paragraph" w:customStyle="1" w:styleId="xl96">
    <w:name w:val="xl96"/>
    <w:basedOn w:val="Normal"/>
    <w:rsid w:val="001A64D9"/>
    <w:pPr>
      <w:pBdr>
        <w:top w:val="single" w:sz="8" w:space="0" w:color="auto"/>
        <w:bottom w:val="single" w:sz="4" w:space="0" w:color="auto"/>
      </w:pBdr>
      <w:shd w:val="clear" w:color="000000" w:fill="FFFFFF"/>
      <w:spacing w:before="100" w:beforeAutospacing="1" w:after="100" w:afterAutospacing="1" w:line="240" w:lineRule="auto"/>
      <w:jc w:val="center"/>
    </w:pPr>
    <w:rPr>
      <w:rFonts w:eastAsia="Times New Roman"/>
    </w:rPr>
  </w:style>
  <w:style w:type="paragraph" w:customStyle="1" w:styleId="xl97">
    <w:name w:val="xl97"/>
    <w:basedOn w:val="Normal"/>
    <w:rsid w:val="001A64D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pPr>
    <w:rPr>
      <w:rFonts w:eastAsia="Times New Roman"/>
    </w:rPr>
  </w:style>
  <w:style w:type="paragraph" w:customStyle="1" w:styleId="xl98">
    <w:name w:val="xl98"/>
    <w:basedOn w:val="Normal"/>
    <w:rsid w:val="001A64D9"/>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rPr>
  </w:style>
  <w:style w:type="paragraph" w:styleId="BalloonText">
    <w:name w:val="Balloon Text"/>
    <w:basedOn w:val="Normal"/>
    <w:link w:val="BalloonTextChar"/>
    <w:uiPriority w:val="99"/>
    <w:semiHidden/>
    <w:unhideWhenUsed/>
    <w:rsid w:val="005D09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090C"/>
    <w:rPr>
      <w:rFonts w:ascii="Segoe UI" w:hAnsi="Segoe UI" w:cs="Segoe UI"/>
      <w:sz w:val="18"/>
      <w:szCs w:val="18"/>
    </w:rPr>
  </w:style>
  <w:style w:type="paragraph" w:styleId="BlockText">
    <w:name w:val="Block Text"/>
    <w:basedOn w:val="Normal"/>
    <w:uiPriority w:val="99"/>
    <w:semiHidden/>
    <w:unhideWhenUsed/>
    <w:rsid w:val="005D090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uiPriority w:val="99"/>
    <w:semiHidden/>
    <w:unhideWhenUsed/>
    <w:rsid w:val="005D090C"/>
    <w:pPr>
      <w:spacing w:after="120"/>
    </w:pPr>
  </w:style>
  <w:style w:type="character" w:customStyle="1" w:styleId="BodyTextChar">
    <w:name w:val="Body Text Char"/>
    <w:basedOn w:val="DefaultParagraphFont"/>
    <w:link w:val="BodyText"/>
    <w:uiPriority w:val="99"/>
    <w:semiHidden/>
    <w:rsid w:val="005D090C"/>
  </w:style>
  <w:style w:type="paragraph" w:styleId="BodyText2">
    <w:name w:val="Body Text 2"/>
    <w:basedOn w:val="Normal"/>
    <w:link w:val="BodyText2Char"/>
    <w:uiPriority w:val="99"/>
    <w:semiHidden/>
    <w:unhideWhenUsed/>
    <w:rsid w:val="005D090C"/>
    <w:pPr>
      <w:spacing w:after="120" w:line="480" w:lineRule="auto"/>
    </w:pPr>
  </w:style>
  <w:style w:type="character" w:customStyle="1" w:styleId="BodyText2Char">
    <w:name w:val="Body Text 2 Char"/>
    <w:basedOn w:val="DefaultParagraphFont"/>
    <w:link w:val="BodyText2"/>
    <w:uiPriority w:val="99"/>
    <w:semiHidden/>
    <w:rsid w:val="005D090C"/>
  </w:style>
  <w:style w:type="paragraph" w:styleId="BodyText3">
    <w:name w:val="Body Text 3"/>
    <w:basedOn w:val="Normal"/>
    <w:link w:val="BodyText3Char"/>
    <w:uiPriority w:val="99"/>
    <w:semiHidden/>
    <w:unhideWhenUsed/>
    <w:rsid w:val="005D090C"/>
    <w:pPr>
      <w:spacing w:after="120"/>
    </w:pPr>
    <w:rPr>
      <w:sz w:val="16"/>
      <w:szCs w:val="16"/>
    </w:rPr>
  </w:style>
  <w:style w:type="character" w:customStyle="1" w:styleId="BodyText3Char">
    <w:name w:val="Body Text 3 Char"/>
    <w:basedOn w:val="DefaultParagraphFont"/>
    <w:link w:val="BodyText3"/>
    <w:uiPriority w:val="99"/>
    <w:semiHidden/>
    <w:rsid w:val="005D090C"/>
    <w:rPr>
      <w:sz w:val="16"/>
      <w:szCs w:val="16"/>
    </w:rPr>
  </w:style>
  <w:style w:type="paragraph" w:styleId="BodyTextFirstIndent">
    <w:name w:val="Body Text First Indent"/>
    <w:basedOn w:val="BodyText"/>
    <w:link w:val="BodyTextFirstIndentChar"/>
    <w:uiPriority w:val="99"/>
    <w:semiHidden/>
    <w:unhideWhenUsed/>
    <w:rsid w:val="005D090C"/>
    <w:pPr>
      <w:spacing w:after="160"/>
      <w:ind w:firstLine="360"/>
    </w:pPr>
  </w:style>
  <w:style w:type="character" w:customStyle="1" w:styleId="BodyTextFirstIndentChar">
    <w:name w:val="Body Text First Indent Char"/>
    <w:basedOn w:val="BodyTextChar"/>
    <w:link w:val="BodyTextFirstIndent"/>
    <w:uiPriority w:val="99"/>
    <w:semiHidden/>
    <w:rsid w:val="005D090C"/>
  </w:style>
  <w:style w:type="paragraph" w:styleId="BodyTextIndent">
    <w:name w:val="Body Text Indent"/>
    <w:basedOn w:val="Normal"/>
    <w:link w:val="BodyTextIndentChar"/>
    <w:uiPriority w:val="99"/>
    <w:semiHidden/>
    <w:unhideWhenUsed/>
    <w:rsid w:val="005D090C"/>
    <w:pPr>
      <w:spacing w:after="120"/>
      <w:ind w:left="360"/>
    </w:pPr>
  </w:style>
  <w:style w:type="character" w:customStyle="1" w:styleId="BodyTextIndentChar">
    <w:name w:val="Body Text Indent Char"/>
    <w:basedOn w:val="DefaultParagraphFont"/>
    <w:link w:val="BodyTextIndent"/>
    <w:uiPriority w:val="99"/>
    <w:semiHidden/>
    <w:rsid w:val="005D090C"/>
  </w:style>
  <w:style w:type="paragraph" w:styleId="BodyTextFirstIndent2">
    <w:name w:val="Body Text First Indent 2"/>
    <w:basedOn w:val="BodyTextIndent"/>
    <w:link w:val="BodyTextFirstIndent2Char"/>
    <w:uiPriority w:val="99"/>
    <w:semiHidden/>
    <w:unhideWhenUsed/>
    <w:rsid w:val="005D090C"/>
    <w:pPr>
      <w:spacing w:after="160"/>
      <w:ind w:firstLine="360"/>
    </w:pPr>
  </w:style>
  <w:style w:type="character" w:customStyle="1" w:styleId="BodyTextFirstIndent2Char">
    <w:name w:val="Body Text First Indent 2 Char"/>
    <w:basedOn w:val="BodyTextIndentChar"/>
    <w:link w:val="BodyTextFirstIndent2"/>
    <w:uiPriority w:val="99"/>
    <w:semiHidden/>
    <w:rsid w:val="005D090C"/>
  </w:style>
  <w:style w:type="paragraph" w:styleId="BodyTextIndent2">
    <w:name w:val="Body Text Indent 2"/>
    <w:basedOn w:val="Normal"/>
    <w:link w:val="BodyTextIndent2Char"/>
    <w:uiPriority w:val="99"/>
    <w:semiHidden/>
    <w:unhideWhenUsed/>
    <w:rsid w:val="005D090C"/>
    <w:pPr>
      <w:spacing w:after="120" w:line="480" w:lineRule="auto"/>
      <w:ind w:left="360"/>
    </w:pPr>
  </w:style>
  <w:style w:type="character" w:customStyle="1" w:styleId="BodyTextIndent2Char">
    <w:name w:val="Body Text Indent 2 Char"/>
    <w:basedOn w:val="DefaultParagraphFont"/>
    <w:link w:val="BodyTextIndent2"/>
    <w:uiPriority w:val="99"/>
    <w:semiHidden/>
    <w:rsid w:val="005D090C"/>
  </w:style>
  <w:style w:type="paragraph" w:styleId="BodyTextIndent3">
    <w:name w:val="Body Text Indent 3"/>
    <w:basedOn w:val="Normal"/>
    <w:link w:val="BodyTextIndent3Char"/>
    <w:uiPriority w:val="99"/>
    <w:semiHidden/>
    <w:unhideWhenUsed/>
    <w:rsid w:val="005D090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D090C"/>
    <w:rPr>
      <w:sz w:val="16"/>
      <w:szCs w:val="16"/>
    </w:rPr>
  </w:style>
  <w:style w:type="paragraph" w:styleId="Caption">
    <w:name w:val="caption"/>
    <w:basedOn w:val="Normal"/>
    <w:next w:val="Normal"/>
    <w:uiPriority w:val="35"/>
    <w:semiHidden/>
    <w:unhideWhenUsed/>
    <w:qFormat/>
    <w:rsid w:val="005D090C"/>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5D090C"/>
    <w:pPr>
      <w:spacing w:after="0" w:line="240" w:lineRule="auto"/>
      <w:ind w:left="4320"/>
    </w:pPr>
  </w:style>
  <w:style w:type="character" w:customStyle="1" w:styleId="ClosingChar">
    <w:name w:val="Closing Char"/>
    <w:basedOn w:val="DefaultParagraphFont"/>
    <w:link w:val="Closing"/>
    <w:uiPriority w:val="99"/>
    <w:semiHidden/>
    <w:rsid w:val="005D090C"/>
  </w:style>
  <w:style w:type="paragraph" w:styleId="Date">
    <w:name w:val="Date"/>
    <w:basedOn w:val="Normal"/>
    <w:next w:val="Normal"/>
    <w:link w:val="DateChar"/>
    <w:uiPriority w:val="99"/>
    <w:semiHidden/>
    <w:unhideWhenUsed/>
    <w:rsid w:val="005D090C"/>
  </w:style>
  <w:style w:type="character" w:customStyle="1" w:styleId="DateChar">
    <w:name w:val="Date Char"/>
    <w:basedOn w:val="DefaultParagraphFont"/>
    <w:link w:val="Date"/>
    <w:uiPriority w:val="99"/>
    <w:semiHidden/>
    <w:rsid w:val="005D090C"/>
  </w:style>
  <w:style w:type="paragraph" w:styleId="DocumentMap">
    <w:name w:val="Document Map"/>
    <w:basedOn w:val="Normal"/>
    <w:link w:val="DocumentMapChar"/>
    <w:uiPriority w:val="99"/>
    <w:semiHidden/>
    <w:unhideWhenUsed/>
    <w:rsid w:val="005D090C"/>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D090C"/>
    <w:rPr>
      <w:rFonts w:ascii="Segoe UI" w:hAnsi="Segoe UI" w:cs="Segoe UI"/>
      <w:sz w:val="16"/>
      <w:szCs w:val="16"/>
    </w:rPr>
  </w:style>
  <w:style w:type="paragraph" w:styleId="E-mailSignature">
    <w:name w:val="E-mail Signature"/>
    <w:basedOn w:val="Normal"/>
    <w:link w:val="E-mailSignatureChar"/>
    <w:uiPriority w:val="99"/>
    <w:semiHidden/>
    <w:unhideWhenUsed/>
    <w:rsid w:val="005D090C"/>
    <w:pPr>
      <w:spacing w:after="0" w:line="240" w:lineRule="auto"/>
    </w:pPr>
  </w:style>
  <w:style w:type="character" w:customStyle="1" w:styleId="E-mailSignatureChar">
    <w:name w:val="E-mail Signature Char"/>
    <w:basedOn w:val="DefaultParagraphFont"/>
    <w:link w:val="E-mailSignature"/>
    <w:uiPriority w:val="99"/>
    <w:semiHidden/>
    <w:rsid w:val="005D090C"/>
  </w:style>
  <w:style w:type="paragraph" w:styleId="EndnoteText">
    <w:name w:val="endnote text"/>
    <w:basedOn w:val="Normal"/>
    <w:link w:val="EndnoteTextChar"/>
    <w:uiPriority w:val="99"/>
    <w:semiHidden/>
    <w:unhideWhenUsed/>
    <w:rsid w:val="005D090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D090C"/>
    <w:rPr>
      <w:sz w:val="20"/>
      <w:szCs w:val="20"/>
    </w:rPr>
  </w:style>
  <w:style w:type="paragraph" w:styleId="EnvelopeAddress">
    <w:name w:val="envelope address"/>
    <w:basedOn w:val="Normal"/>
    <w:uiPriority w:val="99"/>
    <w:semiHidden/>
    <w:unhideWhenUsed/>
    <w:rsid w:val="005D090C"/>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5D090C"/>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5D09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090C"/>
    <w:rPr>
      <w:sz w:val="20"/>
      <w:szCs w:val="20"/>
    </w:rPr>
  </w:style>
  <w:style w:type="character" w:customStyle="1" w:styleId="Heading1Char">
    <w:name w:val="Heading 1 Char"/>
    <w:basedOn w:val="DefaultParagraphFont"/>
    <w:link w:val="Heading1"/>
    <w:uiPriority w:val="9"/>
    <w:rsid w:val="005D090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D090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D090C"/>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5D090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D090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D090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D090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D090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D090C"/>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5D090C"/>
    <w:pPr>
      <w:spacing w:after="0" w:line="240" w:lineRule="auto"/>
    </w:pPr>
    <w:rPr>
      <w:i/>
      <w:iCs/>
    </w:rPr>
  </w:style>
  <w:style w:type="character" w:customStyle="1" w:styleId="HTMLAddressChar">
    <w:name w:val="HTML Address Char"/>
    <w:basedOn w:val="DefaultParagraphFont"/>
    <w:link w:val="HTMLAddress"/>
    <w:uiPriority w:val="99"/>
    <w:semiHidden/>
    <w:rsid w:val="005D090C"/>
    <w:rPr>
      <w:i/>
      <w:iCs/>
    </w:rPr>
  </w:style>
  <w:style w:type="paragraph" w:styleId="HTMLPreformatted">
    <w:name w:val="HTML Preformatted"/>
    <w:basedOn w:val="Normal"/>
    <w:link w:val="HTMLPreformattedChar"/>
    <w:uiPriority w:val="99"/>
    <w:semiHidden/>
    <w:unhideWhenUsed/>
    <w:rsid w:val="005D090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D090C"/>
    <w:rPr>
      <w:rFonts w:ascii="Consolas" w:hAnsi="Consolas"/>
      <w:sz w:val="20"/>
      <w:szCs w:val="20"/>
    </w:rPr>
  </w:style>
  <w:style w:type="paragraph" w:styleId="Index1">
    <w:name w:val="index 1"/>
    <w:basedOn w:val="Normal"/>
    <w:next w:val="Normal"/>
    <w:autoRedefine/>
    <w:uiPriority w:val="99"/>
    <w:semiHidden/>
    <w:unhideWhenUsed/>
    <w:rsid w:val="005D090C"/>
    <w:pPr>
      <w:spacing w:after="0" w:line="240" w:lineRule="auto"/>
      <w:ind w:left="240" w:hanging="240"/>
    </w:pPr>
  </w:style>
  <w:style w:type="paragraph" w:styleId="Index2">
    <w:name w:val="index 2"/>
    <w:basedOn w:val="Normal"/>
    <w:next w:val="Normal"/>
    <w:autoRedefine/>
    <w:uiPriority w:val="99"/>
    <w:semiHidden/>
    <w:unhideWhenUsed/>
    <w:rsid w:val="005D090C"/>
    <w:pPr>
      <w:spacing w:after="0" w:line="240" w:lineRule="auto"/>
      <w:ind w:left="480" w:hanging="240"/>
    </w:pPr>
  </w:style>
  <w:style w:type="paragraph" w:styleId="Index3">
    <w:name w:val="index 3"/>
    <w:basedOn w:val="Normal"/>
    <w:next w:val="Normal"/>
    <w:autoRedefine/>
    <w:uiPriority w:val="99"/>
    <w:semiHidden/>
    <w:unhideWhenUsed/>
    <w:rsid w:val="005D090C"/>
    <w:pPr>
      <w:spacing w:after="0" w:line="240" w:lineRule="auto"/>
      <w:ind w:left="720" w:hanging="240"/>
    </w:pPr>
  </w:style>
  <w:style w:type="paragraph" w:styleId="Index4">
    <w:name w:val="index 4"/>
    <w:basedOn w:val="Normal"/>
    <w:next w:val="Normal"/>
    <w:autoRedefine/>
    <w:uiPriority w:val="99"/>
    <w:semiHidden/>
    <w:unhideWhenUsed/>
    <w:rsid w:val="005D090C"/>
    <w:pPr>
      <w:spacing w:after="0" w:line="240" w:lineRule="auto"/>
      <w:ind w:left="960" w:hanging="240"/>
    </w:pPr>
  </w:style>
  <w:style w:type="paragraph" w:styleId="Index5">
    <w:name w:val="index 5"/>
    <w:basedOn w:val="Normal"/>
    <w:next w:val="Normal"/>
    <w:autoRedefine/>
    <w:uiPriority w:val="99"/>
    <w:semiHidden/>
    <w:unhideWhenUsed/>
    <w:rsid w:val="005D090C"/>
    <w:pPr>
      <w:spacing w:after="0" w:line="240" w:lineRule="auto"/>
      <w:ind w:left="1200" w:hanging="240"/>
    </w:pPr>
  </w:style>
  <w:style w:type="paragraph" w:styleId="Index6">
    <w:name w:val="index 6"/>
    <w:basedOn w:val="Normal"/>
    <w:next w:val="Normal"/>
    <w:autoRedefine/>
    <w:uiPriority w:val="99"/>
    <w:semiHidden/>
    <w:unhideWhenUsed/>
    <w:rsid w:val="005D090C"/>
    <w:pPr>
      <w:spacing w:after="0" w:line="240" w:lineRule="auto"/>
      <w:ind w:left="1440" w:hanging="240"/>
    </w:pPr>
  </w:style>
  <w:style w:type="paragraph" w:styleId="Index7">
    <w:name w:val="index 7"/>
    <w:basedOn w:val="Normal"/>
    <w:next w:val="Normal"/>
    <w:autoRedefine/>
    <w:uiPriority w:val="99"/>
    <w:semiHidden/>
    <w:unhideWhenUsed/>
    <w:rsid w:val="005D090C"/>
    <w:pPr>
      <w:spacing w:after="0" w:line="240" w:lineRule="auto"/>
      <w:ind w:left="1680" w:hanging="240"/>
    </w:pPr>
  </w:style>
  <w:style w:type="paragraph" w:styleId="Index8">
    <w:name w:val="index 8"/>
    <w:basedOn w:val="Normal"/>
    <w:next w:val="Normal"/>
    <w:autoRedefine/>
    <w:uiPriority w:val="99"/>
    <w:semiHidden/>
    <w:unhideWhenUsed/>
    <w:rsid w:val="005D090C"/>
    <w:pPr>
      <w:spacing w:after="0" w:line="240" w:lineRule="auto"/>
      <w:ind w:left="1920" w:hanging="240"/>
    </w:pPr>
  </w:style>
  <w:style w:type="paragraph" w:styleId="Index9">
    <w:name w:val="index 9"/>
    <w:basedOn w:val="Normal"/>
    <w:next w:val="Normal"/>
    <w:autoRedefine/>
    <w:uiPriority w:val="99"/>
    <w:semiHidden/>
    <w:unhideWhenUsed/>
    <w:rsid w:val="005D090C"/>
    <w:pPr>
      <w:spacing w:after="0" w:line="240" w:lineRule="auto"/>
      <w:ind w:left="2160" w:hanging="240"/>
    </w:pPr>
  </w:style>
  <w:style w:type="paragraph" w:styleId="IndexHeading">
    <w:name w:val="index heading"/>
    <w:basedOn w:val="Normal"/>
    <w:next w:val="Index1"/>
    <w:uiPriority w:val="99"/>
    <w:semiHidden/>
    <w:unhideWhenUsed/>
    <w:rsid w:val="005D090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D090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D090C"/>
    <w:rPr>
      <w:i/>
      <w:iCs/>
      <w:color w:val="4472C4" w:themeColor="accent1"/>
    </w:rPr>
  </w:style>
  <w:style w:type="paragraph" w:styleId="List">
    <w:name w:val="List"/>
    <w:basedOn w:val="Normal"/>
    <w:uiPriority w:val="99"/>
    <w:semiHidden/>
    <w:unhideWhenUsed/>
    <w:rsid w:val="005D090C"/>
    <w:pPr>
      <w:ind w:left="360" w:hanging="360"/>
      <w:contextualSpacing/>
    </w:pPr>
  </w:style>
  <w:style w:type="paragraph" w:styleId="List2">
    <w:name w:val="List 2"/>
    <w:basedOn w:val="Normal"/>
    <w:uiPriority w:val="99"/>
    <w:semiHidden/>
    <w:unhideWhenUsed/>
    <w:rsid w:val="005D090C"/>
    <w:pPr>
      <w:ind w:left="720" w:hanging="360"/>
      <w:contextualSpacing/>
    </w:pPr>
  </w:style>
  <w:style w:type="paragraph" w:styleId="List3">
    <w:name w:val="List 3"/>
    <w:basedOn w:val="Normal"/>
    <w:uiPriority w:val="99"/>
    <w:semiHidden/>
    <w:unhideWhenUsed/>
    <w:rsid w:val="005D090C"/>
    <w:pPr>
      <w:ind w:left="1080" w:hanging="360"/>
      <w:contextualSpacing/>
    </w:pPr>
  </w:style>
  <w:style w:type="paragraph" w:styleId="List4">
    <w:name w:val="List 4"/>
    <w:basedOn w:val="Normal"/>
    <w:uiPriority w:val="99"/>
    <w:semiHidden/>
    <w:unhideWhenUsed/>
    <w:rsid w:val="005D090C"/>
    <w:pPr>
      <w:ind w:left="1440" w:hanging="360"/>
      <w:contextualSpacing/>
    </w:pPr>
  </w:style>
  <w:style w:type="paragraph" w:styleId="List5">
    <w:name w:val="List 5"/>
    <w:basedOn w:val="Normal"/>
    <w:uiPriority w:val="99"/>
    <w:semiHidden/>
    <w:unhideWhenUsed/>
    <w:rsid w:val="005D090C"/>
    <w:pPr>
      <w:ind w:left="1800" w:hanging="360"/>
      <w:contextualSpacing/>
    </w:pPr>
  </w:style>
  <w:style w:type="paragraph" w:styleId="ListBullet">
    <w:name w:val="List Bullet"/>
    <w:basedOn w:val="Normal"/>
    <w:uiPriority w:val="99"/>
    <w:semiHidden/>
    <w:unhideWhenUsed/>
    <w:rsid w:val="005D090C"/>
    <w:pPr>
      <w:numPr>
        <w:numId w:val="14"/>
      </w:numPr>
      <w:contextualSpacing/>
    </w:pPr>
  </w:style>
  <w:style w:type="paragraph" w:styleId="ListBullet2">
    <w:name w:val="List Bullet 2"/>
    <w:basedOn w:val="Normal"/>
    <w:uiPriority w:val="99"/>
    <w:semiHidden/>
    <w:unhideWhenUsed/>
    <w:rsid w:val="005D090C"/>
    <w:pPr>
      <w:numPr>
        <w:numId w:val="15"/>
      </w:numPr>
      <w:contextualSpacing/>
    </w:pPr>
  </w:style>
  <w:style w:type="paragraph" w:styleId="ListBullet3">
    <w:name w:val="List Bullet 3"/>
    <w:basedOn w:val="Normal"/>
    <w:uiPriority w:val="99"/>
    <w:semiHidden/>
    <w:unhideWhenUsed/>
    <w:rsid w:val="005D090C"/>
    <w:pPr>
      <w:numPr>
        <w:numId w:val="16"/>
      </w:numPr>
      <w:contextualSpacing/>
    </w:pPr>
  </w:style>
  <w:style w:type="paragraph" w:styleId="ListBullet4">
    <w:name w:val="List Bullet 4"/>
    <w:basedOn w:val="Normal"/>
    <w:uiPriority w:val="99"/>
    <w:semiHidden/>
    <w:unhideWhenUsed/>
    <w:rsid w:val="005D090C"/>
    <w:pPr>
      <w:numPr>
        <w:numId w:val="17"/>
      </w:numPr>
      <w:contextualSpacing/>
    </w:pPr>
  </w:style>
  <w:style w:type="paragraph" w:styleId="ListBullet5">
    <w:name w:val="List Bullet 5"/>
    <w:basedOn w:val="Normal"/>
    <w:uiPriority w:val="99"/>
    <w:semiHidden/>
    <w:unhideWhenUsed/>
    <w:rsid w:val="005D090C"/>
    <w:pPr>
      <w:numPr>
        <w:numId w:val="18"/>
      </w:numPr>
      <w:contextualSpacing/>
    </w:pPr>
  </w:style>
  <w:style w:type="paragraph" w:styleId="ListContinue">
    <w:name w:val="List Continue"/>
    <w:basedOn w:val="Normal"/>
    <w:uiPriority w:val="99"/>
    <w:semiHidden/>
    <w:unhideWhenUsed/>
    <w:rsid w:val="005D090C"/>
    <w:pPr>
      <w:spacing w:after="120"/>
      <w:ind w:left="360"/>
      <w:contextualSpacing/>
    </w:pPr>
  </w:style>
  <w:style w:type="paragraph" w:styleId="ListContinue2">
    <w:name w:val="List Continue 2"/>
    <w:basedOn w:val="Normal"/>
    <w:uiPriority w:val="99"/>
    <w:semiHidden/>
    <w:unhideWhenUsed/>
    <w:rsid w:val="005D090C"/>
    <w:pPr>
      <w:spacing w:after="120"/>
      <w:ind w:left="720"/>
      <w:contextualSpacing/>
    </w:pPr>
  </w:style>
  <w:style w:type="paragraph" w:styleId="ListContinue3">
    <w:name w:val="List Continue 3"/>
    <w:basedOn w:val="Normal"/>
    <w:uiPriority w:val="99"/>
    <w:semiHidden/>
    <w:unhideWhenUsed/>
    <w:rsid w:val="005D090C"/>
    <w:pPr>
      <w:spacing w:after="120"/>
      <w:ind w:left="1080"/>
      <w:contextualSpacing/>
    </w:pPr>
  </w:style>
  <w:style w:type="paragraph" w:styleId="ListContinue4">
    <w:name w:val="List Continue 4"/>
    <w:basedOn w:val="Normal"/>
    <w:uiPriority w:val="99"/>
    <w:semiHidden/>
    <w:unhideWhenUsed/>
    <w:rsid w:val="005D090C"/>
    <w:pPr>
      <w:spacing w:after="120"/>
      <w:ind w:left="1440"/>
      <w:contextualSpacing/>
    </w:pPr>
  </w:style>
  <w:style w:type="paragraph" w:styleId="ListContinue5">
    <w:name w:val="List Continue 5"/>
    <w:basedOn w:val="Normal"/>
    <w:uiPriority w:val="99"/>
    <w:semiHidden/>
    <w:unhideWhenUsed/>
    <w:rsid w:val="005D090C"/>
    <w:pPr>
      <w:spacing w:after="120"/>
      <w:ind w:left="1800"/>
      <w:contextualSpacing/>
    </w:pPr>
  </w:style>
  <w:style w:type="paragraph" w:styleId="ListNumber">
    <w:name w:val="List Number"/>
    <w:basedOn w:val="Normal"/>
    <w:uiPriority w:val="99"/>
    <w:semiHidden/>
    <w:unhideWhenUsed/>
    <w:rsid w:val="005D090C"/>
    <w:pPr>
      <w:numPr>
        <w:numId w:val="19"/>
      </w:numPr>
      <w:contextualSpacing/>
    </w:pPr>
  </w:style>
  <w:style w:type="paragraph" w:styleId="ListNumber2">
    <w:name w:val="List Number 2"/>
    <w:basedOn w:val="Normal"/>
    <w:uiPriority w:val="99"/>
    <w:semiHidden/>
    <w:unhideWhenUsed/>
    <w:rsid w:val="005D090C"/>
    <w:pPr>
      <w:numPr>
        <w:numId w:val="20"/>
      </w:numPr>
      <w:contextualSpacing/>
    </w:pPr>
  </w:style>
  <w:style w:type="paragraph" w:styleId="ListNumber3">
    <w:name w:val="List Number 3"/>
    <w:basedOn w:val="Normal"/>
    <w:uiPriority w:val="99"/>
    <w:semiHidden/>
    <w:unhideWhenUsed/>
    <w:rsid w:val="005D090C"/>
    <w:pPr>
      <w:numPr>
        <w:numId w:val="21"/>
      </w:numPr>
      <w:contextualSpacing/>
    </w:pPr>
  </w:style>
  <w:style w:type="paragraph" w:styleId="ListNumber4">
    <w:name w:val="List Number 4"/>
    <w:basedOn w:val="Normal"/>
    <w:uiPriority w:val="99"/>
    <w:semiHidden/>
    <w:unhideWhenUsed/>
    <w:rsid w:val="005D090C"/>
    <w:pPr>
      <w:numPr>
        <w:numId w:val="22"/>
      </w:numPr>
      <w:contextualSpacing/>
    </w:pPr>
  </w:style>
  <w:style w:type="paragraph" w:styleId="ListNumber5">
    <w:name w:val="List Number 5"/>
    <w:basedOn w:val="Normal"/>
    <w:uiPriority w:val="99"/>
    <w:semiHidden/>
    <w:unhideWhenUsed/>
    <w:rsid w:val="005D090C"/>
    <w:pPr>
      <w:numPr>
        <w:numId w:val="23"/>
      </w:numPr>
      <w:contextualSpacing/>
    </w:pPr>
  </w:style>
  <w:style w:type="paragraph" w:styleId="MacroText">
    <w:name w:val="macro"/>
    <w:link w:val="MacroTextChar"/>
    <w:uiPriority w:val="99"/>
    <w:semiHidden/>
    <w:unhideWhenUsed/>
    <w:rsid w:val="005D090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5D090C"/>
    <w:rPr>
      <w:rFonts w:ascii="Consolas" w:hAnsi="Consolas"/>
      <w:sz w:val="20"/>
      <w:szCs w:val="20"/>
    </w:rPr>
  </w:style>
  <w:style w:type="paragraph" w:styleId="MessageHeader">
    <w:name w:val="Message Header"/>
    <w:basedOn w:val="Normal"/>
    <w:link w:val="MessageHeaderChar"/>
    <w:uiPriority w:val="99"/>
    <w:semiHidden/>
    <w:unhideWhenUsed/>
    <w:rsid w:val="005D090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5D090C"/>
    <w:rPr>
      <w:rFonts w:asciiTheme="majorHAnsi" w:eastAsiaTheme="majorEastAsia" w:hAnsiTheme="majorHAnsi" w:cstheme="majorBidi"/>
      <w:shd w:val="pct20" w:color="auto" w:fill="auto"/>
    </w:rPr>
  </w:style>
  <w:style w:type="paragraph" w:styleId="NoSpacing">
    <w:name w:val="No Spacing"/>
    <w:uiPriority w:val="1"/>
    <w:qFormat/>
    <w:rsid w:val="005D090C"/>
    <w:pPr>
      <w:spacing w:after="0" w:line="240" w:lineRule="auto"/>
    </w:pPr>
  </w:style>
  <w:style w:type="paragraph" w:styleId="NormalWeb">
    <w:name w:val="Normal (Web)"/>
    <w:basedOn w:val="Normal"/>
    <w:uiPriority w:val="99"/>
    <w:semiHidden/>
    <w:unhideWhenUsed/>
    <w:rsid w:val="005D090C"/>
  </w:style>
  <w:style w:type="paragraph" w:styleId="NormalIndent">
    <w:name w:val="Normal Indent"/>
    <w:basedOn w:val="Normal"/>
    <w:uiPriority w:val="99"/>
    <w:semiHidden/>
    <w:unhideWhenUsed/>
    <w:rsid w:val="005D090C"/>
    <w:pPr>
      <w:ind w:left="720"/>
    </w:pPr>
  </w:style>
  <w:style w:type="paragraph" w:styleId="NoteHeading">
    <w:name w:val="Note Heading"/>
    <w:basedOn w:val="Normal"/>
    <w:next w:val="Normal"/>
    <w:link w:val="NoteHeadingChar"/>
    <w:uiPriority w:val="99"/>
    <w:semiHidden/>
    <w:unhideWhenUsed/>
    <w:rsid w:val="005D090C"/>
    <w:pPr>
      <w:spacing w:after="0" w:line="240" w:lineRule="auto"/>
    </w:pPr>
  </w:style>
  <w:style w:type="character" w:customStyle="1" w:styleId="NoteHeadingChar">
    <w:name w:val="Note Heading Char"/>
    <w:basedOn w:val="DefaultParagraphFont"/>
    <w:link w:val="NoteHeading"/>
    <w:uiPriority w:val="99"/>
    <w:semiHidden/>
    <w:rsid w:val="005D090C"/>
  </w:style>
  <w:style w:type="paragraph" w:styleId="PlainText">
    <w:name w:val="Plain Text"/>
    <w:basedOn w:val="Normal"/>
    <w:link w:val="PlainTextChar"/>
    <w:uiPriority w:val="99"/>
    <w:semiHidden/>
    <w:unhideWhenUsed/>
    <w:rsid w:val="005D090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D090C"/>
    <w:rPr>
      <w:rFonts w:ascii="Consolas" w:hAnsi="Consolas"/>
      <w:sz w:val="21"/>
      <w:szCs w:val="21"/>
    </w:rPr>
  </w:style>
  <w:style w:type="paragraph" w:styleId="Quote">
    <w:name w:val="Quote"/>
    <w:basedOn w:val="Normal"/>
    <w:next w:val="Normal"/>
    <w:link w:val="QuoteChar"/>
    <w:uiPriority w:val="29"/>
    <w:qFormat/>
    <w:rsid w:val="005D090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5D090C"/>
    <w:rPr>
      <w:i/>
      <w:iCs/>
      <w:color w:val="404040" w:themeColor="text1" w:themeTint="BF"/>
    </w:rPr>
  </w:style>
  <w:style w:type="paragraph" w:styleId="Salutation">
    <w:name w:val="Salutation"/>
    <w:basedOn w:val="Normal"/>
    <w:next w:val="Normal"/>
    <w:link w:val="SalutationChar"/>
    <w:uiPriority w:val="99"/>
    <w:semiHidden/>
    <w:unhideWhenUsed/>
    <w:rsid w:val="005D090C"/>
  </w:style>
  <w:style w:type="character" w:customStyle="1" w:styleId="SalutationChar">
    <w:name w:val="Salutation Char"/>
    <w:basedOn w:val="DefaultParagraphFont"/>
    <w:link w:val="Salutation"/>
    <w:uiPriority w:val="99"/>
    <w:semiHidden/>
    <w:rsid w:val="005D090C"/>
  </w:style>
  <w:style w:type="paragraph" w:styleId="Signature">
    <w:name w:val="Signature"/>
    <w:basedOn w:val="Normal"/>
    <w:link w:val="SignatureChar"/>
    <w:uiPriority w:val="99"/>
    <w:semiHidden/>
    <w:unhideWhenUsed/>
    <w:rsid w:val="005D090C"/>
    <w:pPr>
      <w:spacing w:after="0" w:line="240" w:lineRule="auto"/>
      <w:ind w:left="4320"/>
    </w:pPr>
  </w:style>
  <w:style w:type="character" w:customStyle="1" w:styleId="SignatureChar">
    <w:name w:val="Signature Char"/>
    <w:basedOn w:val="DefaultParagraphFont"/>
    <w:link w:val="Signature"/>
    <w:uiPriority w:val="99"/>
    <w:semiHidden/>
    <w:rsid w:val="005D090C"/>
  </w:style>
  <w:style w:type="paragraph" w:styleId="Subtitle">
    <w:name w:val="Subtitle"/>
    <w:basedOn w:val="Normal"/>
    <w:next w:val="Normal"/>
    <w:link w:val="SubtitleChar"/>
    <w:uiPriority w:val="11"/>
    <w:qFormat/>
    <w:rsid w:val="005D090C"/>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D090C"/>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uiPriority w:val="99"/>
    <w:semiHidden/>
    <w:unhideWhenUsed/>
    <w:rsid w:val="005D090C"/>
    <w:pPr>
      <w:spacing w:after="0"/>
      <w:ind w:left="240" w:hanging="240"/>
    </w:pPr>
  </w:style>
  <w:style w:type="paragraph" w:styleId="TableofFigures">
    <w:name w:val="table of figures"/>
    <w:basedOn w:val="Normal"/>
    <w:next w:val="Normal"/>
    <w:uiPriority w:val="99"/>
    <w:semiHidden/>
    <w:unhideWhenUsed/>
    <w:rsid w:val="005D090C"/>
    <w:pPr>
      <w:spacing w:after="0"/>
    </w:pPr>
  </w:style>
  <w:style w:type="paragraph" w:styleId="Title">
    <w:name w:val="Title"/>
    <w:basedOn w:val="Normal"/>
    <w:next w:val="Normal"/>
    <w:link w:val="TitleChar"/>
    <w:uiPriority w:val="10"/>
    <w:qFormat/>
    <w:rsid w:val="005D090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090C"/>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5D090C"/>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5D090C"/>
    <w:pPr>
      <w:spacing w:after="100"/>
    </w:pPr>
  </w:style>
  <w:style w:type="paragraph" w:styleId="TOC2">
    <w:name w:val="toc 2"/>
    <w:basedOn w:val="Normal"/>
    <w:next w:val="Normal"/>
    <w:autoRedefine/>
    <w:uiPriority w:val="39"/>
    <w:semiHidden/>
    <w:unhideWhenUsed/>
    <w:rsid w:val="005D090C"/>
    <w:pPr>
      <w:spacing w:after="100"/>
      <w:ind w:left="240"/>
    </w:pPr>
  </w:style>
  <w:style w:type="paragraph" w:styleId="TOC3">
    <w:name w:val="toc 3"/>
    <w:basedOn w:val="Normal"/>
    <w:next w:val="Normal"/>
    <w:autoRedefine/>
    <w:uiPriority w:val="39"/>
    <w:semiHidden/>
    <w:unhideWhenUsed/>
    <w:rsid w:val="005D090C"/>
    <w:pPr>
      <w:spacing w:after="100"/>
      <w:ind w:left="480"/>
    </w:pPr>
  </w:style>
  <w:style w:type="paragraph" w:styleId="TOC4">
    <w:name w:val="toc 4"/>
    <w:basedOn w:val="Normal"/>
    <w:next w:val="Normal"/>
    <w:autoRedefine/>
    <w:uiPriority w:val="39"/>
    <w:semiHidden/>
    <w:unhideWhenUsed/>
    <w:rsid w:val="005D090C"/>
    <w:pPr>
      <w:spacing w:after="100"/>
      <w:ind w:left="720"/>
    </w:pPr>
  </w:style>
  <w:style w:type="paragraph" w:styleId="TOC5">
    <w:name w:val="toc 5"/>
    <w:basedOn w:val="Normal"/>
    <w:next w:val="Normal"/>
    <w:autoRedefine/>
    <w:uiPriority w:val="39"/>
    <w:semiHidden/>
    <w:unhideWhenUsed/>
    <w:rsid w:val="005D090C"/>
    <w:pPr>
      <w:spacing w:after="100"/>
      <w:ind w:left="960"/>
    </w:pPr>
  </w:style>
  <w:style w:type="paragraph" w:styleId="TOC6">
    <w:name w:val="toc 6"/>
    <w:basedOn w:val="Normal"/>
    <w:next w:val="Normal"/>
    <w:autoRedefine/>
    <w:uiPriority w:val="39"/>
    <w:semiHidden/>
    <w:unhideWhenUsed/>
    <w:rsid w:val="005D090C"/>
    <w:pPr>
      <w:spacing w:after="100"/>
      <w:ind w:left="1200"/>
    </w:pPr>
  </w:style>
  <w:style w:type="paragraph" w:styleId="TOC7">
    <w:name w:val="toc 7"/>
    <w:basedOn w:val="Normal"/>
    <w:next w:val="Normal"/>
    <w:autoRedefine/>
    <w:uiPriority w:val="39"/>
    <w:semiHidden/>
    <w:unhideWhenUsed/>
    <w:rsid w:val="005D090C"/>
    <w:pPr>
      <w:spacing w:after="100"/>
      <w:ind w:left="1440"/>
    </w:pPr>
  </w:style>
  <w:style w:type="paragraph" w:styleId="TOC8">
    <w:name w:val="toc 8"/>
    <w:basedOn w:val="Normal"/>
    <w:next w:val="Normal"/>
    <w:autoRedefine/>
    <w:uiPriority w:val="39"/>
    <w:semiHidden/>
    <w:unhideWhenUsed/>
    <w:rsid w:val="005D090C"/>
    <w:pPr>
      <w:spacing w:after="100"/>
      <w:ind w:left="1680"/>
    </w:pPr>
  </w:style>
  <w:style w:type="paragraph" w:styleId="TOC9">
    <w:name w:val="toc 9"/>
    <w:basedOn w:val="Normal"/>
    <w:next w:val="Normal"/>
    <w:autoRedefine/>
    <w:uiPriority w:val="39"/>
    <w:semiHidden/>
    <w:unhideWhenUsed/>
    <w:rsid w:val="005D090C"/>
    <w:pPr>
      <w:spacing w:after="100"/>
      <w:ind w:left="1920"/>
    </w:pPr>
  </w:style>
  <w:style w:type="paragraph" w:styleId="TOCHeading">
    <w:name w:val="TOC Heading"/>
    <w:basedOn w:val="Heading1"/>
    <w:next w:val="Normal"/>
    <w:uiPriority w:val="39"/>
    <w:semiHidden/>
    <w:unhideWhenUsed/>
    <w:qFormat/>
    <w:rsid w:val="005D090C"/>
    <w:pPr>
      <w:outlineLvl w:val="9"/>
    </w:pPr>
  </w:style>
  <w:style w:type="character" w:styleId="FootnoteReference">
    <w:name w:val="footnote reference"/>
    <w:basedOn w:val="DefaultParagraphFont"/>
    <w:uiPriority w:val="99"/>
    <w:semiHidden/>
    <w:unhideWhenUsed/>
    <w:rsid w:val="00957047"/>
    <w:rPr>
      <w:vertAlign w:val="superscript"/>
    </w:rPr>
  </w:style>
  <w:style w:type="paragraph" w:styleId="Revision">
    <w:name w:val="Revision"/>
    <w:hidden/>
    <w:uiPriority w:val="99"/>
    <w:semiHidden/>
    <w:rsid w:val="00D806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73728">
      <w:bodyDiv w:val="1"/>
      <w:marLeft w:val="0"/>
      <w:marRight w:val="0"/>
      <w:marTop w:val="0"/>
      <w:marBottom w:val="0"/>
      <w:divBdr>
        <w:top w:val="none" w:sz="0" w:space="0" w:color="auto"/>
        <w:left w:val="none" w:sz="0" w:space="0" w:color="auto"/>
        <w:bottom w:val="none" w:sz="0" w:space="0" w:color="auto"/>
        <w:right w:val="none" w:sz="0" w:space="0" w:color="auto"/>
      </w:divBdr>
    </w:div>
    <w:div w:id="62291001">
      <w:bodyDiv w:val="1"/>
      <w:marLeft w:val="0"/>
      <w:marRight w:val="0"/>
      <w:marTop w:val="0"/>
      <w:marBottom w:val="0"/>
      <w:divBdr>
        <w:top w:val="none" w:sz="0" w:space="0" w:color="auto"/>
        <w:left w:val="none" w:sz="0" w:space="0" w:color="auto"/>
        <w:bottom w:val="none" w:sz="0" w:space="0" w:color="auto"/>
        <w:right w:val="none" w:sz="0" w:space="0" w:color="auto"/>
      </w:divBdr>
    </w:div>
    <w:div w:id="70810952">
      <w:bodyDiv w:val="1"/>
      <w:marLeft w:val="0"/>
      <w:marRight w:val="0"/>
      <w:marTop w:val="0"/>
      <w:marBottom w:val="0"/>
      <w:divBdr>
        <w:top w:val="none" w:sz="0" w:space="0" w:color="auto"/>
        <w:left w:val="none" w:sz="0" w:space="0" w:color="auto"/>
        <w:bottom w:val="none" w:sz="0" w:space="0" w:color="auto"/>
        <w:right w:val="none" w:sz="0" w:space="0" w:color="auto"/>
      </w:divBdr>
    </w:div>
    <w:div w:id="106395092">
      <w:bodyDiv w:val="1"/>
      <w:marLeft w:val="0"/>
      <w:marRight w:val="0"/>
      <w:marTop w:val="0"/>
      <w:marBottom w:val="0"/>
      <w:divBdr>
        <w:top w:val="none" w:sz="0" w:space="0" w:color="auto"/>
        <w:left w:val="none" w:sz="0" w:space="0" w:color="auto"/>
        <w:bottom w:val="none" w:sz="0" w:space="0" w:color="auto"/>
        <w:right w:val="none" w:sz="0" w:space="0" w:color="auto"/>
      </w:divBdr>
    </w:div>
    <w:div w:id="116877503">
      <w:bodyDiv w:val="1"/>
      <w:marLeft w:val="0"/>
      <w:marRight w:val="0"/>
      <w:marTop w:val="0"/>
      <w:marBottom w:val="0"/>
      <w:divBdr>
        <w:top w:val="none" w:sz="0" w:space="0" w:color="auto"/>
        <w:left w:val="none" w:sz="0" w:space="0" w:color="auto"/>
        <w:bottom w:val="none" w:sz="0" w:space="0" w:color="auto"/>
        <w:right w:val="none" w:sz="0" w:space="0" w:color="auto"/>
      </w:divBdr>
    </w:div>
    <w:div w:id="201215980">
      <w:bodyDiv w:val="1"/>
      <w:marLeft w:val="0"/>
      <w:marRight w:val="0"/>
      <w:marTop w:val="0"/>
      <w:marBottom w:val="0"/>
      <w:divBdr>
        <w:top w:val="none" w:sz="0" w:space="0" w:color="auto"/>
        <w:left w:val="none" w:sz="0" w:space="0" w:color="auto"/>
        <w:bottom w:val="none" w:sz="0" w:space="0" w:color="auto"/>
        <w:right w:val="none" w:sz="0" w:space="0" w:color="auto"/>
      </w:divBdr>
    </w:div>
    <w:div w:id="230818735">
      <w:bodyDiv w:val="1"/>
      <w:marLeft w:val="0"/>
      <w:marRight w:val="0"/>
      <w:marTop w:val="0"/>
      <w:marBottom w:val="0"/>
      <w:divBdr>
        <w:top w:val="none" w:sz="0" w:space="0" w:color="auto"/>
        <w:left w:val="none" w:sz="0" w:space="0" w:color="auto"/>
        <w:bottom w:val="none" w:sz="0" w:space="0" w:color="auto"/>
        <w:right w:val="none" w:sz="0" w:space="0" w:color="auto"/>
      </w:divBdr>
    </w:div>
    <w:div w:id="405885643">
      <w:bodyDiv w:val="1"/>
      <w:marLeft w:val="0"/>
      <w:marRight w:val="0"/>
      <w:marTop w:val="0"/>
      <w:marBottom w:val="0"/>
      <w:divBdr>
        <w:top w:val="none" w:sz="0" w:space="0" w:color="auto"/>
        <w:left w:val="none" w:sz="0" w:space="0" w:color="auto"/>
        <w:bottom w:val="none" w:sz="0" w:space="0" w:color="auto"/>
        <w:right w:val="none" w:sz="0" w:space="0" w:color="auto"/>
      </w:divBdr>
    </w:div>
    <w:div w:id="726077511">
      <w:bodyDiv w:val="1"/>
      <w:marLeft w:val="0"/>
      <w:marRight w:val="0"/>
      <w:marTop w:val="0"/>
      <w:marBottom w:val="0"/>
      <w:divBdr>
        <w:top w:val="none" w:sz="0" w:space="0" w:color="auto"/>
        <w:left w:val="none" w:sz="0" w:space="0" w:color="auto"/>
        <w:bottom w:val="none" w:sz="0" w:space="0" w:color="auto"/>
        <w:right w:val="none" w:sz="0" w:space="0" w:color="auto"/>
      </w:divBdr>
    </w:div>
    <w:div w:id="843975678">
      <w:bodyDiv w:val="1"/>
      <w:marLeft w:val="0"/>
      <w:marRight w:val="0"/>
      <w:marTop w:val="0"/>
      <w:marBottom w:val="0"/>
      <w:divBdr>
        <w:top w:val="none" w:sz="0" w:space="0" w:color="auto"/>
        <w:left w:val="none" w:sz="0" w:space="0" w:color="auto"/>
        <w:bottom w:val="none" w:sz="0" w:space="0" w:color="auto"/>
        <w:right w:val="none" w:sz="0" w:space="0" w:color="auto"/>
      </w:divBdr>
    </w:div>
    <w:div w:id="1043362812">
      <w:bodyDiv w:val="1"/>
      <w:marLeft w:val="0"/>
      <w:marRight w:val="0"/>
      <w:marTop w:val="0"/>
      <w:marBottom w:val="0"/>
      <w:divBdr>
        <w:top w:val="none" w:sz="0" w:space="0" w:color="auto"/>
        <w:left w:val="none" w:sz="0" w:space="0" w:color="auto"/>
        <w:bottom w:val="none" w:sz="0" w:space="0" w:color="auto"/>
        <w:right w:val="none" w:sz="0" w:space="0" w:color="auto"/>
      </w:divBdr>
    </w:div>
    <w:div w:id="1045443096">
      <w:bodyDiv w:val="1"/>
      <w:marLeft w:val="0"/>
      <w:marRight w:val="0"/>
      <w:marTop w:val="0"/>
      <w:marBottom w:val="0"/>
      <w:divBdr>
        <w:top w:val="none" w:sz="0" w:space="0" w:color="auto"/>
        <w:left w:val="none" w:sz="0" w:space="0" w:color="auto"/>
        <w:bottom w:val="none" w:sz="0" w:space="0" w:color="auto"/>
        <w:right w:val="none" w:sz="0" w:space="0" w:color="auto"/>
      </w:divBdr>
    </w:div>
    <w:div w:id="1117680832">
      <w:bodyDiv w:val="1"/>
      <w:marLeft w:val="0"/>
      <w:marRight w:val="0"/>
      <w:marTop w:val="0"/>
      <w:marBottom w:val="0"/>
      <w:divBdr>
        <w:top w:val="none" w:sz="0" w:space="0" w:color="auto"/>
        <w:left w:val="none" w:sz="0" w:space="0" w:color="auto"/>
        <w:bottom w:val="none" w:sz="0" w:space="0" w:color="auto"/>
        <w:right w:val="none" w:sz="0" w:space="0" w:color="auto"/>
      </w:divBdr>
    </w:div>
    <w:div w:id="1152450898">
      <w:bodyDiv w:val="1"/>
      <w:marLeft w:val="0"/>
      <w:marRight w:val="0"/>
      <w:marTop w:val="0"/>
      <w:marBottom w:val="0"/>
      <w:divBdr>
        <w:top w:val="none" w:sz="0" w:space="0" w:color="auto"/>
        <w:left w:val="none" w:sz="0" w:space="0" w:color="auto"/>
        <w:bottom w:val="none" w:sz="0" w:space="0" w:color="auto"/>
        <w:right w:val="none" w:sz="0" w:space="0" w:color="auto"/>
      </w:divBdr>
    </w:div>
    <w:div w:id="1223322495">
      <w:bodyDiv w:val="1"/>
      <w:marLeft w:val="0"/>
      <w:marRight w:val="0"/>
      <w:marTop w:val="0"/>
      <w:marBottom w:val="0"/>
      <w:divBdr>
        <w:top w:val="none" w:sz="0" w:space="0" w:color="auto"/>
        <w:left w:val="none" w:sz="0" w:space="0" w:color="auto"/>
        <w:bottom w:val="none" w:sz="0" w:space="0" w:color="auto"/>
        <w:right w:val="none" w:sz="0" w:space="0" w:color="auto"/>
      </w:divBdr>
    </w:div>
    <w:div w:id="1232302701">
      <w:bodyDiv w:val="1"/>
      <w:marLeft w:val="0"/>
      <w:marRight w:val="0"/>
      <w:marTop w:val="0"/>
      <w:marBottom w:val="0"/>
      <w:divBdr>
        <w:top w:val="none" w:sz="0" w:space="0" w:color="auto"/>
        <w:left w:val="none" w:sz="0" w:space="0" w:color="auto"/>
        <w:bottom w:val="none" w:sz="0" w:space="0" w:color="auto"/>
        <w:right w:val="none" w:sz="0" w:space="0" w:color="auto"/>
      </w:divBdr>
    </w:div>
    <w:div w:id="1337921238">
      <w:bodyDiv w:val="1"/>
      <w:marLeft w:val="0"/>
      <w:marRight w:val="0"/>
      <w:marTop w:val="0"/>
      <w:marBottom w:val="0"/>
      <w:divBdr>
        <w:top w:val="none" w:sz="0" w:space="0" w:color="auto"/>
        <w:left w:val="none" w:sz="0" w:space="0" w:color="auto"/>
        <w:bottom w:val="none" w:sz="0" w:space="0" w:color="auto"/>
        <w:right w:val="none" w:sz="0" w:space="0" w:color="auto"/>
      </w:divBdr>
    </w:div>
    <w:div w:id="1452479860">
      <w:bodyDiv w:val="1"/>
      <w:marLeft w:val="0"/>
      <w:marRight w:val="0"/>
      <w:marTop w:val="0"/>
      <w:marBottom w:val="0"/>
      <w:divBdr>
        <w:top w:val="none" w:sz="0" w:space="0" w:color="auto"/>
        <w:left w:val="none" w:sz="0" w:space="0" w:color="auto"/>
        <w:bottom w:val="none" w:sz="0" w:space="0" w:color="auto"/>
        <w:right w:val="none" w:sz="0" w:space="0" w:color="auto"/>
      </w:divBdr>
    </w:div>
    <w:div w:id="1519276518">
      <w:bodyDiv w:val="1"/>
      <w:marLeft w:val="0"/>
      <w:marRight w:val="0"/>
      <w:marTop w:val="0"/>
      <w:marBottom w:val="0"/>
      <w:divBdr>
        <w:top w:val="none" w:sz="0" w:space="0" w:color="auto"/>
        <w:left w:val="none" w:sz="0" w:space="0" w:color="auto"/>
        <w:bottom w:val="none" w:sz="0" w:space="0" w:color="auto"/>
        <w:right w:val="none" w:sz="0" w:space="0" w:color="auto"/>
      </w:divBdr>
    </w:div>
    <w:div w:id="1567953810">
      <w:bodyDiv w:val="1"/>
      <w:marLeft w:val="0"/>
      <w:marRight w:val="0"/>
      <w:marTop w:val="0"/>
      <w:marBottom w:val="0"/>
      <w:divBdr>
        <w:top w:val="none" w:sz="0" w:space="0" w:color="auto"/>
        <w:left w:val="none" w:sz="0" w:space="0" w:color="auto"/>
        <w:bottom w:val="none" w:sz="0" w:space="0" w:color="auto"/>
        <w:right w:val="none" w:sz="0" w:space="0" w:color="auto"/>
      </w:divBdr>
    </w:div>
    <w:div w:id="1694109590">
      <w:bodyDiv w:val="1"/>
      <w:marLeft w:val="0"/>
      <w:marRight w:val="0"/>
      <w:marTop w:val="0"/>
      <w:marBottom w:val="0"/>
      <w:divBdr>
        <w:top w:val="none" w:sz="0" w:space="0" w:color="auto"/>
        <w:left w:val="none" w:sz="0" w:space="0" w:color="auto"/>
        <w:bottom w:val="none" w:sz="0" w:space="0" w:color="auto"/>
        <w:right w:val="none" w:sz="0" w:space="0" w:color="auto"/>
      </w:divBdr>
    </w:div>
    <w:div w:id="1772701623">
      <w:bodyDiv w:val="1"/>
      <w:marLeft w:val="0"/>
      <w:marRight w:val="0"/>
      <w:marTop w:val="0"/>
      <w:marBottom w:val="0"/>
      <w:divBdr>
        <w:top w:val="none" w:sz="0" w:space="0" w:color="auto"/>
        <w:left w:val="none" w:sz="0" w:space="0" w:color="auto"/>
        <w:bottom w:val="none" w:sz="0" w:space="0" w:color="auto"/>
        <w:right w:val="none" w:sz="0" w:space="0" w:color="auto"/>
      </w:divBdr>
    </w:div>
    <w:div w:id="1826431047">
      <w:bodyDiv w:val="1"/>
      <w:marLeft w:val="0"/>
      <w:marRight w:val="0"/>
      <w:marTop w:val="0"/>
      <w:marBottom w:val="0"/>
      <w:divBdr>
        <w:top w:val="none" w:sz="0" w:space="0" w:color="auto"/>
        <w:left w:val="none" w:sz="0" w:space="0" w:color="auto"/>
        <w:bottom w:val="none" w:sz="0" w:space="0" w:color="auto"/>
        <w:right w:val="none" w:sz="0" w:space="0" w:color="auto"/>
      </w:divBdr>
    </w:div>
    <w:div w:id="1863591283">
      <w:bodyDiv w:val="1"/>
      <w:marLeft w:val="0"/>
      <w:marRight w:val="0"/>
      <w:marTop w:val="0"/>
      <w:marBottom w:val="0"/>
      <w:divBdr>
        <w:top w:val="none" w:sz="0" w:space="0" w:color="auto"/>
        <w:left w:val="none" w:sz="0" w:space="0" w:color="auto"/>
        <w:bottom w:val="none" w:sz="0" w:space="0" w:color="auto"/>
        <w:right w:val="none" w:sz="0" w:space="0" w:color="auto"/>
      </w:divBdr>
      <w:divsChild>
        <w:div w:id="1633827656">
          <w:marLeft w:val="0"/>
          <w:marRight w:val="0"/>
          <w:marTop w:val="240"/>
          <w:marBottom w:val="288"/>
          <w:divBdr>
            <w:top w:val="none" w:sz="0" w:space="0" w:color="auto"/>
            <w:left w:val="none" w:sz="0" w:space="0" w:color="auto"/>
            <w:bottom w:val="none" w:sz="0" w:space="0" w:color="auto"/>
            <w:right w:val="none" w:sz="0" w:space="0" w:color="auto"/>
          </w:divBdr>
          <w:divsChild>
            <w:div w:id="1607233846">
              <w:marLeft w:val="0"/>
              <w:marRight w:val="0"/>
              <w:marTop w:val="0"/>
              <w:marBottom w:val="0"/>
              <w:divBdr>
                <w:top w:val="none" w:sz="0" w:space="0" w:color="auto"/>
                <w:left w:val="none" w:sz="0" w:space="0" w:color="auto"/>
                <w:bottom w:val="none" w:sz="0" w:space="0" w:color="auto"/>
                <w:right w:val="none" w:sz="0" w:space="0" w:color="auto"/>
              </w:divBdr>
              <w:divsChild>
                <w:div w:id="1152060366">
                  <w:marLeft w:val="0"/>
                  <w:marRight w:val="0"/>
                  <w:marTop w:val="0"/>
                  <w:marBottom w:val="0"/>
                  <w:divBdr>
                    <w:top w:val="none" w:sz="0" w:space="0" w:color="auto"/>
                    <w:left w:val="none" w:sz="0" w:space="0" w:color="auto"/>
                    <w:bottom w:val="none" w:sz="0" w:space="0" w:color="auto"/>
                    <w:right w:val="none" w:sz="0" w:space="0" w:color="auto"/>
                  </w:divBdr>
                  <w:divsChild>
                    <w:div w:id="572813238">
                      <w:marLeft w:val="0"/>
                      <w:marRight w:val="0"/>
                      <w:marTop w:val="0"/>
                      <w:marBottom w:val="0"/>
                      <w:divBdr>
                        <w:top w:val="none" w:sz="0" w:space="0" w:color="auto"/>
                        <w:left w:val="none" w:sz="0" w:space="0" w:color="auto"/>
                        <w:bottom w:val="none" w:sz="0" w:space="0" w:color="auto"/>
                        <w:right w:val="none" w:sz="0" w:space="0" w:color="auto"/>
                      </w:divBdr>
                      <w:divsChild>
                        <w:div w:id="8214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760397">
          <w:marLeft w:val="0"/>
          <w:marRight w:val="0"/>
          <w:marTop w:val="240"/>
          <w:marBottom w:val="288"/>
          <w:divBdr>
            <w:top w:val="none" w:sz="0" w:space="0" w:color="auto"/>
            <w:left w:val="none" w:sz="0" w:space="0" w:color="auto"/>
            <w:bottom w:val="none" w:sz="0" w:space="0" w:color="auto"/>
            <w:right w:val="none" w:sz="0" w:space="0" w:color="auto"/>
          </w:divBdr>
          <w:divsChild>
            <w:div w:id="1478186690">
              <w:marLeft w:val="0"/>
              <w:marRight w:val="0"/>
              <w:marTop w:val="0"/>
              <w:marBottom w:val="0"/>
              <w:divBdr>
                <w:top w:val="none" w:sz="0" w:space="0" w:color="auto"/>
                <w:left w:val="none" w:sz="0" w:space="0" w:color="auto"/>
                <w:bottom w:val="none" w:sz="0" w:space="0" w:color="auto"/>
                <w:right w:val="none" w:sz="0" w:space="0" w:color="auto"/>
              </w:divBdr>
              <w:divsChild>
                <w:div w:id="1329401692">
                  <w:marLeft w:val="0"/>
                  <w:marRight w:val="0"/>
                  <w:marTop w:val="0"/>
                  <w:marBottom w:val="0"/>
                  <w:divBdr>
                    <w:top w:val="none" w:sz="0" w:space="0" w:color="auto"/>
                    <w:left w:val="none" w:sz="0" w:space="0" w:color="auto"/>
                    <w:bottom w:val="none" w:sz="0" w:space="0" w:color="auto"/>
                    <w:right w:val="none" w:sz="0" w:space="0" w:color="auto"/>
                  </w:divBdr>
                  <w:divsChild>
                    <w:div w:id="687872547">
                      <w:marLeft w:val="0"/>
                      <w:marRight w:val="0"/>
                      <w:marTop w:val="0"/>
                      <w:marBottom w:val="0"/>
                      <w:divBdr>
                        <w:top w:val="none" w:sz="0" w:space="0" w:color="auto"/>
                        <w:left w:val="none" w:sz="0" w:space="0" w:color="auto"/>
                        <w:bottom w:val="none" w:sz="0" w:space="0" w:color="auto"/>
                        <w:right w:val="none" w:sz="0" w:space="0" w:color="auto"/>
                      </w:divBdr>
                      <w:divsChild>
                        <w:div w:id="147675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523545">
          <w:marLeft w:val="0"/>
          <w:marRight w:val="0"/>
          <w:marTop w:val="240"/>
          <w:marBottom w:val="288"/>
          <w:divBdr>
            <w:top w:val="none" w:sz="0" w:space="0" w:color="auto"/>
            <w:left w:val="none" w:sz="0" w:space="0" w:color="auto"/>
            <w:bottom w:val="none" w:sz="0" w:space="0" w:color="auto"/>
            <w:right w:val="none" w:sz="0" w:space="0" w:color="auto"/>
          </w:divBdr>
          <w:divsChild>
            <w:div w:id="1559897076">
              <w:marLeft w:val="0"/>
              <w:marRight w:val="0"/>
              <w:marTop w:val="0"/>
              <w:marBottom w:val="0"/>
              <w:divBdr>
                <w:top w:val="none" w:sz="0" w:space="0" w:color="auto"/>
                <w:left w:val="none" w:sz="0" w:space="0" w:color="auto"/>
                <w:bottom w:val="none" w:sz="0" w:space="0" w:color="auto"/>
                <w:right w:val="none" w:sz="0" w:space="0" w:color="auto"/>
              </w:divBdr>
              <w:divsChild>
                <w:div w:id="702902112">
                  <w:marLeft w:val="0"/>
                  <w:marRight w:val="0"/>
                  <w:marTop w:val="0"/>
                  <w:marBottom w:val="0"/>
                  <w:divBdr>
                    <w:top w:val="none" w:sz="0" w:space="0" w:color="auto"/>
                    <w:left w:val="none" w:sz="0" w:space="0" w:color="auto"/>
                    <w:bottom w:val="none" w:sz="0" w:space="0" w:color="auto"/>
                    <w:right w:val="none" w:sz="0" w:space="0" w:color="auto"/>
                  </w:divBdr>
                  <w:divsChild>
                    <w:div w:id="1319115936">
                      <w:marLeft w:val="0"/>
                      <w:marRight w:val="0"/>
                      <w:marTop w:val="0"/>
                      <w:marBottom w:val="0"/>
                      <w:divBdr>
                        <w:top w:val="none" w:sz="0" w:space="0" w:color="auto"/>
                        <w:left w:val="none" w:sz="0" w:space="0" w:color="auto"/>
                        <w:bottom w:val="none" w:sz="0" w:space="0" w:color="auto"/>
                        <w:right w:val="none" w:sz="0" w:space="0" w:color="auto"/>
                      </w:divBdr>
                      <w:divsChild>
                        <w:div w:id="153650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02453">
          <w:marLeft w:val="0"/>
          <w:marRight w:val="0"/>
          <w:marTop w:val="240"/>
          <w:marBottom w:val="288"/>
          <w:divBdr>
            <w:top w:val="none" w:sz="0" w:space="0" w:color="auto"/>
            <w:left w:val="none" w:sz="0" w:space="0" w:color="auto"/>
            <w:bottom w:val="none" w:sz="0" w:space="0" w:color="auto"/>
            <w:right w:val="none" w:sz="0" w:space="0" w:color="auto"/>
          </w:divBdr>
          <w:divsChild>
            <w:div w:id="2037731574">
              <w:marLeft w:val="0"/>
              <w:marRight w:val="0"/>
              <w:marTop w:val="0"/>
              <w:marBottom w:val="0"/>
              <w:divBdr>
                <w:top w:val="none" w:sz="0" w:space="0" w:color="auto"/>
                <w:left w:val="none" w:sz="0" w:space="0" w:color="auto"/>
                <w:bottom w:val="none" w:sz="0" w:space="0" w:color="auto"/>
                <w:right w:val="none" w:sz="0" w:space="0" w:color="auto"/>
              </w:divBdr>
              <w:divsChild>
                <w:div w:id="1584030693">
                  <w:marLeft w:val="0"/>
                  <w:marRight w:val="0"/>
                  <w:marTop w:val="0"/>
                  <w:marBottom w:val="0"/>
                  <w:divBdr>
                    <w:top w:val="none" w:sz="0" w:space="0" w:color="auto"/>
                    <w:left w:val="none" w:sz="0" w:space="0" w:color="auto"/>
                    <w:bottom w:val="none" w:sz="0" w:space="0" w:color="auto"/>
                    <w:right w:val="none" w:sz="0" w:space="0" w:color="auto"/>
                  </w:divBdr>
                  <w:divsChild>
                    <w:div w:id="1648825057">
                      <w:marLeft w:val="0"/>
                      <w:marRight w:val="0"/>
                      <w:marTop w:val="0"/>
                      <w:marBottom w:val="0"/>
                      <w:divBdr>
                        <w:top w:val="none" w:sz="0" w:space="0" w:color="auto"/>
                        <w:left w:val="none" w:sz="0" w:space="0" w:color="auto"/>
                        <w:bottom w:val="none" w:sz="0" w:space="0" w:color="auto"/>
                        <w:right w:val="none" w:sz="0" w:space="0" w:color="auto"/>
                      </w:divBdr>
                      <w:divsChild>
                        <w:div w:id="112643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1.wmf"/><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oleObject" Target="embeddings/oleObject34.bin"/><Relationship Id="rId79" Type="http://schemas.openxmlformats.org/officeDocument/2006/relationships/image" Target="media/image36.wmf"/><Relationship Id="rId102"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oleObject" Target="embeddings/oleObject42.bin"/><Relationship Id="rId95" Type="http://schemas.openxmlformats.org/officeDocument/2006/relationships/image" Target="media/image44.w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oleObject" Target="embeddings/oleObject29.bin"/><Relationship Id="rId69" Type="http://schemas.openxmlformats.org/officeDocument/2006/relationships/image" Target="media/image31.wmf"/><Relationship Id="rId80" Type="http://schemas.openxmlformats.org/officeDocument/2006/relationships/oleObject" Target="embeddings/oleObject37.bin"/><Relationship Id="rId85" Type="http://schemas.openxmlformats.org/officeDocument/2006/relationships/image" Target="media/image39.wmf"/><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image" Target="media/image30.wmf"/><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oleObject" Target="embeddings/oleObject32.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1.bin"/><Relationship Id="rId91" Type="http://schemas.openxmlformats.org/officeDocument/2006/relationships/image" Target="media/image42.wmf"/><Relationship Id="rId96" Type="http://schemas.openxmlformats.org/officeDocument/2006/relationships/oleObject" Target="embeddings/oleObject45.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6.bin"/><Relationship Id="rId81" Type="http://schemas.openxmlformats.org/officeDocument/2006/relationships/image" Target="media/image37.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footer" Target="footer2.xm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oleObject" Target="embeddings/oleObject35.bin"/><Relationship Id="rId97" Type="http://schemas.openxmlformats.org/officeDocument/2006/relationships/image" Target="media/image45.png"/><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43.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oleObject" Target="embeddings/oleObject30.bin"/><Relationship Id="rId87" Type="http://schemas.openxmlformats.org/officeDocument/2006/relationships/image" Target="media/image40.wmf"/><Relationship Id="rId61" Type="http://schemas.openxmlformats.org/officeDocument/2006/relationships/oleObject" Target="embeddings/oleObject27.bin"/><Relationship Id="rId82" Type="http://schemas.openxmlformats.org/officeDocument/2006/relationships/oleObject" Target="embeddings/oleObject38.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image" Target="media/image35.wmf"/><Relationship Id="rId100" Type="http://schemas.openxmlformats.org/officeDocument/2006/relationships/footer" Target="footer3.xml"/><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3.bin"/><Relationship Id="rId93" Type="http://schemas.openxmlformats.org/officeDocument/2006/relationships/image" Target="media/image43.wmf"/><Relationship Id="rId9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75067-3830-4DA8-A2AB-183C31481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18241</Words>
  <Characters>465040</Characters>
  <Application>Microsoft Office Word</Application>
  <DocSecurity>0</DocSecurity>
  <Lines>3875</Lines>
  <Paragraphs>964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Robbennolt</dc:creator>
  <cp:keywords/>
  <dc:description/>
  <cp:lastModifiedBy>Macias, Lisa J</cp:lastModifiedBy>
  <cp:revision>2</cp:revision>
  <cp:lastPrinted>2024-06-22T16:07:00Z</cp:lastPrinted>
  <dcterms:created xsi:type="dcterms:W3CDTF">2024-07-18T17:06:00Z</dcterms:created>
  <dcterms:modified xsi:type="dcterms:W3CDTF">2024-07-18T17:06:00Z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id="3hD4KMIk"/&gt;&lt;style id="http://www.zotero.org/styles/transportation-research-part-b" hasBibliography="1" bibliographyStyleHasBeenSet="1"/&gt;&lt;prefs&gt;&lt;pref name="fieldType" value="Field"/&gt;&lt;/prefs&gt;&lt;/data</vt:lpwstr>
  </property>
  <property fmtid="{D5CDD505-2E9C-101B-9397-08002B2CF9AE}" pid="3" name="ZOTERO_PREF_2">
    <vt:lpwstr>&gt;</vt:lpwstr>
  </property>
  <property fmtid="{D5CDD505-2E9C-101B-9397-08002B2CF9AE}" pid="4" name="MTWinEqns">
    <vt:bool>true</vt:bool>
  </property>
  <property fmtid="{D5CDD505-2E9C-101B-9397-08002B2CF9AE}" pid="5" name="MTEquationNumber2">
    <vt:lpwstr>(#E1)</vt:lpwstr>
  </property>
  <property fmtid="{D5CDD505-2E9C-101B-9397-08002B2CF9AE}" pid="6" name="MTEquationSection">
    <vt:lpwstr>1</vt:lpwstr>
  </property>
</Properties>
</file>