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9253C" w14:textId="77777777" w:rsidR="00D02E86" w:rsidRPr="00BB24DE" w:rsidRDefault="00D02E86" w:rsidP="00251A17">
      <w:pPr>
        <w:spacing w:after="0" w:line="240" w:lineRule="auto"/>
      </w:pPr>
    </w:p>
    <w:p w14:paraId="3E2FE033" w14:textId="77777777" w:rsidR="00F94D6A" w:rsidRDefault="00F94D6A" w:rsidP="00251A17">
      <w:pPr>
        <w:spacing w:after="0" w:line="240" w:lineRule="auto"/>
        <w:jc w:val="both"/>
        <w:rPr>
          <w:rFonts w:cs="Times New Roman"/>
          <w:b/>
        </w:rPr>
      </w:pPr>
    </w:p>
    <w:p w14:paraId="1732AA41" w14:textId="77777777" w:rsidR="00D02E86" w:rsidRDefault="00D02E86" w:rsidP="00251A17">
      <w:pPr>
        <w:spacing w:after="0" w:line="240" w:lineRule="auto"/>
        <w:jc w:val="both"/>
        <w:rPr>
          <w:rFonts w:cs="Times New Roman"/>
          <w:b/>
        </w:rPr>
      </w:pPr>
    </w:p>
    <w:p w14:paraId="4F9239B4" w14:textId="77777777" w:rsidR="00251A17" w:rsidRDefault="00251A17" w:rsidP="00251A17">
      <w:pPr>
        <w:spacing w:after="0" w:line="240" w:lineRule="auto"/>
        <w:ind w:left="180" w:right="180"/>
        <w:jc w:val="center"/>
        <w:rPr>
          <w:rFonts w:cs="Times New Roman"/>
          <w:b/>
        </w:rPr>
      </w:pPr>
    </w:p>
    <w:p w14:paraId="550EBF62" w14:textId="18C4C3A4" w:rsidR="008D5DAA" w:rsidRPr="006807BB" w:rsidRDefault="00F62FC6" w:rsidP="00251A17">
      <w:pPr>
        <w:spacing w:after="0" w:line="240" w:lineRule="auto"/>
        <w:ind w:left="180" w:right="180"/>
        <w:jc w:val="center"/>
        <w:rPr>
          <w:rFonts w:cs="Times New Roman"/>
          <w:b/>
        </w:rPr>
      </w:pPr>
      <w:r w:rsidRPr="006807BB">
        <w:rPr>
          <w:rFonts w:cs="Times New Roman"/>
          <w:b/>
        </w:rPr>
        <w:t xml:space="preserve">A </w:t>
      </w:r>
      <w:r w:rsidR="008D5DAA" w:rsidRPr="006807BB">
        <w:rPr>
          <w:rFonts w:cs="Times New Roman"/>
          <w:b/>
        </w:rPr>
        <w:t xml:space="preserve">Rank-Based </w:t>
      </w:r>
      <w:r w:rsidR="00C7027B" w:rsidRPr="006807BB">
        <w:rPr>
          <w:rFonts w:cs="Times New Roman"/>
          <w:b/>
        </w:rPr>
        <w:t>Model of</w:t>
      </w:r>
      <w:r w:rsidR="00193C25">
        <w:rPr>
          <w:rFonts w:cs="Times New Roman"/>
          <w:b/>
        </w:rPr>
        <w:t xml:space="preserve"> Residential Location</w:t>
      </w:r>
      <w:r w:rsidR="00D37B11">
        <w:rPr>
          <w:rFonts w:cs="Times New Roman"/>
          <w:b/>
        </w:rPr>
        <w:t xml:space="preserve"> </w:t>
      </w:r>
      <w:r w:rsidR="0063117B">
        <w:rPr>
          <w:rFonts w:cs="Times New Roman"/>
          <w:b/>
        </w:rPr>
        <w:t>Preferences</w:t>
      </w:r>
      <w:r w:rsidR="00C7027B" w:rsidRPr="006807BB">
        <w:rPr>
          <w:rFonts w:cs="Times New Roman"/>
          <w:b/>
        </w:rPr>
        <w:t xml:space="preserve"> Before and </w:t>
      </w:r>
      <w:r w:rsidR="00BC3D48">
        <w:rPr>
          <w:rFonts w:cs="Times New Roman"/>
          <w:b/>
        </w:rPr>
        <w:t xml:space="preserve">During the </w:t>
      </w:r>
      <w:r w:rsidR="00C7027B" w:rsidRPr="006807BB">
        <w:rPr>
          <w:rFonts w:cs="Times New Roman"/>
          <w:b/>
        </w:rPr>
        <w:t>COVID-19 Pandemic</w:t>
      </w:r>
    </w:p>
    <w:p w14:paraId="4AD6484B" w14:textId="77777777" w:rsidR="0063258C" w:rsidRPr="006807BB" w:rsidRDefault="0063258C" w:rsidP="00251A17">
      <w:pPr>
        <w:spacing w:after="0" w:line="240" w:lineRule="auto"/>
        <w:jc w:val="both"/>
        <w:rPr>
          <w:rFonts w:cs="Times New Roman"/>
          <w:bCs/>
        </w:rPr>
      </w:pPr>
    </w:p>
    <w:p w14:paraId="3A04D983" w14:textId="6B976B17" w:rsidR="00D02E86" w:rsidRDefault="00D02E86" w:rsidP="00251A17">
      <w:pPr>
        <w:spacing w:after="0" w:line="240" w:lineRule="auto"/>
        <w:rPr>
          <w:rFonts w:cs="Times New Roman"/>
          <w:b/>
        </w:rPr>
      </w:pPr>
    </w:p>
    <w:p w14:paraId="2AF43FE0" w14:textId="77434B37" w:rsidR="00251A17" w:rsidRDefault="00251A17" w:rsidP="00251A17">
      <w:pPr>
        <w:spacing w:after="0" w:line="240" w:lineRule="auto"/>
        <w:rPr>
          <w:rFonts w:cs="Times New Roman"/>
          <w:b/>
        </w:rPr>
      </w:pPr>
    </w:p>
    <w:p w14:paraId="6BA96AD3" w14:textId="5D740594" w:rsidR="00251A17" w:rsidRDefault="00251A17" w:rsidP="00251A17">
      <w:pPr>
        <w:spacing w:after="0" w:line="240" w:lineRule="auto"/>
        <w:rPr>
          <w:rFonts w:cs="Times New Roman"/>
          <w:b/>
        </w:rPr>
      </w:pPr>
    </w:p>
    <w:p w14:paraId="4706F261" w14:textId="708D577D" w:rsidR="00251A17" w:rsidRDefault="00251A17" w:rsidP="00251A17">
      <w:pPr>
        <w:spacing w:after="0" w:line="240" w:lineRule="auto"/>
        <w:rPr>
          <w:rFonts w:cs="Times New Roman"/>
          <w:b/>
        </w:rPr>
      </w:pPr>
    </w:p>
    <w:p w14:paraId="796257F5" w14:textId="37BC810A" w:rsidR="00251A17" w:rsidRDefault="00251A17" w:rsidP="00251A17">
      <w:pPr>
        <w:spacing w:after="0" w:line="240" w:lineRule="auto"/>
        <w:rPr>
          <w:rFonts w:cs="Times New Roman"/>
          <w:b/>
        </w:rPr>
      </w:pPr>
    </w:p>
    <w:p w14:paraId="55AF1D85" w14:textId="3A0C5CB2" w:rsidR="00251A17" w:rsidRDefault="00251A17" w:rsidP="00251A17">
      <w:pPr>
        <w:spacing w:after="0" w:line="240" w:lineRule="auto"/>
        <w:rPr>
          <w:rFonts w:cs="Times New Roman"/>
          <w:b/>
        </w:rPr>
      </w:pPr>
    </w:p>
    <w:p w14:paraId="074CE94A" w14:textId="77777777" w:rsidR="00251A17" w:rsidRDefault="00251A17" w:rsidP="00251A17">
      <w:pPr>
        <w:spacing w:after="0" w:line="240" w:lineRule="auto"/>
        <w:rPr>
          <w:rFonts w:cs="Times New Roman"/>
          <w:b/>
        </w:rPr>
      </w:pPr>
    </w:p>
    <w:p w14:paraId="77B521AC" w14:textId="77777777" w:rsidR="00D0501E" w:rsidRDefault="00D0501E" w:rsidP="00251A17">
      <w:pPr>
        <w:spacing w:after="0" w:line="240" w:lineRule="auto"/>
        <w:rPr>
          <w:rFonts w:cs="Times New Roman"/>
          <w:b/>
        </w:rPr>
      </w:pPr>
      <w:r w:rsidRPr="00D0501E">
        <w:rPr>
          <w:rFonts w:cs="Times New Roman"/>
          <w:b/>
        </w:rPr>
        <w:t xml:space="preserve">Dale Robbennolt </w:t>
      </w:r>
    </w:p>
    <w:p w14:paraId="0FBC22AF" w14:textId="77777777" w:rsidR="00D0501E" w:rsidRPr="00AA05CA" w:rsidRDefault="00D0501E" w:rsidP="00251A17">
      <w:pPr>
        <w:spacing w:after="0" w:line="240" w:lineRule="auto"/>
        <w:rPr>
          <w:rFonts w:cs="Times New Roman"/>
          <w:bCs/>
        </w:rPr>
      </w:pPr>
      <w:r w:rsidRPr="00AA05CA">
        <w:rPr>
          <w:rFonts w:cs="Times New Roman"/>
          <w:bCs/>
        </w:rPr>
        <w:t xml:space="preserve">The University of Texas at Austin </w:t>
      </w:r>
    </w:p>
    <w:p w14:paraId="5EF1FB38" w14:textId="77777777" w:rsidR="00D0501E" w:rsidRPr="00AA05CA" w:rsidRDefault="00D0501E" w:rsidP="00251A17">
      <w:pPr>
        <w:spacing w:after="0" w:line="240" w:lineRule="auto"/>
        <w:rPr>
          <w:rFonts w:cs="Times New Roman"/>
          <w:bCs/>
        </w:rPr>
      </w:pPr>
      <w:r w:rsidRPr="00AA05CA">
        <w:rPr>
          <w:rFonts w:cs="Times New Roman"/>
          <w:bCs/>
        </w:rPr>
        <w:t xml:space="preserve">Department of Civil, Architectural and Environmental Engineering </w:t>
      </w:r>
    </w:p>
    <w:p w14:paraId="119FA67D" w14:textId="77777777" w:rsidR="00D0501E" w:rsidRPr="00AA05CA" w:rsidRDefault="00D0501E" w:rsidP="00251A17">
      <w:pPr>
        <w:spacing w:after="0" w:line="240" w:lineRule="auto"/>
        <w:rPr>
          <w:rFonts w:cs="Times New Roman"/>
          <w:bCs/>
        </w:rPr>
      </w:pPr>
      <w:r w:rsidRPr="00AA05CA">
        <w:rPr>
          <w:rFonts w:cs="Times New Roman"/>
          <w:bCs/>
        </w:rPr>
        <w:t xml:space="preserve">301 E. Dean Keeton St. Stop C1761, Austin TX 78712, USA </w:t>
      </w:r>
    </w:p>
    <w:p w14:paraId="62670D7F" w14:textId="716E36AC" w:rsidR="00E60C2F" w:rsidRPr="00AA05CA" w:rsidRDefault="00D0501E" w:rsidP="00251A17">
      <w:pPr>
        <w:spacing w:after="0" w:line="240" w:lineRule="auto"/>
        <w:rPr>
          <w:rFonts w:cs="Times New Roman"/>
          <w:bCs/>
        </w:rPr>
      </w:pPr>
      <w:r w:rsidRPr="00AA05CA">
        <w:rPr>
          <w:rFonts w:cs="Times New Roman"/>
          <w:bCs/>
        </w:rPr>
        <w:t xml:space="preserve">Email: </w:t>
      </w:r>
      <w:r w:rsidR="00E60C2F" w:rsidRPr="00AA05CA">
        <w:rPr>
          <w:rFonts w:cs="Times New Roman"/>
          <w:bCs/>
        </w:rPr>
        <w:t>dar4836@utexas.edu</w:t>
      </w:r>
      <w:r w:rsidRPr="00AA05CA">
        <w:rPr>
          <w:rFonts w:cs="Times New Roman"/>
          <w:bCs/>
        </w:rPr>
        <w:t xml:space="preserve"> </w:t>
      </w:r>
    </w:p>
    <w:p w14:paraId="2F353E58" w14:textId="77777777" w:rsidR="00E60C2F" w:rsidRDefault="00E60C2F" w:rsidP="00251A17">
      <w:pPr>
        <w:spacing w:after="0" w:line="240" w:lineRule="auto"/>
        <w:rPr>
          <w:rFonts w:cs="Times New Roman"/>
          <w:b/>
        </w:rPr>
      </w:pPr>
    </w:p>
    <w:p w14:paraId="6EDCBEB7" w14:textId="77777777" w:rsidR="00E60C2F" w:rsidRDefault="00D0501E" w:rsidP="00251A17">
      <w:pPr>
        <w:spacing w:after="0" w:line="240" w:lineRule="auto"/>
        <w:rPr>
          <w:rFonts w:cs="Times New Roman"/>
          <w:b/>
        </w:rPr>
      </w:pPr>
      <w:r w:rsidRPr="00D0501E">
        <w:rPr>
          <w:rFonts w:cs="Times New Roman"/>
          <w:b/>
        </w:rPr>
        <w:t xml:space="preserve">Angela J. Haddad </w:t>
      </w:r>
    </w:p>
    <w:p w14:paraId="6A58FC5A" w14:textId="2C34563A" w:rsidR="00D0501E" w:rsidRPr="00AA05CA" w:rsidRDefault="00D0501E" w:rsidP="00251A17">
      <w:pPr>
        <w:spacing w:after="0" w:line="240" w:lineRule="auto"/>
        <w:rPr>
          <w:rFonts w:cs="Times New Roman"/>
          <w:bCs/>
        </w:rPr>
      </w:pPr>
      <w:r w:rsidRPr="00AA05CA">
        <w:rPr>
          <w:rFonts w:cs="Times New Roman"/>
          <w:bCs/>
        </w:rPr>
        <w:t xml:space="preserve">The University of Texas at Austin </w:t>
      </w:r>
    </w:p>
    <w:p w14:paraId="3EF10FD6" w14:textId="77777777" w:rsidR="00E60C2F" w:rsidRPr="00AA05CA" w:rsidRDefault="00D0501E" w:rsidP="00251A17">
      <w:pPr>
        <w:spacing w:after="0" w:line="240" w:lineRule="auto"/>
        <w:rPr>
          <w:rFonts w:cs="Times New Roman"/>
          <w:bCs/>
        </w:rPr>
      </w:pPr>
      <w:r w:rsidRPr="00AA05CA">
        <w:rPr>
          <w:rFonts w:cs="Times New Roman"/>
          <w:bCs/>
        </w:rPr>
        <w:t xml:space="preserve">Department of Civil, Architectural and Environmental Engineering </w:t>
      </w:r>
    </w:p>
    <w:p w14:paraId="38247D85" w14:textId="77777777" w:rsidR="00E60C2F" w:rsidRPr="00AA05CA" w:rsidRDefault="00D0501E" w:rsidP="00251A17">
      <w:pPr>
        <w:spacing w:after="0" w:line="240" w:lineRule="auto"/>
        <w:rPr>
          <w:rFonts w:cs="Times New Roman"/>
          <w:bCs/>
        </w:rPr>
      </w:pPr>
      <w:r w:rsidRPr="00AA05CA">
        <w:rPr>
          <w:rFonts w:cs="Times New Roman"/>
          <w:bCs/>
        </w:rPr>
        <w:t xml:space="preserve">301 E. Dean Keeton St. Stop C1761, Austin TX 78712, USA </w:t>
      </w:r>
    </w:p>
    <w:p w14:paraId="0A0537DE" w14:textId="2A8D6915" w:rsidR="00E60C2F" w:rsidRPr="00AA05CA" w:rsidRDefault="00D0501E" w:rsidP="00251A17">
      <w:pPr>
        <w:spacing w:after="0" w:line="240" w:lineRule="auto"/>
        <w:rPr>
          <w:rFonts w:cs="Times New Roman"/>
          <w:bCs/>
        </w:rPr>
      </w:pPr>
      <w:r w:rsidRPr="00AA05CA">
        <w:rPr>
          <w:rFonts w:cs="Times New Roman"/>
          <w:bCs/>
        </w:rPr>
        <w:t xml:space="preserve">Email: </w:t>
      </w:r>
      <w:r w:rsidR="00E60C2F" w:rsidRPr="00AA05CA">
        <w:rPr>
          <w:rFonts w:cs="Times New Roman"/>
          <w:bCs/>
        </w:rPr>
        <w:t>angela.haddad@utexas.edu</w:t>
      </w:r>
      <w:r w:rsidRPr="00AA05CA">
        <w:rPr>
          <w:rFonts w:cs="Times New Roman"/>
          <w:bCs/>
        </w:rPr>
        <w:t xml:space="preserve"> </w:t>
      </w:r>
    </w:p>
    <w:p w14:paraId="5BB4DD6B" w14:textId="77777777" w:rsidR="00E60C2F" w:rsidRDefault="00E60C2F" w:rsidP="00251A17">
      <w:pPr>
        <w:spacing w:after="0" w:line="240" w:lineRule="auto"/>
        <w:rPr>
          <w:rFonts w:cs="Times New Roman"/>
          <w:b/>
        </w:rPr>
      </w:pPr>
    </w:p>
    <w:p w14:paraId="740A7BA5" w14:textId="77777777" w:rsidR="00E60C2F" w:rsidRDefault="00D0501E" w:rsidP="00251A17">
      <w:pPr>
        <w:spacing w:after="0" w:line="240" w:lineRule="auto"/>
        <w:rPr>
          <w:rFonts w:cs="Times New Roman"/>
          <w:b/>
        </w:rPr>
      </w:pPr>
      <w:r w:rsidRPr="00D0501E">
        <w:rPr>
          <w:rFonts w:cs="Times New Roman"/>
          <w:b/>
        </w:rPr>
        <w:t xml:space="preserve">Chandra R. Bhat (corresponding author) </w:t>
      </w:r>
    </w:p>
    <w:p w14:paraId="2EDCC8A8" w14:textId="77777777" w:rsidR="00E60C2F" w:rsidRPr="00AA05CA" w:rsidRDefault="00D0501E" w:rsidP="00251A17">
      <w:pPr>
        <w:spacing w:after="0" w:line="240" w:lineRule="auto"/>
        <w:rPr>
          <w:rFonts w:cs="Times New Roman"/>
          <w:bCs/>
        </w:rPr>
      </w:pPr>
      <w:r w:rsidRPr="00AA05CA">
        <w:rPr>
          <w:rFonts w:cs="Times New Roman"/>
          <w:bCs/>
        </w:rPr>
        <w:t xml:space="preserve">The University of Texas at Austin </w:t>
      </w:r>
    </w:p>
    <w:p w14:paraId="1D3FF114" w14:textId="77777777" w:rsidR="00E60C2F" w:rsidRPr="00AA05CA" w:rsidRDefault="00D0501E" w:rsidP="00251A17">
      <w:pPr>
        <w:spacing w:after="0" w:line="240" w:lineRule="auto"/>
        <w:rPr>
          <w:rFonts w:cs="Times New Roman"/>
          <w:bCs/>
        </w:rPr>
      </w:pPr>
      <w:r w:rsidRPr="00AA05CA">
        <w:rPr>
          <w:rFonts w:cs="Times New Roman"/>
          <w:bCs/>
        </w:rPr>
        <w:t xml:space="preserve">Department of Civil, Architectural and Environmental Engineering </w:t>
      </w:r>
    </w:p>
    <w:p w14:paraId="020ADB1A" w14:textId="77777777" w:rsidR="00AA05CA" w:rsidRPr="00AA05CA" w:rsidRDefault="00D0501E" w:rsidP="00251A17">
      <w:pPr>
        <w:spacing w:after="0" w:line="240" w:lineRule="auto"/>
        <w:rPr>
          <w:rFonts w:cs="Times New Roman"/>
          <w:bCs/>
        </w:rPr>
      </w:pPr>
      <w:r w:rsidRPr="00AA05CA">
        <w:rPr>
          <w:rFonts w:cs="Times New Roman"/>
          <w:bCs/>
        </w:rPr>
        <w:t xml:space="preserve">301 E. Dean Keeton St. Stop C1761, Austin TX 78712, USA </w:t>
      </w:r>
    </w:p>
    <w:p w14:paraId="514C1C57" w14:textId="4152015B" w:rsidR="00D02E86" w:rsidRPr="00AA05CA" w:rsidRDefault="00D0501E" w:rsidP="00251A17">
      <w:pPr>
        <w:spacing w:after="0" w:line="240" w:lineRule="auto"/>
        <w:rPr>
          <w:rFonts w:cs="Times New Roman"/>
          <w:bCs/>
        </w:rPr>
      </w:pPr>
      <w:r w:rsidRPr="00AA05CA">
        <w:rPr>
          <w:rFonts w:cs="Times New Roman"/>
          <w:bCs/>
        </w:rPr>
        <w:t>Tel: +1-512-471-4535; Email: bhat@mail.utexas.edu</w:t>
      </w:r>
    </w:p>
    <w:p w14:paraId="3426DFC7" w14:textId="77777777" w:rsidR="00D02E86" w:rsidRDefault="00D02E86" w:rsidP="00251A17">
      <w:pPr>
        <w:spacing w:after="0" w:line="240" w:lineRule="auto"/>
        <w:rPr>
          <w:rFonts w:cs="Times New Roman"/>
          <w:b/>
        </w:rPr>
      </w:pPr>
    </w:p>
    <w:p w14:paraId="53A48FA5" w14:textId="77777777" w:rsidR="00D02E86" w:rsidRDefault="00D02E86" w:rsidP="00251A17">
      <w:pPr>
        <w:spacing w:after="0" w:line="240" w:lineRule="auto"/>
        <w:rPr>
          <w:rFonts w:cs="Times New Roman"/>
          <w:b/>
        </w:rPr>
      </w:pPr>
    </w:p>
    <w:p w14:paraId="690B1A10" w14:textId="77777777" w:rsidR="00D02E86" w:rsidRDefault="00D02E86" w:rsidP="00251A17">
      <w:pPr>
        <w:spacing w:after="0" w:line="240" w:lineRule="auto"/>
        <w:rPr>
          <w:rFonts w:cs="Times New Roman"/>
          <w:b/>
        </w:rPr>
      </w:pPr>
    </w:p>
    <w:p w14:paraId="2BD31C11" w14:textId="6B279850" w:rsidR="00D02E86" w:rsidRDefault="00D02E86" w:rsidP="00251A17">
      <w:pPr>
        <w:spacing w:after="0" w:line="240" w:lineRule="auto"/>
        <w:rPr>
          <w:rFonts w:cs="Times New Roman"/>
          <w:b/>
        </w:rPr>
      </w:pPr>
      <w:r>
        <w:rPr>
          <w:rFonts w:cs="Times New Roman"/>
          <w:b/>
        </w:rPr>
        <w:br w:type="page"/>
      </w:r>
    </w:p>
    <w:p w14:paraId="561BABAC" w14:textId="7CF37BB7" w:rsidR="00AA05CA" w:rsidRDefault="00AA05CA" w:rsidP="00251A17">
      <w:pPr>
        <w:spacing w:after="0" w:line="240" w:lineRule="auto"/>
        <w:rPr>
          <w:rFonts w:cs="Times New Roman"/>
          <w:b/>
        </w:rPr>
      </w:pPr>
      <w:r>
        <w:rPr>
          <w:rFonts w:cs="Times New Roman"/>
          <w:b/>
        </w:rPr>
        <w:lastRenderedPageBreak/>
        <w:t>ABSTRACT</w:t>
      </w:r>
    </w:p>
    <w:p w14:paraId="43584610" w14:textId="40B6E2DF" w:rsidR="00980AB9" w:rsidRDefault="00746C5B" w:rsidP="00251A17">
      <w:pPr>
        <w:spacing w:after="0" w:line="240" w:lineRule="auto"/>
        <w:jc w:val="both"/>
        <w:rPr>
          <w:rFonts w:cs="Times New Roman"/>
          <w:bCs/>
        </w:rPr>
      </w:pPr>
      <w:r>
        <w:rPr>
          <w:rFonts w:cs="Times New Roman"/>
          <w:bCs/>
        </w:rPr>
        <w:t>Residential location</w:t>
      </w:r>
      <w:r w:rsidR="00E04577">
        <w:rPr>
          <w:rFonts w:cs="Times New Roman"/>
          <w:bCs/>
        </w:rPr>
        <w:t xml:space="preserve"> decisions have </w:t>
      </w:r>
      <w:r w:rsidR="00240C6E">
        <w:rPr>
          <w:rFonts w:cs="Times New Roman"/>
          <w:bCs/>
        </w:rPr>
        <w:t>widespread</w:t>
      </w:r>
      <w:r w:rsidR="00E04577">
        <w:rPr>
          <w:rFonts w:cs="Times New Roman"/>
          <w:bCs/>
        </w:rPr>
        <w:t xml:space="preserve"> implications for individual-level </w:t>
      </w:r>
      <w:r w:rsidR="00240C6E">
        <w:rPr>
          <w:rFonts w:cs="Times New Roman"/>
          <w:bCs/>
        </w:rPr>
        <w:t xml:space="preserve">life satisfaction and broader aggregate </w:t>
      </w:r>
      <w:r>
        <w:rPr>
          <w:rFonts w:cs="Times New Roman"/>
          <w:bCs/>
        </w:rPr>
        <w:t xml:space="preserve">urban form </w:t>
      </w:r>
      <w:r w:rsidR="00240C6E">
        <w:rPr>
          <w:rFonts w:cs="Times New Roman"/>
          <w:bCs/>
        </w:rPr>
        <w:t>trends</w:t>
      </w:r>
      <w:r w:rsidR="00E04577">
        <w:rPr>
          <w:rFonts w:cs="Times New Roman"/>
          <w:bCs/>
        </w:rPr>
        <w:t xml:space="preserve">. </w:t>
      </w:r>
      <w:r>
        <w:rPr>
          <w:rFonts w:cs="Times New Roman"/>
          <w:bCs/>
        </w:rPr>
        <w:t xml:space="preserve">In this context, the current </w:t>
      </w:r>
      <w:r w:rsidR="00345F87">
        <w:rPr>
          <w:rFonts w:cs="Times New Roman"/>
          <w:bCs/>
        </w:rPr>
        <w:t xml:space="preserve">study examines </w:t>
      </w:r>
      <w:r w:rsidR="00980AB9">
        <w:rPr>
          <w:rFonts w:cs="Times New Roman"/>
          <w:bCs/>
        </w:rPr>
        <w:t xml:space="preserve">the importance of a multitude of factors </w:t>
      </w:r>
      <w:r>
        <w:rPr>
          <w:rFonts w:cs="Times New Roman"/>
          <w:bCs/>
        </w:rPr>
        <w:t>affecting residential location choice</w:t>
      </w:r>
      <w:r w:rsidR="00AB0D0C">
        <w:rPr>
          <w:rFonts w:cs="Times New Roman"/>
          <w:bCs/>
        </w:rPr>
        <w:t>s</w:t>
      </w:r>
      <w:r>
        <w:rPr>
          <w:rFonts w:cs="Times New Roman"/>
          <w:bCs/>
        </w:rPr>
        <w:t>. U</w:t>
      </w:r>
      <w:r w:rsidR="00980AB9">
        <w:rPr>
          <w:rFonts w:cs="Times New Roman"/>
          <w:bCs/>
        </w:rPr>
        <w:t xml:space="preserve">sing data from the 2021 Puget Sound Regional Travel </w:t>
      </w:r>
      <w:r w:rsidR="007D7BB7">
        <w:rPr>
          <w:rFonts w:cs="Times New Roman"/>
          <w:bCs/>
        </w:rPr>
        <w:t>Survey and</w:t>
      </w:r>
      <w:r>
        <w:rPr>
          <w:rFonts w:cs="Times New Roman"/>
          <w:bCs/>
        </w:rPr>
        <w:t xml:space="preserve"> </w:t>
      </w:r>
      <w:r w:rsidR="00980AB9">
        <w:rPr>
          <w:rFonts w:cs="Times New Roman"/>
          <w:bCs/>
        </w:rPr>
        <w:t>employ</w:t>
      </w:r>
      <w:r>
        <w:rPr>
          <w:rFonts w:cs="Times New Roman"/>
          <w:bCs/>
        </w:rPr>
        <w:t>ing</w:t>
      </w:r>
      <w:r w:rsidR="00980AB9">
        <w:rPr>
          <w:rFonts w:cs="Times New Roman"/>
          <w:bCs/>
        </w:rPr>
        <w:t xml:space="preserve"> a rank-based modeling approach to capture the multifaceted nature of </w:t>
      </w:r>
      <w:r w:rsidR="007D7BB7">
        <w:rPr>
          <w:rFonts w:cs="Times New Roman"/>
          <w:bCs/>
        </w:rPr>
        <w:t xml:space="preserve">residential </w:t>
      </w:r>
      <w:r>
        <w:rPr>
          <w:rFonts w:cs="Times New Roman"/>
          <w:bCs/>
        </w:rPr>
        <w:t xml:space="preserve">location </w:t>
      </w:r>
      <w:r w:rsidR="00240C6E">
        <w:rPr>
          <w:rFonts w:cs="Times New Roman"/>
          <w:bCs/>
        </w:rPr>
        <w:t>choices</w:t>
      </w:r>
      <w:r>
        <w:rPr>
          <w:rFonts w:cs="Times New Roman"/>
          <w:bCs/>
        </w:rPr>
        <w:t xml:space="preserve">, the study highlights the </w:t>
      </w:r>
      <w:r w:rsidR="00980AB9">
        <w:rPr>
          <w:rFonts w:cs="Times New Roman"/>
          <w:bCs/>
        </w:rPr>
        <w:t xml:space="preserve">significant heterogeneity </w:t>
      </w:r>
      <w:r>
        <w:rPr>
          <w:rFonts w:cs="Times New Roman"/>
          <w:bCs/>
        </w:rPr>
        <w:t xml:space="preserve">across households </w:t>
      </w:r>
      <w:r w:rsidR="00980AB9">
        <w:rPr>
          <w:rFonts w:cs="Times New Roman"/>
          <w:bCs/>
        </w:rPr>
        <w:t>in</w:t>
      </w:r>
      <w:r>
        <w:rPr>
          <w:rFonts w:cs="Times New Roman"/>
          <w:bCs/>
        </w:rPr>
        <w:t xml:space="preserve"> residential location </w:t>
      </w:r>
      <w:r w:rsidR="00980AB9">
        <w:rPr>
          <w:rFonts w:cs="Times New Roman"/>
          <w:bCs/>
        </w:rPr>
        <w:t xml:space="preserve">preferences as well as </w:t>
      </w:r>
      <w:r>
        <w:rPr>
          <w:rFonts w:cs="Times New Roman"/>
          <w:bCs/>
        </w:rPr>
        <w:t xml:space="preserve">the </w:t>
      </w:r>
      <w:r w:rsidR="00980AB9">
        <w:rPr>
          <w:rFonts w:cs="Times New Roman"/>
          <w:bCs/>
        </w:rPr>
        <w:t>changes in these preferences between those moving before and after the</w:t>
      </w:r>
      <w:r w:rsidR="00BC3D48">
        <w:rPr>
          <w:rFonts w:cs="Times New Roman"/>
          <w:bCs/>
        </w:rPr>
        <w:t xml:space="preserve"> onset of the</w:t>
      </w:r>
      <w:r w:rsidR="00980AB9">
        <w:rPr>
          <w:rFonts w:cs="Times New Roman"/>
          <w:bCs/>
        </w:rPr>
        <w:t xml:space="preserve"> COVID-19 pandemic. </w:t>
      </w:r>
      <w:r>
        <w:rPr>
          <w:rFonts w:cs="Times New Roman"/>
          <w:bCs/>
        </w:rPr>
        <w:t xml:space="preserve">The results indicate higher priority being placed on “living near friends and family” </w:t>
      </w:r>
      <w:r w:rsidR="00BC3D48">
        <w:rPr>
          <w:rFonts w:cs="Times New Roman"/>
          <w:bCs/>
        </w:rPr>
        <w:t>during</w:t>
      </w:r>
      <w:r>
        <w:rPr>
          <w:rFonts w:cs="Times New Roman"/>
          <w:bCs/>
        </w:rPr>
        <w:t xml:space="preserve"> the pandemic, particularly for retired adults, high income groups, and Hispanic individuals. Having space and separation from others is simultaneously important for retired adults. Walkable environments appear to be particularly important in the </w:t>
      </w:r>
      <w:r w:rsidR="00BC3D48">
        <w:rPr>
          <w:rFonts w:cs="Times New Roman"/>
          <w:bCs/>
        </w:rPr>
        <w:t>during</w:t>
      </w:r>
      <w:r>
        <w:rPr>
          <w:rFonts w:cs="Times New Roman"/>
          <w:bCs/>
        </w:rPr>
        <w:t xml:space="preserve">-COVID residential location choices of families with children, </w:t>
      </w:r>
      <w:r w:rsidR="0000088F">
        <w:rPr>
          <w:rFonts w:cs="Times New Roman"/>
          <w:bCs/>
        </w:rPr>
        <w:t>A</w:t>
      </w:r>
      <w:r>
        <w:rPr>
          <w:rFonts w:cs="Times New Roman"/>
          <w:bCs/>
        </w:rPr>
        <w:t xml:space="preserve">ccess to highways has become more important for almost all population subgroups and quality of schools has come down in the priority list of factors sought in residential locations even for households with children. These evolving preferences for residential location factors have important implications for </w:t>
      </w:r>
      <w:r w:rsidR="00E04577">
        <w:rPr>
          <w:rFonts w:cs="Times New Roman"/>
          <w:bCs/>
        </w:rPr>
        <w:t xml:space="preserve">urban planners, real estate developers, </w:t>
      </w:r>
      <w:r w:rsidR="00AB15DE">
        <w:rPr>
          <w:rFonts w:cs="Times New Roman"/>
          <w:bCs/>
        </w:rPr>
        <w:t xml:space="preserve">and </w:t>
      </w:r>
      <w:r w:rsidR="00E04577">
        <w:rPr>
          <w:rFonts w:cs="Times New Roman"/>
          <w:bCs/>
        </w:rPr>
        <w:t>tra</w:t>
      </w:r>
      <w:r>
        <w:rPr>
          <w:rFonts w:cs="Times New Roman"/>
          <w:bCs/>
        </w:rPr>
        <w:t>nsportation</w:t>
      </w:r>
      <w:r w:rsidR="00E04577">
        <w:rPr>
          <w:rFonts w:cs="Times New Roman"/>
          <w:bCs/>
        </w:rPr>
        <w:t xml:space="preserve"> policymakers. </w:t>
      </w:r>
    </w:p>
    <w:p w14:paraId="5241202B" w14:textId="77777777" w:rsidR="00AA05CA" w:rsidRDefault="00AA05CA" w:rsidP="00251A17">
      <w:pPr>
        <w:spacing w:after="0" w:line="240" w:lineRule="auto"/>
        <w:rPr>
          <w:rFonts w:cs="Times New Roman"/>
          <w:b/>
        </w:rPr>
      </w:pPr>
    </w:p>
    <w:p w14:paraId="5AD573A1" w14:textId="43ADEC38" w:rsidR="00100BD9" w:rsidRPr="00F74878" w:rsidRDefault="00AA05CA" w:rsidP="00251A17">
      <w:pPr>
        <w:spacing w:after="0" w:line="240" w:lineRule="auto"/>
        <w:jc w:val="both"/>
        <w:rPr>
          <w:rFonts w:cs="Times New Roman"/>
          <w:bCs/>
        </w:rPr>
        <w:sectPr w:rsidR="00100BD9" w:rsidRPr="00F74878" w:rsidSect="00956D9D">
          <w:pgSz w:w="12240" w:h="15840"/>
          <w:pgMar w:top="1440" w:right="1440" w:bottom="1440" w:left="1440" w:header="720" w:footer="720" w:gutter="0"/>
          <w:pgNumType w:start="1"/>
          <w:cols w:space="720"/>
          <w:docGrid w:linePitch="360"/>
        </w:sectPr>
      </w:pPr>
      <w:r w:rsidRPr="00F74878">
        <w:rPr>
          <w:rFonts w:cs="Times New Roman"/>
          <w:b/>
        </w:rPr>
        <w:t xml:space="preserve">Keywords: </w:t>
      </w:r>
      <w:r w:rsidR="00F74878" w:rsidRPr="00F74878">
        <w:rPr>
          <w:rFonts w:cs="Times New Roman"/>
          <w:bCs/>
        </w:rPr>
        <w:t xml:space="preserve">Residential </w:t>
      </w:r>
      <w:r w:rsidR="00746C5B">
        <w:rPr>
          <w:rFonts w:cs="Times New Roman"/>
          <w:bCs/>
        </w:rPr>
        <w:t>L</w:t>
      </w:r>
      <w:r w:rsidR="00F74878" w:rsidRPr="00F74878">
        <w:rPr>
          <w:rFonts w:cs="Times New Roman"/>
          <w:bCs/>
        </w:rPr>
        <w:t>ocation</w:t>
      </w:r>
      <w:r w:rsidR="00746C5B">
        <w:rPr>
          <w:rFonts w:cs="Times New Roman"/>
          <w:bCs/>
        </w:rPr>
        <w:t xml:space="preserve"> Choice</w:t>
      </w:r>
      <w:r w:rsidR="00F74878" w:rsidRPr="00F74878">
        <w:rPr>
          <w:rFonts w:cs="Times New Roman"/>
          <w:bCs/>
        </w:rPr>
        <w:t>, COVID Impacts, Rank-Ordered Model</w:t>
      </w:r>
      <w:r w:rsidR="00F74878">
        <w:rPr>
          <w:rFonts w:cs="Times New Roman"/>
          <w:bCs/>
        </w:rPr>
        <w:t xml:space="preserve">, </w:t>
      </w:r>
      <w:r w:rsidR="009A6E4F">
        <w:rPr>
          <w:rFonts w:cs="Times New Roman"/>
          <w:bCs/>
        </w:rPr>
        <w:t xml:space="preserve">Urban Planning, </w:t>
      </w:r>
      <w:r w:rsidR="00F74878">
        <w:rPr>
          <w:rFonts w:cs="Times New Roman"/>
          <w:bCs/>
        </w:rPr>
        <w:t>Travel Demand</w:t>
      </w:r>
    </w:p>
    <w:p w14:paraId="5B2F29D5" w14:textId="65F23518" w:rsidR="00E93EBB" w:rsidRDefault="005F3942" w:rsidP="00727863">
      <w:pPr>
        <w:spacing w:after="0" w:line="240" w:lineRule="auto"/>
        <w:jc w:val="both"/>
        <w:rPr>
          <w:rFonts w:cs="Times New Roman"/>
          <w:b/>
        </w:rPr>
      </w:pPr>
      <w:r w:rsidRPr="006807BB">
        <w:rPr>
          <w:rFonts w:cs="Times New Roman"/>
          <w:b/>
        </w:rPr>
        <w:lastRenderedPageBreak/>
        <w:t xml:space="preserve">1. </w:t>
      </w:r>
      <w:r w:rsidR="007277D7">
        <w:rPr>
          <w:rFonts w:cs="Times New Roman"/>
          <w:b/>
        </w:rPr>
        <w:t xml:space="preserve">INTRODUCTION </w:t>
      </w:r>
    </w:p>
    <w:p w14:paraId="4CFA92A6" w14:textId="5582DAFC" w:rsidR="0078510E" w:rsidRPr="006A695B" w:rsidRDefault="0078510E" w:rsidP="001C11A9">
      <w:pPr>
        <w:spacing w:after="0" w:line="240" w:lineRule="auto"/>
        <w:jc w:val="both"/>
        <w:rPr>
          <w:rFonts w:cs="Times New Roman"/>
          <w:b/>
        </w:rPr>
      </w:pPr>
      <w:r w:rsidRPr="0078510E">
        <w:rPr>
          <w:rFonts w:cs="Times New Roman"/>
          <w:bCs/>
        </w:rPr>
        <w:t>The home</w:t>
      </w:r>
      <w:r w:rsidR="00697E02">
        <w:rPr>
          <w:rFonts w:cs="Times New Roman"/>
          <w:bCs/>
        </w:rPr>
        <w:t xml:space="preserve"> serves as a core location for the start and end of the daily activity-travel behavior patterns of most individuals.</w:t>
      </w:r>
      <w:r w:rsidR="00193C25">
        <w:rPr>
          <w:rFonts w:cs="Times New Roman"/>
          <w:bCs/>
        </w:rPr>
        <w:t xml:space="preserve"> The residential </w:t>
      </w:r>
      <w:r w:rsidR="00C677AB">
        <w:rPr>
          <w:rFonts w:cs="Times New Roman"/>
          <w:bCs/>
        </w:rPr>
        <w:t>location</w:t>
      </w:r>
      <w:r w:rsidR="00697E02">
        <w:rPr>
          <w:rFonts w:cs="Times New Roman"/>
          <w:bCs/>
        </w:rPr>
        <w:t xml:space="preserve"> also influences the intensity of activity-travel patterns of individuals, as land-use characteristics (including land-use diversity and number/diversity of activity opportunities) and transportation system characteristics (including street network design, traffic volumes on roadways, transportation infrastructure capacity, availability and distance to public transportation, and parking characteristics) impact travel mode availability and overall travel experiences </w:t>
      </w:r>
      <w:r w:rsidR="00697E02">
        <w:rPr>
          <w:rFonts w:cs="Times New Roman"/>
          <w:bCs/>
        </w:rPr>
        <w:fldChar w:fldCharType="begin"/>
      </w:r>
      <w:r w:rsidR="00697E02">
        <w:rPr>
          <w:rFonts w:cs="Times New Roman"/>
          <w:bCs/>
        </w:rPr>
        <w:instrText xml:space="preserve"> ADDIN ZOTERO_ITEM CSL_CITATION {"citationID":"3Pyy24li","properties":{"unsorted":true,"formattedCitation":"(Ewing and Cervero, 2010; De Vos et al., 2018)","plainCitation":"(Ewing and Cervero, 2010; De Vos et al., 2018)","noteIndex":0},"citationItems":[{"id":2968,"uris":["http://zotero.org/users/12832277/items/QTCIAF88"],"itemData":{"id":2968,"type":"article-journal","abstract":"Problem: Localities and states are turning to land planning and urban design for help in reducing automobile use and related social and environmental costs. The effects of such strategies on travel demand have not been generalized in recent years from the multitude of available studies. Purpose: We conducted a meta-analysis of the built environment-travel literature existing at the end of 2009 in order to draw generalizable conclusions for practice. We aimed to quantify effect sizes, update earlier work, include additional outcome measures, and address the methodological issue of self-selection. Methods: We computed elasticities for individual studies and pooled them to produce weighted averages. Results and conclusions: Travel variables are generally inelastic with respect to change in measures of the built environment. Of the environmental variables considered here, none has a weighted average travel elasticity of absolute magnitude greater than 0.39, and most are much less. Still, the combined effect of several such variables on travel could be quite large. Consistent with prior work, we find that vehicle miles traveled (VMT) is most strongly related to measures of accessibility to destinations and secondarily to street network design variables. Walking is most strongly related to measures of land use diversity, intersection density, and the number of destinations within walking distance. Bus and train use are equally related to proximity to transit and street network design variables, with land use diversity a secondary factor. Surprisingly, we find population and job densities to be only weakly associated with travel behavior once these other variables are controlled. Takeaway for practice: The elasticities we derived in this meta-analysis may be used to adjust outputs of travel or activity models that are otherwise insensitive to variation in the built environment, or be used in sketch planning applications ranging from climate action plans to health impact assessments. However, because sample sizes are small, and very few studies control for residential preferences and attitudes, we cannot say that planners should generalize broadly from our results. While these elasticities are as accurate as currently possible, they should be understood to contain unknown error and have unknown confidence intervals. They provide a base, and as more built-environment/travel studies appear in the planning literature, these elasticities should be updated and refined. Research support: U.S. Environmental Protection Agency.","container-title":"Journal of the American Planning Association","DOI":"10.1080/01944361003766766","ISSN":"0194-4363","issue":"3","note":"publisher: Routledge\n_eprint: https://doi.org/10.1080/01944361003766766","page":"265–294","source":"Taylor and Francis+NEJM","title":"Travel and the Built Environment: A Meta-Analysis","volume":"76","author":[{"family":"Ewing","given":"Reid"},{"family":"Cervero","given":"Robert"}],"issued":{"date-parts":[["2010",6,21]]}}},{"id":2965,"uris":["http://zotero.org/users/12832277/items/EW6XNM5R"],"itemData":{"id":2965,"type":"article-journal","abstract":"A considerable amount of studies have indicated that people to some extent select themselves in specific neighbourhoods allowing them to travel in their desired way. Although a lot of studies analysed the degree to which travel preferences affect the residential location choice, few studies looked at the effect of a residential relocation on people's travel behaviour and attitudes. A new residential context has the potential to disrupt previous travel choices and could potentially change people's attitudes. This study – using 1539 recently relocated residents in the city of Ghent (Belgium) – analyses self-reported changes in mode frequency and travel attitudes after a relocation, and uses a cohort approach to look at mode frequency and attitudes at different times after the relocation took place. Results suggest that (i) travel attitudes often influence the residential location choice, and (ii) both travel attitudes and travel mode choice change after a relocation, albeit in different ways depending on the current (urban versus suburban) and previous residential neighbourhood (more/equally/less urbanised). This study also suggests that a (possible) dissonance between travel attitudes and the residential neighbourhood is partly a temporal situation, as attitudes can gradually change in accordance with the new residential environment.","container-title":"Journal of Transport Geography","DOI":"10.1016/j.jtrangeo.2018.10.013","ISSN":"0966-6923","page":"131-147","source":"ScienceDirect","title":"Changing Travel Behaviour and Attitudes Following a Residential Relocation","volume":"73","author":[{"family":"De Vos","given":"Jonas"},{"family":"Ettema","given":"Dick"},{"family":"Witlox","given":"Frank"}],"issued":{"date-parts":[["2018",12,1]]}}}],"schema":"https://github.com/citation-style-language/schema/raw/master/csl-citation.json"} </w:instrText>
      </w:r>
      <w:r w:rsidR="00697E02">
        <w:rPr>
          <w:rFonts w:cs="Times New Roman"/>
          <w:bCs/>
        </w:rPr>
        <w:fldChar w:fldCharType="separate"/>
      </w:r>
      <w:r w:rsidR="00697E02" w:rsidRPr="001669B6">
        <w:rPr>
          <w:rFonts w:cs="Times New Roman"/>
        </w:rPr>
        <w:t>(Ewing and Cervero, 2010; De Vos et al., 2018)</w:t>
      </w:r>
      <w:r w:rsidR="00697E02">
        <w:rPr>
          <w:rFonts w:cs="Times New Roman"/>
          <w:bCs/>
        </w:rPr>
        <w:fldChar w:fldCharType="end"/>
      </w:r>
      <w:r w:rsidR="00697E02">
        <w:rPr>
          <w:rFonts w:cs="Times New Roman"/>
          <w:bCs/>
        </w:rPr>
        <w:t>.  At the same time, the preferences for specific travel modes (such as walking and bicycling)</w:t>
      </w:r>
      <w:r w:rsidR="00C64ADD">
        <w:rPr>
          <w:rFonts w:cs="Times New Roman"/>
          <w:bCs/>
        </w:rPr>
        <w:t>,</w:t>
      </w:r>
      <w:r w:rsidR="00697E02">
        <w:rPr>
          <w:rFonts w:cs="Times New Roman"/>
          <w:bCs/>
        </w:rPr>
        <w:t xml:space="preserve"> and the general desires for particular activity-travel experiences</w:t>
      </w:r>
      <w:r w:rsidR="00C64ADD">
        <w:rPr>
          <w:rFonts w:cs="Times New Roman"/>
          <w:bCs/>
        </w:rPr>
        <w:t>,</w:t>
      </w:r>
      <w:r w:rsidR="00697E02">
        <w:rPr>
          <w:rFonts w:cs="Times New Roman"/>
          <w:bCs/>
        </w:rPr>
        <w:t xml:space="preserve"> </w:t>
      </w:r>
      <w:r w:rsidR="00193C25">
        <w:rPr>
          <w:rFonts w:cs="Times New Roman"/>
          <w:bCs/>
        </w:rPr>
        <w:t xml:space="preserve">also </w:t>
      </w:r>
      <w:r w:rsidR="00697E02">
        <w:rPr>
          <w:rFonts w:cs="Times New Roman"/>
          <w:bCs/>
        </w:rPr>
        <w:t xml:space="preserve">impact the selection of the residential location of families </w:t>
      </w:r>
      <w:r w:rsidR="00C677AB">
        <w:rPr>
          <w:rFonts w:cs="Times New Roman"/>
          <w:bCs/>
        </w:rPr>
        <w:fldChar w:fldCharType="begin"/>
      </w:r>
      <w:r w:rsidR="00C12493">
        <w:rPr>
          <w:rFonts w:cs="Times New Roman"/>
          <w:bCs/>
        </w:rPr>
        <w:instrText xml:space="preserve"> ADDIN ZOTERO_ITEM CSL_CITATION {"citationID":"HX8fUiCk","properties":{"formattedCitation":"(Bhat and Guo, 2007; van Wee and Cao, 2022)","plainCitation":"(Bhat and Guo, 2007; van Wee and Cao, 2022)","dontUpdate":true,"noteIndex":0},"citationItems":[{"id":44,"uris":["http://zotero.org/users/12832277/items/9DL3Y3QX"],"itemData":{"id":44,"type":"article-journal","abstract":"There has been an increasing interest in the land use-transportation connection in the past decade, motivated by the possibility that design policies associated with the built environment can be used to control, manage, and shape individual traveler behavior and aggregate travel demand. In this line of research and application pursuit, it is critical to understand whether the empirically observed association between the built environment and travel behavior-related variables is a true reflection of underlying causality or simply a spurious correlation attributable to the intervening relationship between the built environment and the characteristics of people who choose to live in particular built environments. In this research paper, we identify the research designs and methodologies that may be used to test the presence of “true” causality versus residential sorting-based “spurious” associations in the land-use transportation connection. The paper then develops a methodological formulation to control for residential sorting effects in the analysis of the effect of built environment attributes on travel behavior-related choices. The formulation is applied to comprehensively examine the impact of the built environment, transportation network attributes, and demographic characteristics on residential choice and car ownership decisions. The model formulation takes the form of a joint mixed multinomial logit-ordered response structure that (a) accommodates differential sensitivity to the built environment and transportation network variables due to both demographic and unobserved household attributes and (b) controls for the self-selection of individuals into neighborhoods based on car ownership preferences stemming from both demographic characteristics and unobserved household factors. The analysis in the paper represents, to our knowledge, the first instance of the formulation and application of a unified mixed multinomial logit-ordered response structure in the econometric literature. The empirical analysis in the paper is based on the residential choice and car ownership decisions of San Francisco Bay area residents.","container-title":"Transportation Research Part B: Methodological","DOI":"10.1016/j.trb.2005.12.005","ISSN":"0191-2615","language":"en","page":"506-526","source":"ScienceDirect","title":"A Comprehensive Analysis of Built Environment Characteristics on Household Residential Choice and Auto Ownership Levels","volume":"41","author":[{"family":"Bhat","given":"Chandra R."},{"family":"Guo","given":"Jessica Y."}],"issued":{"date-parts":[["2007",6,1]]}}},{"id":597,"uris":["http://zotero.org/users/12832277/items/86RV422S"],"itemData":{"id":597,"type":"chapter","abstract":"This chapter gives an overview of the current debates on residential self-selection and presents a related research agenda. Here, we define residential self-selection as “the tendency of people to choose residential locations based on their travel abilities, needs and preferences.” Debates relate to theory/causalities (including the role of attitudes), research methods, empirical findings (including the magnitude of the importance of residential self-selection for the influence of the built environment on travel behavior and the dominance of OECD (Organization for Economic Co-operation and Development) countries), and the implications for planning. The main contribution is in translating the current debates into a research agenda. Challenging avenues for future research are partly inspired by these debates, and include changing attitudes, qualitative research, multiple causal structures, extending the scope to other areas than residential areas, the existence of threshold values for the strength of preferences to be important for residential self-selection, the role of perceived accessibility, non-OECD countries, and planning implications.","collection-title":"Urban Transport and Land Use Planning: A Synthesis of Global Knowledge","container-title":"Advances in Transport Policy and Planning","language":"en","note":"DOI: 10.1016/bs.atpp.2020.08.004","page":"75-94","publisher":"Academic Press","source":"ScienceDirect","title":"Chapter Four - Residential Self-Selection in the Relationship Between the Built Environment and Travel Behavior: A Literature Review and Research Agenda","title-short":"Chapter Four - Residential Self-Selection in the Relationship Between the Built Environment and Travel Behavior","URL":"https://www.sciencedirect.com/science/article/pii/S2543000920300378","volume":"9","author":[{"family":"Wee","given":"Bert","non-dropping-particle":"van"},{"family":"Cao","given":"Xinyu Jason"}],"editor":[{"family":"Cao","given":"Xinyu Jason"},{"family":"Ding","given":"Chuan"},{"family":"Yang","given":"Jiawen"}],"accessed":{"date-parts":[["2023",5,3]]},"issued":{"date-parts":[["2022",1,1]]}}}],"schema":"https://github.com/citation-style-language/schema/raw/master/csl-citation.json"} </w:instrText>
      </w:r>
      <w:r w:rsidR="00C677AB">
        <w:rPr>
          <w:rFonts w:cs="Times New Roman"/>
          <w:bCs/>
        </w:rPr>
        <w:fldChar w:fldCharType="separate"/>
      </w:r>
      <w:r w:rsidR="00C677AB" w:rsidRPr="00C677AB">
        <w:rPr>
          <w:rFonts w:cs="Times New Roman"/>
        </w:rPr>
        <w:t>(</w:t>
      </w:r>
      <w:r w:rsidR="00C677AB">
        <w:rPr>
          <w:rFonts w:cs="Times New Roman"/>
        </w:rPr>
        <w:t xml:space="preserve">see, for example, </w:t>
      </w:r>
      <w:r w:rsidR="00C677AB" w:rsidRPr="00C677AB">
        <w:rPr>
          <w:rFonts w:cs="Times New Roman"/>
        </w:rPr>
        <w:t>Bhat and Guo, 2007; van Wee and Cao, 2022)</w:t>
      </w:r>
      <w:r w:rsidR="00C677AB">
        <w:rPr>
          <w:rFonts w:cs="Times New Roman"/>
          <w:bCs/>
        </w:rPr>
        <w:fldChar w:fldCharType="end"/>
      </w:r>
      <w:r w:rsidR="00697E02">
        <w:rPr>
          <w:rFonts w:cs="Times New Roman"/>
          <w:bCs/>
        </w:rPr>
        <w:t xml:space="preserve">. </w:t>
      </w:r>
      <w:r w:rsidR="0000088F">
        <w:rPr>
          <w:rFonts w:cs="Times New Roman"/>
          <w:bCs/>
        </w:rPr>
        <w:t xml:space="preserve">In the </w:t>
      </w:r>
      <w:r w:rsidR="00702F1D">
        <w:rPr>
          <w:rFonts w:cs="Times New Roman"/>
          <w:bCs/>
        </w:rPr>
        <w:t>reverse</w:t>
      </w:r>
      <w:r w:rsidR="0000088F">
        <w:rPr>
          <w:rFonts w:cs="Times New Roman"/>
          <w:bCs/>
        </w:rPr>
        <w:t xml:space="preserve"> direction</w:t>
      </w:r>
      <w:r w:rsidR="00193C25">
        <w:rPr>
          <w:rFonts w:cs="Times New Roman"/>
          <w:bCs/>
        </w:rPr>
        <w:t xml:space="preserve">, </w:t>
      </w:r>
      <w:r w:rsidR="0063733D">
        <w:rPr>
          <w:rFonts w:cs="Times New Roman"/>
          <w:bCs/>
        </w:rPr>
        <w:t xml:space="preserve">the </w:t>
      </w:r>
      <w:r w:rsidR="00193C25">
        <w:rPr>
          <w:rFonts w:cs="Times New Roman"/>
          <w:bCs/>
        </w:rPr>
        <w:t xml:space="preserve">residential location </w:t>
      </w:r>
      <w:r w:rsidR="00CB7EEC">
        <w:rPr>
          <w:rFonts w:cs="Times New Roman"/>
          <w:bCs/>
        </w:rPr>
        <w:t xml:space="preserve">decisions </w:t>
      </w:r>
      <w:r w:rsidR="00951A31">
        <w:rPr>
          <w:rFonts w:cs="Times New Roman"/>
          <w:bCs/>
        </w:rPr>
        <w:t>across</w:t>
      </w:r>
      <w:r w:rsidR="0063733D">
        <w:rPr>
          <w:rFonts w:cs="Times New Roman"/>
          <w:bCs/>
        </w:rPr>
        <w:t xml:space="preserve"> families</w:t>
      </w:r>
      <w:r w:rsidR="00193C25">
        <w:rPr>
          <w:rFonts w:cs="Times New Roman"/>
          <w:bCs/>
        </w:rPr>
        <w:t>, in the aggregate,</w:t>
      </w:r>
      <w:r w:rsidR="0063733D">
        <w:rPr>
          <w:rFonts w:cs="Times New Roman"/>
          <w:bCs/>
        </w:rPr>
        <w:t xml:space="preserve"> </w:t>
      </w:r>
      <w:r w:rsidR="00CB7EEC">
        <w:rPr>
          <w:rFonts w:cs="Times New Roman"/>
          <w:bCs/>
        </w:rPr>
        <w:t>i</w:t>
      </w:r>
      <w:r w:rsidR="00193C25">
        <w:rPr>
          <w:rFonts w:cs="Times New Roman"/>
          <w:bCs/>
        </w:rPr>
        <w:t>nfluence</w:t>
      </w:r>
      <w:r w:rsidR="00CB7EEC">
        <w:rPr>
          <w:rFonts w:cs="Times New Roman"/>
          <w:bCs/>
        </w:rPr>
        <w:t xml:space="preserve"> urban form</w:t>
      </w:r>
      <w:r w:rsidR="00951A31">
        <w:rPr>
          <w:rFonts w:cs="Times New Roman"/>
          <w:bCs/>
        </w:rPr>
        <w:t xml:space="preserve"> through</w:t>
      </w:r>
      <w:r w:rsidR="00CB7EEC">
        <w:rPr>
          <w:rFonts w:cs="Times New Roman"/>
          <w:bCs/>
        </w:rPr>
        <w:t xml:space="preserve"> </w:t>
      </w:r>
      <w:r w:rsidR="00951A31">
        <w:rPr>
          <w:rFonts w:cs="Times New Roman"/>
          <w:bCs/>
        </w:rPr>
        <w:t xml:space="preserve">the supply of </w:t>
      </w:r>
      <w:r w:rsidR="00CB7EEC">
        <w:rPr>
          <w:rFonts w:cs="Times New Roman"/>
          <w:bCs/>
        </w:rPr>
        <w:t>housing availability</w:t>
      </w:r>
      <w:r w:rsidR="008A303C">
        <w:rPr>
          <w:rFonts w:cs="Times New Roman"/>
          <w:bCs/>
        </w:rPr>
        <w:t xml:space="preserve"> relative to spatial out-of-home activity opportunities</w:t>
      </w:r>
      <w:r w:rsidR="00951A31">
        <w:rPr>
          <w:rFonts w:cs="Times New Roman"/>
          <w:bCs/>
        </w:rPr>
        <w:t>,</w:t>
      </w:r>
      <w:r w:rsidR="00CB7EEC">
        <w:rPr>
          <w:rFonts w:cs="Times New Roman"/>
          <w:bCs/>
        </w:rPr>
        <w:t xml:space="preserve"> </w:t>
      </w:r>
      <w:r w:rsidR="008A303C">
        <w:rPr>
          <w:rFonts w:cs="Times New Roman"/>
          <w:bCs/>
        </w:rPr>
        <w:t xml:space="preserve">and </w:t>
      </w:r>
      <w:r w:rsidR="00951A31">
        <w:rPr>
          <w:rFonts w:cs="Times New Roman"/>
          <w:bCs/>
        </w:rPr>
        <w:t xml:space="preserve">the affordability and range of </w:t>
      </w:r>
      <w:r w:rsidR="00CB7EEC">
        <w:rPr>
          <w:rFonts w:cs="Times New Roman"/>
          <w:bCs/>
        </w:rPr>
        <w:t>dwelling unit characteristics</w:t>
      </w:r>
      <w:r w:rsidR="00D26DD3">
        <w:rPr>
          <w:rFonts w:cs="Times New Roman"/>
          <w:bCs/>
        </w:rPr>
        <w:t xml:space="preserve"> </w:t>
      </w:r>
      <w:r w:rsidR="00D26DD3">
        <w:rPr>
          <w:rFonts w:cs="Times New Roman"/>
          <w:bCs/>
        </w:rPr>
        <w:fldChar w:fldCharType="begin"/>
      </w:r>
      <w:r w:rsidR="00D26DD3">
        <w:rPr>
          <w:rFonts w:cs="Times New Roman"/>
          <w:bCs/>
        </w:rPr>
        <w:instrText xml:space="preserve"> ADDIN ZOTERO_ITEM CSL_CITATION {"citationID":"Qtij9QNv","properties":{"formattedCitation":"(Doling and Arundel, 2022)","plainCitation":"(Doling and Arundel, 2022)","noteIndex":0},"citationItems":[{"id":515,"uris":["http://zotero.org/users/12832277/items/7AC54LZU"],"itemData":{"id":515,"type":"article-journal","abstract":"The aim of this paper is to examine the increasing use of the home as a workplace and establish its significance for housing studies. Firstly, the article sketches its historical growth founded in technological and business model changes. Using cross-country datasets, it identifies variations across the EU in the scale and characteristics of home working, which by 2015 was the practice for about 1 in 6 EU workers, a ratio that has been greatly boosted by responses to the coronavirus pandemic. Secondly, the article considers the implications of increasing home working for housing studies. This is illustrated through a consideration of influences on our understanding of housing demand, particularly in terms of housing form and location. Further, we consider consequences for other areas of theory on the meaning of home, boundaries between public and private realms, and gender perspectives on the division of domestic work and space.","container-title":"Housing, Theory and Society","DOI":"10.1080/14036096.2020.1846611","ISSN":"1403-6096","issue":"1","note":"publisher: Routledge\n_eprint: https://doi.org/10.1080/14036096.2020.1846611","page":"1-20","source":"Taylor and Francis+NEJM","title":"The Home as Workplace: A Challenge for Housing Research","title-short":"The Home as Workplace","volume":"39","author":[{"family":"Doling","given":"John"},{"family":"Arundel","given":"Rowan"}],"issued":{"date-parts":[["2022",1,1]]}}}],"schema":"https://github.com/citation-style-language/schema/raw/master/csl-citation.json"} </w:instrText>
      </w:r>
      <w:r w:rsidR="00D26DD3">
        <w:rPr>
          <w:rFonts w:cs="Times New Roman"/>
          <w:bCs/>
        </w:rPr>
        <w:fldChar w:fldCharType="separate"/>
      </w:r>
      <w:r w:rsidR="00D26DD3" w:rsidRPr="00D26DD3">
        <w:rPr>
          <w:rFonts w:cs="Times New Roman"/>
        </w:rPr>
        <w:t>(Doling and Arundel, 2022)</w:t>
      </w:r>
      <w:r w:rsidR="00D26DD3">
        <w:rPr>
          <w:rFonts w:cs="Times New Roman"/>
          <w:bCs/>
        </w:rPr>
        <w:fldChar w:fldCharType="end"/>
      </w:r>
      <w:r w:rsidR="00951A31">
        <w:rPr>
          <w:rFonts w:cs="Times New Roman"/>
          <w:bCs/>
        </w:rPr>
        <w:t>, all of which then i</w:t>
      </w:r>
      <w:r w:rsidR="006A6BC4">
        <w:rPr>
          <w:rFonts w:cs="Times New Roman"/>
          <w:bCs/>
        </w:rPr>
        <w:t>nfluence</w:t>
      </w:r>
      <w:r w:rsidR="00951A31">
        <w:rPr>
          <w:rFonts w:cs="Times New Roman"/>
          <w:bCs/>
        </w:rPr>
        <w:t xml:space="preserve"> individual family </w:t>
      </w:r>
      <w:r w:rsidR="00AE2DDE">
        <w:rPr>
          <w:rFonts w:cs="Times New Roman"/>
          <w:bCs/>
        </w:rPr>
        <w:t>residential</w:t>
      </w:r>
      <w:r w:rsidR="00951A31">
        <w:rPr>
          <w:rFonts w:cs="Times New Roman"/>
          <w:bCs/>
        </w:rPr>
        <w:t xml:space="preserve"> </w:t>
      </w:r>
      <w:r w:rsidR="00AE2DDE">
        <w:rPr>
          <w:rFonts w:cs="Times New Roman"/>
          <w:bCs/>
        </w:rPr>
        <w:t xml:space="preserve">location </w:t>
      </w:r>
      <w:r w:rsidR="00951A31">
        <w:rPr>
          <w:rFonts w:cs="Times New Roman"/>
          <w:bCs/>
        </w:rPr>
        <w:t>decisions in a cyclical fashion</w:t>
      </w:r>
      <w:r w:rsidR="00CB7EEC">
        <w:rPr>
          <w:rFonts w:cs="Times New Roman"/>
          <w:bCs/>
        </w:rPr>
        <w:t xml:space="preserve">. </w:t>
      </w:r>
      <w:r w:rsidR="00951A31">
        <w:rPr>
          <w:rFonts w:cs="Times New Roman"/>
          <w:bCs/>
        </w:rPr>
        <w:t>This intricate relationship among the demand-side residential location choices, the supply-side market availability and range of housing options, and urban form ha</w:t>
      </w:r>
      <w:r w:rsidR="006A6BC4">
        <w:rPr>
          <w:rFonts w:cs="Times New Roman"/>
          <w:bCs/>
        </w:rPr>
        <w:t>s</w:t>
      </w:r>
      <w:r w:rsidR="00951A31">
        <w:rPr>
          <w:rFonts w:cs="Times New Roman"/>
          <w:bCs/>
        </w:rPr>
        <w:t xml:space="preserve"> been the basis for a vast literature in the land-use transportation </w:t>
      </w:r>
      <w:r w:rsidR="006A6BC4">
        <w:rPr>
          <w:rFonts w:cs="Times New Roman"/>
          <w:bCs/>
        </w:rPr>
        <w:t>field</w:t>
      </w:r>
      <w:r w:rsidR="00951A31">
        <w:rPr>
          <w:rFonts w:cs="Times New Roman"/>
          <w:bCs/>
        </w:rPr>
        <w:t xml:space="preserve"> </w:t>
      </w:r>
      <w:r w:rsidR="002E7270">
        <w:rPr>
          <w:rFonts w:cs="Times New Roman"/>
          <w:bCs/>
        </w:rPr>
        <w:fldChar w:fldCharType="begin"/>
      </w:r>
      <w:r w:rsidR="00C12493">
        <w:rPr>
          <w:rFonts w:cs="Times New Roman"/>
          <w:bCs/>
        </w:rPr>
        <w:instrText xml:space="preserve"> ADDIN ZOTERO_ITEM CSL_CITATION {"citationID":"tMY0ZAeM","properties":{"unsorted":true,"formattedCitation":"(Wilson, 1970; Putman, 1975; Ben-Akiva and de Palma, 1986; Waddell, 2011; Moeckel et al., 2018; Alipour and Dia, 2023)","plainCitation":"(Wilson, 1970; Putman, 1975; Ben-Akiva and de Palma, 1986; Waddell, 2011; Moeckel et al., 2018; Alipour and Dia, 2023)","dontUpdate":true,"noteIndex":0},"citationItems":[{"id":16,"uris":["http://zotero.org/users/12832277/items/XXDDCKEP"],"itemData":{"id":16,"type":"article-journal","container-title":"Papers of the Regional Science Association","DOI":"10.1007/BF01936877","ISSN":"1435-5957","issue":"1","language":"en","page":"103-125","source":"Springer Link","title":"Disaggregating Elementary Residential Location Models","volume":"24","author":[{"family":"Wilson","given":"Alan G."}],"issued":{"date-parts":[["1970",12,1]]}}},{"id":3049,"uris":["http://zotero.org/users/12832277/items/UIHQ9PB4"],"itemData":{"id":3049,"type":"article-journal","abstract":"The paper assumes that the general relationship between transportation and land-use may be defined in terms of three primary components: (1) Economic activity (i.e. employment), (2) Demographic activity and (3) Transportation facilities. After a brief introductory section, the second section of the paper contains a review of the state of the art models of economic activity location i.e. intra-urban employment forecasting. The third section of the paper contains a review of the state of the art of models of demographic activity location, i.e. intra-urban population forecasting. The final section of the paper begins with a brief description of urban transportation network models. The section and paper are then concluded with a discussion of possible integrated land-use and transportation model packages.","container-title":"Transportation Research","DOI":"10.1016/0041-1647(75)90056-8","ISSN":"0041-1647","issue":"2","page":"187-202","source":"ScienceDirect","title":"Urban Land Use and Transportation Models: A State-of-the-Art Summary","volume":"9","author":[{"family":"Putman","given":"Stephen H."}],"issued":{"date-parts":[["1975",7,1]]}}},{"id":3052,"uris":["http://zotero.org/users/12832277/items/TLBTX3TH"],"itemData":{"id":3052,"type":"article-journal","abstract":"ABSTRACT. This paper incorporates transaction costs in a residential location choice model. An individual's choice is assumed to be an outcome of a two-stage process: a decision to change, or to undertake a transaction and, conditional on a change occurring, a choice of a new alternative. The dynamic choice model is aggregated to yield a Markovian model of residential location patterns. It is shown that recent contributions to dynamical urban modeling correspond to special cases of the deterministic version of this model. The Markovian model is used in a theoretical analysis of the influence of transaction costs on the properties of the stationary state. The effects of residential mobility rates and of interdependencies among individuals, caused by supply-side and density-related interactions, are also analyzed. It is shown how these dynamical factors modify the stationary state, thereby demonstrating the type of errors which may occur with static models that omit them.","container-title":"Journal of Regional Science","DOI":"10.1111/j.1467-9787.1986.tb00823.x","ISSN":"1467-9787","issue":"2","language":"en","note":"_eprint: https://onlinelibrary.wiley.com/doi/pdf/10.1111/j.1467-9787.1986.tb00823.x","page":"321-341","source":"Wiley Online Library","title":"Analysis of a Dynamic Residential Location Choice Model with Transaction Costs","volume":"26","author":[{"family":"Ben-Akiva","given":"Moshe"},{"family":"Palma","given":"André","non-dropping-particle":"de"}],"issued":{"date-parts":[["1986"]]}}},{"id":2973,"uris":["http://zotero.org/users/12832277/items/YBBQKIZA"],"itemData":{"id":2973,"type":"article-journal","abstract":"Academic research in integrated land use and transportation modelling is on the rise, in no small part due to growing interest from public agencies that need to improve their capacity to respond to complex policy questions arising in the context of transportation, land use and environmental planning. But the process of taking models developed in an academic research setting, where theoretical validity and the advancement of methodology receive high priority, and moving them into public agency settings in which priorities such as reliability, ease of use and staff capacity to explain to stakeholders what the models are doing, and why, create predictable gaps in understanding and can undermine a project. In this paper, we develop lessons from the experiences of multiple planning agencies in applying UrbanSim in their operational agency settings and integrating it with their transport model systems. In contexts as varied as Detroit, Honolulu, Houston, Phoenix, Seattle and San Francisco, we find that there are common elements to the tensions of appropriating a model system for their own use. We assess how the evolution in the design of the model system has responded to policy and technical challenges presented by this domain, and propose directions for further development.","container-title":"Transport Reviews","DOI":"10.1080/01441647.2010.525671","ISSN":"0144-1647","issue":"2","note":"publisher: Routledge\n_eprint: https://doi.org/10.1080/01441647.2010.525671","page":"209–229","source":"Taylor and Francis+NEJM","title":"Integrated Land Use and Transportation Planning and Modelling: Addressing Challenges in Research and Practice","volume":"31","author":[{"family":"Waddell","given":"Paul"}],"issued":{"date-parts":[["2011",3,1]]}}},{"id":2975,"uris":["http://zotero.org/users/12832277/items/TEPRS6WH"],"itemData":{"id":2975,"type":"article-journal","abstract":"Integrated land-use/transport models have five decades of history of both widely recognized successful implementations and implementations that remained far behind their originally stated goals. This paper summarizes the state of the art of integrated land-use/transport modeling and reports on findings from the Symposium for the Integration of Land-Use and Transport Models in Raitenhaslach, which is near Munich, in 2016. From these sources, the paper identifies major challenges in integrated land-use/transport modeling and proposes paths that support successful implementations. Particular attention is given to the coordination of short- and long-term decisions, the technical integration of models, microscopic versus macroscopic frameworks and appropriate levels of model complexity. The paper concludes with five themes that require further research to ensure that integrated land-use/transport models will keep up with modeling needs in the future.","container-title":"Journal of Transport and Land Use","ISSN":"1938-7849","issue":"1","note":"publisher: Journal of Transport and Land Use","page":"463-476","source":"JSTOR","title":"Trends in Integrated Land-Use/Transport Modeling: An Evaluation of the State of the Art","volume":"11","author":[{"family":"Moeckel","given":"Rolf"},{"family":"Garcia","given":"Carlos Llorca"},{"family":"Chou","given":"Ana T. Moreno"},{"family":"Okrah","given":"Matthew Bediako"}],"issued":{"date-parts":[["2018"]]}}},{"id":2977,"uris":["http://zotero.org/users/12832277/items/IHCZPCU4"],"itemData":{"id":2977,"type":"article-journal","abstract":"Land use, transport, and energy-environment integration (LUTEI) is receiving considerable attention as an elaborate approach to improving urban resilience. Research evidence on this multidisciplinary topic tends to be fragmented, hindering constructive analysis of its role in shaping sustainable cities. This paper addresses this by undertaking a holistic systematic review to consolidate diverse perspectives. The analysis of 195 reviewed papers identified four main clusters of knowledge that include methodological approaches, policy instruments, urban design elements, and impacts of interventions. The analysis revealed that a growing body of literature is increasingly focused on improving accessibility planning, transit-oriented development, and policy integration to achieve sustainable and healthy transport as a vital element of resilience in cities. The review found, however, that the integration of environment and energy into land use and transport models is still at a nascent stage of development and has largely been overlooked in traditional LUTI models. This can lead to unreliable assessments of the impacts of low-carbon mobility solutions, emerging green transport technologies, and long-term changes in energy consumption affecting sustainable mobility futures. This paper concludes by connecting LUTEI dimensions to the UN’s sustainable development goals (SDG), outlining future directions to ignite meaningful research on the topic and providing a transparent path for decision-makers to adopt LUTEI-informed planning.","container-title":"Sustainability","DOI":"10.3390/su15086447","ISSN":"2071-1050","issue":"8","language":"en","license":"http://creativecommons.org/licenses/by/3.0/","note":"number: 8\npublisher: Multidisciplinary Digital Publishing Institute","source":"www.mdpi.com","title":"A Systematic Review of the Role of Land Use, Transport, and Energy-Environment Integration in Shaping Sustainable Cities","URL":"https://www.mdpi.com/2071-1050/15/8/6447","volume":"15","author":[{"family":"Alipour","given":"Dorsa"},{"family":"Dia","given":"Hussein"}],"accessed":{"date-parts":[["2024",4,19]]},"issued":{"date-parts":[["2023",1]]}}}],"schema":"https://github.com/citation-style-language/schema/raw/master/csl-citation.json"} </w:instrText>
      </w:r>
      <w:r w:rsidR="002E7270">
        <w:rPr>
          <w:rFonts w:cs="Times New Roman"/>
          <w:bCs/>
        </w:rPr>
        <w:fldChar w:fldCharType="separate"/>
      </w:r>
      <w:r w:rsidR="006E258E" w:rsidRPr="006E258E">
        <w:rPr>
          <w:rFonts w:cs="Times New Roman"/>
        </w:rPr>
        <w:t>(</w:t>
      </w:r>
      <w:r w:rsidR="006E258E">
        <w:rPr>
          <w:rFonts w:cs="Times New Roman"/>
        </w:rPr>
        <w:t xml:space="preserve">see, for example, </w:t>
      </w:r>
      <w:r w:rsidR="006E258E" w:rsidRPr="006E258E">
        <w:rPr>
          <w:rFonts w:cs="Times New Roman"/>
        </w:rPr>
        <w:t>Wilson, 1970; Putman, 1975; Ben-Akiva and de Palma, 1986; Waddell, 2011; Moeckel et al., 2018; Alipour and Dia, 2023)</w:t>
      </w:r>
      <w:r w:rsidR="002E7270">
        <w:rPr>
          <w:rFonts w:cs="Times New Roman"/>
          <w:bCs/>
        </w:rPr>
        <w:fldChar w:fldCharType="end"/>
      </w:r>
      <w:r w:rsidR="00732894">
        <w:rPr>
          <w:rFonts w:cs="Times New Roman"/>
          <w:bCs/>
        </w:rPr>
        <w:t xml:space="preserve">. </w:t>
      </w:r>
    </w:p>
    <w:p w14:paraId="41AEA719" w14:textId="7C5B587D" w:rsidR="00E20454" w:rsidRDefault="006A6BC4" w:rsidP="007206AE">
      <w:pPr>
        <w:spacing w:after="0" w:line="240" w:lineRule="auto"/>
        <w:ind w:firstLine="720"/>
        <w:jc w:val="both"/>
        <w:rPr>
          <w:rFonts w:cs="Times New Roman"/>
          <w:bCs/>
        </w:rPr>
      </w:pPr>
      <w:r>
        <w:rPr>
          <w:rFonts w:cs="Times New Roman"/>
          <w:bCs/>
        </w:rPr>
        <w:t>In recent years,</w:t>
      </w:r>
      <w:r w:rsidR="00E20454">
        <w:rPr>
          <w:rFonts w:cs="Times New Roman"/>
          <w:bCs/>
        </w:rPr>
        <w:t xml:space="preserve"> in addition to urban form considerations</w:t>
      </w:r>
      <w:r w:rsidR="00934DCD">
        <w:rPr>
          <w:rFonts w:cs="Times New Roman"/>
          <w:bCs/>
        </w:rPr>
        <w:t xml:space="preserve"> of out</w:t>
      </w:r>
      <w:r w:rsidR="00193C25">
        <w:rPr>
          <w:rFonts w:cs="Times New Roman"/>
          <w:bCs/>
        </w:rPr>
        <w:t>-</w:t>
      </w:r>
      <w:r w:rsidR="00934DCD">
        <w:rPr>
          <w:rFonts w:cs="Times New Roman"/>
          <w:bCs/>
        </w:rPr>
        <w:t>of-home activity accessibility</w:t>
      </w:r>
      <w:r w:rsidR="00E20454">
        <w:rPr>
          <w:rFonts w:cs="Times New Roman"/>
          <w:bCs/>
        </w:rPr>
        <w:t xml:space="preserve">, the </w:t>
      </w:r>
      <w:r w:rsidR="00546CB4">
        <w:rPr>
          <w:rFonts w:cs="Times New Roman"/>
          <w:bCs/>
        </w:rPr>
        <w:t xml:space="preserve">proliferation of convenient virtual activity platforms, along with </w:t>
      </w:r>
      <w:r w:rsidR="00E20454">
        <w:rPr>
          <w:rFonts w:cs="Times New Roman"/>
          <w:bCs/>
        </w:rPr>
        <w:t>pandemic</w:t>
      </w:r>
      <w:r w:rsidR="008A303C">
        <w:rPr>
          <w:rFonts w:cs="Times New Roman"/>
          <w:bCs/>
        </w:rPr>
        <w:t>-related experiences</w:t>
      </w:r>
      <w:r w:rsidR="00546CB4">
        <w:rPr>
          <w:rFonts w:cs="Times New Roman"/>
          <w:bCs/>
        </w:rPr>
        <w:t>,</w:t>
      </w:r>
      <w:r w:rsidR="00E20454">
        <w:rPr>
          <w:rFonts w:cs="Times New Roman"/>
          <w:bCs/>
        </w:rPr>
        <w:t xml:space="preserve"> </w:t>
      </w:r>
      <w:r w:rsidR="00193C25">
        <w:rPr>
          <w:rFonts w:cs="Times New Roman"/>
          <w:bCs/>
        </w:rPr>
        <w:t xml:space="preserve">has </w:t>
      </w:r>
      <w:r w:rsidR="00412240" w:rsidRPr="006807BB">
        <w:rPr>
          <w:rFonts w:cs="Times New Roman"/>
          <w:bCs/>
        </w:rPr>
        <w:t>trigger</w:t>
      </w:r>
      <w:r w:rsidR="00E20454">
        <w:rPr>
          <w:rFonts w:cs="Times New Roman"/>
          <w:bCs/>
        </w:rPr>
        <w:t>ed</w:t>
      </w:r>
      <w:r w:rsidR="00412240" w:rsidRPr="006807BB">
        <w:rPr>
          <w:rFonts w:cs="Times New Roman"/>
          <w:bCs/>
        </w:rPr>
        <w:t xml:space="preserve"> profound shifts in </w:t>
      </w:r>
      <w:r w:rsidR="00193C25">
        <w:rPr>
          <w:rFonts w:cs="Times New Roman"/>
          <w:bCs/>
        </w:rPr>
        <w:t xml:space="preserve">residential location </w:t>
      </w:r>
      <w:r w:rsidR="00412240" w:rsidRPr="006807BB">
        <w:rPr>
          <w:rFonts w:cs="Times New Roman"/>
          <w:bCs/>
        </w:rPr>
        <w:t xml:space="preserve">choices, driven by changes in people's attitudes and behaviors </w:t>
      </w:r>
      <w:r w:rsidR="00E20454">
        <w:rPr>
          <w:rFonts w:cs="Times New Roman"/>
          <w:bCs/>
        </w:rPr>
        <w:t xml:space="preserve">through </w:t>
      </w:r>
      <w:r w:rsidR="00412240" w:rsidRPr="006807BB">
        <w:rPr>
          <w:rFonts w:cs="Times New Roman"/>
          <w:bCs/>
        </w:rPr>
        <w:t>the widespread adoption of remote work, online shopping, and online schooling.</w:t>
      </w:r>
      <w:r w:rsidR="004002A8" w:rsidRPr="006807BB">
        <w:rPr>
          <w:rFonts w:cs="Times New Roman"/>
          <w:bCs/>
        </w:rPr>
        <w:t xml:space="preserve"> </w:t>
      </w:r>
      <w:r w:rsidR="00546CB4">
        <w:rPr>
          <w:rFonts w:cs="Times New Roman"/>
          <w:bCs/>
        </w:rPr>
        <w:t xml:space="preserve">For instance, a study by the </w:t>
      </w:r>
      <w:r w:rsidR="00412240" w:rsidRPr="006807BB">
        <w:rPr>
          <w:rFonts w:cs="Times New Roman"/>
          <w:bCs/>
        </w:rPr>
        <w:t xml:space="preserve">Pew Research Center reported that approximately 22% of U.S. adults either changed their residence </w:t>
      </w:r>
      <w:r w:rsidR="00546CB4">
        <w:rPr>
          <w:rFonts w:cs="Times New Roman"/>
          <w:bCs/>
        </w:rPr>
        <w:t xml:space="preserve">location </w:t>
      </w:r>
      <w:r w:rsidR="00412240" w:rsidRPr="006807BB">
        <w:rPr>
          <w:rFonts w:cs="Times New Roman"/>
          <w:bCs/>
        </w:rPr>
        <w:t xml:space="preserve">due to the pandemic or know someone who did </w:t>
      </w:r>
      <w:r w:rsidR="00412240" w:rsidRPr="006807BB">
        <w:rPr>
          <w:rFonts w:cs="Times New Roman"/>
          <w:bCs/>
        </w:rPr>
        <w:fldChar w:fldCharType="begin"/>
      </w:r>
      <w:r w:rsidR="00FF0FF7">
        <w:rPr>
          <w:rFonts w:cs="Times New Roman"/>
          <w:bCs/>
        </w:rPr>
        <w:instrText xml:space="preserve"> ADDIN ZOTERO_ITEM CSL_CITATION {"citationID":"d6AjUPHS","properties":{"formattedCitation":"(Cohn, 2020)","plainCitation":"(Cohn, 2020)","noteIndex":0},"citationItems":[{"id":298,"uris":["http://zotero.org/users/12832277/items/VZYGEKZW"],"itemData":{"id":298,"type":"post-weblog","abstract":"37% of those ages 18 to 29 say they moved, someone moved into their home or they know someone who moved because of the outbreak.","container-title":"Pew Research Center","language":"en-US","title":"About a Fifth of U.S. Adults Moved Due to COVID-19 or Know Someone Who Did","URL":"https://www.pewresearch.org/fact-tank/2020/07/06/about-a-fifth-of-u-s-adults-moved-due-to-covid-19-or-know-someone-who-did/","author":[{"family":"Cohn","given":"D’vera"}],"accessed":{"date-parts":[["2023",3,22]]},"issued":{"date-parts":[["2020",7,6]]}}}],"schema":"https://github.com/citation-style-language/schema/raw/master/csl-citation.json"} </w:instrText>
      </w:r>
      <w:r w:rsidR="00412240" w:rsidRPr="006807BB">
        <w:rPr>
          <w:rFonts w:cs="Times New Roman"/>
          <w:bCs/>
        </w:rPr>
        <w:fldChar w:fldCharType="separate"/>
      </w:r>
      <w:r w:rsidR="00FF0FF7" w:rsidRPr="00FF0FF7">
        <w:rPr>
          <w:rFonts w:cs="Times New Roman"/>
        </w:rPr>
        <w:t>(Cohn, 2020)</w:t>
      </w:r>
      <w:r w:rsidR="00412240" w:rsidRPr="006807BB">
        <w:rPr>
          <w:rFonts w:cs="Times New Roman"/>
          <w:bCs/>
        </w:rPr>
        <w:fldChar w:fldCharType="end"/>
      </w:r>
      <w:r w:rsidR="00412240" w:rsidRPr="006807BB">
        <w:rPr>
          <w:rFonts w:cs="Times New Roman"/>
          <w:bCs/>
        </w:rPr>
        <w:t xml:space="preserve">. Other studies noted the emergence of an “urban exodus” phenomenon, where the number of urban residents moving away from dense urban areas </w:t>
      </w:r>
      <w:r w:rsidR="006A62A4" w:rsidRPr="006807BB">
        <w:rPr>
          <w:rFonts w:cs="Times New Roman"/>
          <w:bCs/>
        </w:rPr>
        <w:t>increased substantially</w:t>
      </w:r>
      <w:r w:rsidR="00412240" w:rsidRPr="006807BB">
        <w:rPr>
          <w:rFonts w:cs="Times New Roman"/>
          <w:bCs/>
        </w:rPr>
        <w:t xml:space="preserve"> in 2020 following the onset of the pandemic </w:t>
      </w:r>
      <w:r w:rsidR="00412240" w:rsidRPr="006807BB">
        <w:rPr>
          <w:rFonts w:cs="Times New Roman"/>
          <w:bCs/>
        </w:rPr>
        <w:fldChar w:fldCharType="begin"/>
      </w:r>
      <w:r w:rsidR="00460F21">
        <w:rPr>
          <w:rFonts w:cs="Times New Roman"/>
          <w:bCs/>
        </w:rPr>
        <w:instrText xml:space="preserve"> ADDIN ZOTERO_ITEM CSL_CITATION {"citationID":"S8tdKsmE","properties":{"unsorted":true,"formattedCitation":"(Whitaker, 2021; Gonz\\uc0\\u225{}lez-Leonardo et al., 2022)","plainCitation":"(Whitaker, 2021; González-Leonardo et al., 2022)","noteIndex":0},"citationItems":[{"id":1893,"uris":["http://zotero.org/users/12832277/items/75XKNMPA"],"itemData":{"id":1893,"type":"article-journal","abstract":"In 2020, several media stories reported that residents were leaving urban neighborhood because they feared contracting COVID-19. However, people’s taking flight from urban areas is only part of the reason dense neighborhoods were left with fewer residents.","container-title":"Cleveland Fed District Data Brief","DOI":"10.26509/frbc-ddb-20210205","issue":"20210205","language":"en","note":"publisher: Federal Reserve Bank of Cleveland","source":"www.clevelandfed.org","title":"Did the COVID-19 Pandemic Cause an Urban Exodus?","URL":"https://www.clevelandfed.org/publications/cleveland-fed-district-data-brief/2021/cfddb-20210205-did-the-covid-19-pandemic-cause-an-urban-exodus","author":[{"family":"Whitaker","given":"Stephan D."}],"accessed":{"date-parts":[["2024",1,15]]},"issued":{"date-parts":[["2021",2,5]]}}},{"id":1890,"uris":["http://zotero.org/users/12832277/items/3W9QCYBB"],"itemData":{"id":1890,"type":"article-journal","abstract":"Existing empirical work has analysed the impacts of COVID-19 on mortality, fertility and international migration. Less is known about the ways in which the COVID-19 pandemic has influenced the patterns of internal migration. Anecdotal reports of mass migration from large cities to less populated areas have emerged, but lack of data has prevented empirically assessing this hypothesis. Drawing on geographically granular administrative population register data, we aim to analyse the extent of change in the patterns of internal migration across the urban hierarchy in Spain during 2020. Our results show a decline of 2.5% in the number of internal migration moves, particularly during the early stages of the pandemic, returning to pre-pandemic levels in late 2020. Results also reveal unusually large net migration losses in core cities and net migration gains in rural areas. Net migration losses in cities and gains in rural areas particularly accumulated following the elimination of the strict lockdown measures in June. Yet, these net losses and gains trended to pre-pandemic levels in late 2020, and movements between cities, and between cities and suburbs, continued to dominate the internal migration system. Thus, while the COVID-19 pandemic exerted notable changes in the geographic balance of internal migration flows, these changes appear to have been temporary and did not significantly alter the existing structures of the national migration system.","container-title":"Population, Space and Place","DOI":"10.1002/psp.2578","ISSN":"1544-8452","issue":"6","language":"en","license":"© 2022 The Authors. Population, Space and Place published by John Wiley &amp; Sons Ltd.","note":"_eprint: https://onlinelibrary.wiley.com/doi/pdf/10.1002/psp.2578","page":"e2578","source":"Wiley Online Library","title":"Understanding Patterns of Internal Migration During the COVID-19 Pandemic in Spain","volume":"28","author":[{"family":"González-Leonardo","given":"Miguel"},{"family":"López-Gay","given":"Antonio"},{"family":"Newsham","given":"Niall"},{"family":"Recaño","given":"Joaquín"},{"family":"Rowe","given":"Francisco"}],"issued":{"date-parts":[["2022"]]}}}],"schema":"https://github.com/citation-style-language/schema/raw/master/csl-citation.json"} </w:instrText>
      </w:r>
      <w:r w:rsidR="00412240" w:rsidRPr="006807BB">
        <w:rPr>
          <w:rFonts w:cs="Times New Roman"/>
          <w:bCs/>
        </w:rPr>
        <w:fldChar w:fldCharType="separate"/>
      </w:r>
      <w:r w:rsidR="00E23F48" w:rsidRPr="006807BB">
        <w:rPr>
          <w:rFonts w:cs="Times New Roman"/>
          <w:kern w:val="0"/>
        </w:rPr>
        <w:t>(Whitaker, 2021; González-Leonardo et al., 2022)</w:t>
      </w:r>
      <w:r w:rsidR="00412240" w:rsidRPr="006807BB">
        <w:rPr>
          <w:rFonts w:cs="Times New Roman"/>
          <w:bCs/>
        </w:rPr>
        <w:fldChar w:fldCharType="end"/>
      </w:r>
      <w:r w:rsidR="00412240" w:rsidRPr="006807BB">
        <w:rPr>
          <w:rFonts w:cs="Times New Roman"/>
          <w:bCs/>
        </w:rPr>
        <w:t>.</w:t>
      </w:r>
      <w:r w:rsidR="00BA45FB" w:rsidRPr="006807BB">
        <w:rPr>
          <w:rFonts w:cs="Times New Roman"/>
          <w:bCs/>
        </w:rPr>
        <w:t xml:space="preserve"> </w:t>
      </w:r>
      <w:r w:rsidR="00412240" w:rsidRPr="006807BB">
        <w:rPr>
          <w:rFonts w:cs="Times New Roman"/>
          <w:bCs/>
        </w:rPr>
        <w:t>Monthly data on address changes from the United States Postal Service</w:t>
      </w:r>
      <w:r w:rsidR="00A86517" w:rsidRPr="006807BB">
        <w:rPr>
          <w:rFonts w:cs="Times New Roman"/>
          <w:bCs/>
        </w:rPr>
        <w:t xml:space="preserve"> </w:t>
      </w:r>
      <w:r w:rsidR="00A86517" w:rsidRPr="006807BB">
        <w:rPr>
          <w:rFonts w:cs="Times New Roman"/>
          <w:bCs/>
        </w:rPr>
        <w:fldChar w:fldCharType="begin"/>
      </w:r>
      <w:r w:rsidR="00412F5B" w:rsidRPr="006807BB">
        <w:rPr>
          <w:rFonts w:cs="Times New Roman"/>
          <w:bCs/>
        </w:rPr>
        <w:instrText xml:space="preserve"> ADDIN ZOTERO_ITEM CSL_CITATION {"citationID":"oki5rC4D","properties":{"formattedCitation":"(2023)","plainCitation":"(2023)","noteIndex":0},"citationItems":[{"id":1895,"uris":["http://zotero.org/users/12832277/items/24XPNQXG"],"itemData":{"id":1895,"type":"dataset","DOI":"https://about.usps.com/who/legal/foia/library.htm","title":"Change of Address Stats on USPS FOIA","author":[{"family":"United States Postal Service","given":""}],"issued":{"date-parts":[["2023"]]}},"label":"page","suppress-author":true}],"schema":"https://github.com/citation-style-language/schema/raw/master/csl-citation.json"} </w:instrText>
      </w:r>
      <w:r w:rsidR="00A86517" w:rsidRPr="006807BB">
        <w:rPr>
          <w:rFonts w:cs="Times New Roman"/>
          <w:bCs/>
        </w:rPr>
        <w:fldChar w:fldCharType="separate"/>
      </w:r>
      <w:r w:rsidR="00A86517" w:rsidRPr="006807BB">
        <w:rPr>
          <w:rFonts w:cs="Times New Roman"/>
        </w:rPr>
        <w:t>(2023)</w:t>
      </w:r>
      <w:r w:rsidR="00A86517" w:rsidRPr="006807BB">
        <w:rPr>
          <w:rFonts w:cs="Times New Roman"/>
          <w:bCs/>
        </w:rPr>
        <w:fldChar w:fldCharType="end"/>
      </w:r>
      <w:r w:rsidR="00412240" w:rsidRPr="006807BB">
        <w:rPr>
          <w:rFonts w:cs="Times New Roman"/>
          <w:bCs/>
        </w:rPr>
        <w:t xml:space="preserve"> also provide compelling evidence of the </w:t>
      </w:r>
      <w:r w:rsidR="004A2C68">
        <w:rPr>
          <w:rFonts w:cs="Times New Roman"/>
          <w:bCs/>
        </w:rPr>
        <w:t>significant</w:t>
      </w:r>
      <w:r w:rsidR="00412240" w:rsidRPr="006807BB">
        <w:rPr>
          <w:rFonts w:cs="Times New Roman"/>
          <w:bCs/>
        </w:rPr>
        <w:t xml:space="preserve"> shifts in relocation patterns attribut</w:t>
      </w:r>
      <w:r w:rsidR="004A2C68">
        <w:rPr>
          <w:rFonts w:cs="Times New Roman"/>
          <w:bCs/>
        </w:rPr>
        <w:t>able</w:t>
      </w:r>
      <w:r w:rsidR="00412240" w:rsidRPr="006807BB">
        <w:rPr>
          <w:rFonts w:cs="Times New Roman"/>
          <w:bCs/>
        </w:rPr>
        <w:t xml:space="preserve"> to the COVID-19 pandemic. </w:t>
      </w:r>
      <w:r w:rsidR="003704AD">
        <w:rPr>
          <w:rFonts w:cs="Times New Roman"/>
          <w:bCs/>
        </w:rPr>
        <w:t>In particular, t</w:t>
      </w:r>
      <w:r w:rsidR="00412240" w:rsidRPr="006807BB">
        <w:rPr>
          <w:rFonts w:cs="Times New Roman"/>
          <w:bCs/>
        </w:rPr>
        <w:t xml:space="preserve">here was a notable increase in relocations during the period from September to December 2020, </w:t>
      </w:r>
      <w:r w:rsidR="00F94D6A">
        <w:rPr>
          <w:rFonts w:cs="Times New Roman"/>
          <w:bCs/>
        </w:rPr>
        <w:t xml:space="preserve">relative to the same months in 2019, </w:t>
      </w:r>
      <w:r w:rsidR="00412240" w:rsidRPr="006807BB">
        <w:rPr>
          <w:rFonts w:cs="Times New Roman"/>
          <w:bCs/>
        </w:rPr>
        <w:t>with December registering a peak increase of 13%.</w:t>
      </w:r>
      <w:r w:rsidR="0014502A" w:rsidRPr="006807BB">
        <w:rPr>
          <w:rFonts w:cs="Times New Roman"/>
          <w:bCs/>
        </w:rPr>
        <w:t xml:space="preserve"> </w:t>
      </w:r>
      <w:r w:rsidR="003704AD">
        <w:rPr>
          <w:rFonts w:cs="Times New Roman"/>
          <w:bCs/>
        </w:rPr>
        <w:t>However, i</w:t>
      </w:r>
      <w:r w:rsidR="00412240" w:rsidRPr="006807BB">
        <w:rPr>
          <w:rFonts w:cs="Times New Roman"/>
          <w:bCs/>
        </w:rPr>
        <w:t xml:space="preserve">n 2021, relocations began to decrease, and, on average, they were approximately 5% lower than the levels observed in 2019. By 2022, there was a further reduction in the percentage of address changes, averaging 14% lower than the 2019 figures. </w:t>
      </w:r>
      <w:r w:rsidR="00412240" w:rsidRPr="00486B30">
        <w:rPr>
          <w:rFonts w:cs="Times New Roman"/>
          <w:bCs/>
        </w:rPr>
        <w:t>These evolving relocation statistics p</w:t>
      </w:r>
      <w:r w:rsidR="008A303C">
        <w:rPr>
          <w:rFonts w:cs="Times New Roman"/>
          <w:bCs/>
        </w:rPr>
        <w:t>aint</w:t>
      </w:r>
      <w:r w:rsidR="00412240" w:rsidRPr="00486B30">
        <w:rPr>
          <w:rFonts w:cs="Times New Roman"/>
          <w:bCs/>
        </w:rPr>
        <w:t xml:space="preserve"> a good picture of how the pandemic not only triggered immediate changes in housing decisions</w:t>
      </w:r>
      <w:r w:rsidR="00AE2DDE">
        <w:rPr>
          <w:rFonts w:cs="Times New Roman"/>
          <w:bCs/>
        </w:rPr>
        <w:t>,</w:t>
      </w:r>
      <w:r w:rsidR="00412240" w:rsidRPr="00486B30">
        <w:rPr>
          <w:rFonts w:cs="Times New Roman"/>
          <w:bCs/>
        </w:rPr>
        <w:t xml:space="preserve"> but also </w:t>
      </w:r>
      <w:r w:rsidR="004A2C68">
        <w:rPr>
          <w:rFonts w:cs="Times New Roman"/>
          <w:bCs/>
        </w:rPr>
        <w:t xml:space="preserve">has </w:t>
      </w:r>
      <w:r w:rsidR="00412240" w:rsidRPr="00486B30">
        <w:rPr>
          <w:rFonts w:cs="Times New Roman"/>
          <w:bCs/>
        </w:rPr>
        <w:t>had enduring effects on relocation behaviors over an extended period.</w:t>
      </w:r>
      <w:r w:rsidR="00412240" w:rsidRPr="00486B30">
        <w:rPr>
          <w:rStyle w:val="FootnoteReference"/>
        </w:rPr>
        <w:footnoteReference w:id="1"/>
      </w:r>
      <w:r w:rsidR="00412240" w:rsidRPr="006807BB">
        <w:rPr>
          <w:rFonts w:cs="Times New Roman"/>
          <w:bCs/>
        </w:rPr>
        <w:t xml:space="preserve"> </w:t>
      </w:r>
    </w:p>
    <w:p w14:paraId="7D43698B" w14:textId="6F0EA1B2" w:rsidR="00EF6F52" w:rsidRDefault="003704AD" w:rsidP="00EF6F52">
      <w:pPr>
        <w:spacing w:after="0" w:line="240" w:lineRule="auto"/>
        <w:ind w:firstLine="720"/>
        <w:jc w:val="both"/>
        <w:rPr>
          <w:rFonts w:cs="Times New Roman"/>
        </w:rPr>
      </w:pPr>
      <w:r>
        <w:rPr>
          <w:rFonts w:cs="Times New Roman"/>
          <w:bCs/>
        </w:rPr>
        <w:t xml:space="preserve">The </w:t>
      </w:r>
      <w:r w:rsidR="00840070">
        <w:rPr>
          <w:rFonts w:cs="Times New Roman"/>
          <w:bCs/>
        </w:rPr>
        <w:t xml:space="preserve">aggregate residential relocation </w:t>
      </w:r>
      <w:r>
        <w:rPr>
          <w:rFonts w:cs="Times New Roman"/>
          <w:bCs/>
        </w:rPr>
        <w:t xml:space="preserve">statistics </w:t>
      </w:r>
      <w:r w:rsidR="00840070">
        <w:rPr>
          <w:rFonts w:cs="Times New Roman"/>
          <w:bCs/>
        </w:rPr>
        <w:t xml:space="preserve">above </w:t>
      </w:r>
      <w:r>
        <w:rPr>
          <w:rFonts w:cs="Times New Roman"/>
          <w:bCs/>
        </w:rPr>
        <w:t xml:space="preserve">have </w:t>
      </w:r>
      <w:r w:rsidR="00840070">
        <w:rPr>
          <w:rFonts w:cs="Times New Roman"/>
          <w:bCs/>
        </w:rPr>
        <w:t>been supported by analys</w:t>
      </w:r>
      <w:r w:rsidR="00A829AA">
        <w:rPr>
          <w:rFonts w:cs="Times New Roman"/>
          <w:bCs/>
        </w:rPr>
        <w:t>e</w:t>
      </w:r>
      <w:r w:rsidR="00840070">
        <w:rPr>
          <w:rFonts w:cs="Times New Roman"/>
          <w:bCs/>
        </w:rPr>
        <w:t xml:space="preserve">s at the individual level. </w:t>
      </w:r>
      <w:r w:rsidR="0000088F">
        <w:rPr>
          <w:rFonts w:cs="Times New Roman"/>
          <w:bCs/>
        </w:rPr>
        <w:t xml:space="preserve">In this context, for the most part, </w:t>
      </w:r>
      <w:r w:rsidR="00EF6F52">
        <w:rPr>
          <w:rFonts w:cs="Times New Roman"/>
        </w:rPr>
        <w:t xml:space="preserve">before-COVID studies </w:t>
      </w:r>
      <w:r w:rsidR="005312C4" w:rsidRPr="006807BB">
        <w:rPr>
          <w:rFonts w:cs="Times New Roman"/>
          <w:bCs/>
        </w:rPr>
        <w:t xml:space="preserve">(for ease in presentation, in this study, we will refer to the period before the onset of the pandemic as the before-COVID </w:t>
      </w:r>
      <w:r w:rsidR="005312C4" w:rsidRPr="006807BB">
        <w:rPr>
          <w:rFonts w:cs="Times New Roman"/>
          <w:bCs/>
        </w:rPr>
        <w:lastRenderedPageBreak/>
        <w:t xml:space="preserve">period, and the period after the onset of the pandemic as the </w:t>
      </w:r>
      <w:r w:rsidR="005312C4">
        <w:rPr>
          <w:rFonts w:cs="Times New Roman"/>
          <w:bCs/>
        </w:rPr>
        <w:t>during</w:t>
      </w:r>
      <w:r w:rsidR="005312C4" w:rsidRPr="006807BB">
        <w:rPr>
          <w:rFonts w:cs="Times New Roman"/>
          <w:bCs/>
        </w:rPr>
        <w:t>-COVID period)</w:t>
      </w:r>
      <w:r w:rsidR="00662DDA">
        <w:rPr>
          <w:rFonts w:cs="Times New Roman"/>
          <w:bCs/>
        </w:rPr>
        <w:t xml:space="preserve"> </w:t>
      </w:r>
      <w:r w:rsidR="00EF6F52">
        <w:rPr>
          <w:rFonts w:cs="Times New Roman"/>
        </w:rPr>
        <w:t xml:space="preserve">considered </w:t>
      </w:r>
      <w:r w:rsidR="00193C25" w:rsidRPr="006807BB">
        <w:rPr>
          <w:rFonts w:cs="Times New Roman"/>
        </w:rPr>
        <w:t xml:space="preserve">the commute distance between the home and </w:t>
      </w:r>
      <w:r w:rsidR="00EF6F52">
        <w:rPr>
          <w:rFonts w:cs="Times New Roman"/>
        </w:rPr>
        <w:t xml:space="preserve">the </w:t>
      </w:r>
      <w:r w:rsidR="00193C25" w:rsidRPr="006807BB">
        <w:rPr>
          <w:rFonts w:cs="Times New Roman"/>
        </w:rPr>
        <w:t>primary out</w:t>
      </w:r>
      <w:r w:rsidR="00193C25">
        <w:rPr>
          <w:rFonts w:cs="Times New Roman"/>
        </w:rPr>
        <w:t>-</w:t>
      </w:r>
      <w:r w:rsidR="00193C25" w:rsidRPr="006807BB">
        <w:rPr>
          <w:rFonts w:cs="Times New Roman"/>
        </w:rPr>
        <w:t>of</w:t>
      </w:r>
      <w:r w:rsidR="00193C25">
        <w:rPr>
          <w:rFonts w:cs="Times New Roman"/>
        </w:rPr>
        <w:t>-</w:t>
      </w:r>
      <w:r w:rsidR="00193C25" w:rsidRPr="006807BB">
        <w:rPr>
          <w:rFonts w:cs="Times New Roman"/>
        </w:rPr>
        <w:t xml:space="preserve">home workplace </w:t>
      </w:r>
      <w:r w:rsidR="00EF6F52">
        <w:rPr>
          <w:rFonts w:cs="Times New Roman"/>
        </w:rPr>
        <w:t xml:space="preserve">as </w:t>
      </w:r>
      <w:r w:rsidR="00193C25">
        <w:rPr>
          <w:rFonts w:cs="Times New Roman"/>
        </w:rPr>
        <w:t xml:space="preserve">one of the </w:t>
      </w:r>
      <w:r w:rsidR="00EF6F52">
        <w:rPr>
          <w:rFonts w:cs="Times New Roman"/>
        </w:rPr>
        <w:t xml:space="preserve">strongest </w:t>
      </w:r>
      <w:r w:rsidR="0000088F">
        <w:rPr>
          <w:rFonts w:cs="Times New Roman"/>
        </w:rPr>
        <w:t xml:space="preserve">determinants </w:t>
      </w:r>
      <w:r w:rsidR="00193C25">
        <w:rPr>
          <w:rFonts w:cs="Times New Roman"/>
        </w:rPr>
        <w:t xml:space="preserve">(if not the </w:t>
      </w:r>
      <w:r w:rsidR="00EF6F52">
        <w:rPr>
          <w:rFonts w:cs="Times New Roman"/>
        </w:rPr>
        <w:t>strongest</w:t>
      </w:r>
      <w:r w:rsidR="0000088F">
        <w:rPr>
          <w:rFonts w:cs="Times New Roman"/>
        </w:rPr>
        <w:t xml:space="preserve"> determinant</w:t>
      </w:r>
      <w:r w:rsidR="00EF6F52">
        <w:rPr>
          <w:rFonts w:cs="Times New Roman"/>
        </w:rPr>
        <w:t>)</w:t>
      </w:r>
      <w:r w:rsidR="0000088F">
        <w:rPr>
          <w:rFonts w:cs="Times New Roman"/>
        </w:rPr>
        <w:t xml:space="preserve"> </w:t>
      </w:r>
      <w:r w:rsidR="00193C25" w:rsidRPr="006807BB">
        <w:rPr>
          <w:rFonts w:cs="Times New Roman"/>
        </w:rPr>
        <w:t>of residential location choice</w:t>
      </w:r>
      <w:r w:rsidR="00193C25">
        <w:rPr>
          <w:rFonts w:cs="Times New Roman"/>
        </w:rPr>
        <w:t xml:space="preserve"> </w:t>
      </w:r>
      <w:r w:rsidR="00193C25">
        <w:rPr>
          <w:rFonts w:cs="Times New Roman"/>
        </w:rPr>
        <w:fldChar w:fldCharType="begin"/>
      </w:r>
      <w:r w:rsidR="00193C25">
        <w:rPr>
          <w:rFonts w:cs="Times New Roman"/>
        </w:rPr>
        <w:instrText xml:space="preserve"> ADDIN ZOTERO_ITEM CSL_CITATION {"citationID":"bgZJZOAY","properties":{"unsorted":true,"formattedCitation":"(Alonso, 1960; Wilson, 1970; Sermons and Koppelman, 2001; Pinjari et al., 2011; Bhat, 2015)","plainCitation":"(Alonso, 1960; Wilson, 1970; Sermons and Koppelman, 2001; Pinjari et al., 2011; Bhat, 2015)","noteIndex":0},"citationItems":[{"id":1,"uris":["http://zotero.org/users/12832277/items/7NQWTSWI"],"itemData":{"id":1,"type":"article-journal","container-title":"Papers in Regional Science","issue":"1","page":"149-157","title":"A Theory of the Urban Land Market","volume":"6","author":[{"family":"Alonso","given":"William"}],"issued":{"date-parts":[["1960"]]}}},{"id":16,"uris":["http://zotero.org/users/12832277/items/XXDDCKEP"],"itemData":{"id":16,"type":"article-journal","container-title":"Papers of the Regional Science Association","DOI":"10.1007/BF01936877","ISSN":"1435-5957","issue":"1","language":"en","page":"103-125","source":"Springer Link","title":"Disaggregating Elementary Residential Location Models","volume":"24","author":[{"family":"Wilson","given":"Alan G."}],"issued":{"date-parts":[["1970",12,1]]}}},{"id":2121,"uris":["http://zotero.org/users/12832277/items/5HWUBE3W"],"itemData":{"id":2121,"type":"article-journal","abstract":"This research develops multinomial logit models (MNL) of residential location choice for two-worker households in the San Francisco Bay Metropolitan Area to identify household characteristics that account for the relative differences in household sensitivity to female and male commutes when making residential choices. The results reveal that presence of children, occupation of the male worker, and the relative order of the last residential change and the last change in the female worker's workplace are important determinants of female and male commuting time parameters in household residential location utility functions.","container-title":"Journal of Transport Geography","DOI":"10.1016/S0966-6923(00)00047-8","ISSN":"0966-6923","issue":"2","page":"101-110","source":"ScienceDirect","title":"Representing the Differences Between Female and Male Commute Behavior in Residential Location Choice Models","volume":"9","author":[{"family":"Sermons","given":"M. William"},{"family":"Koppelman","given":"Frank S"}],"issued":{"date-parts":[["2001",6,1]]}}},{"id":312,"uris":["http://zotero.org/users/12832277/items/BEJC5RSR"],"itemData":{"id":312,"type":"article-journal","abstract":"The integrated modeling of land use and transportation choices involves analyzing a continuum of choices that characterize people’s lifestyles across temporal scales. This includes long-term choices such as residential and work location choices that affect land-use, medium-term choices such as vehicle ownership, and short-term choices such as travel mode choice that affect travel demand. Prior research in this area has been limited by the complexities associated with the development of integrated model systems that combine the long-, medium- and short-term choices into a unified analytical framework. This paper presents an integrated simultaneous multi-dimensional choice model of residential location, auto ownership, bicycle ownership, and commute tour mode choices using a mixed multidimensional choice modeling methodology. Model estimation results using the San Francisco Bay Area highlight a series of interdependencies among the multi-dimensional choice processes. The interdependencies include: (1) self-selection effects due to observed and unobserved factors, where households locate based on lifestyle and mobility preferences, (2) endogeneity effects, where any one choice dimension is not exogenous to another, but is endogenous to the system as a whole, (3) correlated error structures, where common unobserved factors significantly and simultaneously impact multiple choice dimensions, and (4) unobserved heterogeneity, where decision-makers show significant variation in sensitivity to explanatory variables due to unobserved factors. From a policy standpoint, to be able to forecast the “true” causal influence of activity-travel environment changes on residential location, auto/bicycle ownership, and commute mode choices, it is necessary to capture the above-identified interdependencies by jointly modeling the multiple choice dimensions in an integrated framework.","container-title":"Transportation","DOI":"10.1007/s11116-011-9360-y","ISSN":"1572-9435","issue":"6","language":"en","page":"933-958","source":"Springer Link","title":"Modeling the Choice Continuum: An Integrated Model of Residential Location, Auto Ownership, Bicycle Ownership, and Commute Tour Mode Choice Decisions","volume":"38","author":[{"family":"Pinjari","given":"Abdul Rawoof"},{"family":"Pendyala","given":"Ram M."},{"family":"Bhat","given":"Chandra R."},{"family":"Waddell","given":"Paul A."}],"issued":{"date-parts":[["2011",11,1]]}}},{"id":3,"uris":["http://zotero.org/users/12832277/items/8ZZCG8II"],"itemData":{"id":3,"type":"article-journal","abstract":"This study adopts a dwelling unit level of analysis and considers a probabilistic choice set generation approach for residential choice modeling. In doing so, we accommodate the fact that housing choices involve both characteristics of the dwelling unit and its location, while also mimicking the search process that underlies housing decisions. In particular, we model a complete range of dwelling unit choices that include tenure type (rent or own), housing type (single family detached, single family attached, or apartment complex), number of bedrooms, number of bathrooms, number of storeys (one or multiple), square footage of the house, lot size, housing costs, density of residential neighborhood, and commute distance. Bhat’s (2015) generalized heterogeneous data model (GHDM) system is used to accommodate the different types of dependent outcomes associated with housing choices, while capturing jointness caused by unobserved factors. The proposed analytic framework is applied to study housing choices using data derived from the 2009 American Housing Survey (AHS), sponsored by the Department of Housing and Urban Development (HUD) and conducted by the U.S. Census Bureau. The results confirm the jointness in housing choices, and indicate the superiority of a choice set formation model relative to a model that assumes the availability of all dwelling unit alternatives in the choice set.","container-title":"Transportation Research Part B: Methodological","DOI":"10.1016/j.trb.2015.05.021","ISSN":"0191-2615","language":"en","page":"161-188","source":"ScienceDirect","title":"A Comprehensive Dwelling Unit Choice Model Accommodating Psychological Constructs Within a Search Strategy for Consideration Set Formation","volume":"79","author":[{"family":"Bhat","given":"Chandra R."}],"issued":{"date-parts":[["2015",9,1]]}}}],"schema":"https://github.com/citation-style-language/schema/raw/master/csl-citation.json"} </w:instrText>
      </w:r>
      <w:r w:rsidR="00193C25">
        <w:rPr>
          <w:rFonts w:cs="Times New Roman"/>
        </w:rPr>
        <w:fldChar w:fldCharType="separate"/>
      </w:r>
      <w:r w:rsidR="00193C25" w:rsidRPr="00593D2D">
        <w:rPr>
          <w:rFonts w:cs="Times New Roman"/>
        </w:rPr>
        <w:t>(Alonso, 1960; Wilson, 1970; Sermons and Koppelman, 2001; Pinjari et al., 2011; Bhat, 2015)</w:t>
      </w:r>
      <w:r w:rsidR="00193C25">
        <w:rPr>
          <w:rFonts w:cs="Times New Roman"/>
        </w:rPr>
        <w:fldChar w:fldCharType="end"/>
      </w:r>
      <w:r w:rsidR="00702F1D">
        <w:rPr>
          <w:rFonts w:cs="Times New Roman"/>
        </w:rPr>
        <w:t>.</w:t>
      </w:r>
      <w:r w:rsidR="00702F1D">
        <w:rPr>
          <w:rStyle w:val="FootnoteReference"/>
          <w:rFonts w:cs="Times New Roman"/>
        </w:rPr>
        <w:footnoteReference w:id="2"/>
      </w:r>
      <w:r w:rsidR="00193C25">
        <w:rPr>
          <w:rFonts w:cs="Times New Roman"/>
        </w:rPr>
        <w:t xml:space="preserve"> </w:t>
      </w:r>
      <w:r w:rsidR="00702F1D">
        <w:rPr>
          <w:rFonts w:cs="Times New Roman"/>
        </w:rPr>
        <w:t xml:space="preserve">In contrast, </w:t>
      </w:r>
      <w:r w:rsidR="006E3B90">
        <w:rPr>
          <w:rFonts w:cs="Times New Roman"/>
        </w:rPr>
        <w:t>during</w:t>
      </w:r>
      <w:r w:rsidR="00EF6F52">
        <w:rPr>
          <w:rFonts w:cs="Times New Roman"/>
        </w:rPr>
        <w:t xml:space="preserve">-COVID studies have </w:t>
      </w:r>
      <w:r w:rsidR="00702F1D">
        <w:rPr>
          <w:rFonts w:cs="Times New Roman"/>
        </w:rPr>
        <w:t xml:space="preserve">increasingly </w:t>
      </w:r>
      <w:r w:rsidR="00EF6F52">
        <w:rPr>
          <w:rFonts w:cs="Times New Roman"/>
        </w:rPr>
        <w:t xml:space="preserve">pointed to non-commute considerations rising in importance in residential location decisions. For example, Van Acker et al. </w:t>
      </w:r>
      <w:r w:rsidR="00EF6F52">
        <w:rPr>
          <w:rFonts w:cs="Times New Roman"/>
        </w:rPr>
        <w:fldChar w:fldCharType="begin"/>
      </w:r>
      <w:r w:rsidR="00EF6F52">
        <w:rPr>
          <w:rFonts w:cs="Times New Roman"/>
        </w:rPr>
        <w:instrText xml:space="preserve"> ADDIN ZOTERO_ITEM CSL_CITATION {"citationID":"TaTfuxdi","properties":{"formattedCitation":"(2024)","plainCitation":"(2024)","noteIndex":0},"citationItems":[{"id":2159,"uris":["http://zotero.org/users/12832277/items/U49ZGXBK"],"itemData":{"id":2159,"type":"article-journal","abstract":"Previous studies of residential satisfaction and residential attachment have primarily focused on the influence of objective residential characteristics, and paid little attention to the time spent at home and in the neighbourhood. This study uses the COVID-19 lockdown in Greater Sydney, Australia, as an opportunity to investigate the effect of staying more at home on the interplay between residential satisfaction and residential attachment. In doing so, this paper contributes to the discussion about long-term impacts of COVID-19 on residential location choices. A structural equation model was estimated using data from an online survey of employed respondents (N = 748) which questions changes in the frequency of working from home. The results show that respondents who worked almost full time at home (4 plus days working from home) did enjoy higher residential satisfaction, relative to respondents who never worked at home and this leads to respondents having higher residential attachment. Consequently, assuming that working from home becomes more of a norm after the pandemic, it is unlikely that this will be accompanied by large-scale residential relocations. The survey also allows an in-depth analysis of objective and perceived neighbourhood characteristics and the way in which these influence the interplay between residential satisfaction and residential attachment. The results suggest that residential satisfaction is significantly influenced by perceptions of safety and accessibility. The paper concludes with policy implications of how to encourage residential attachment which brings with it benefits of greater commitment to, and willingness to work to improve the neighbourhood.","container-title":"Travel Behaviour and Society","DOI":"10.1016/j.tbs.2023.100671","ISSN":"2214-367X","source":"ScienceDirect","title":"“Home Sweet Home”. How Staying More at Home Impacted Residential Satisfaction and Residential Attachment During the COVID-19 Pandemic in Sydney, Australia","URL":"https://www.sciencedirect.com/science/article/pii/S2214367X23001229","volume":"34","author":[{"family":"Van Acker","given":"Veronique"},{"family":"Ho","given":"Loan"},{"family":"Mulley","given":"Corinne"}],"accessed":{"date-parts":[["2024",1,25]]},"issued":{"date-parts":[["2024",1,1]]}},"label":"page","suppress-author":true}],"schema":"https://github.com/citation-style-language/schema/raw/master/csl-citation.json"} </w:instrText>
      </w:r>
      <w:r w:rsidR="00EF6F52">
        <w:rPr>
          <w:rFonts w:cs="Times New Roman"/>
        </w:rPr>
        <w:fldChar w:fldCharType="separate"/>
      </w:r>
      <w:r w:rsidR="00EF6F52" w:rsidRPr="00DD3882">
        <w:rPr>
          <w:rFonts w:cs="Times New Roman"/>
        </w:rPr>
        <w:t>(2024)</w:t>
      </w:r>
      <w:r w:rsidR="00EF6F52">
        <w:rPr>
          <w:rFonts w:cs="Times New Roman"/>
        </w:rPr>
        <w:fldChar w:fldCharType="end"/>
      </w:r>
      <w:r w:rsidR="00EF6F52">
        <w:rPr>
          <w:rFonts w:cs="Times New Roman"/>
        </w:rPr>
        <w:t xml:space="preserve"> revealed a growing valuation of neighborhood safety impacting residential location satisfaction and attachment. This includes the importance of safe conditions for walking and cycling, low crime rates, and low traffic volumes. Additionally, Liu and Su </w:t>
      </w:r>
      <w:r w:rsidR="00EF6F52">
        <w:rPr>
          <w:rFonts w:cs="Times New Roman"/>
        </w:rPr>
        <w:fldChar w:fldCharType="begin"/>
      </w:r>
      <w:r w:rsidR="00EF6F52">
        <w:rPr>
          <w:rFonts w:cs="Times New Roman"/>
        </w:rPr>
        <w:instrText xml:space="preserve"> ADDIN ZOTERO_ITEM CSL_CITATION {"citationID":"BkdivV6j","properties":{"formattedCitation":"(2021)","plainCitation":"(2021)","noteIndex":0},"citationItems":[{"id":354,"uris":["http://zotero.org/users/12832277/items/79RWN7B5"],"itemData":{"id":354,"type":"article-journal","abstract":"We study the impact of the COVID-19 pandemic on the location demand for housing. We find that the pandemic has led to a shift in housing demand away from neighborhoods with high population density. The reduced demand for density is driven partially by the diminished need for living close to telework-compatible jobs and the declining value of access to consumption amenities. Neighborhoods with high pre-COVID-19 home values also see a greater drop in housing demand. Moreover, we find a significant shift in housing demand away from large cities, though the magnitude is smaller.","container-title":"Economics Letters","DOI":"10.1016/j.econlet.2021.110010","ISSN":"0165-1765","language":"en","source":"ScienceDirect","title":"The Impact of the COVID-19 Pandemic on the Demand for Density: Evidence from the U.S. Housing Market","URL":"https://www.sciencedirect.com/science/article/pii/S0165176521002871","volume":"207","author":[{"family":"Liu","given":"Sitian"},{"family":"Su","given":"Yichen"}],"accessed":{"date-parts":[["2023",3,23]]},"issued":{"date-parts":[["2021",10,1]]}},"label":"page","suppress-author":true}],"schema":"https://github.com/citation-style-language/schema/raw/master/csl-citation.json"} </w:instrText>
      </w:r>
      <w:r w:rsidR="00EF6F52">
        <w:rPr>
          <w:rFonts w:cs="Times New Roman"/>
        </w:rPr>
        <w:fldChar w:fldCharType="separate"/>
      </w:r>
      <w:r w:rsidR="00EF6F52" w:rsidRPr="001E4104">
        <w:rPr>
          <w:rFonts w:cs="Times New Roman"/>
        </w:rPr>
        <w:t>(2021)</w:t>
      </w:r>
      <w:r w:rsidR="00EF6F52">
        <w:rPr>
          <w:rFonts w:cs="Times New Roman"/>
        </w:rPr>
        <w:fldChar w:fldCharType="end"/>
      </w:r>
      <w:r w:rsidR="00EF6F52">
        <w:rPr>
          <w:rFonts w:cs="Times New Roman"/>
        </w:rPr>
        <w:t xml:space="preserve"> and D’Lima et al. </w:t>
      </w:r>
      <w:r w:rsidR="00EF6F52">
        <w:rPr>
          <w:rFonts w:cs="Times New Roman"/>
        </w:rPr>
        <w:fldChar w:fldCharType="begin"/>
      </w:r>
      <w:r w:rsidR="00EF6F52">
        <w:rPr>
          <w:rFonts w:cs="Times New Roman"/>
        </w:rPr>
        <w:instrText xml:space="preserve"> ADDIN ZOTERO_ITEM CSL_CITATION {"citationID":"SCog9yp8","properties":{"formattedCitation":"(2022)","plainCitation":"(2022)","noteIndex":0},"citationItems":[{"id":343,"uris":["http://zotero.org/users/12832277/items/9DNEFRJ2"],"itemData":{"id":343,"type":"article-journal","abstract":"This paper provides novel evidence on pricing effects in housing markets following government shutdown responses to COVID-19 using microlevel data on U.S. residential property transactions. We find that post-shutdown pricing effects not only depend on population density but also the size and structural density of properties. The average price of a three-bedroom property fell by approximately 1.4% in densely populated locations (e.g., downtown) but increased by about 1.5% in low-density locations (e.g., suburbs) where shutdowns were enacted. The effects are more drastic for properties with fewer bedrooms. We also document a significant decrease in sales for markets under a shutdown.","container-title":"Real Estate Economics","DOI":"10.1111/1540-6229.12368","ISSN":"1540-6229","issue":"2","language":"en","note":"_eprint: https://onlinelibrary.wiley.com/doi/pdf/10.1111/1540-6229.12368","page":"303-339","source":"Wiley Online Library","title":"COVID-19 and Housing Market Effects: Evidence from U.S. Shutdown Orders","volume":"50","author":[{"family":"D'Lima","given":"Walter"},{"family":"Lopez","given":"Luis Arturo"},{"family":"Pradhan","given":"Archana"}],"issued":{"date-parts":[["2022"]]}},"label":"page","suppress-author":true}],"schema":"https://github.com/citation-style-language/schema/raw/master/csl-citation.json"} </w:instrText>
      </w:r>
      <w:r w:rsidR="00EF6F52">
        <w:rPr>
          <w:rFonts w:cs="Times New Roman"/>
        </w:rPr>
        <w:fldChar w:fldCharType="separate"/>
      </w:r>
      <w:r w:rsidR="00EF6F52" w:rsidRPr="001D282B">
        <w:rPr>
          <w:rFonts w:cs="Times New Roman"/>
        </w:rPr>
        <w:t>(2022)</w:t>
      </w:r>
      <w:r w:rsidR="00EF6F52">
        <w:rPr>
          <w:rFonts w:cs="Times New Roman"/>
        </w:rPr>
        <w:fldChar w:fldCharType="end"/>
      </w:r>
      <w:r w:rsidR="00EF6F52">
        <w:rPr>
          <w:rFonts w:cs="Times New Roman"/>
        </w:rPr>
        <w:t xml:space="preserve"> found that preferences are shifting toward lower population density areas in the wake of the pandemic, due to a desire for more space both in and outside the home. </w:t>
      </w:r>
      <w:r w:rsidR="0000088F">
        <w:rPr>
          <w:rFonts w:cs="Times New Roman"/>
        </w:rPr>
        <w:t xml:space="preserve">Other </w:t>
      </w:r>
      <w:r w:rsidR="006E3B90">
        <w:rPr>
          <w:rFonts w:cs="Times New Roman"/>
        </w:rPr>
        <w:t>during</w:t>
      </w:r>
      <w:r w:rsidR="0000088F">
        <w:rPr>
          <w:rFonts w:cs="Times New Roman"/>
        </w:rPr>
        <w:t xml:space="preserve">-COVID studies have reported an </w:t>
      </w:r>
      <w:r w:rsidR="00E5605A">
        <w:rPr>
          <w:rFonts w:cs="Times New Roman"/>
        </w:rPr>
        <w:t xml:space="preserve">elevated desire for better accessibility to non-work activity opportunities such as parks, shopping centers, and local grocery stores </w:t>
      </w:r>
      <w:r w:rsidR="00671627" w:rsidRPr="002744C2">
        <w:rPr>
          <w:rFonts w:cs="Times New Roman"/>
        </w:rPr>
        <w:fldChar w:fldCharType="begin"/>
      </w:r>
      <w:r w:rsidR="00E977E5">
        <w:rPr>
          <w:rFonts w:cs="Times New Roman"/>
        </w:rPr>
        <w:instrText xml:space="preserve"> ADDIN ZOTERO_ITEM CSL_CITATION {"citationID":"yjOzgXS9","properties":{"unsorted":true,"formattedCitation":"(G\\uc0\\u252{}r, 2022; Monterde-i-Bort et al., 2022; Haslag and Weagley, 2022; Lei and Liu, 2022; Asmussen et al., 2023; Wolday and B\\uc0\\u246{}cker, 2023; Komaki et al., 2023; Robbennolt et al., 2024; Wang et al., 2024)","plainCitation":"(Gür, 2022; Monterde-i-Bort et al., 2022; Haslag and Weagley, 2022; Lei and Liu, 2022; Asmussen et al., 2023; Wolday and Böcker, 2023; Komaki et al., 2023; Robbennolt et al., 2024; Wang et al., 2024)","noteIndex":0},"citationItems":[{"id":2081,"uris":["http://zotero.org/users/12832277/items/U3DPA5LD"],"itemData":{"id":2081,"type":"article-journal","abstract":"COVID-19 pandemic has re-raised questions about healthy housing and residential environments. The aim of this study is to examine lifestyle changes during the pandemic and their reflections in the use of housing. The study also compares households on different socioeconomic levels in Bursa, the study area. Bursa is a Turkish metropolis that was affected by the spread of COVID-19. Data were collected from 500 residents of 30 neighborhoods in the city’s three most populous districts, Osmangazi, Nilüfer and Yildirim. The participants were selected using stratified sampling and interviewed face-to-face using questionnaires. Reliability analysis, frequency distributions, descriptive statistics, ANOVA and the chi-squared test were used to evaluate the data. The results indicate that the participants’ hygiene habits, shopping behaviors, transportation habits and frequency of their contact with neighbors and friends have changed. Most of the participants live in apartments, and they need flexible designs that can be used for different purposes. They need toilets and ventilation spaces at the entrances of their homes. The use of balconies has increased. During the pandemic, the use of urban green spaces decreased in general, and the use of open areas around homes increased. High-income residents have advantages in terms of lifestyle, housing and residential environments, so their awareness about and observance of pandemic rules were higher. Lifestyles, housing, residential environments and urban opportunities differ as a result of socioeconomic segregation, and lower-income residents are more vulnerable to disease. Future studies should consider potential risks to humanity in order to address the housing-related problems of disadvantaged groups.","container-title":"Journal of Housing and the Built Environment","DOI":"10.1007/s10901-021-09897-y","ISSN":"1573-7772","issue":"2","language":"en","page":"823-862","source":"Springer Link","title":"Post-Pandemic Lifestyle Changes and Their Interaction with Resident Behavior in Housing and Neighborhoods: Bursa, Turkey","volume":"37","author":[{"family":"Gür","given":"Miray"}],"issued":{"date-parts":[["2022",6,1]]}}},{"id":2086,"uris":["http://zotero.org/users/12832277/items/PP29GHAJ"],"itemData":{"id":2086,"type":"article-journal","abstract":"In the past year and a half, we have been forced to make many major changes which, besides other issues, have led to considerable changes in transport mode choices. While we observed an increase in the share of cars as a mode of transport, we also observed an increase in the level of engagement in other active mobility modes, such as walking and cycling. Relevant literature shows that although the restrictions adopted during the COVID-19 pandemic have effects on people’s mobility behaviour, they can be viewed as a catalyst for positive changes as far as active forms of mobility are concerned. This work focuses on the thorough understanding of the changes in citizens’ needs and attitudes toward mobility and transport mode choice during the COVID-19 pandemic. To reach this aim, we analysed the responses to an interview consisting of eight open-ended questions about the effects of the COVID-19 pandemic threat and situation of citizens in selected European countries and Russia. In total, 497 respondents participated by responding to an online questionnaire. The conclusions of this study confirmed that active traffic modes could benefit from the momentum generated by the COVID-19 pandemic. However, this can only happen if appropriate preconditions can be provided, which is not the case so far. To prevent a massive return of private motorised vehicles into urban centres, we must focus on support for active traffic modes, specifically on the improvement of the preconditions, especially as far as traffic infrastructure is concerned.","container-title":"Sustainability","DOI":"10.3390/su14063482","ISSN":"2071-1050","issue":"6","language":"en","license":"http://creativecommons.org/licenses/by/3.0/","note":"number: 6\npublisher: Multidisciplinary Digital Publishing Institute","page":"3482","source":"www.mdpi.com","title":"A European-Wide Study on the Effects of the COVID-19 Threat on Active Transport Modes","volume":"14","author":[{"family":"Monterde-i-Bort","given":"Hector"},{"family":"Sucha","given":"Matus"},{"family":"Risser","given":"Ralf"},{"family":"Honzickova","given":"Kristyna"}],"issued":{"date-parts":[["2022",1]]}}},{"id":2075,"uris":["http://zotero.org/users/12832277/items/DKBAD8EW"],"itemData":{"id":2075,"type":"article","abstract":"We examine how broad changes in work arrangements and lifestyles brought on by the COVID-19 pandemic have affected households’ location decisions. Using data on over 360,000 residential, interstate moves over the last five years, we find more than 12% of moves were directly influenced by the pandemic. Among pandemic-influenced movers, over 15% of households cite that remote work influenced their move. Lifestyle-related (job-related) migration increased (decreased) significantly, particularly for the set of households who are likely to have access to remote work. We further find these changes in migration patterns are positively related to post-pandemic economic growth.","DOI":"10.2139/ssrn.3808326","event-place":"Rochester, NY","genre":"SSRN Scholarly Paper","language":"en","number":"3808326","publisher-place":"Rochester, NY","source":"Social Science Research Network","title":"From L.A. to Boise: How Migration Has Changed During the COVID-19 Pandemic","URL":"https://papers.ssrn.com/abstract=3808326","author":[{"family":"Haslag","given":"Peter H."},{"family":"Weagley","given":"Daniel"}],"accessed":{"date-parts":[["2024",1,19]]},"issued":{"date-parts":[["2022",12,8]]}}},{"id":2072,"uris":["http://zotero.org/users/12832277/items/6J2R2TLV"],"itemData":{"id":2072,"type":"article-journal","abstract":"The COVID-19 pandemic has disrupted people's lives through economic challenges, closure of worksites and schools and increased health risks. These disruptions can trigger new residential needs and preferences, but little research has been done regarding the impact of the COVID-19 pandemic on moving intentions. We theorized how the pandemic could influence intentions of making different types of residential moves. Using Google Trends data, we conducted a time-series analysis to assess the transitory, short-term and long-lasting changes in various types of mobility intentions since the pandemic. Results show that thoughts about temporary relocation surged at the onset of the COVID-19 epidemic and then experienced a long-term decrease. Intentions to move through housing purchases and rentals briefly declined at the beginning of the pandemic but then surpassed their normal levels in the following months. Thoughts about moving in with family or parents increased by almost 50% during the pandemic. These trends were also reflected in Google searches for moving services, which exhibited an initial decline followed by a long-term increase. The results demonstrate that the COVID-19 pandemic has not only posed obstacles that lowered moving intentions but also has created new needs and desires for moving.","container-title":"Population, Space and Place","DOI":"10.1002/psp.2581","ISSN":"1544-8452","issue":"6","language":"en","license":"© 2022 John Wiley &amp; Sons Ltd.","note":"_eprint: https://onlinelibrary.wiley.com/doi/pdf/10.1002/psp.2581","source":"Wiley Online Library","title":"The COVID-19 Pandemic and Residential Mobility Intentions in the United States: Evidence from Google Trends Data","URL":"https://onlinelibrary.wiley.com/doi/abs/10.1002/psp.2581","volume":"28","author":[{"family":"Lei","given":"Lei"},{"family":"Liu","given":"Xialu"}],"accessed":{"date-parts":[["2024",1,19]]},"issued":{"date-parts":[["2022"]]}}},{"id":1944,"uris":["http://zotero.org/users/12832277/items/Y3TQLUZT"],"itemData":{"id":1944,"type":"article-journal","container-title":"Technical paper, Department of Civil, Architectural and Environmental Engineering, The University of Texas at Austin","title":"The Interplay Between Teleworking Choice and Commute Distance","author":[{"family":"Asmussen","given":"Katherine"},{"family":"Mondal","given":"Aupal"},{"family":"Bhat","given":"Chandra R."}],"issued":{"date-parts":[["2023",12]]}}},{"id":2153,"uris":["http://zotero.org/users/12832277/items/WNNRYPFR"],"itemData":{"id":2153,"type":"article-journal","abstract":"The advent of the COVID-19 pandemic and the subsequent lockdown has reshuffled our daily routines and activity spaces. The home and its immediate environment have attained a critical role in coping with the confinement both as living, working and recreational space. Drawing on a longitudinal survey from greater Oslo, we analyze shifts in residential preferences amidst COVID-19. Given the pandemic induced movement restrictions, we pay special attention to the mediating role of perceived accessibility on the link between several sociodemographic/locational/housing characteristics on preference shifts. Amidst a drop in perceived accessibility, outdoor assets like gardens or balconies, and motility by car and public transport are amongst the residential and locational amenities that have gained most in people’s considerations for a new dwelling peri-pandemically. Dwelling satisfaction and preferences with regard to neighborhood density, dwelling size, and work-proximity, have remained largely unchanged despite a clear trend towards more teleworking. Our results can be understood as a nod of approval to contemporary compact urban planning. Nonetheless challenges as to bolstering its resilience still linger and more needs to be done to mitigate the inequalities in (perceived) access to in-home, near-home, and mobility assets that we have also observed to have (re)-immerged in the wake of the pandemic.","container-title":"Environment and Planning B: Urban Analytics and City Science","DOI":"10.1177/23998083231164398","ISSN":"2399-8083","issue":"5","language":"en","note":"publisher: SAGE Publications Ltd STM","page":"1280-1297","source":"SAGE Journals","title":"Exploring Changes in Residential Preference During COVID-19: Implications to Contemporary Urban Planning","volume":"50","author":[{"family":"Wolday","given":"Fitwi"},{"family":"Böcker","given":"Lars"}],"issued":{"date-parts":[["2023",6,1]]}}},{"id":1888,"uris":["http://zotero.org/users/12832277/items/6WLF9Z4Y"],"itemData":{"id":1888,"type":"article-journal","abstract":"The background of this study is the urban exodus that occurred in Japanese metropolitan areas. The research question of this study is about the reasons why the urban exodus occurred in Japanese metropolitan areas. For the analysis, the objective of this study is to clarify the residential preferences of each household type in relation to the urban exodus during the COVID-19 pandemic in Japanese metropolitan areas. The method of this study is a web questionnaire survey. The sample comprised 593 respondents who migrated from ordinance-designed cities to other municipalities in metropolitan areas between April 2020 and March 2022. In conclusion, this study elucidates that migrant household type as urban exodus is households whose eldest child had enrolled in elementary school or above. Regarding residential preferences, the household type changes the importance of community and environment, rather than the working arrangement. This result is novel and essential because it clarifies that the household type tends to place more importance on the quality of childcare environment, ties to communities, the presence of a large garden/balcony, and utilizing opportunities to experience the community, such as via trial migration support programs.","container-title":"Sustainability","DOI":"10.3390/su15043315","ISSN":"2071-1050","issue":"4","language":"en","license":"http://creativecommons.org/licenses/by/3.0/","note":"number: 4\npublisher: Multidisciplinary Digital Publishing Institute","source":"www.mdpi.com","title":"Why Did Urban Exodus Occur during the COVID-19 Pandemic from the Perspective of Residential Preference of Each Type of Household? Case of Japanese Metropolitan Areas","URL":"https://www.mdpi.com/2071-1050/15/4/3315","volume":"15","author":[{"family":"Komaki","given":"Miyu"},{"family":"Kato","given":"Haruka"},{"family":"Matsushita","given":"Daisuke"}],"accessed":{"date-parts":[["2024",1,15]]},"issued":{"date-parts":[["2023",1]]}}},{"id":1977,"uris":["http://zotero.org/users/12832277/items/78JZET84"],"itemData":{"id":1977,"type":"article-journal","container-title":"Technical paper, Department of Civil, Architectural and Environmental Engineering, The University of Texas at Austin","title":"Housing Choice in an Evolving Remote Work Landscape","author":[{"family":"Robbennolt","given":"Dale"},{"family":"Haddad","given":"Angela"},{"family":"Mondal","given":"Aupal"},{"family":"Bhat","given":"Chandra R."}],"issued":{"date-parts":[["2024",5]]}}},{"id":2128,"uris":["http://zotero.org/users/12832277/items/5FBJIDWV"],"itemData":{"id":2128,"type":"article-journal","abstract":"The COVID-19 pandemic has prompted homeworking to become a ‘new normal’. Consequently, the effects of various homeworking-related housing attributes on housing prices may be changed. However, few studies have explicitly examined if and how the practice of homeworking changes the associations between these particular housing attributes and housing prices. In light of this, based on a database of 2-year property transaction records in Guangzhou, China, this study develops several multilevel hedonic price models and multilevel difference-in-differences (DID) hedonic price models to delve into the COVID-19-induced variations in such housing attributes-housing prices associations. Our findings are as follows. (1) The practice of homeworking seems not to have fundamentally changed the effects of homeworking-related housing attributes on housing prices (suggested by the unchanged coefficient directions between pre- and post-COVID models); (2) Significant differences do exist in magnitudes of the effects of homeworking-related housing attributes on housing prices between pre- and post-COVID periods; (3) Those attributes (associated with homeworking space, convenient commute between workplace and home, and necessary needs of daily shopping and services) that facilitate homeworking tend to have higher price premiums and/or lower price discounts. This study provides novel evidence on hedonic price effects of homeworking in housing markets and their variations from pre-COVID to Post-COVID periods, which enriches the recently heated debates on property market responses to COVID-19.","container-title":"Journal of Housing and the Built Environment","DOI":"10.1007/s10901-023-10102-5","ISSN":"1573-7772","language":"en","source":"Springer Link","title":"Hedonic Price Effects of Homeworking Under the COVID-19: Evidence from Housing Markets in Guangzhou, China","URL":"https://doi.org/10.1007/s10901-023-10102-5","author":[{"family":"Wang","given":"Bo"},{"family":"Feng","given":"Xin"},{"family":"Loo","given":"Becky P. Y."},{"family":"Xue","given":"Desheng"},{"family":"Liu","given":"Jixiang"},{"family":"Tong","given":"Siyao"}],"accessed":{"date-parts":[["2024",1,24]]},"issued":{"date-parts":[["2024",1,9]]}}}],"schema":"https://github.com/citation-style-language/schema/raw/master/csl-citation.json"} </w:instrText>
      </w:r>
      <w:r w:rsidR="00671627" w:rsidRPr="002744C2">
        <w:rPr>
          <w:rFonts w:cs="Times New Roman"/>
        </w:rPr>
        <w:fldChar w:fldCharType="separate"/>
      </w:r>
      <w:r w:rsidR="00E977E5" w:rsidRPr="00E977E5">
        <w:rPr>
          <w:rFonts w:cs="Times New Roman"/>
          <w:kern w:val="0"/>
        </w:rPr>
        <w:t>(</w:t>
      </w:r>
      <w:r w:rsidR="00E977E5">
        <w:rPr>
          <w:rFonts w:cs="Times New Roman"/>
          <w:kern w:val="0"/>
        </w:rPr>
        <w:t xml:space="preserve">see, for example, </w:t>
      </w:r>
      <w:r w:rsidR="00E977E5" w:rsidRPr="00E977E5">
        <w:rPr>
          <w:rFonts w:cs="Times New Roman"/>
          <w:kern w:val="0"/>
        </w:rPr>
        <w:t>Gür, 2022; Monterde-i-Bort et al., 2022; Haslag and Weagley, 2022; Lei and Liu, 2022; Asmussen et al., 202</w:t>
      </w:r>
      <w:r w:rsidR="00A2772D">
        <w:rPr>
          <w:rFonts w:cs="Times New Roman"/>
          <w:kern w:val="0"/>
        </w:rPr>
        <w:t>4</w:t>
      </w:r>
      <w:r w:rsidR="00E977E5" w:rsidRPr="00E977E5">
        <w:rPr>
          <w:rFonts w:cs="Times New Roman"/>
          <w:kern w:val="0"/>
        </w:rPr>
        <w:t xml:space="preserve">; </w:t>
      </w:r>
      <w:proofErr w:type="spellStart"/>
      <w:r w:rsidR="00E977E5" w:rsidRPr="00E977E5">
        <w:rPr>
          <w:rFonts w:cs="Times New Roman"/>
          <w:kern w:val="0"/>
        </w:rPr>
        <w:t>Wolday</w:t>
      </w:r>
      <w:proofErr w:type="spellEnd"/>
      <w:r w:rsidR="00E977E5" w:rsidRPr="00E977E5">
        <w:rPr>
          <w:rFonts w:cs="Times New Roman"/>
          <w:kern w:val="0"/>
        </w:rPr>
        <w:t xml:space="preserve"> and </w:t>
      </w:r>
      <w:proofErr w:type="spellStart"/>
      <w:r w:rsidR="00E977E5" w:rsidRPr="00E977E5">
        <w:rPr>
          <w:rFonts w:cs="Times New Roman"/>
          <w:kern w:val="0"/>
        </w:rPr>
        <w:t>Böcker</w:t>
      </w:r>
      <w:proofErr w:type="spellEnd"/>
      <w:r w:rsidR="00E977E5" w:rsidRPr="00E977E5">
        <w:rPr>
          <w:rFonts w:cs="Times New Roman"/>
          <w:kern w:val="0"/>
        </w:rPr>
        <w:t>, 2023; Komaki et al., 2023; Robbennolt et al., 2024; Wang et al., 2024)</w:t>
      </w:r>
      <w:r w:rsidR="00671627" w:rsidRPr="002744C2">
        <w:rPr>
          <w:rFonts w:cs="Times New Roman"/>
        </w:rPr>
        <w:fldChar w:fldCharType="end"/>
      </w:r>
      <w:r w:rsidR="00E5605A" w:rsidRPr="002744C2">
        <w:rPr>
          <w:rFonts w:cs="Times New Roman"/>
        </w:rPr>
        <w:t>.</w:t>
      </w:r>
      <w:r w:rsidR="00EF6F52" w:rsidRPr="002744C2">
        <w:rPr>
          <w:rFonts w:cs="Times New Roman"/>
        </w:rPr>
        <w:t xml:space="preserve"> Rajab</w:t>
      </w:r>
      <w:r w:rsidR="00EF6F52">
        <w:rPr>
          <w:rFonts w:cs="Times New Roman"/>
        </w:rPr>
        <w:t xml:space="preserve">i et al. </w:t>
      </w:r>
      <w:r w:rsidR="00EF6F52">
        <w:rPr>
          <w:rFonts w:cs="Times New Roman"/>
        </w:rPr>
        <w:fldChar w:fldCharType="begin"/>
      </w:r>
      <w:r w:rsidR="00EF6F52">
        <w:rPr>
          <w:rFonts w:cs="Times New Roman"/>
        </w:rPr>
        <w:instrText xml:space="preserve"> ADDIN ZOTERO_ITEM CSL_CITATION {"citationID":"fH5TuMPU","properties":{"formattedCitation":"(2024)","plainCitation":"(2024)","noteIndex":0},"citationItems":[{"id":2162,"uris":["http://zotero.org/users/12832277/items/3JYSAZZU"],"itemData":{"id":2162,"type":"article-journal","abstract":"Residential location choice is a crucial topic in transportation planning research since land use as well as residential land use can significantly affect a city's attractiveness for development and residence. Understanding the factors that influence households in their residential location choice is essential for policymakers to evaluate the effect of their decisions. In this study, the impact of transportation factors on the attractiveness of residential areas was investigated in Qazvin city, Iran, using the stated preference (SP) method and structural equation modeling (SEM). The results indicated that the type of housing and private house preference were significant factors influencing the residential location choice. Additionally, proximity to health centers, low pollution levels, and access to public transportation and taxi stations were the top priorities for residents when choosing a place to live. Notably, households with children in education had a greater emphasis on air pollution and the proximity to taxi stations, as these factors could affect their children's health and education. Overall, the findings suggested that transportation factors played a critical role in the residential location choice and that policymakers should prioritize public transportation and taxi services, as well as reduce pollution levels, to make residential areas more attractive and livable for Qazvin residents.","container-title":"Computational Urban Science","DOI":"10.1007/s43762-024-00115-3","ISSN":"2730-6852","issue":"1","language":"en","source":"Springer Link","title":"Residential Location Choice: An Investigation of Transportation, Public Facilities, and Social Factors","URL":"https://doi.org/10.1007/s43762-024-00115-3","volume":"4","author":[{"family":"Rajabi","given":"Hamed"},{"family":"Mirzahossein","given":"Hamid"},{"family":"Hosseinian","given":"Seyed Mohsen"},{"family":"Jin","given":"Xia"}],"accessed":{"date-parts":[["2024",1,25]]},"issued":{"date-parts":[["2024",1,17]]}},"label":"page","suppress-author":true}],"schema":"https://github.com/citation-style-language/schema/raw/master/csl-citation.json"} </w:instrText>
      </w:r>
      <w:r w:rsidR="00EF6F52">
        <w:rPr>
          <w:rFonts w:cs="Times New Roman"/>
        </w:rPr>
        <w:fldChar w:fldCharType="separate"/>
      </w:r>
      <w:r w:rsidR="00EF6F52" w:rsidRPr="00DA0DEA">
        <w:rPr>
          <w:rFonts w:cs="Times New Roman"/>
        </w:rPr>
        <w:t>(2024)</w:t>
      </w:r>
      <w:r w:rsidR="00EF6F52">
        <w:rPr>
          <w:rFonts w:cs="Times New Roman"/>
        </w:rPr>
        <w:fldChar w:fldCharType="end"/>
      </w:r>
      <w:r w:rsidR="00EF6F52">
        <w:rPr>
          <w:rFonts w:cs="Times New Roman"/>
        </w:rPr>
        <w:t xml:space="preserve">, however, found that low-income households, many of whose members do not have the opportunity to telework, continue to </w:t>
      </w:r>
      <w:r w:rsidR="00EF6F52" w:rsidRPr="00DA0DEA">
        <w:rPr>
          <w:rFonts w:cs="Times New Roman"/>
        </w:rPr>
        <w:t>have stronger preference</w:t>
      </w:r>
      <w:r w:rsidR="00EF6F52">
        <w:rPr>
          <w:rFonts w:cs="Times New Roman"/>
        </w:rPr>
        <w:t>s</w:t>
      </w:r>
      <w:r w:rsidR="00EF6F52" w:rsidRPr="00DA0DEA">
        <w:rPr>
          <w:rFonts w:cs="Times New Roman"/>
        </w:rPr>
        <w:t xml:space="preserve"> for access to the workplace</w:t>
      </w:r>
      <w:r w:rsidR="00EF6F52">
        <w:rPr>
          <w:rFonts w:cs="Times New Roman"/>
        </w:rPr>
        <w:t>. They also observed that households with children placed more emphasis on access</w:t>
      </w:r>
      <w:r w:rsidR="00EF6F52" w:rsidRPr="00DA0DEA">
        <w:rPr>
          <w:rFonts w:cs="Times New Roman"/>
        </w:rPr>
        <w:t xml:space="preserve"> to </w:t>
      </w:r>
      <w:r w:rsidR="00EF6F52">
        <w:rPr>
          <w:rFonts w:cs="Times New Roman"/>
        </w:rPr>
        <w:t xml:space="preserve">proximity </w:t>
      </w:r>
      <w:r w:rsidR="00EF6F52" w:rsidRPr="00DA0DEA">
        <w:rPr>
          <w:rFonts w:cs="Times New Roman"/>
        </w:rPr>
        <w:t>to relatives</w:t>
      </w:r>
      <w:r w:rsidR="00EF6F52">
        <w:rPr>
          <w:rFonts w:cs="Times New Roman"/>
        </w:rPr>
        <w:t>, physical closeness to schools, and good access to public transportation</w:t>
      </w:r>
      <w:r w:rsidR="00EF6F52" w:rsidRPr="00DA0DEA">
        <w:rPr>
          <w:rFonts w:cs="Times New Roman"/>
        </w:rPr>
        <w:t xml:space="preserve">. </w:t>
      </w:r>
      <w:r w:rsidR="00EF6F52">
        <w:rPr>
          <w:rFonts w:cs="Times New Roman"/>
        </w:rPr>
        <w:t xml:space="preserve">Schouten and Kawano </w:t>
      </w:r>
      <w:r w:rsidR="00EF6F52">
        <w:rPr>
          <w:rFonts w:cs="Times New Roman"/>
        </w:rPr>
        <w:fldChar w:fldCharType="begin"/>
      </w:r>
      <w:r w:rsidR="00EF6F52">
        <w:rPr>
          <w:rFonts w:cs="Times New Roman"/>
        </w:rPr>
        <w:instrText xml:space="preserve"> ADDIN ZOTERO_ITEM CSL_CITATION {"citationID":"22NwYiuQ","properties":{"formattedCitation":"(2024)","plainCitation":"(2024)","noteIndex":0},"citationItems":[{"id":2126,"uris":["http://zotero.org/users/12832277/items/TGLUFHJN"],"itemData":{"id":2126,"type":"article-journal","abstract":"To better understand the spatial implications of the COVID-19 pandemic on demand for both housing and transportation, this analysis examines sales price data from condominiums in the Tokyo metropolitan area. Demand for high-access condominiums—both those near transit stations and those in close proximity to the city center—was strong throughout the study period (2017–2022), and showed neither a positive nor negative association with the onset of the pandemic. Price growth for lower-access properties—those further from transit stations and those in peripheral suburban locations—was, by contrast, far more robust during the COVID era than in the pre-pandemic period. Results suggest that COVID-related changes in travel behavior—particularly the decreased commute burden associated with remote work—may have made lower-access locations more attractive to home buyers. This has not, however, tempered demand for properties near transit and in the central city, which remained strong throughout the pandemic period.","container-title":"Journal of Transport Geography","DOI":"10.1016/j.jtrangeo.2023.103742","ISSN":"0966-6923","source":"ScienceDirect","title":"COVID-19 and the Demand for Transit Access: Residential Real Estate Prices in the Tokyo Metropolitan Area","URL":"https://www.sciencedirect.com/science/article/pii/S0966692323002144","volume":"114","author":[{"family":"Schouten","given":"Andrew"},{"family":"Kawano","given":"Yoh"}],"accessed":{"date-parts":[["2024",1,24]]},"issued":{"date-parts":[["2024",1,1]]}},"label":"page","suppress-author":true}],"schema":"https://github.com/citation-style-language/schema/raw/master/csl-citation.json"} </w:instrText>
      </w:r>
      <w:r w:rsidR="00EF6F52">
        <w:rPr>
          <w:rFonts w:cs="Times New Roman"/>
        </w:rPr>
        <w:fldChar w:fldCharType="separate"/>
      </w:r>
      <w:r w:rsidR="00EF6F52" w:rsidRPr="00867F88">
        <w:rPr>
          <w:rFonts w:cs="Times New Roman"/>
        </w:rPr>
        <w:t>(2024)</w:t>
      </w:r>
      <w:r w:rsidR="00EF6F52">
        <w:rPr>
          <w:rFonts w:cs="Times New Roman"/>
        </w:rPr>
        <w:fldChar w:fldCharType="end"/>
      </w:r>
      <w:r w:rsidR="00EF6F52">
        <w:rPr>
          <w:rFonts w:cs="Times New Roman"/>
        </w:rPr>
        <w:t xml:space="preserve"> similarly observed that, while remote work has made lower density areas more attractive, demand for areas in the central city with access to good public transportation continues to be high. In contrast, </w:t>
      </w:r>
      <w:r w:rsidR="00EF6F52" w:rsidRPr="00756D1A">
        <w:rPr>
          <w:rFonts w:cs="Times New Roman"/>
        </w:rPr>
        <w:t xml:space="preserve">Yang et al. </w:t>
      </w:r>
      <w:r w:rsidR="00EF6F52" w:rsidRPr="00756D1A">
        <w:rPr>
          <w:rFonts w:cs="Times New Roman"/>
        </w:rPr>
        <w:fldChar w:fldCharType="begin"/>
      </w:r>
      <w:r w:rsidR="00EF6F52" w:rsidRPr="00756D1A">
        <w:rPr>
          <w:rFonts w:cs="Times New Roman"/>
        </w:rPr>
        <w:instrText xml:space="preserve"> ADDIN ZOTERO_ITEM CSL_CITATION {"citationID":"mmt77LDT","properties":{"formattedCitation":"(2023)","plainCitation":"(2023)","noteIndex":0},"citationItems":[{"id":339,"uris":["http://zotero.org/users/12832277/items/AWDXGHJ7"],"itemData":{"id":339,"type":"article-journal","abstract":"Previous studies extensively examined the role of accessibility to metro in shaping house prices but largely overlooked the contribution of accessibility by metro. In addition, limited studies examined the moderating effect of COVID-19 on the price effects of to-metro and by-metro accessibility. Based on multilevel hedonic price and quantile regression models, this study scrutinizes the association between to-metro accessibility, by-metro accessibility, and house prices in Chengdu, China, and examines the moderating role of COVID-19 in this association. We show that by-metro accessibility significantly influences house prices. COVID-19 significantly influences the value of to-metro accessibility but marginally affects that of by-metro accessibility. The value of to-metro accessibility is disproportionately affected by the pandemic. Specifically, small or low-priced houses are less affected than big or high-priced houses. In other words, the flattening of the to-metro price gradient is more discernible for big or high-priced houses. The changing preference of residents has also been verified by the decreases in house transaction volume in metro-adjacent areas.","container-title":"Transportation Research Part D: Transport and Environment","DOI":"10.1016/j.trd.2022.103571","ISSN":"1361-9209","language":"en","source":"ScienceDirect","title":"COVID-19 Moderates the Association Between to-Metro and by-Metro Accessibility and House Prices","URL":"https://www.sciencedirect.com/science/article/pii/S1361920922003972","volume":"114","author":[{"family":"Yang","given":"Linchuan"},{"family":"Liang","given":"Yuan"},{"family":"He","given":"Baojie"},{"family":"Yang","given":"Hongtai"},{"family":"Lin","given":"Dong"}],"accessed":{"date-parts":[["2023",3,23]]},"issued":{"date-parts":[["2023",1,1]]}},"label":"page","suppress-author":true}],"schema":"https://github.com/citation-style-language/schema/raw/master/csl-citation.json"} </w:instrText>
      </w:r>
      <w:r w:rsidR="00EF6F52" w:rsidRPr="00756D1A">
        <w:rPr>
          <w:rFonts w:cs="Times New Roman"/>
        </w:rPr>
        <w:fldChar w:fldCharType="separate"/>
      </w:r>
      <w:r w:rsidR="00EF6F52" w:rsidRPr="00756D1A">
        <w:rPr>
          <w:rFonts w:cs="Times New Roman"/>
        </w:rPr>
        <w:t>(2023)</w:t>
      </w:r>
      <w:r w:rsidR="00EF6F52" w:rsidRPr="00756D1A">
        <w:rPr>
          <w:rFonts w:cs="Times New Roman"/>
        </w:rPr>
        <w:fldChar w:fldCharType="end"/>
      </w:r>
      <w:r w:rsidR="00EF6F52" w:rsidRPr="00756D1A">
        <w:rPr>
          <w:rFonts w:cs="Times New Roman"/>
        </w:rPr>
        <w:t xml:space="preserve"> found </w:t>
      </w:r>
      <w:r w:rsidR="00EF6F52">
        <w:rPr>
          <w:rFonts w:cs="Times New Roman"/>
        </w:rPr>
        <w:t xml:space="preserve">a general across-the-board lower valuation for public transportation access after the </w:t>
      </w:r>
      <w:r w:rsidR="00A0347D">
        <w:rPr>
          <w:rFonts w:cs="Times New Roman"/>
        </w:rPr>
        <w:t xml:space="preserve">onset of the </w:t>
      </w:r>
      <w:r w:rsidR="00EF6F52">
        <w:rPr>
          <w:rFonts w:cs="Times New Roman"/>
        </w:rPr>
        <w:t xml:space="preserve">pandemic. </w:t>
      </w:r>
    </w:p>
    <w:p w14:paraId="67B5B80D" w14:textId="35109D11" w:rsidR="00E01D59" w:rsidRDefault="00E01D59" w:rsidP="00E01D59">
      <w:pPr>
        <w:spacing w:after="0" w:line="240" w:lineRule="auto"/>
        <w:jc w:val="both"/>
        <w:rPr>
          <w:rFonts w:cs="Times New Roman"/>
          <w:bCs/>
        </w:rPr>
      </w:pPr>
      <w:r>
        <w:rPr>
          <w:rFonts w:cs="Times New Roman"/>
          <w:bCs/>
        </w:rPr>
        <w:tab/>
      </w:r>
      <w:r w:rsidR="00800EFE">
        <w:rPr>
          <w:rFonts w:cs="Times New Roman"/>
          <w:bCs/>
        </w:rPr>
        <w:t xml:space="preserve">Broadly speaking, </w:t>
      </w:r>
      <w:r w:rsidR="00AE2DDE">
        <w:rPr>
          <w:rFonts w:cs="Times New Roman"/>
          <w:bCs/>
        </w:rPr>
        <w:t xml:space="preserve">then, </w:t>
      </w:r>
      <w:r w:rsidR="00557A4F" w:rsidRPr="006807BB">
        <w:rPr>
          <w:rFonts w:cs="Times New Roman"/>
          <w:bCs/>
        </w:rPr>
        <w:t>the grow</w:t>
      </w:r>
      <w:r w:rsidR="00AE5EDF" w:rsidRPr="006807BB">
        <w:rPr>
          <w:rFonts w:cs="Times New Roman"/>
          <w:bCs/>
        </w:rPr>
        <w:t>th</w:t>
      </w:r>
      <w:r w:rsidR="00557A4F" w:rsidRPr="006807BB">
        <w:rPr>
          <w:rFonts w:cs="Times New Roman"/>
          <w:bCs/>
        </w:rPr>
        <w:t xml:space="preserve"> of opportunities for online activity participation </w:t>
      </w:r>
      <w:r w:rsidR="002F209E">
        <w:rPr>
          <w:rFonts w:cs="Times New Roman"/>
          <w:bCs/>
        </w:rPr>
        <w:t>(including telework)</w:t>
      </w:r>
      <w:r w:rsidR="00702F1D">
        <w:rPr>
          <w:rFonts w:cs="Times New Roman"/>
          <w:bCs/>
        </w:rPr>
        <w:t>, along with the lifestyle-shifting experiences during the height of the COVID pandemic,</w:t>
      </w:r>
      <w:r w:rsidR="002F209E">
        <w:rPr>
          <w:rFonts w:cs="Times New Roman"/>
          <w:bCs/>
        </w:rPr>
        <w:t xml:space="preserve"> </w:t>
      </w:r>
      <w:r w:rsidR="00800EFE">
        <w:rPr>
          <w:rFonts w:cs="Times New Roman"/>
          <w:bCs/>
        </w:rPr>
        <w:t>appear to have</w:t>
      </w:r>
      <w:r w:rsidR="00FE20A2" w:rsidRPr="006807BB">
        <w:rPr>
          <w:rFonts w:cs="Times New Roman"/>
          <w:bCs/>
        </w:rPr>
        <w:t xml:space="preserve"> impacted </w:t>
      </w:r>
      <w:r w:rsidR="00800EFE">
        <w:rPr>
          <w:rFonts w:cs="Times New Roman"/>
          <w:bCs/>
        </w:rPr>
        <w:t xml:space="preserve">residential location </w:t>
      </w:r>
      <w:r w:rsidR="00FE20A2" w:rsidRPr="006807BB">
        <w:rPr>
          <w:rFonts w:cs="Times New Roman"/>
          <w:bCs/>
        </w:rPr>
        <w:t xml:space="preserve">valuations of </w:t>
      </w:r>
      <w:r w:rsidR="00800EFE">
        <w:rPr>
          <w:rFonts w:cs="Times New Roman"/>
          <w:bCs/>
        </w:rPr>
        <w:t xml:space="preserve">in-person </w:t>
      </w:r>
      <w:r w:rsidR="00AE5EDF" w:rsidRPr="006807BB">
        <w:rPr>
          <w:rFonts w:cs="Times New Roman"/>
          <w:bCs/>
        </w:rPr>
        <w:t>accessibility to employment</w:t>
      </w:r>
      <w:r w:rsidR="00BE2902" w:rsidRPr="006807BB">
        <w:rPr>
          <w:rFonts w:cs="Times New Roman"/>
          <w:bCs/>
        </w:rPr>
        <w:t xml:space="preserve"> and other types of </w:t>
      </w:r>
      <w:r w:rsidR="00EC0921" w:rsidRPr="006807BB">
        <w:rPr>
          <w:rFonts w:cs="Times New Roman"/>
          <w:bCs/>
        </w:rPr>
        <w:t>activities and spaces</w:t>
      </w:r>
      <w:r w:rsidR="00E5259E">
        <w:rPr>
          <w:rFonts w:cs="Times New Roman"/>
          <w:bCs/>
        </w:rPr>
        <w:t xml:space="preserve"> </w:t>
      </w:r>
      <w:r w:rsidR="00E5259E">
        <w:rPr>
          <w:rFonts w:cs="Times New Roman"/>
          <w:bCs/>
        </w:rPr>
        <w:fldChar w:fldCharType="begin"/>
      </w:r>
      <w:r w:rsidR="0084799C">
        <w:rPr>
          <w:rFonts w:cs="Times New Roman"/>
          <w:bCs/>
        </w:rPr>
        <w:instrText xml:space="preserve"> ADDIN ZOTERO_ITEM CSL_CITATION {"citationID":"4OBxaJvv","properties":{"formattedCitation":"(Caldarola and Sorrell, 2022; Robbennolt et al., 2024)","plainCitation":"(Caldarola and Sorrell, 2022; Robbennolt et al., 2024)","noteIndex":0},"citationItems":[{"id":680,"uris":["http://zotero.org/users/12832277/items/ECYSL4NQ"],"itemData":{"id":680,"type":"article-journal","abstract":"The global pandemic has revived debates about the contribution of teleworking to reducing travel, air pollution and carbon emissions. However, previous research suggests that the availability of teleworking may encourage people to move farther from their place of work, creating the risk that longer commutes will offset the benefits of fewer commutes. In addition, teleworking may encourage additional non-work travel by the teleworker, and/or influence the travel behaviour of other household members. These complex interactions make the overall impacts of teleworking difficult to predict. In this context, we use data from the English National Travel Survey to estimate the impact of teleworking on the travel patterns of English households over the period 2005–2019. We compare the number of trips and distance travelled by teleworkers each week with the number of trips and distance travelled by non-teleworkers, controlling for a range of socio-economic, demographic and regional variables. We estimate the impact of teleworking on travel by purpose (commuting, non-work and business) and by mode (car, public transport and active travel) and investigate the impact on the travel patterns of other household members. Our results provide little support for the claim that teleworking reduces travel. Indeed, after controlling for a range of variables, we find that the majority of English teleworkers travel farther each week than non-teleworkers. This results from a combination of longer commutes and additional non-work travel. There appears to be a ‘tipping point’, however. If people telework three or more times a week, their weekly private travel (commuting + non-work) is less than that of non-teleworkers. We also find that the total weekly travel of all household members is greater in households where one member is teleworking, suggesting the presence of intra-household effects that further erode the benefits of fewer commutes. We additionally find that teleworkers engage in more business travel than non-teleworkers, although the reasons for this association are unclear. We discuss the factors contributing to these results and indicate priorities for further research.","container-title":"Transportation Research Part A: Policy and Practice","DOI":"10.1016/j.tra.2022.03.026","ISSN":"0965-8564","language":"en","page":"282-303","source":"ScienceDirect","title":"Do Teleworkers Travel Less? Evidence from the English National Travel Survey","volume":"159","author":[{"family":"Caldarola","given":"Bernardo"},{"family":"Sorrell","given":"Steve"}],"issued":{"date-parts":[["2022",5,1]]}}},{"id":1977,"uris":["http://zotero.org/users/12832277/items/78JZET84"],"itemData":{"id":1977,"type":"article-journal","container-title":"Technical paper, Department of Civil, Architectural and Environmental Engineering, The University of Texas at Austin","title":"Housing Choice in an Evolving Remote Work Landscape","author":[{"family":"Robbennolt","given":"Dale"},{"family":"Haddad","given":"Angela"},{"family":"Mondal","given":"Aupal"},{"family":"Bhat","given":"Chandra R."}],"issued":{"date-parts":[["2024",5]]}}}],"schema":"https://github.com/citation-style-language/schema/raw/master/csl-citation.json"} </w:instrText>
      </w:r>
      <w:r w:rsidR="00E5259E">
        <w:rPr>
          <w:rFonts w:cs="Times New Roman"/>
          <w:bCs/>
        </w:rPr>
        <w:fldChar w:fldCharType="separate"/>
      </w:r>
      <w:r w:rsidR="0084799C" w:rsidRPr="0084799C">
        <w:rPr>
          <w:rFonts w:cs="Times New Roman"/>
        </w:rPr>
        <w:t>(Caldarola and Sorrell, 2022; Robbennolt et al., 2024)</w:t>
      </w:r>
      <w:r w:rsidR="00E5259E">
        <w:rPr>
          <w:rFonts w:cs="Times New Roman"/>
          <w:bCs/>
        </w:rPr>
        <w:fldChar w:fldCharType="end"/>
      </w:r>
      <w:r w:rsidR="007206AE">
        <w:rPr>
          <w:rFonts w:cs="Times New Roman"/>
          <w:bCs/>
        </w:rPr>
        <w:t>, as well a</w:t>
      </w:r>
      <w:r w:rsidR="008A303C">
        <w:rPr>
          <w:rFonts w:cs="Times New Roman"/>
          <w:bCs/>
        </w:rPr>
        <w:t>s</w:t>
      </w:r>
      <w:r w:rsidR="00FF1D43" w:rsidRPr="006807BB">
        <w:rPr>
          <w:rFonts w:cs="Times New Roman"/>
          <w:bCs/>
        </w:rPr>
        <w:t xml:space="preserve"> changed the ways that </w:t>
      </w:r>
      <w:r w:rsidR="007206AE">
        <w:rPr>
          <w:rFonts w:cs="Times New Roman"/>
          <w:bCs/>
        </w:rPr>
        <w:t xml:space="preserve">families </w:t>
      </w:r>
      <w:r w:rsidR="00FF1D43" w:rsidRPr="006807BB">
        <w:rPr>
          <w:rFonts w:cs="Times New Roman"/>
          <w:bCs/>
        </w:rPr>
        <w:t xml:space="preserve">view and use their homes in the wake of the pandemic. </w:t>
      </w:r>
      <w:r w:rsidR="00412240" w:rsidRPr="006807BB">
        <w:rPr>
          <w:rFonts w:cs="Times New Roman"/>
          <w:bCs/>
        </w:rPr>
        <w:t xml:space="preserve">Motivated by </w:t>
      </w:r>
      <w:r w:rsidR="00197659">
        <w:rPr>
          <w:rFonts w:cs="Times New Roman"/>
          <w:bCs/>
        </w:rPr>
        <w:t>th</w:t>
      </w:r>
      <w:r w:rsidR="0000088F">
        <w:rPr>
          <w:rFonts w:cs="Times New Roman"/>
          <w:bCs/>
        </w:rPr>
        <w:t>ese observations</w:t>
      </w:r>
      <w:r w:rsidR="00412240" w:rsidRPr="006807BB">
        <w:rPr>
          <w:rFonts w:cs="Times New Roman"/>
          <w:bCs/>
        </w:rPr>
        <w:t xml:space="preserve">, the current study aims to investigate how COVID-19 has altered housing priorities and </w:t>
      </w:r>
      <w:r w:rsidR="0003498E" w:rsidRPr="006807BB">
        <w:rPr>
          <w:rFonts w:cs="Times New Roman"/>
          <w:bCs/>
        </w:rPr>
        <w:t xml:space="preserve">preferences for </w:t>
      </w:r>
      <w:r w:rsidR="008A303C">
        <w:rPr>
          <w:rFonts w:cs="Times New Roman"/>
          <w:bCs/>
        </w:rPr>
        <w:t xml:space="preserve">different </w:t>
      </w:r>
      <w:r w:rsidR="0003498E" w:rsidRPr="006807BB">
        <w:rPr>
          <w:rFonts w:cs="Times New Roman"/>
          <w:bCs/>
        </w:rPr>
        <w:t xml:space="preserve">housing </w:t>
      </w:r>
      <w:r w:rsidR="000518EF" w:rsidRPr="006807BB">
        <w:rPr>
          <w:rFonts w:cs="Times New Roman"/>
          <w:bCs/>
        </w:rPr>
        <w:t>attributes</w:t>
      </w:r>
      <w:r w:rsidR="00412240" w:rsidRPr="006807BB">
        <w:rPr>
          <w:rFonts w:cs="Times New Roman"/>
          <w:bCs/>
        </w:rPr>
        <w:t xml:space="preserve">. </w:t>
      </w:r>
      <w:r w:rsidR="000F3098" w:rsidRPr="006807BB">
        <w:rPr>
          <w:rFonts w:cs="Times New Roman"/>
          <w:bCs/>
        </w:rPr>
        <w:t>Using data from the 2021 Puget Sound Regional Housing Survey</w:t>
      </w:r>
      <w:r w:rsidR="00F154A3" w:rsidRPr="006807BB">
        <w:rPr>
          <w:rFonts w:cs="Times New Roman"/>
          <w:bCs/>
        </w:rPr>
        <w:t xml:space="preserve"> </w:t>
      </w:r>
      <w:r w:rsidR="00F154A3" w:rsidRPr="006807BB">
        <w:rPr>
          <w:rFonts w:cs="Times New Roman"/>
          <w:bCs/>
        </w:rPr>
        <w:fldChar w:fldCharType="begin"/>
      </w:r>
      <w:r w:rsidR="00F154A3" w:rsidRPr="006807BB">
        <w:rPr>
          <w:rFonts w:cs="Times New Roman"/>
          <w:bCs/>
        </w:rPr>
        <w:instrText xml:space="preserve"> ADDIN ZOTERO_ITEM CSL_CITATION {"citationID":"FniGDBcO","properties":{"formattedCitation":"(Puget Sound Regional Council, 2022)","plainCitation":"(Puget Sound Regional Council, 2022)","noteIndex":0},"citationItems":[{"id":1985,"uris":["http://zotero.org/users/12832277/items/TTZFVID7"],"itemData":{"id":1985,"type":"dataset","language":"en","source":"Zotero","title":"2021 Puget Sound Regional Travel Study","author":[{"family":"Puget Sound Regional Council","given":""}],"issued":{"date-parts":[["2022",4,21]]}}}],"schema":"https://github.com/citation-style-language/schema/raw/master/csl-citation.json"} </w:instrText>
      </w:r>
      <w:r w:rsidR="00F154A3" w:rsidRPr="006807BB">
        <w:rPr>
          <w:rFonts w:cs="Times New Roman"/>
          <w:bCs/>
        </w:rPr>
        <w:fldChar w:fldCharType="separate"/>
      </w:r>
      <w:r w:rsidR="00F154A3" w:rsidRPr="006807BB">
        <w:rPr>
          <w:rFonts w:cs="Times New Roman"/>
        </w:rPr>
        <w:t>(Puget Sound Regional Council, 2022)</w:t>
      </w:r>
      <w:r w:rsidR="00F154A3" w:rsidRPr="006807BB">
        <w:rPr>
          <w:rFonts w:cs="Times New Roman"/>
          <w:bCs/>
        </w:rPr>
        <w:fldChar w:fldCharType="end"/>
      </w:r>
      <w:r w:rsidR="000F3098" w:rsidRPr="006807BB">
        <w:rPr>
          <w:rFonts w:cs="Times New Roman"/>
          <w:bCs/>
        </w:rPr>
        <w:t>, w</w:t>
      </w:r>
      <w:r w:rsidR="00C526B2" w:rsidRPr="006807BB">
        <w:rPr>
          <w:rFonts w:cs="Times New Roman"/>
          <w:bCs/>
        </w:rPr>
        <w:t xml:space="preserve">e compare the relative importance placed on </w:t>
      </w:r>
      <w:r w:rsidR="00E842C3">
        <w:rPr>
          <w:rFonts w:cs="Times New Roman"/>
          <w:bCs/>
        </w:rPr>
        <w:t>a range of</w:t>
      </w:r>
      <w:r w:rsidR="00C526B2" w:rsidRPr="006807BB">
        <w:rPr>
          <w:rFonts w:cs="Times New Roman"/>
          <w:bCs/>
        </w:rPr>
        <w:t xml:space="preserve"> factors</w:t>
      </w:r>
      <w:r w:rsidR="00E842C3">
        <w:rPr>
          <w:rFonts w:cs="Times New Roman"/>
          <w:bCs/>
        </w:rPr>
        <w:t xml:space="preserve"> in the relocation decision</w:t>
      </w:r>
      <w:r w:rsidR="00C65FF0" w:rsidRPr="006807BB">
        <w:rPr>
          <w:rFonts w:cs="Times New Roman"/>
          <w:bCs/>
        </w:rPr>
        <w:t xml:space="preserve"> for </w:t>
      </w:r>
      <w:r w:rsidR="0016575C" w:rsidRPr="006807BB">
        <w:rPr>
          <w:rFonts w:cs="Times New Roman"/>
          <w:bCs/>
        </w:rPr>
        <w:t xml:space="preserve">individuals moving </w:t>
      </w:r>
      <w:r w:rsidR="00412240" w:rsidRPr="006807BB">
        <w:rPr>
          <w:rFonts w:cs="Times New Roman"/>
          <w:bCs/>
        </w:rPr>
        <w:t xml:space="preserve">before the onset of the pandemic </w:t>
      </w:r>
      <w:r w:rsidR="0016575C" w:rsidRPr="006807BB">
        <w:rPr>
          <w:rFonts w:cs="Times New Roman"/>
          <w:bCs/>
        </w:rPr>
        <w:t xml:space="preserve">compared </w:t>
      </w:r>
      <w:r w:rsidR="00412240" w:rsidRPr="006807BB">
        <w:rPr>
          <w:rFonts w:cs="Times New Roman"/>
          <w:bCs/>
        </w:rPr>
        <w:t xml:space="preserve">to after the onset of the pandemic. </w:t>
      </w:r>
      <w:r w:rsidR="006A695B" w:rsidRPr="006807BB">
        <w:rPr>
          <w:rFonts w:cs="Times New Roman"/>
          <w:bCs/>
        </w:rPr>
        <w:t xml:space="preserve">We account for a variety of factors that play a role in the </w:t>
      </w:r>
      <w:r w:rsidR="008A5E8E">
        <w:rPr>
          <w:rFonts w:cs="Times New Roman"/>
          <w:bCs/>
        </w:rPr>
        <w:t>residential location</w:t>
      </w:r>
      <w:r w:rsidR="006A695B" w:rsidRPr="006807BB">
        <w:rPr>
          <w:rFonts w:cs="Times New Roman"/>
          <w:bCs/>
        </w:rPr>
        <w:t xml:space="preserve"> decision, including commute distance, affordability, access to various destinations, transportation infrastructure, space needs, and cultural considerations</w:t>
      </w:r>
      <w:r w:rsidR="006A695B">
        <w:rPr>
          <w:rFonts w:cs="Times New Roman"/>
          <w:bCs/>
        </w:rPr>
        <w:t xml:space="preserve">. </w:t>
      </w:r>
    </w:p>
    <w:p w14:paraId="7DFAC313" w14:textId="582C5466" w:rsidR="002F209E" w:rsidRPr="006807BB" w:rsidRDefault="00E01D59" w:rsidP="00DA02D0">
      <w:pPr>
        <w:spacing w:after="0" w:line="240" w:lineRule="auto"/>
        <w:ind w:firstLine="720"/>
        <w:jc w:val="both"/>
        <w:rPr>
          <w:rFonts w:cs="Times New Roman"/>
          <w:b/>
          <w:bCs/>
        </w:rPr>
      </w:pPr>
      <w:r>
        <w:rPr>
          <w:rFonts w:cs="Times New Roman"/>
          <w:bCs/>
        </w:rPr>
        <w:t>In our analysis, w</w:t>
      </w:r>
      <w:r w:rsidR="006A695B">
        <w:rPr>
          <w:rFonts w:cs="Times New Roman"/>
          <w:bCs/>
        </w:rPr>
        <w:t xml:space="preserve">e use a </w:t>
      </w:r>
      <w:r w:rsidR="006A695B" w:rsidRPr="006807BB">
        <w:rPr>
          <w:rFonts w:cs="Times New Roman"/>
          <w:bCs/>
        </w:rPr>
        <w:t xml:space="preserve">Rank Ordered Probit (ROP) model to analyze the relative importance </w:t>
      </w:r>
      <w:r w:rsidR="006A695B">
        <w:rPr>
          <w:rFonts w:cs="Times New Roman"/>
          <w:bCs/>
        </w:rPr>
        <w:t xml:space="preserve">that individuals place </w:t>
      </w:r>
      <w:r>
        <w:rPr>
          <w:rFonts w:cs="Times New Roman"/>
          <w:bCs/>
        </w:rPr>
        <w:t>on different</w:t>
      </w:r>
      <w:r w:rsidR="006A695B">
        <w:rPr>
          <w:rFonts w:cs="Times New Roman"/>
          <w:bCs/>
        </w:rPr>
        <w:t xml:space="preserve"> factors in their most recent residential relocation. </w:t>
      </w:r>
      <w:r w:rsidR="002F209E">
        <w:rPr>
          <w:rFonts w:cs="Times New Roman"/>
          <w:bCs/>
        </w:rPr>
        <w:t xml:space="preserve">But, because </w:t>
      </w:r>
      <w:r w:rsidR="002F209E">
        <w:t xml:space="preserve">individuals may have some difficulty in providing their rankings when multiple factors may be </w:t>
      </w:r>
      <w:r>
        <w:t>at play</w:t>
      </w:r>
      <w:r w:rsidR="002F209E">
        <w:t xml:space="preserve">, the survey </w:t>
      </w:r>
      <w:r>
        <w:t>used in our analysis</w:t>
      </w:r>
      <w:r w:rsidR="002F209E">
        <w:t xml:space="preserve"> first asked individuals to rate the importance of each factor using an ordinal Likert scale</w:t>
      </w:r>
      <w:r>
        <w:t xml:space="preserve">. </w:t>
      </w:r>
      <w:r w:rsidR="00746C5B">
        <w:t>W</w:t>
      </w:r>
      <w:r>
        <w:t>h</w:t>
      </w:r>
      <w:r w:rsidR="002F209E">
        <w:t xml:space="preserve">ile </w:t>
      </w:r>
      <w:r w:rsidR="00746C5B">
        <w:t xml:space="preserve">this way of eliciting importance information is </w:t>
      </w:r>
      <w:r w:rsidR="002F209E">
        <w:lastRenderedPageBreak/>
        <w:t xml:space="preserve">convenient and intuitive, </w:t>
      </w:r>
      <w:r>
        <w:t xml:space="preserve">directly analyzing </w:t>
      </w:r>
      <w:r w:rsidR="002F209E">
        <w:t>such ratings data can be tricky because participants can interpret the Likert rating scale quite differently</w:t>
      </w:r>
      <w:r w:rsidR="002F209E">
        <w:rPr>
          <w:rFonts w:cs="Times New Roman"/>
          <w:bCs/>
        </w:rPr>
        <w:t xml:space="preserve"> </w:t>
      </w:r>
      <w:r w:rsidR="002F209E">
        <w:rPr>
          <w:rFonts w:cs="Times New Roman"/>
          <w:bCs/>
        </w:rPr>
        <w:fldChar w:fldCharType="begin"/>
      </w:r>
      <w:r w:rsidR="002F209E">
        <w:rPr>
          <w:rFonts w:cs="Times New Roman"/>
          <w:bCs/>
        </w:rPr>
        <w:instrText xml:space="preserve"> ADDIN ZOTERO_ITEM CSL_CITATION {"citationID":"9wKlQgZ7","properties":{"formattedCitation":"(Abrudan et al., 2020; Emami and Sadeghlou, 2021)","plainCitation":"(Abrudan et al., 2020; Emami and Sadeghlou, 2021)","noteIndex":0},"citationItems":[{"id":2988,"uris":["http://zotero.org/users/12832277/items/S8TWYAHS"],"itemData":{"id":2988,"type":"article-journal","abstract":"The hotel market has become extremely competitive over the past years. Hotels try to differentiate themselves through their services and facilities. To make the best choice when searching for accommodation, guests increasingly use rating systems of booking sites. Using an ordered logit model (OLM), we identify, in our study, a sample that comprises of 635 hotels from Romania. These are the hotel facilities that significantly influence customer review scores (as an expression of customer satisfaction) on booking.com, the most widespread rating system. We also identify whether their impact on intervals of satisfaction levels vary. Some explanatory variables invalidate the Brant test for proportional odds assumption. Thus, for the final estimates, we use a generalized ordered logit model (GOLOGIT). The results show that food-related facilities, restaurants, and complimentary breakfasts, are very significant for customer ratings. Relevant hotel common facilities are the pool and parking spaces, while for the room—the flat-screen TV. It is interesting to note the negative influence of pets, which seem to disturb other tourists. In the sustainability category, only facilities for disabled people and electric vehicle charging stations are relevant.","container-title":"Sustainability","DOI":"10.3390/su12219302","ISSN":"2071-1050","issue":"21","language":"en","license":"http://creativecommons.org/licenses/by/3.0/","note":"number: 21\npublisher: Multidisciplinary Digital Publishing Institute","page":"9302","source":"www.mdpi.com","title":"Using a General Ordered Logit Model to Explain the Influence of Hotel Facilities, General and Sustainability-Related, on Customer Ratings","volume":"12","author":[{"family":"Abrudan","given":"Ioana-Nicoleta"},{"family":"Pop","given":"Ciprian-Marcel"},{"family":"Lazăr","given":"Paul-Sorin"}],"issued":{"date-parts":[["2020",1]]}}},{"id":2990,"uris":["http://zotero.org/users/12832277/items/GX89NT7R"],"itemData":{"id":2990,"type":"article-journal","abstract":"The present study aims at reviewing Residential Satisfaction (RS) from both theoretical and empirical points of view. Various theories from different fields underpin RS and empirical studies on RS also indicate different determinants; however, there is a paucity of research on reviewing RS studies, identifying the roots of its theories and categorizing RS empirical studies into core determinants. Therefore, the main research questions are: which theories support RS and what are RS determinants and indicators? To answer these questions, valid RS-related studies were extracted using the search strategy and after applying the inclusion and exclusion criteria, 107 studies were selected for the final review. Besides, the findings of RS studies were structured into four determinants, namely urban policy and planning, design principles, social milieu and residents’ attributes. This review provides fresh insights into RS interdisciplinary aspects and the concept of residential dissatisfaction, and offers useful suggestions for future research.","container-title":"Housing, Theory and Society","DOI":"10.1080/14036096.2020.1844795","ISSN":"1403-6096","issue":"4","note":"publisher: Routledge\n_eprint: https://doi.org/10.1080/14036096.2020.1844795","page":"512–540","source":"Taylor and Francis+NEJM","title":"Residential Satisfaction: A Narrative Literature Review Towards Identification of Core Determinants and Indicators","volume":"38","author":[{"family":"Emami","given":"Ali"},{"family":"Sadeghlou","given":"Sheyda"}],"issued":{"date-parts":[["2021",8,8]]}}}],"schema":"https://github.com/citation-style-language/schema/raw/master/csl-citation.json"} </w:instrText>
      </w:r>
      <w:r w:rsidR="002F209E">
        <w:rPr>
          <w:rFonts w:cs="Times New Roman"/>
          <w:bCs/>
        </w:rPr>
        <w:fldChar w:fldCharType="separate"/>
      </w:r>
      <w:r w:rsidR="002F209E" w:rsidRPr="002B5305">
        <w:rPr>
          <w:rFonts w:cs="Times New Roman"/>
        </w:rPr>
        <w:t>(Abrudan et al., 2020; Emami and Sadeghlou, 2021)</w:t>
      </w:r>
      <w:r w:rsidR="002F209E">
        <w:rPr>
          <w:rFonts w:cs="Times New Roman"/>
          <w:bCs/>
        </w:rPr>
        <w:fldChar w:fldCharType="end"/>
      </w:r>
      <w:r w:rsidR="002F209E">
        <w:rPr>
          <w:rFonts w:cs="Times New Roman"/>
          <w:bCs/>
        </w:rPr>
        <w:t>.</w:t>
      </w:r>
      <w:r w:rsidR="002F209E" w:rsidRPr="00686659">
        <w:rPr>
          <w:rFonts w:cs="Times New Roman"/>
          <w:bCs/>
        </w:rPr>
        <w:t xml:space="preserve"> </w:t>
      </w:r>
      <w:r w:rsidR="002F209E">
        <w:rPr>
          <w:rFonts w:cs="Times New Roman"/>
          <w:bCs/>
        </w:rPr>
        <w:t xml:space="preserve">A good </w:t>
      </w:r>
      <w:r>
        <w:rPr>
          <w:rFonts w:cs="Times New Roman"/>
          <w:bCs/>
        </w:rPr>
        <w:t xml:space="preserve">analysis </w:t>
      </w:r>
      <w:r w:rsidR="002F209E">
        <w:rPr>
          <w:rFonts w:cs="Times New Roman"/>
          <w:bCs/>
        </w:rPr>
        <w:t xml:space="preserve">approach then is to translate the collected ratings data into a ranking scale that retains the ordering of importance but not the scale, and which is then more stable and comparable across individuals </w:t>
      </w:r>
      <w:r w:rsidR="002F209E">
        <w:rPr>
          <w:rFonts w:cs="Times New Roman"/>
          <w:bCs/>
        </w:rPr>
        <w:fldChar w:fldCharType="begin"/>
      </w:r>
      <w:r w:rsidR="002F209E">
        <w:rPr>
          <w:rFonts w:cs="Times New Roman"/>
          <w:bCs/>
        </w:rPr>
        <w:instrText xml:space="preserve"> ADDIN ZOTERO_ITEM CSL_CITATION {"citationID":"V6DOSw5M","properties":{"formattedCitation":"(Layton and Lee, 2006; Nair et al., 2018; Sharma and Mishra, 2023)","plainCitation":"(Layton and Lee, 2006; Nair et al., 2018; Sharma and Mishra, 2023)","noteIndex":0},"citationItems":[{"id":2108,"uris":["http://zotero.org/users/12832277/items/HGKBJBTQ"],"itemData":{"id":2108,"type":"article-journal","container-title":"Explorations in Environmental and Natural Resource Economics","source":"Google Scholar","title":"From Ratings to Rankings: The Econometric Analysis of Stated Preference Ratings Data","URL":"https://books.google.com/books?hl=en&amp;lr=&amp;id=yNjA-qY9WWYC&amp;oi=fnd&amp;pg=PA224&amp;dq=%22censored+ranking%22&amp;ots=IFIxH7AlW3&amp;sig=iRMB9dPJySHEqsDhqtpV7dvzvk4","author":[{"family":"Layton","given":"David F."},{"family":"Lee","given":"S. Todd"}],"accessed":{"date-parts":[["2024",1,22]]},"issued":{"date-parts":[["2006"]]}}},{"id":1990,"uris":["http://zotero.org/users/12832277/items/EU87QJDM"],"itemData":{"id":1990,"type":"article-journal","abstract":"Surveys of behavior could benefit from information about people’s relative ranking of choice alternatives. Rank ordered data are often collected in stated preference surveys where respondents are asked to rank hypothetical alternatives (rather than choose a single alternative) to better understand their relative preferences. Despite the widespread interest in collecting data on and modeling people’s preferences for choice alternatives, rank-ordered data are rarely collected in travel surveys and very little progress has been made in the ability to rigorously model such data and obtain reliable parameter estimates. This paper presents a rank ordered probit modeling approach that overcomes limitations associated with prior approaches in analyzing rank ordered data. The efficacy of the rank ordered probit modeling methodology is demonstrated through an application of the model to understand preferences for alternative configurations of autonomous vehicles (AV) using the 2015 Puget Sound Regional Travel Study survey data set. The methodology offers behaviorally intuitive model results with a variety of socio-economic and demographic characteristics, including age, gender, household income, education, employment and household structure, significantly influencing preference for alternative configurations of AV adoption, ownership, and shared usage. The ability to estimate rank ordered probit models offers a pathway for better utilizing rank ordered data to understand preferences and recognize that choices may not be absolute in many instances.","container-title":"Transportation","DOI":"10.1007/s11116-018-9945-9","ISSN":"1572-9435","issue":"6","language":"en","page":"1623-1637","source":"Springer Link","title":"An Application of a Rank Ordered Probit Modeling Approach to Understanding Level of Interest in Autonomous Vehicles","volume":"45","author":[{"family":"Nair","given":"Gopindra Sivakumar"},{"family":"Astroza","given":"Sebastian"},{"family":"Bhat","given":"Chandra R."},{"family":"Khoeini","given":"Sara"},{"family":"Pendyala","given":"Ram M."}],"issued":{"date-parts":[["2018",11,1]]}}},{"id":2048,"uris":["http://zotero.org/users/12832277/items/BQJQFTHY"],"itemData":{"id":2048,"type":"article-journal","abstract":"Recent developments indicate that emerging technologies like connected and autonomous vehicles (CAVs) and mobility-on-demand services and their possible integrations can revolutionize travel behavior. Recent research studies also establish the importance of peer inputs and media advertisements in expediting the adoption of such emerging technologies. This study quantifies individuals' ranking preference towards multiple CAV-based travel modalities (owned, ride-hailing, carpooled, and public transport) based on psychological constructs-capturing the perceptions of the CAV-related information received from their peers and advertisements-using a statewide survey and hybrid choice model. Results indicate individuals’ increased concern towards their social status and barriers associated with CAVs when adopting a CAV-based travel mode. Also, individuals prioritize peer input over media advertisements and CAV-based ride-hailing services over other modalities. This study's findings and inferred implications will offer policymakers and public agencies valuable information to measure end-users ' inclinations to rank and adopt CAV-based travel modalities.","container-title":"Transportation","DOI":"10.1007/s11116-022-10304-w","ISSN":"1572-9435","issue":"6","journalAbbreviation":"Transportation","language":"en","page":"2139-2192","source":"Springer Link","title":"Ranking Preferences Towards Adopting Autonomous Vehicles Based on Peer Inputs and Advertisements","volume":"50","author":[{"family":"Sharma","given":"Ishant"},{"family":"Mishra","given":"Sabyasachee"}],"issued":{"date-parts":[["2023",12,1]]}}}],"schema":"https://github.com/citation-style-language/schema/raw/master/csl-citation.json"} </w:instrText>
      </w:r>
      <w:r w:rsidR="002F209E">
        <w:rPr>
          <w:rFonts w:cs="Times New Roman"/>
          <w:bCs/>
        </w:rPr>
        <w:fldChar w:fldCharType="separate"/>
      </w:r>
      <w:r w:rsidR="002F209E" w:rsidRPr="00EC0FC8">
        <w:rPr>
          <w:rFonts w:cs="Times New Roman"/>
        </w:rPr>
        <w:t>(Layton and Lee, 2006; Nair et al., 2018; Sharma and Mishra, 2023)</w:t>
      </w:r>
      <w:r w:rsidR="002F209E">
        <w:rPr>
          <w:rFonts w:cs="Times New Roman"/>
          <w:bCs/>
        </w:rPr>
        <w:fldChar w:fldCharType="end"/>
      </w:r>
      <w:r w:rsidR="002F209E">
        <w:rPr>
          <w:rFonts w:cs="Times New Roman"/>
          <w:bCs/>
        </w:rPr>
        <w:t>.</w:t>
      </w:r>
      <w:r w:rsidR="002F209E">
        <w:rPr>
          <w:rFonts w:cs="Times New Roman"/>
        </w:rPr>
        <w:t xml:space="preserve"> </w:t>
      </w:r>
      <w:r w:rsidR="00746C5B">
        <w:rPr>
          <w:rFonts w:cs="Times New Roman"/>
        </w:rPr>
        <w:t>Accordingly, we</w:t>
      </w:r>
      <w:r>
        <w:rPr>
          <w:rFonts w:cs="Times New Roman"/>
        </w:rPr>
        <w:t xml:space="preserve"> use the ROP model for analysis. The ROP model is to be preferred over the more commonly </w:t>
      </w:r>
      <w:r>
        <w:rPr>
          <w:rFonts w:cs="Times New Roman"/>
          <w:bCs/>
        </w:rPr>
        <w:t xml:space="preserve">used </w:t>
      </w:r>
      <w:r w:rsidR="002F209E">
        <w:rPr>
          <w:rFonts w:cs="Times New Roman"/>
          <w:bCs/>
        </w:rPr>
        <w:t>rank-ordered logit (ROL) model because</w:t>
      </w:r>
      <w:r w:rsidR="00746C5B">
        <w:rPr>
          <w:rFonts w:cs="Times New Roman"/>
          <w:bCs/>
        </w:rPr>
        <w:t xml:space="preserve"> it </w:t>
      </w:r>
      <w:r w:rsidR="002F209E">
        <w:rPr>
          <w:rFonts w:cs="Times New Roman"/>
          <w:bCs/>
        </w:rPr>
        <w:t>is</w:t>
      </w:r>
      <w:r w:rsidR="00DA02D0">
        <w:rPr>
          <w:rFonts w:cs="Times New Roman"/>
          <w:bCs/>
        </w:rPr>
        <w:t xml:space="preserve"> much </w:t>
      </w:r>
      <w:r w:rsidR="002F209E">
        <w:rPr>
          <w:rFonts w:cs="Times New Roman"/>
          <w:bCs/>
        </w:rPr>
        <w:t xml:space="preserve">more robust to error distribution misspecification than the </w:t>
      </w:r>
      <w:r w:rsidR="002F209E" w:rsidRPr="006807BB">
        <w:rPr>
          <w:rFonts w:cs="Times New Roman"/>
        </w:rPr>
        <w:t>ROL</w:t>
      </w:r>
      <w:r w:rsidR="002F209E">
        <w:rPr>
          <w:rFonts w:cs="Times New Roman"/>
        </w:rPr>
        <w:t xml:space="preserve"> model, as demonstrated in Nair et al. </w:t>
      </w:r>
      <w:r w:rsidR="002F209E">
        <w:rPr>
          <w:rFonts w:cs="Times New Roman"/>
        </w:rPr>
        <w:fldChar w:fldCharType="begin"/>
      </w:r>
      <w:r w:rsidR="002F209E">
        <w:rPr>
          <w:rFonts w:cs="Times New Roman"/>
        </w:rPr>
        <w:instrText xml:space="preserve"> ADDIN ZOTERO_ITEM CSL_CITATION {"citationID":"yPt4sw9y","properties":{"formattedCitation":"(2019)","plainCitation":"(2019)","noteIndex":0},"citationItems":[{"id":1988,"uris":["http://zotero.org/users/12832277/items/4AVVTVZV"],"itemData":{"id":1988,"type":"article-journal","abstract":"In consumer surveys, more information per response regarding preferences of alternatives may be obtained if individuals are asked to rank alternatives instead of being asked to select only the most-preferred alternative. However, the latter method continues to be the common method of preference elicitation. This is because of the belief that ranking of alternatives is cognitively burdensome. In addition, the limited research on modeling ranking data has been based on the rank ordered logit (ROL) model. In this paper, we show that a rank ordered probit (ROP) model can better utilize ranking data information, and that the prevalent view of ranking data as not being reliable (because of the attenuation of model coefficients with rank depth) may be traced to the use of a misspecified ROL model rather than to any cognitive burden considerations.","container-title":"Transportation Research Record","DOI":"10.1177/0361198119838987","ISSN":"0361-1981","issue":"4","language":"en","note":"publisher: SAGE Publications Inc","page":"229-240","source":"SAGE Journals","title":"On the Use of Probit-Based Models for Ranking Data Analysis","volume":"2673","author":[{"family":"Nair","given":"Gopindra S."},{"family":"Bhat","given":"Chandra R."},{"family":"Pendyala","given":"Ram M."},{"family":"Loo","given":"Becky P. Y."},{"family":"Lam","given":"William H. K."}],"issued":{"date-parts":[["2019",4,1]]}},"label":"page","suppress-author":true}],"schema":"https://github.com/citation-style-language/schema/raw/master/csl-citation.json"} </w:instrText>
      </w:r>
      <w:r w:rsidR="002F209E">
        <w:rPr>
          <w:rFonts w:cs="Times New Roman"/>
        </w:rPr>
        <w:fldChar w:fldCharType="separate"/>
      </w:r>
      <w:r w:rsidR="002F209E" w:rsidRPr="0090429C">
        <w:rPr>
          <w:rFonts w:cs="Times New Roman"/>
        </w:rPr>
        <w:t>(2019)</w:t>
      </w:r>
      <w:r w:rsidR="002F209E">
        <w:rPr>
          <w:rFonts w:cs="Times New Roman"/>
        </w:rPr>
        <w:fldChar w:fldCharType="end"/>
      </w:r>
      <w:r w:rsidR="002F209E">
        <w:rPr>
          <w:rFonts w:cs="Times New Roman"/>
        </w:rPr>
        <w:t xml:space="preserve">. Also, </w:t>
      </w:r>
      <w:r w:rsidR="002F209E" w:rsidRPr="006807BB">
        <w:rPr>
          <w:rFonts w:cs="Times New Roman"/>
        </w:rPr>
        <w:t xml:space="preserve">recent developments have improved approximation techniques for estimating cumulative multivariate normal distribution functions, making ROP models much more practical </w:t>
      </w:r>
      <w:r w:rsidR="002F209E" w:rsidRPr="006807BB">
        <w:rPr>
          <w:rFonts w:cs="Times New Roman"/>
        </w:rPr>
        <w:fldChar w:fldCharType="begin"/>
      </w:r>
      <w:r w:rsidR="002F209E">
        <w:rPr>
          <w:rFonts w:cs="Times New Roman"/>
        </w:rPr>
        <w:instrText xml:space="preserve"> ADDIN ZOTERO_ITEM CSL_CITATION {"citationID":"5HxXujA8","properties":{"formattedCitation":"(Bhat, 2018)","plainCitation":"(Bhat, 2018)","dontUpdate":true,"noteIndex":0},"citationItems":[{"id":2026,"uris":["http://zotero.org/users/12832277/items/SHBDR4NL"],"itemData":{"id":2026,"type":"article-journal","abstract":"In this paper, we develop a new matrix-based implementation of the Mendell and Elston (ME) analytic approximation to evaluate the multivariate normal cumulative distribution (MVNCD) function, using an LDLT decomposition method followed by a rank 1 update of the LDLT factorization. Our implementation is easy to code for individuals familiar with matrix-based coding. Further, our new matrix-based implementation for the ME algorithm allows us to efficiently write the analytic matrix-based gradients of the approximated MVNCD function with respect to the abscissae and correlation parameters, an issue that is important in econometric model estimation. In addition, we propose four new analytic methods for approximating the MVNCD function. The paper then evaluates the ability of the multiple approximations for individual MVNCD evaluations as well as multinomial probit model estimation. As expected, in our tests for evaluating individual MVNCD functions, we found that the traditional GHK approach degrades rapidly as the dimensionality of integration increases. Concomitant with this degradation in accuracy is a rapid increase in computational time. The analytic approximation methods are also much more stable across different numbers of dimensions of integration, and even the simplest of these methods is superior to the GHK-500 beyond seven dimensions of integration. Based on all the evaluation results in this paper, we recommend the new Two-Variate Bivariate Screening (TVBS) method proposed in this paper as the evaluation approach for MVNCD function evaluation.","container-title":"Transportation Research Part B: Methodological","DOI":"10.1016/j.trb.2018.01.011","ISSN":"0191-2615","page":"238-256","source":"ScienceDirect","title":"New Matrix-Based Methods for the Analytic Evaluation of the Multivariate Cumulative Normal Distribution Function","volume":"109","author":[{"family":"Bhat","given":"Chandra R."}],"issued":{"date-parts":[["2018",3,1]]}}}],"schema":"https://github.com/citation-style-language/schema/raw/master/csl-citation.json"} </w:instrText>
      </w:r>
      <w:r w:rsidR="002F209E" w:rsidRPr="006807BB">
        <w:rPr>
          <w:rFonts w:cs="Times New Roman"/>
        </w:rPr>
        <w:fldChar w:fldCharType="separate"/>
      </w:r>
      <w:r w:rsidR="002F209E" w:rsidRPr="006807BB">
        <w:rPr>
          <w:rFonts w:cs="Times New Roman"/>
        </w:rPr>
        <w:t>(see Bhat, 2018)</w:t>
      </w:r>
      <w:r w:rsidR="002F209E" w:rsidRPr="006807BB">
        <w:rPr>
          <w:rFonts w:cs="Times New Roman"/>
        </w:rPr>
        <w:fldChar w:fldCharType="end"/>
      </w:r>
      <w:r w:rsidR="002F209E" w:rsidRPr="006807BB">
        <w:rPr>
          <w:rFonts w:cs="Times New Roman"/>
        </w:rPr>
        <w:t xml:space="preserve">. Recent applications of ROP models in several transportation contexts have demonstrated </w:t>
      </w:r>
      <w:r w:rsidR="002F209E">
        <w:rPr>
          <w:rFonts w:cs="Times New Roman"/>
        </w:rPr>
        <w:t>its</w:t>
      </w:r>
      <w:r w:rsidR="002F209E" w:rsidRPr="006807BB">
        <w:rPr>
          <w:rFonts w:cs="Times New Roman"/>
        </w:rPr>
        <w:t xml:space="preserve"> reliability and </w:t>
      </w:r>
      <w:r w:rsidR="002F209E">
        <w:rPr>
          <w:rFonts w:cs="Times New Roman"/>
        </w:rPr>
        <w:t xml:space="preserve">many </w:t>
      </w:r>
      <w:r w:rsidR="002F209E" w:rsidRPr="006807BB">
        <w:rPr>
          <w:rFonts w:cs="Times New Roman"/>
        </w:rPr>
        <w:t xml:space="preserve">advantages </w:t>
      </w:r>
      <w:r w:rsidR="002F209E">
        <w:rPr>
          <w:rFonts w:cs="Times New Roman"/>
        </w:rPr>
        <w:t xml:space="preserve">for </w:t>
      </w:r>
      <w:r w:rsidR="002F209E" w:rsidRPr="006807BB">
        <w:rPr>
          <w:rFonts w:cs="Times New Roman"/>
        </w:rPr>
        <w:t xml:space="preserve">rank-ordered </w:t>
      </w:r>
      <w:r w:rsidR="002F209E">
        <w:rPr>
          <w:rFonts w:cs="Times New Roman"/>
        </w:rPr>
        <w:t>modeling</w:t>
      </w:r>
      <w:r w:rsidR="002F209E" w:rsidRPr="006807BB">
        <w:rPr>
          <w:rFonts w:cs="Times New Roman"/>
        </w:rPr>
        <w:t xml:space="preserve"> </w:t>
      </w:r>
      <w:r w:rsidR="002F209E" w:rsidRPr="006807BB">
        <w:rPr>
          <w:rFonts w:cs="Times New Roman"/>
        </w:rPr>
        <w:fldChar w:fldCharType="begin"/>
      </w:r>
      <w:r w:rsidR="002F209E">
        <w:rPr>
          <w:rFonts w:cs="Times New Roman"/>
        </w:rPr>
        <w:instrText xml:space="preserve"> ADDIN ZOTERO_ITEM CSL_CITATION {"citationID":"JdMh0XoV","properties":{"unsorted":true,"formattedCitation":"(Asmussen et al., 2020; Presley et al., 2021; Mondal and Bhat, 2022; Simionescu, 2022)","plainCitation":"(Asmussen et al., 2020; Presley et al., 2021; Mondal and Bhat, 2022; Simionescu, 2022)","noteIndex":0},"citationItems":[{"id":2029,"uris":["http://zotero.org/users/12832277/items/SCQAFKI6"],"itemData":{"id":2029,"type":"article-journal","abstract":"Understanding the “if” and “when” of autonomous vehicle (AV) adoption is of clear interest to car manufacturers in their positioning of business processes, but also to transportation planners and traffic engineers. In this paper, we examine the individual-level AV adoption and timing process, considering the psycho-social factors of driving control, mobility control, safety concerns, and tech-savviness. A ranked choice stated preference design is used to elicit responses from Austin area residents regarding AV adoption. Our results underscore the need to examine the adoption of technology through a psycho-social lens. In particular, technology developments and design should not be divorced from careful investigations of habits and consumption motivations of different groups of individuals in the population. The findings from our analysis are translated to specific policy actions to promote AV adoption and accelerate the adoption time frame.","container-title":"Transportation Research Part C: Emerging Technologies","DOI":"10.1016/j.trc.2020.102835","ISSN":"0968-090X","source":"ScienceDirect","title":"A Socio-Technical Model of Autonomous Vehicle Adoption Using Ranked Choice Stated Preference Data","URL":"https://www.sciencedirect.com/science/article/pii/S0968090X20307397","volume":"121","author":[{"family":"Asmussen","given":"Katherine E."},{"family":"Mondal","given":"Aupal"},{"family":"Bhat","given":"Chandra R."}],"accessed":{"date-parts":[["2024",1,19]]},"issued":{"date-parts":[["2020",12,1]]}}},{"id":2035,"uris":["http://zotero.org/users/12832277/items/5YGYBYBI"],"itemData":{"id":2035,"type":"article-journal","abstract":"Various pharmacist services are available to improve medication adherence, including consultation, brochure, etc. Challenges arise on which services are best implemented in practice. Knowledge about patients’ and pharmacists’ preferences can help to prioritize services. This study explores the pharmacists’ and patients’ perceptions about the importance of pharmacist services to improve medication adherence among patients with diabetes in Indonesia.","container-title":"BMC Health Services Research","DOI":"10.1186/s12913-021-07242-1","ISSN":"1472-6963","issue":"1","language":"en","source":"Springer Link","title":"Pharmacists’ and Patients’ Perceptions About the Importance of Pharmacist Services Types to Improve Medication Adherence Among Patients with Diabetes in Indonesia","URL":"https://doi.org/10.1186/s12913-021-07242-1","volume":"21","author":[{"family":"Presley","given":"Bobby"},{"family":"Groot","given":"Wim"},{"family":"Pavlova","given":"Milena"}],"accessed":{"date-parts":[["2024",1,19]]},"issued":{"date-parts":[["2021",11,13]]}}},{"id":2031,"uris":["http://zotero.org/users/12832277/items/LYUVBYUF"],"itemData":{"id":2031,"type":"article-journal","abstract":"Ranking data provide important additional information related to valuation because of the implied preference sequence among all alternatives, rather than just the top choice preference. This additional information from a preference ranking can be exploited to achieve a certain desired precision in choice model estimation with a much smaller sample size, making ranked data surveys much more cost-effective than first-choice surveys. In this paper, we propose a spatial rank-ordered probit (SROP) model that accommodates both spatial lag effects as well as spatial drift effects. To our knowledge, this is the first such formulation and application of an SROP model in the econometric and transportation literature. An application of the proposed model is demonstrated in a travel mode choice ranking experiment among seven alternatives, including autonomous vehicle (AV) private ride-hailing and AV pooled ride-hailing.","container-title":"Transportation Research Part B: Methodological","DOI":"10.1016/j.trb.2021.12.008","ISSN":"0191-2615","page":"374-393","source":"ScienceDirect","title":"A Spatial Rank-Ordered Probit Model with an Application to Travel Mode Choice","volume":"155","author":[{"family":"Mondal","given":"Aupal"},{"family":"Bhat","given":"Chandra R."}],"issued":{"date-parts":[["2022",1,1]]}}},{"id":2037,"uris":["http://zotero.org/users/12832277/items/3ZQXE3JN"],"itemData":{"id":2037,"type":"article-journal","abstract":"The purpose of this paper is to provide evidence of the insertion of Romanian students of economic cybernetics on the labor market by connecting business environment expectations with the goals of a competitive digital economy. The research is organized around three hypotheses to address the issues of both non-employed and employed economic cybernetics students. A rank-ordered probit choice model was estimated to compute the probability that a certain skill requires improvement. The empirical results showed that the COVID-19 pandemic stimulated more cybernetics students to get a job in this period. Moreover, these students present the necessary level of digital skills to be employed, but other skills need improvement: skills of analysis and synthesis, adaptability in handling crisis situations and creativity. This research reveals the lack of working experience as the main cause for rejection after an interview and the students’ tendency to overestimate their salary. This study also identified barriers of the insertion on the labor market for these students with digital skills that were not the subject of previous studies. Moreover, the impact of the COVID-19 pandemic on their decision to get a job in this period is assessed and a few recommendations of skills improvements are provided. These results present practical implications for educational policies and the business environment in the context of achieving a competitive European digital economy. The limit of this research is given by the sample representativeness for cybernetics students only for Bucharest, but a future paper will ensure a representative sample at the national level.","container-title":"Mathematics","DOI":"10.3390/math10020222","ISSN":"2227-7390","issue":"2","language":"en","license":"http://creativecommons.org/licenses/by/3.0/","note":"number: 2\npublisher: Multidisciplinary Digital Publishing Institute","page":"222","source":"www.mdpi.com","title":"The Insertion of Economic Cybernetics Students on the Romanian Labor Market in the Context of Digital Economy and COVID-19 Pandemic","volume":"10","author":[{"family":"Simionescu","given":"Mihaela"}],"issued":{"date-parts":[["2022",1]]}}}],"schema":"https://github.com/citation-style-language/schema/raw/master/csl-citation.json"} </w:instrText>
      </w:r>
      <w:r w:rsidR="002F209E" w:rsidRPr="006807BB">
        <w:rPr>
          <w:rFonts w:cs="Times New Roman"/>
        </w:rPr>
        <w:fldChar w:fldCharType="separate"/>
      </w:r>
      <w:r w:rsidR="002F209E" w:rsidRPr="0090429C">
        <w:rPr>
          <w:rFonts w:cs="Times New Roman"/>
        </w:rPr>
        <w:t>(Asmussen et al., 2020; Presley et al., 2021; Mondal and Bhat, 2022; Simionescu, 2022)</w:t>
      </w:r>
      <w:r w:rsidR="002F209E" w:rsidRPr="006807BB">
        <w:rPr>
          <w:rFonts w:cs="Times New Roman"/>
        </w:rPr>
        <w:fldChar w:fldCharType="end"/>
      </w:r>
      <w:r w:rsidR="002F209E" w:rsidRPr="006807BB">
        <w:rPr>
          <w:rFonts w:cs="Times New Roman"/>
        </w:rPr>
        <w:t xml:space="preserve">. </w:t>
      </w:r>
    </w:p>
    <w:p w14:paraId="0390BF9F" w14:textId="77777777" w:rsidR="00412240" w:rsidRDefault="00412240" w:rsidP="00727863">
      <w:pPr>
        <w:spacing w:after="0" w:line="240" w:lineRule="auto"/>
        <w:jc w:val="both"/>
        <w:rPr>
          <w:rFonts w:cs="Times New Roman"/>
        </w:rPr>
      </w:pPr>
    </w:p>
    <w:p w14:paraId="215420B3" w14:textId="7519D3A0" w:rsidR="00EE7947" w:rsidRDefault="00982EA6" w:rsidP="00727863">
      <w:pPr>
        <w:autoSpaceDE w:val="0"/>
        <w:autoSpaceDN w:val="0"/>
        <w:adjustRightInd w:val="0"/>
        <w:spacing w:after="0" w:line="240" w:lineRule="auto"/>
        <w:jc w:val="both"/>
        <w:rPr>
          <w:rFonts w:cs="Times New Roman"/>
          <w:b/>
        </w:rPr>
      </w:pPr>
      <w:r>
        <w:rPr>
          <w:rFonts w:cs="Times New Roman"/>
          <w:b/>
        </w:rPr>
        <w:t>2</w:t>
      </w:r>
      <w:r w:rsidR="00EE7947" w:rsidRPr="006807BB">
        <w:rPr>
          <w:rFonts w:cs="Times New Roman"/>
          <w:b/>
        </w:rPr>
        <w:t>.</w:t>
      </w:r>
      <w:r w:rsidR="00E01D59">
        <w:rPr>
          <w:rFonts w:cs="Times New Roman"/>
          <w:b/>
        </w:rPr>
        <w:t xml:space="preserve"> ANALYSIS FRAMEWORK</w:t>
      </w:r>
      <w:r w:rsidR="007277D7">
        <w:rPr>
          <w:rFonts w:cs="Times New Roman"/>
          <w:b/>
        </w:rPr>
        <w:t xml:space="preserve"> </w:t>
      </w:r>
      <w:r w:rsidR="00EC4169" w:rsidRPr="006807BB">
        <w:rPr>
          <w:rFonts w:cs="Times New Roman"/>
          <w:b/>
        </w:rPr>
        <w:t xml:space="preserve"> </w:t>
      </w:r>
    </w:p>
    <w:p w14:paraId="0F449649" w14:textId="4F885811" w:rsidR="00BB15E5" w:rsidRPr="006807BB" w:rsidRDefault="00982EA6" w:rsidP="00BB15E5">
      <w:pPr>
        <w:autoSpaceDE w:val="0"/>
        <w:autoSpaceDN w:val="0"/>
        <w:adjustRightInd w:val="0"/>
        <w:spacing w:after="0" w:line="240" w:lineRule="auto"/>
        <w:jc w:val="both"/>
        <w:rPr>
          <w:rFonts w:cs="Times New Roman"/>
          <w:b/>
        </w:rPr>
      </w:pPr>
      <w:r>
        <w:rPr>
          <w:rFonts w:cs="Times New Roman"/>
          <w:b/>
        </w:rPr>
        <w:t>2</w:t>
      </w:r>
      <w:r w:rsidR="00BB15E5" w:rsidRPr="006807BB">
        <w:rPr>
          <w:rFonts w:cs="Times New Roman"/>
          <w:b/>
        </w:rPr>
        <w:t>.</w:t>
      </w:r>
      <w:r w:rsidR="00BB15E5">
        <w:rPr>
          <w:rFonts w:cs="Times New Roman"/>
          <w:b/>
        </w:rPr>
        <w:t>1</w:t>
      </w:r>
      <w:r w:rsidR="00BB15E5" w:rsidRPr="006807BB">
        <w:rPr>
          <w:rFonts w:cs="Times New Roman"/>
          <w:b/>
        </w:rPr>
        <w:t xml:space="preserve"> Data Description </w:t>
      </w:r>
    </w:p>
    <w:p w14:paraId="598BEC26" w14:textId="466DD731" w:rsidR="00BB15E5" w:rsidRPr="006807BB" w:rsidRDefault="00BB15E5" w:rsidP="00251A17">
      <w:pPr>
        <w:autoSpaceDE w:val="0"/>
        <w:autoSpaceDN w:val="0"/>
        <w:adjustRightInd w:val="0"/>
        <w:spacing w:after="120" w:line="240" w:lineRule="auto"/>
        <w:jc w:val="both"/>
        <w:rPr>
          <w:rFonts w:cs="Times New Roman"/>
          <w:bCs/>
        </w:rPr>
      </w:pPr>
      <w:r w:rsidRPr="006807BB">
        <w:rPr>
          <w:rFonts w:cs="Times New Roman"/>
          <w:bCs/>
        </w:rPr>
        <w:t xml:space="preserve">The data used for this study </w:t>
      </w:r>
      <w:r w:rsidR="003A5F00">
        <w:rPr>
          <w:rFonts w:cs="Times New Roman"/>
          <w:bCs/>
        </w:rPr>
        <w:t>are</w:t>
      </w:r>
      <w:r w:rsidR="00921572">
        <w:rPr>
          <w:rFonts w:cs="Times New Roman"/>
          <w:bCs/>
        </w:rPr>
        <w:t xml:space="preserve"> drawn</w:t>
      </w:r>
      <w:r w:rsidRPr="006807BB">
        <w:rPr>
          <w:rFonts w:cs="Times New Roman"/>
          <w:bCs/>
        </w:rPr>
        <w:t xml:space="preserve"> from the 2021 Puget Sound Regional Household Travel Survey </w:t>
      </w:r>
      <w:r w:rsidRPr="006807BB">
        <w:rPr>
          <w:rFonts w:cs="Times New Roman"/>
          <w:bCs/>
        </w:rPr>
        <w:fldChar w:fldCharType="begin"/>
      </w:r>
      <w:r w:rsidRPr="006807BB">
        <w:rPr>
          <w:rFonts w:cs="Times New Roman"/>
          <w:bCs/>
        </w:rPr>
        <w:instrText xml:space="preserve"> ADDIN ZOTERO_ITEM CSL_CITATION {"citationID":"tkApq07b","properties":{"formattedCitation":"(Puget Sound Regional Council, 2022)","plainCitation":"(Puget Sound Regional Council, 2022)","noteIndex":0},"citationItems":[{"id":1985,"uris":["http://zotero.org/users/12832277/items/TTZFVID7"],"itemData":{"id":1985,"type":"dataset","language":"en","source":"Zotero","title":"2021 Puget Sound Regional Travel Study","author":[{"family":"Puget Sound Regional Council","given":""}],"issued":{"date-parts":[["2022",4,21]]}}}],"schema":"https://github.com/citation-style-language/schema/raw/master/csl-citation.json"} </w:instrText>
      </w:r>
      <w:r w:rsidRPr="006807BB">
        <w:rPr>
          <w:rFonts w:cs="Times New Roman"/>
          <w:bCs/>
        </w:rPr>
        <w:fldChar w:fldCharType="separate"/>
      </w:r>
      <w:r w:rsidRPr="006807BB">
        <w:rPr>
          <w:rFonts w:cs="Times New Roman"/>
        </w:rPr>
        <w:t>(Puget Sound Regional Council, 2022)</w:t>
      </w:r>
      <w:r w:rsidRPr="006807BB">
        <w:rPr>
          <w:rFonts w:cs="Times New Roman"/>
          <w:bCs/>
        </w:rPr>
        <w:fldChar w:fldCharType="end"/>
      </w:r>
      <w:r w:rsidRPr="006807BB">
        <w:rPr>
          <w:rFonts w:cs="Times New Roman"/>
          <w:bCs/>
        </w:rPr>
        <w:t>, collected between April and June 2021. The study area was the Puget Sound (Greater Seattle</w:t>
      </w:r>
      <w:r w:rsidR="00104F4F">
        <w:rPr>
          <w:rFonts w:cs="Times New Roman"/>
          <w:bCs/>
        </w:rPr>
        <w:t>, Washington</w:t>
      </w:r>
      <w:r w:rsidRPr="006807BB">
        <w:rPr>
          <w:rFonts w:cs="Times New Roman"/>
          <w:bCs/>
        </w:rPr>
        <w:t xml:space="preserve">) region, encompassing the King, Kitsap, Pierce, and Snohomish counties, a region including 82 cities and towns with a total population of over four million people. The survey consisted of both a probability address-based sample and </w:t>
      </w:r>
      <w:r w:rsidR="00F80B43">
        <w:rPr>
          <w:rFonts w:cs="Times New Roman"/>
          <w:bCs/>
        </w:rPr>
        <w:t xml:space="preserve">a </w:t>
      </w:r>
      <w:r w:rsidRPr="006807BB">
        <w:rPr>
          <w:rFonts w:cs="Times New Roman"/>
          <w:bCs/>
        </w:rPr>
        <w:t>non-probability online panel sample. The probability sample was stratified by census block group to meet targets for race, ethnicity, and county-level targets. 48,024 mailed invitations were sent to households in the study region inviting them to participate online or via phone call, resulting in a sample of 1,929 households</w:t>
      </w:r>
      <w:r w:rsidR="002E5EAB">
        <w:rPr>
          <w:rFonts w:cs="Times New Roman"/>
          <w:bCs/>
        </w:rPr>
        <w:t xml:space="preserve">. </w:t>
      </w:r>
      <w:r w:rsidRPr="006807BB">
        <w:rPr>
          <w:rFonts w:cs="Times New Roman"/>
          <w:bCs/>
        </w:rPr>
        <w:t>An additional non-probability sample was collected by inviting a panel of respondents to participate via email, resulting in an additional 864 households</w:t>
      </w:r>
      <w:r w:rsidR="002E5EAB">
        <w:rPr>
          <w:rFonts w:cs="Times New Roman"/>
          <w:bCs/>
        </w:rPr>
        <w:t xml:space="preserve"> </w:t>
      </w:r>
      <w:r w:rsidR="002E5EAB">
        <w:rPr>
          <w:rFonts w:cs="Times New Roman"/>
          <w:bCs/>
        </w:rPr>
        <w:fldChar w:fldCharType="begin"/>
      </w:r>
      <w:r w:rsidR="00960373">
        <w:rPr>
          <w:rFonts w:cs="Times New Roman"/>
          <w:bCs/>
        </w:rPr>
        <w:instrText xml:space="preserve"> ADDIN ZOTERO_ITEM CSL_CITATION {"citationID":"uv7Z90TT","properties":{"formattedCitation":"(RSG, 2022)","plainCitation":"(RSG, 2022)","dontUpdate":true,"noteIndex":0},"citationItems":[{"id":3046,"uris":["http://zotero.org/users/12832277/items/XNF3MQBB"],"itemData":{"id":3046,"type":"report","number":"Final Report","publisher":"Puget Sound Regional Council","title":"2021 Puget Sound Regional Travel Survey","URL":"https://www.psrc.org/media/6322","author":[{"family":"RSG","given":""}],"issued":{"date-parts":[["2022",4,21]]}}}],"schema":"https://github.com/citation-style-language/schema/raw/master/csl-citation.json"} </w:instrText>
      </w:r>
      <w:r w:rsidR="002E5EAB">
        <w:rPr>
          <w:rFonts w:cs="Times New Roman"/>
          <w:bCs/>
        </w:rPr>
        <w:fldChar w:fldCharType="separate"/>
      </w:r>
      <w:r w:rsidR="002E5EAB" w:rsidRPr="002E5EAB">
        <w:rPr>
          <w:rFonts w:cs="Times New Roman"/>
        </w:rPr>
        <w:t>(</w:t>
      </w:r>
      <w:r w:rsidR="002E5EAB">
        <w:rPr>
          <w:rFonts w:cs="Times New Roman"/>
        </w:rPr>
        <w:t xml:space="preserve">see </w:t>
      </w:r>
      <w:r w:rsidR="002E5EAB" w:rsidRPr="002E5EAB">
        <w:rPr>
          <w:rFonts w:cs="Times New Roman"/>
        </w:rPr>
        <w:t>RSG, 2022</w:t>
      </w:r>
      <w:r w:rsidR="002E5EAB">
        <w:rPr>
          <w:rFonts w:cs="Times New Roman"/>
        </w:rPr>
        <w:t xml:space="preserve"> for additional details of the survey administration procedure</w:t>
      </w:r>
      <w:r w:rsidR="002E5EAB" w:rsidRPr="002E5EAB">
        <w:rPr>
          <w:rFonts w:cs="Times New Roman"/>
        </w:rPr>
        <w:t>)</w:t>
      </w:r>
      <w:r w:rsidR="002E5EAB">
        <w:rPr>
          <w:rFonts w:cs="Times New Roman"/>
          <w:bCs/>
        </w:rPr>
        <w:fldChar w:fldCharType="end"/>
      </w:r>
      <w:r w:rsidR="00921572" w:rsidRPr="006807BB">
        <w:rPr>
          <w:rFonts w:cs="Times New Roman"/>
          <w:bCs/>
        </w:rPr>
        <w:t>.</w:t>
      </w:r>
      <w:r w:rsidRPr="006807BB">
        <w:rPr>
          <w:rFonts w:cs="Times New Roman"/>
        </w:rPr>
        <w:t xml:space="preserve"> </w:t>
      </w:r>
      <w:r w:rsidRPr="006807BB">
        <w:rPr>
          <w:rFonts w:cs="Times New Roman"/>
          <w:bCs/>
        </w:rPr>
        <w:t>The survey collected individual and household socioeconomic and demographic information at the time of the survey</w:t>
      </w:r>
      <w:r w:rsidR="00502FF9">
        <w:rPr>
          <w:rFonts w:cs="Times New Roman"/>
          <w:bCs/>
        </w:rPr>
        <w:t xml:space="preserve">. It also collected </w:t>
      </w:r>
      <w:r w:rsidRPr="006807BB">
        <w:rPr>
          <w:rFonts w:cs="Times New Roman"/>
          <w:bCs/>
        </w:rPr>
        <w:t>travel</w:t>
      </w:r>
      <w:r w:rsidR="00823ACD">
        <w:rPr>
          <w:rFonts w:cs="Times New Roman"/>
          <w:bCs/>
        </w:rPr>
        <w:t>,</w:t>
      </w:r>
      <w:r w:rsidRPr="006807BB">
        <w:rPr>
          <w:rFonts w:cs="Times New Roman"/>
          <w:bCs/>
        </w:rPr>
        <w:t xml:space="preserve"> mode use</w:t>
      </w:r>
      <w:r w:rsidR="00823ACD">
        <w:rPr>
          <w:rFonts w:cs="Times New Roman"/>
          <w:bCs/>
        </w:rPr>
        <w:t xml:space="preserve">, </w:t>
      </w:r>
      <w:r w:rsidRPr="006807BB">
        <w:rPr>
          <w:rFonts w:cs="Times New Roman"/>
          <w:bCs/>
        </w:rPr>
        <w:t>commute</w:t>
      </w:r>
      <w:r w:rsidR="00823ACD">
        <w:rPr>
          <w:rFonts w:cs="Times New Roman"/>
          <w:bCs/>
        </w:rPr>
        <w:t>,</w:t>
      </w:r>
      <w:r w:rsidRPr="006807BB">
        <w:rPr>
          <w:rFonts w:cs="Times New Roman"/>
          <w:bCs/>
        </w:rPr>
        <w:t xml:space="preserve"> and telework </w:t>
      </w:r>
      <w:r w:rsidR="00823ACD">
        <w:rPr>
          <w:rFonts w:cs="Times New Roman"/>
          <w:bCs/>
        </w:rPr>
        <w:t>details, both</w:t>
      </w:r>
      <w:r w:rsidRPr="006807BB">
        <w:rPr>
          <w:rFonts w:cs="Times New Roman"/>
          <w:bCs/>
        </w:rPr>
        <w:t xml:space="preserve"> at the time of the survey and from before the COVID-19 pandemic. </w:t>
      </w:r>
      <w:r w:rsidR="00401FCF">
        <w:rPr>
          <w:rFonts w:cs="Times New Roman"/>
          <w:bCs/>
        </w:rPr>
        <w:t>Additionally,</w:t>
      </w:r>
      <w:r w:rsidRPr="006807BB">
        <w:rPr>
          <w:rFonts w:cs="Times New Roman"/>
          <w:bCs/>
        </w:rPr>
        <w:t xml:space="preserve"> the survey collected</w:t>
      </w:r>
      <w:r w:rsidR="00262850">
        <w:rPr>
          <w:rFonts w:cs="Times New Roman"/>
          <w:bCs/>
        </w:rPr>
        <w:t>, from a</w:t>
      </w:r>
      <w:r w:rsidR="00D33A41">
        <w:rPr>
          <w:rFonts w:cs="Times New Roman"/>
          <w:bCs/>
        </w:rPr>
        <w:t xml:space="preserve"> reference</w:t>
      </w:r>
      <w:r w:rsidR="00262850">
        <w:rPr>
          <w:rFonts w:cs="Times New Roman"/>
          <w:bCs/>
        </w:rPr>
        <w:t xml:space="preserve"> adult in the household </w:t>
      </w:r>
      <w:r w:rsidR="007C6B85">
        <w:rPr>
          <w:rFonts w:cs="Times New Roman"/>
          <w:bCs/>
        </w:rPr>
        <w:t>who completed the initial recruitment survey</w:t>
      </w:r>
      <w:r w:rsidR="00262850">
        <w:rPr>
          <w:rFonts w:cs="Times New Roman"/>
          <w:bCs/>
        </w:rPr>
        <w:t>,</w:t>
      </w:r>
      <w:r w:rsidRPr="006807BB">
        <w:rPr>
          <w:rFonts w:cs="Times New Roman"/>
          <w:bCs/>
        </w:rPr>
        <w:t xml:space="preserve"> </w:t>
      </w:r>
      <w:r w:rsidR="00502FF9">
        <w:rPr>
          <w:rFonts w:cs="Times New Roman"/>
          <w:bCs/>
        </w:rPr>
        <w:t xml:space="preserve">the </w:t>
      </w:r>
      <w:r w:rsidRPr="00442315">
        <w:rPr>
          <w:rFonts w:cs="Times New Roman"/>
          <w:bCs/>
        </w:rPr>
        <w:t>reasons</w:t>
      </w:r>
      <w:r w:rsidR="00502FF9">
        <w:rPr>
          <w:rFonts w:cs="Times New Roman"/>
          <w:bCs/>
        </w:rPr>
        <w:t>/factors</w:t>
      </w:r>
      <w:r w:rsidRPr="00442315">
        <w:rPr>
          <w:rFonts w:cs="Times New Roman"/>
          <w:bCs/>
        </w:rPr>
        <w:t xml:space="preserve"> for the</w:t>
      </w:r>
      <w:r w:rsidR="00262850">
        <w:rPr>
          <w:rFonts w:cs="Times New Roman"/>
          <w:bCs/>
        </w:rPr>
        <w:t xml:space="preserve"> household’s </w:t>
      </w:r>
      <w:r w:rsidRPr="00442315">
        <w:rPr>
          <w:rFonts w:cs="Times New Roman"/>
          <w:bCs/>
        </w:rPr>
        <w:t>most recent residential relocation</w:t>
      </w:r>
      <w:r w:rsidR="00401FCF" w:rsidRPr="00442315">
        <w:rPr>
          <w:rFonts w:cs="Times New Roman"/>
          <w:bCs/>
        </w:rPr>
        <w:t>,</w:t>
      </w:r>
      <w:r w:rsidR="00401FCF">
        <w:rPr>
          <w:rFonts w:cs="Times New Roman"/>
          <w:bCs/>
        </w:rPr>
        <w:t xml:space="preserve"> which </w:t>
      </w:r>
      <w:r w:rsidR="00502FF9">
        <w:rPr>
          <w:rFonts w:cs="Times New Roman"/>
          <w:bCs/>
        </w:rPr>
        <w:t xml:space="preserve">constitutes </w:t>
      </w:r>
      <w:r w:rsidR="00401FCF">
        <w:rPr>
          <w:rFonts w:cs="Times New Roman"/>
          <w:bCs/>
        </w:rPr>
        <w:t xml:space="preserve">the main </w:t>
      </w:r>
      <w:r w:rsidR="00502FF9">
        <w:rPr>
          <w:rFonts w:cs="Times New Roman"/>
          <w:bCs/>
        </w:rPr>
        <w:t xml:space="preserve">vector of </w:t>
      </w:r>
      <w:r w:rsidR="00401FCF">
        <w:rPr>
          <w:rFonts w:cs="Times New Roman"/>
          <w:bCs/>
        </w:rPr>
        <w:t>outcomes considered here</w:t>
      </w:r>
      <w:r w:rsidRPr="006807BB">
        <w:rPr>
          <w:rFonts w:cs="Times New Roman"/>
          <w:bCs/>
        </w:rPr>
        <w:t xml:space="preserve">. </w:t>
      </w:r>
      <w:r w:rsidRPr="006807BB">
        <w:rPr>
          <w:rFonts w:cs="Times New Roman"/>
        </w:rPr>
        <w:t>Specifically, the survey prompt</w:t>
      </w:r>
      <w:r w:rsidR="00541E10">
        <w:rPr>
          <w:rFonts w:cs="Times New Roman"/>
        </w:rPr>
        <w:t>ed</w:t>
      </w:r>
      <w:r w:rsidRPr="006807BB">
        <w:rPr>
          <w:rFonts w:cs="Times New Roman"/>
        </w:rPr>
        <w:t xml:space="preserve"> respondents to assess, using a 5-level Likert scale</w:t>
      </w:r>
      <w:r w:rsidR="00262850">
        <w:rPr>
          <w:rFonts w:cs="Times New Roman"/>
        </w:rPr>
        <w:t xml:space="preserve"> (from “not at all important” to “very important”)</w:t>
      </w:r>
      <w:r w:rsidRPr="006807BB">
        <w:rPr>
          <w:rFonts w:cs="Times New Roman"/>
        </w:rPr>
        <w:t xml:space="preserve">, the </w:t>
      </w:r>
      <w:r w:rsidR="00262850">
        <w:rPr>
          <w:rFonts w:cs="Times New Roman"/>
        </w:rPr>
        <w:t xml:space="preserve">significance </w:t>
      </w:r>
      <w:r w:rsidRPr="006807BB">
        <w:rPr>
          <w:rFonts w:cs="Times New Roman"/>
        </w:rPr>
        <w:t xml:space="preserve">of nine distinct </w:t>
      </w:r>
      <w:r w:rsidR="00262850">
        <w:rPr>
          <w:rFonts w:cs="Times New Roman"/>
        </w:rPr>
        <w:t xml:space="preserve">residential location </w:t>
      </w:r>
      <w:r w:rsidRPr="006807BB">
        <w:rPr>
          <w:rFonts w:cs="Times New Roman"/>
        </w:rPr>
        <w:t>factors when dec</w:t>
      </w:r>
      <w:r w:rsidR="00746C5B">
        <w:rPr>
          <w:rFonts w:cs="Times New Roman"/>
        </w:rPr>
        <w:t>iding</w:t>
      </w:r>
      <w:r w:rsidRPr="006807BB">
        <w:rPr>
          <w:rFonts w:cs="Times New Roman"/>
        </w:rPr>
        <w:t xml:space="preserve"> to relocate to the current place of residence.</w:t>
      </w:r>
      <w:r w:rsidRPr="006807BB">
        <w:rPr>
          <w:rFonts w:cs="Times New Roman"/>
          <w:bCs/>
        </w:rPr>
        <w:t xml:space="preserve"> The factors were:</w:t>
      </w:r>
    </w:p>
    <w:p w14:paraId="640EFA6B" w14:textId="77777777" w:rsidR="00BB15E5" w:rsidRPr="006807BB" w:rsidRDefault="00BB15E5" w:rsidP="00BB15E5">
      <w:pPr>
        <w:pStyle w:val="ListParagraph"/>
        <w:numPr>
          <w:ilvl w:val="0"/>
          <w:numId w:val="4"/>
        </w:numPr>
        <w:autoSpaceDE w:val="0"/>
        <w:autoSpaceDN w:val="0"/>
        <w:adjustRightInd w:val="0"/>
        <w:spacing w:after="0" w:line="240" w:lineRule="auto"/>
        <w:jc w:val="both"/>
        <w:rPr>
          <w:rFonts w:cs="Times New Roman"/>
          <w:bCs/>
        </w:rPr>
      </w:pPr>
      <w:r w:rsidRPr="006807BB">
        <w:rPr>
          <w:rFonts w:cs="Times New Roman"/>
          <w:bCs/>
        </w:rPr>
        <w:t>Affordability</w:t>
      </w:r>
    </w:p>
    <w:p w14:paraId="2DA9CA97" w14:textId="77777777" w:rsidR="00BB15E5" w:rsidRDefault="00BB15E5" w:rsidP="00BB15E5">
      <w:pPr>
        <w:pStyle w:val="ListParagraph"/>
        <w:numPr>
          <w:ilvl w:val="0"/>
          <w:numId w:val="4"/>
        </w:numPr>
        <w:autoSpaceDE w:val="0"/>
        <w:autoSpaceDN w:val="0"/>
        <w:adjustRightInd w:val="0"/>
        <w:spacing w:after="0" w:line="240" w:lineRule="auto"/>
        <w:jc w:val="both"/>
        <w:rPr>
          <w:rFonts w:cs="Times New Roman"/>
          <w:bCs/>
        </w:rPr>
      </w:pPr>
      <w:r w:rsidRPr="006807BB">
        <w:rPr>
          <w:rFonts w:cs="Times New Roman"/>
          <w:bCs/>
        </w:rPr>
        <w:t>Being close to family or friends</w:t>
      </w:r>
    </w:p>
    <w:p w14:paraId="59348F31" w14:textId="7D0A3BB3" w:rsidR="00D44B00" w:rsidRPr="00D44B00" w:rsidRDefault="00D44B00" w:rsidP="00D44B00">
      <w:pPr>
        <w:pStyle w:val="ListParagraph"/>
        <w:numPr>
          <w:ilvl w:val="0"/>
          <w:numId w:val="4"/>
        </w:numPr>
        <w:autoSpaceDE w:val="0"/>
        <w:autoSpaceDN w:val="0"/>
        <w:adjustRightInd w:val="0"/>
        <w:spacing w:line="240" w:lineRule="auto"/>
        <w:jc w:val="both"/>
        <w:rPr>
          <w:rFonts w:cs="Times New Roman"/>
          <w:bCs/>
        </w:rPr>
      </w:pPr>
      <w:r w:rsidRPr="00D44B00">
        <w:rPr>
          <w:rFonts w:cs="Times New Roman"/>
          <w:bCs/>
        </w:rPr>
        <w:t>Access to cultural centers and activities (e.g., museums, sporting events, restaurants)</w:t>
      </w:r>
    </w:p>
    <w:p w14:paraId="65CDD606" w14:textId="77777777" w:rsidR="00BB15E5" w:rsidRPr="006807BB" w:rsidRDefault="00BB15E5" w:rsidP="00BB15E5">
      <w:pPr>
        <w:pStyle w:val="ListParagraph"/>
        <w:numPr>
          <w:ilvl w:val="0"/>
          <w:numId w:val="4"/>
        </w:numPr>
        <w:autoSpaceDE w:val="0"/>
        <w:autoSpaceDN w:val="0"/>
        <w:adjustRightInd w:val="0"/>
        <w:spacing w:after="0" w:line="240" w:lineRule="auto"/>
        <w:jc w:val="both"/>
        <w:rPr>
          <w:rFonts w:cs="Times New Roman"/>
          <w:bCs/>
        </w:rPr>
      </w:pPr>
      <w:r w:rsidRPr="006807BB">
        <w:rPr>
          <w:rFonts w:cs="Times New Roman"/>
          <w:bCs/>
        </w:rPr>
        <w:t>Being close to the highway</w:t>
      </w:r>
    </w:p>
    <w:p w14:paraId="249895D9" w14:textId="7C67FE0C" w:rsidR="00BB15E5" w:rsidRPr="006807BB" w:rsidRDefault="00BB15E5" w:rsidP="00BB15E5">
      <w:pPr>
        <w:pStyle w:val="ListParagraph"/>
        <w:numPr>
          <w:ilvl w:val="0"/>
          <w:numId w:val="4"/>
        </w:numPr>
        <w:autoSpaceDE w:val="0"/>
        <w:autoSpaceDN w:val="0"/>
        <w:adjustRightInd w:val="0"/>
        <w:spacing w:after="0" w:line="240" w:lineRule="auto"/>
        <w:jc w:val="both"/>
        <w:rPr>
          <w:rFonts w:cs="Times New Roman"/>
          <w:bCs/>
        </w:rPr>
      </w:pPr>
      <w:r w:rsidRPr="006807BB">
        <w:rPr>
          <w:rFonts w:cs="Times New Roman"/>
          <w:bCs/>
        </w:rPr>
        <w:t>Quality of schools (K-12)</w:t>
      </w:r>
    </w:p>
    <w:p w14:paraId="0CB96E5E" w14:textId="250A0811" w:rsidR="00BB15E5" w:rsidRPr="006807BB" w:rsidRDefault="00BB15E5" w:rsidP="00BB15E5">
      <w:pPr>
        <w:pStyle w:val="ListParagraph"/>
        <w:numPr>
          <w:ilvl w:val="0"/>
          <w:numId w:val="4"/>
        </w:numPr>
        <w:autoSpaceDE w:val="0"/>
        <w:autoSpaceDN w:val="0"/>
        <w:adjustRightInd w:val="0"/>
        <w:spacing w:after="0" w:line="240" w:lineRule="auto"/>
        <w:jc w:val="both"/>
        <w:rPr>
          <w:rFonts w:cs="Times New Roman"/>
          <w:bCs/>
        </w:rPr>
      </w:pPr>
      <w:r w:rsidRPr="006807BB">
        <w:rPr>
          <w:rFonts w:cs="Times New Roman"/>
          <w:bCs/>
        </w:rPr>
        <w:t xml:space="preserve">Having space </w:t>
      </w:r>
      <w:r w:rsidR="003F65A3">
        <w:rPr>
          <w:rFonts w:cs="Times New Roman"/>
          <w:bCs/>
        </w:rPr>
        <w:t>and</w:t>
      </w:r>
      <w:r w:rsidRPr="006807BB">
        <w:rPr>
          <w:rFonts w:cs="Times New Roman"/>
          <w:bCs/>
        </w:rPr>
        <w:t xml:space="preserve"> separation from others</w:t>
      </w:r>
    </w:p>
    <w:p w14:paraId="40CBB908" w14:textId="77777777" w:rsidR="00BB15E5" w:rsidRPr="006807BB" w:rsidRDefault="00BB15E5" w:rsidP="00BB15E5">
      <w:pPr>
        <w:pStyle w:val="ListParagraph"/>
        <w:numPr>
          <w:ilvl w:val="0"/>
          <w:numId w:val="4"/>
        </w:numPr>
        <w:autoSpaceDE w:val="0"/>
        <w:autoSpaceDN w:val="0"/>
        <w:adjustRightInd w:val="0"/>
        <w:spacing w:after="0" w:line="240" w:lineRule="auto"/>
        <w:jc w:val="both"/>
        <w:rPr>
          <w:rFonts w:cs="Times New Roman"/>
          <w:bCs/>
        </w:rPr>
      </w:pPr>
      <w:r w:rsidRPr="006807BB">
        <w:rPr>
          <w:rFonts w:cs="Times New Roman"/>
          <w:bCs/>
        </w:rPr>
        <w:t>Being close to public transit</w:t>
      </w:r>
    </w:p>
    <w:p w14:paraId="62863A2D" w14:textId="77777777" w:rsidR="00BB15E5" w:rsidRPr="006807BB" w:rsidRDefault="00BB15E5" w:rsidP="00BB15E5">
      <w:pPr>
        <w:pStyle w:val="ListParagraph"/>
        <w:numPr>
          <w:ilvl w:val="0"/>
          <w:numId w:val="4"/>
        </w:numPr>
        <w:autoSpaceDE w:val="0"/>
        <w:autoSpaceDN w:val="0"/>
        <w:adjustRightInd w:val="0"/>
        <w:spacing w:after="0" w:line="240" w:lineRule="auto"/>
        <w:jc w:val="both"/>
        <w:rPr>
          <w:rFonts w:cs="Times New Roman"/>
          <w:bCs/>
        </w:rPr>
      </w:pPr>
      <w:r w:rsidRPr="006807BB">
        <w:rPr>
          <w:rFonts w:cs="Times New Roman"/>
          <w:bCs/>
        </w:rPr>
        <w:t>Having a walkable neighborhood and being near local activities</w:t>
      </w:r>
    </w:p>
    <w:p w14:paraId="5997B18E" w14:textId="56547E2D" w:rsidR="00D44B00" w:rsidRPr="00D44B00" w:rsidRDefault="00D44B00" w:rsidP="00251A17">
      <w:pPr>
        <w:pStyle w:val="ListParagraph"/>
        <w:numPr>
          <w:ilvl w:val="0"/>
          <w:numId w:val="4"/>
        </w:numPr>
        <w:autoSpaceDE w:val="0"/>
        <w:autoSpaceDN w:val="0"/>
        <w:adjustRightInd w:val="0"/>
        <w:spacing w:after="120" w:line="240" w:lineRule="auto"/>
        <w:jc w:val="both"/>
        <w:rPr>
          <w:rFonts w:cs="Times New Roman"/>
          <w:bCs/>
        </w:rPr>
      </w:pPr>
      <w:r w:rsidRPr="006807BB">
        <w:rPr>
          <w:rFonts w:cs="Times New Roman"/>
          <w:bCs/>
        </w:rPr>
        <w:t>Being within a reasonably short commute to work</w:t>
      </w:r>
    </w:p>
    <w:p w14:paraId="20DA2F96" w14:textId="018D84D3" w:rsidR="009E61BA" w:rsidRDefault="006B27C9" w:rsidP="009E61BA">
      <w:pPr>
        <w:autoSpaceDE w:val="0"/>
        <w:autoSpaceDN w:val="0"/>
        <w:adjustRightInd w:val="0"/>
        <w:spacing w:after="0" w:line="240" w:lineRule="auto"/>
        <w:jc w:val="both"/>
        <w:rPr>
          <w:rFonts w:cs="Times New Roman"/>
          <w:bCs/>
        </w:rPr>
      </w:pPr>
      <w:r>
        <w:rPr>
          <w:rFonts w:cs="Times New Roman"/>
          <w:bCs/>
        </w:rPr>
        <w:t xml:space="preserve">The ratings </w:t>
      </w:r>
      <w:r w:rsidR="009E61BA">
        <w:rPr>
          <w:rFonts w:cs="Times New Roman"/>
          <w:bCs/>
        </w:rPr>
        <w:t xml:space="preserve">on the nine factors above </w:t>
      </w:r>
      <w:r w:rsidR="00BB15E5" w:rsidRPr="006807BB">
        <w:rPr>
          <w:rFonts w:cs="Times New Roman"/>
          <w:bCs/>
        </w:rPr>
        <w:t>were converted to a set of rankings</w:t>
      </w:r>
      <w:r w:rsidR="00262850">
        <w:rPr>
          <w:rFonts w:cs="Times New Roman"/>
          <w:bCs/>
        </w:rPr>
        <w:t>. An issue that arises in this translation</w:t>
      </w:r>
      <w:r w:rsidR="00F777A5">
        <w:rPr>
          <w:rFonts w:cs="Times New Roman"/>
          <w:bCs/>
        </w:rPr>
        <w:t xml:space="preserve"> </w:t>
      </w:r>
      <w:r w:rsidR="00262850">
        <w:rPr>
          <w:rFonts w:cs="Times New Roman"/>
          <w:bCs/>
        </w:rPr>
        <w:t xml:space="preserve">is that an individual may have chosen the same Likert scale category for multiple </w:t>
      </w:r>
      <w:r w:rsidR="00262850">
        <w:rPr>
          <w:rFonts w:cs="Times New Roman"/>
          <w:bCs/>
        </w:rPr>
        <w:lastRenderedPageBreak/>
        <w:t>factors, which results in ranking ties</w:t>
      </w:r>
      <w:r w:rsidR="00982EA6">
        <w:rPr>
          <w:rFonts w:cs="Times New Roman"/>
          <w:bCs/>
        </w:rPr>
        <w:t>. But, as discussed later in Section 2.2, such ties can be handled in a straightforward way in a ranking model</w:t>
      </w:r>
      <w:r>
        <w:rPr>
          <w:rFonts w:cs="Times New Roman"/>
          <w:bCs/>
        </w:rPr>
        <w:t>.</w:t>
      </w:r>
      <w:r w:rsidR="00BB15E5" w:rsidRPr="006807BB">
        <w:rPr>
          <w:rFonts w:cs="Times New Roman"/>
          <w:bCs/>
        </w:rPr>
        <w:t xml:space="preserve"> </w:t>
      </w:r>
    </w:p>
    <w:p w14:paraId="168167E2" w14:textId="1BF73992" w:rsidR="00BB15E5" w:rsidRDefault="00982EA6" w:rsidP="00D37B11">
      <w:pPr>
        <w:autoSpaceDE w:val="0"/>
        <w:autoSpaceDN w:val="0"/>
        <w:adjustRightInd w:val="0"/>
        <w:spacing w:after="0" w:line="240" w:lineRule="auto"/>
        <w:ind w:firstLine="720"/>
        <w:jc w:val="both"/>
        <w:rPr>
          <w:rFonts w:cs="Times New Roman"/>
          <w:bCs/>
        </w:rPr>
      </w:pPr>
      <w:r>
        <w:rPr>
          <w:rFonts w:cs="Times New Roman"/>
          <w:bCs/>
        </w:rPr>
        <w:t xml:space="preserve">Households whose reference person </w:t>
      </w:r>
      <w:r w:rsidR="007F0BCB">
        <w:rPr>
          <w:rFonts w:cs="Times New Roman"/>
          <w:bCs/>
        </w:rPr>
        <w:t xml:space="preserve">(61 of them) </w:t>
      </w:r>
      <w:r w:rsidR="006B27C9">
        <w:rPr>
          <w:rFonts w:cs="Times New Roman"/>
          <w:bCs/>
        </w:rPr>
        <w:t xml:space="preserve">had the same rank for all the factors (that is, </w:t>
      </w:r>
      <w:r w:rsidR="00BB15E5" w:rsidRPr="006807BB">
        <w:rPr>
          <w:rFonts w:cs="Times New Roman"/>
          <w:bCs/>
        </w:rPr>
        <w:t xml:space="preserve">assigned the same </w:t>
      </w:r>
      <w:r w:rsidR="006B27C9">
        <w:rPr>
          <w:rFonts w:cs="Times New Roman"/>
          <w:bCs/>
        </w:rPr>
        <w:t xml:space="preserve">ordinal </w:t>
      </w:r>
      <w:r w:rsidR="00BB15E5" w:rsidRPr="006807BB">
        <w:rPr>
          <w:rFonts w:cs="Times New Roman"/>
          <w:bCs/>
        </w:rPr>
        <w:t xml:space="preserve">level of preference to </w:t>
      </w:r>
      <w:r w:rsidR="00BB15E5">
        <w:rPr>
          <w:rFonts w:cs="Times New Roman"/>
          <w:bCs/>
        </w:rPr>
        <w:t>every</w:t>
      </w:r>
      <w:r w:rsidR="00BB15E5" w:rsidRPr="006807BB">
        <w:rPr>
          <w:rFonts w:cs="Times New Roman"/>
          <w:bCs/>
        </w:rPr>
        <w:t xml:space="preserve"> factor</w:t>
      </w:r>
      <w:r w:rsidR="00127E25">
        <w:rPr>
          <w:rFonts w:cs="Times New Roman"/>
          <w:bCs/>
        </w:rPr>
        <w:t xml:space="preserve"> in the original rating</w:t>
      </w:r>
      <w:r w:rsidR="006B27C9">
        <w:rPr>
          <w:rFonts w:cs="Times New Roman"/>
          <w:bCs/>
        </w:rPr>
        <w:t>)</w:t>
      </w:r>
      <w:r w:rsidR="00BB15E5" w:rsidRPr="006807BB">
        <w:rPr>
          <w:rFonts w:cs="Times New Roman"/>
          <w:bCs/>
        </w:rPr>
        <w:t xml:space="preserve"> were removed from the sample</w:t>
      </w:r>
      <w:r w:rsidR="009E61BA">
        <w:rPr>
          <w:rFonts w:cs="Times New Roman"/>
          <w:bCs/>
        </w:rPr>
        <w:t>,</w:t>
      </w:r>
      <w:r w:rsidR="00BB15E5" w:rsidRPr="006807BB">
        <w:rPr>
          <w:rFonts w:cs="Times New Roman"/>
          <w:bCs/>
        </w:rPr>
        <w:t xml:space="preserve"> </w:t>
      </w:r>
      <w:r w:rsidR="00127E25">
        <w:rPr>
          <w:rFonts w:cs="Times New Roman"/>
          <w:bCs/>
        </w:rPr>
        <w:t xml:space="preserve">because such </w:t>
      </w:r>
      <w:r>
        <w:rPr>
          <w:rFonts w:cs="Times New Roman"/>
          <w:bCs/>
        </w:rPr>
        <w:t xml:space="preserve">households </w:t>
      </w:r>
      <w:r w:rsidR="00127E25">
        <w:rPr>
          <w:rFonts w:cs="Times New Roman"/>
          <w:bCs/>
        </w:rPr>
        <w:t xml:space="preserve">do not provide any information for </w:t>
      </w:r>
      <w:r w:rsidR="00F777A5">
        <w:rPr>
          <w:rFonts w:cs="Times New Roman"/>
          <w:bCs/>
        </w:rPr>
        <w:t>priority</w:t>
      </w:r>
      <w:r w:rsidR="00127E25">
        <w:rPr>
          <w:rFonts w:cs="Times New Roman"/>
          <w:bCs/>
        </w:rPr>
        <w:t xml:space="preserve"> extraction. </w:t>
      </w:r>
      <w:r w:rsidR="007F0BCB">
        <w:rPr>
          <w:rFonts w:cs="Times New Roman"/>
          <w:bCs/>
        </w:rPr>
        <w:t xml:space="preserve">An additional 292 </w:t>
      </w:r>
      <w:r>
        <w:rPr>
          <w:rFonts w:cs="Times New Roman"/>
          <w:bCs/>
        </w:rPr>
        <w:t>households</w:t>
      </w:r>
      <w:r w:rsidR="007F0BCB">
        <w:rPr>
          <w:rFonts w:cs="Times New Roman"/>
          <w:bCs/>
        </w:rPr>
        <w:t xml:space="preserve"> with incomplete data were also removed</w:t>
      </w:r>
      <w:r w:rsidR="00251930">
        <w:rPr>
          <w:rFonts w:cs="Times New Roman"/>
          <w:bCs/>
        </w:rPr>
        <w:t xml:space="preserve">. Finally, </w:t>
      </w:r>
      <w:r w:rsidR="009E61BA">
        <w:rPr>
          <w:rFonts w:cs="Times New Roman"/>
          <w:bCs/>
        </w:rPr>
        <w:t xml:space="preserve">households with relocations more than five years prior to survey distribution were removed. This was done </w:t>
      </w:r>
      <w:r w:rsidR="00650279">
        <w:rPr>
          <w:rFonts w:cs="Times New Roman"/>
          <w:bCs/>
        </w:rPr>
        <w:t xml:space="preserve">because the </w:t>
      </w:r>
      <w:r w:rsidR="009E61BA">
        <w:rPr>
          <w:rFonts w:cs="Times New Roman"/>
          <w:bCs/>
        </w:rPr>
        <w:t xml:space="preserve">demographics collected </w:t>
      </w:r>
      <w:r w:rsidR="00C07EB7">
        <w:rPr>
          <w:rFonts w:cs="Times New Roman"/>
          <w:bCs/>
        </w:rPr>
        <w:t>at the time of the survey</w:t>
      </w:r>
      <w:r w:rsidR="009E61BA">
        <w:rPr>
          <w:rFonts w:cs="Times New Roman"/>
          <w:bCs/>
        </w:rPr>
        <w:t xml:space="preserve"> </w:t>
      </w:r>
      <w:r w:rsidR="00330AA3">
        <w:rPr>
          <w:rFonts w:cs="Times New Roman"/>
          <w:bCs/>
        </w:rPr>
        <w:t xml:space="preserve">are not likely to represent </w:t>
      </w:r>
      <w:r w:rsidR="005B4443">
        <w:rPr>
          <w:rFonts w:cs="Times New Roman"/>
          <w:bCs/>
        </w:rPr>
        <w:t xml:space="preserve">the </w:t>
      </w:r>
      <w:r w:rsidR="00C07EB7">
        <w:rPr>
          <w:rFonts w:cs="Times New Roman"/>
          <w:bCs/>
        </w:rPr>
        <w:t>demographics</w:t>
      </w:r>
      <w:r w:rsidR="005B4443">
        <w:rPr>
          <w:rFonts w:cs="Times New Roman"/>
          <w:bCs/>
        </w:rPr>
        <w:t xml:space="preserve"> at the time of the relocation</w:t>
      </w:r>
      <w:r w:rsidR="009E61BA">
        <w:rPr>
          <w:rFonts w:cs="Times New Roman"/>
          <w:bCs/>
        </w:rPr>
        <w:t xml:space="preserve"> for those relocations occurring in the distant past</w:t>
      </w:r>
      <w:r w:rsidR="00BB15E5" w:rsidRPr="006807BB">
        <w:rPr>
          <w:rFonts w:cs="Times New Roman"/>
          <w:bCs/>
        </w:rPr>
        <w:t>.</w:t>
      </w:r>
      <w:r w:rsidR="00C07EB7">
        <w:rPr>
          <w:rStyle w:val="FootnoteReference"/>
          <w:rFonts w:cs="Times New Roman"/>
          <w:bCs/>
        </w:rPr>
        <w:footnoteReference w:id="3"/>
      </w:r>
      <w:r w:rsidR="00F777A5">
        <w:rPr>
          <w:rFonts w:cs="Times New Roman"/>
          <w:bCs/>
        </w:rPr>
        <w:t xml:space="preserve"> The final sample in our analysis included 1</w:t>
      </w:r>
      <w:r w:rsidR="00D6184E">
        <w:rPr>
          <w:rFonts w:cs="Times New Roman"/>
          <w:bCs/>
        </w:rPr>
        <w:t>,</w:t>
      </w:r>
      <w:r w:rsidR="00F777A5">
        <w:rPr>
          <w:rFonts w:cs="Times New Roman"/>
          <w:bCs/>
        </w:rPr>
        <w:t>284 households.</w:t>
      </w:r>
    </w:p>
    <w:p w14:paraId="773F34D0" w14:textId="77777777" w:rsidR="00541E10" w:rsidRDefault="00541E10" w:rsidP="00BB15E5">
      <w:pPr>
        <w:autoSpaceDE w:val="0"/>
        <w:autoSpaceDN w:val="0"/>
        <w:adjustRightInd w:val="0"/>
        <w:spacing w:after="0" w:line="240" w:lineRule="auto"/>
        <w:ind w:firstLine="720"/>
        <w:jc w:val="both"/>
        <w:rPr>
          <w:rFonts w:cs="Times New Roman"/>
          <w:bCs/>
        </w:rPr>
      </w:pPr>
    </w:p>
    <w:p w14:paraId="1F539BAD" w14:textId="2EF7E63E" w:rsidR="00541E10" w:rsidRPr="00251A17" w:rsidRDefault="00982EA6" w:rsidP="00541E10">
      <w:pPr>
        <w:autoSpaceDE w:val="0"/>
        <w:autoSpaceDN w:val="0"/>
        <w:adjustRightInd w:val="0"/>
        <w:spacing w:after="0" w:line="240" w:lineRule="auto"/>
        <w:jc w:val="both"/>
        <w:rPr>
          <w:rFonts w:cs="Times New Roman"/>
          <w:bCs/>
          <w:i/>
          <w:iCs/>
        </w:rPr>
      </w:pPr>
      <w:r w:rsidRPr="00251A17">
        <w:rPr>
          <w:rFonts w:cs="Times New Roman"/>
          <w:bCs/>
          <w:i/>
          <w:iCs/>
        </w:rPr>
        <w:t>2</w:t>
      </w:r>
      <w:r w:rsidR="00541E10" w:rsidRPr="00251A17">
        <w:rPr>
          <w:rFonts w:cs="Times New Roman"/>
          <w:bCs/>
          <w:i/>
          <w:iCs/>
        </w:rPr>
        <w:t xml:space="preserve">.1.1 COVID Segmentation </w:t>
      </w:r>
    </w:p>
    <w:p w14:paraId="5F977E0D" w14:textId="725C6A25" w:rsidR="00541E10" w:rsidRDefault="00541E10" w:rsidP="008B0460">
      <w:pPr>
        <w:autoSpaceDE w:val="0"/>
        <w:autoSpaceDN w:val="0"/>
        <w:adjustRightInd w:val="0"/>
        <w:spacing w:after="0" w:line="240" w:lineRule="auto"/>
        <w:jc w:val="both"/>
        <w:rPr>
          <w:rFonts w:cs="Times New Roman"/>
          <w:bCs/>
        </w:rPr>
      </w:pPr>
      <w:r w:rsidRPr="006807BB">
        <w:rPr>
          <w:rFonts w:cs="Times New Roman"/>
          <w:bCs/>
        </w:rPr>
        <w:t xml:space="preserve">As the modeling effort in this study </w:t>
      </w:r>
      <w:r>
        <w:rPr>
          <w:rFonts w:cs="Times New Roman"/>
          <w:bCs/>
        </w:rPr>
        <w:t xml:space="preserve">aims </w:t>
      </w:r>
      <w:r w:rsidRPr="006807BB">
        <w:rPr>
          <w:rFonts w:cs="Times New Roman"/>
          <w:bCs/>
        </w:rPr>
        <w:t xml:space="preserve">to determine the effect of the COVID-19 pandemic on the valuation of </w:t>
      </w:r>
      <w:r w:rsidR="009E61BA">
        <w:rPr>
          <w:rFonts w:cs="Times New Roman"/>
          <w:bCs/>
        </w:rPr>
        <w:t>a host of</w:t>
      </w:r>
      <w:r w:rsidR="00C07EB7">
        <w:rPr>
          <w:rFonts w:cs="Times New Roman"/>
          <w:bCs/>
        </w:rPr>
        <w:t xml:space="preserve"> residential location</w:t>
      </w:r>
      <w:r w:rsidRPr="006807BB">
        <w:rPr>
          <w:rFonts w:cs="Times New Roman"/>
          <w:bCs/>
        </w:rPr>
        <w:t xml:space="preserve"> factors</w:t>
      </w:r>
      <w:r w:rsidR="00F777A5">
        <w:rPr>
          <w:rFonts w:cs="Times New Roman"/>
          <w:bCs/>
        </w:rPr>
        <w:t xml:space="preserve">, </w:t>
      </w:r>
      <w:r w:rsidRPr="006807BB">
        <w:rPr>
          <w:rFonts w:cs="Times New Roman"/>
          <w:bCs/>
        </w:rPr>
        <w:t xml:space="preserve">the sample was segmented based on </w:t>
      </w:r>
      <w:r>
        <w:rPr>
          <w:rFonts w:cs="Times New Roman"/>
          <w:bCs/>
        </w:rPr>
        <w:t>the timing of</w:t>
      </w:r>
      <w:r w:rsidRPr="006807BB">
        <w:rPr>
          <w:rFonts w:cs="Times New Roman"/>
          <w:bCs/>
        </w:rPr>
        <w:t xml:space="preserve"> each household’s most recent residential relocation</w:t>
      </w:r>
      <w:r w:rsidR="00F777A5">
        <w:rPr>
          <w:rFonts w:cs="Times New Roman"/>
          <w:bCs/>
        </w:rPr>
        <w:t xml:space="preserve"> (in the rest of this paper, we will use the term “factors” to refer exclusively to “residential location factors”, which constitute the endogenous outcomes of interest)</w:t>
      </w:r>
      <w:r>
        <w:rPr>
          <w:rFonts w:cs="Times New Roman"/>
          <w:bCs/>
        </w:rPr>
        <w:t xml:space="preserve">. </w:t>
      </w:r>
      <w:r w:rsidR="005240C4">
        <w:rPr>
          <w:rFonts w:cs="Times New Roman"/>
          <w:bCs/>
        </w:rPr>
        <w:t xml:space="preserve">For the current analysis, we deemed those households who reported </w:t>
      </w:r>
      <w:r w:rsidR="008909E9">
        <w:rPr>
          <w:rFonts w:cs="Times New Roman"/>
          <w:bCs/>
        </w:rPr>
        <w:t xml:space="preserve">moving </w:t>
      </w:r>
      <w:r w:rsidR="00D41C9A">
        <w:rPr>
          <w:rFonts w:cs="Times New Roman"/>
          <w:bCs/>
        </w:rPr>
        <w:t>in the second half of 2019 or after</w:t>
      </w:r>
      <w:r w:rsidR="00A035C6">
        <w:rPr>
          <w:rFonts w:cs="Times New Roman"/>
          <w:bCs/>
        </w:rPr>
        <w:t xml:space="preserve"> (within 2 years of the survey)</w:t>
      </w:r>
      <w:r w:rsidR="00D41C9A">
        <w:rPr>
          <w:rFonts w:cs="Times New Roman"/>
          <w:bCs/>
        </w:rPr>
        <w:t xml:space="preserve"> as the </w:t>
      </w:r>
      <w:r w:rsidR="00D6184E">
        <w:rPr>
          <w:rFonts w:cs="Times New Roman"/>
          <w:bCs/>
        </w:rPr>
        <w:t>during</w:t>
      </w:r>
      <w:r w:rsidR="00D41C9A">
        <w:rPr>
          <w:rFonts w:cs="Times New Roman"/>
          <w:bCs/>
        </w:rPr>
        <w:t xml:space="preserve">-COVID movers, and others </w:t>
      </w:r>
      <w:r w:rsidR="00DE23D8">
        <w:rPr>
          <w:rFonts w:cs="Times New Roman"/>
          <w:bCs/>
        </w:rPr>
        <w:t xml:space="preserve">(between 2 and 5 years prior to the survey) </w:t>
      </w:r>
      <w:r w:rsidR="00D41C9A">
        <w:rPr>
          <w:rFonts w:cs="Times New Roman"/>
          <w:bCs/>
        </w:rPr>
        <w:t xml:space="preserve">as the before-COVID movers, which </w:t>
      </w:r>
      <w:r>
        <w:rPr>
          <w:rFonts w:cs="Times New Roman"/>
          <w:bCs/>
        </w:rPr>
        <w:t>result</w:t>
      </w:r>
      <w:r w:rsidR="00D41C9A">
        <w:rPr>
          <w:rFonts w:cs="Times New Roman"/>
          <w:bCs/>
        </w:rPr>
        <w:t>ed</w:t>
      </w:r>
      <w:r>
        <w:rPr>
          <w:rFonts w:cs="Times New Roman"/>
          <w:bCs/>
        </w:rPr>
        <w:t xml:space="preserve"> in a total of </w:t>
      </w:r>
      <w:r w:rsidR="000471EB">
        <w:rPr>
          <w:rFonts w:cs="Times New Roman"/>
          <w:bCs/>
        </w:rPr>
        <w:t>617</w:t>
      </w:r>
      <w:r>
        <w:rPr>
          <w:rFonts w:cs="Times New Roman"/>
          <w:bCs/>
        </w:rPr>
        <w:t xml:space="preserve"> </w:t>
      </w:r>
      <w:r w:rsidR="00982EA6">
        <w:rPr>
          <w:rFonts w:cs="Times New Roman"/>
          <w:bCs/>
        </w:rPr>
        <w:t>households</w:t>
      </w:r>
      <w:r>
        <w:rPr>
          <w:rFonts w:cs="Times New Roman"/>
          <w:bCs/>
        </w:rPr>
        <w:t xml:space="preserve"> in the before-COVID group and 667 </w:t>
      </w:r>
      <w:r w:rsidR="00982EA6">
        <w:rPr>
          <w:rFonts w:cs="Times New Roman"/>
          <w:bCs/>
        </w:rPr>
        <w:t>households</w:t>
      </w:r>
      <w:r>
        <w:rPr>
          <w:rFonts w:cs="Times New Roman"/>
          <w:bCs/>
        </w:rPr>
        <w:t xml:space="preserve"> in the </w:t>
      </w:r>
      <w:r w:rsidR="00A0347D">
        <w:rPr>
          <w:rFonts w:cs="Times New Roman"/>
          <w:bCs/>
        </w:rPr>
        <w:t>during</w:t>
      </w:r>
      <w:r>
        <w:rPr>
          <w:rFonts w:cs="Times New Roman"/>
          <w:bCs/>
        </w:rPr>
        <w:t xml:space="preserve">-COVID group. </w:t>
      </w:r>
    </w:p>
    <w:p w14:paraId="7765597D" w14:textId="018410C6" w:rsidR="00541E10" w:rsidRDefault="00D94574" w:rsidP="00541E10">
      <w:pPr>
        <w:autoSpaceDE w:val="0"/>
        <w:autoSpaceDN w:val="0"/>
        <w:adjustRightInd w:val="0"/>
        <w:spacing w:after="0" w:line="240" w:lineRule="auto"/>
        <w:ind w:firstLine="720"/>
        <w:jc w:val="both"/>
        <w:rPr>
          <w:rFonts w:cs="Times New Roman"/>
          <w:bCs/>
        </w:rPr>
      </w:pPr>
      <w:r>
        <w:rPr>
          <w:rFonts w:cs="Times New Roman"/>
          <w:bCs/>
        </w:rPr>
        <w:t>T</w:t>
      </w:r>
      <w:r w:rsidR="00541E10" w:rsidRPr="00541E10">
        <w:rPr>
          <w:rFonts w:cs="Times New Roman"/>
          <w:bCs/>
        </w:rPr>
        <w:t>o determine effects of the COVID-19 pandemic on</w:t>
      </w:r>
      <w:r w:rsidR="00C07EB7">
        <w:rPr>
          <w:rFonts w:cs="Times New Roman"/>
          <w:bCs/>
        </w:rPr>
        <w:t xml:space="preserve"> residential location</w:t>
      </w:r>
      <w:r w:rsidR="00541E10" w:rsidRPr="00541E10">
        <w:rPr>
          <w:rFonts w:cs="Times New Roman"/>
          <w:bCs/>
        </w:rPr>
        <w:t xml:space="preserve"> in the modeling effort, we use</w:t>
      </w:r>
      <w:r w:rsidR="00982EA6">
        <w:rPr>
          <w:rFonts w:cs="Times New Roman"/>
          <w:bCs/>
        </w:rPr>
        <w:t>d</w:t>
      </w:r>
      <w:r w:rsidR="00541E10" w:rsidRPr="00541E10">
        <w:rPr>
          <w:rFonts w:cs="Times New Roman"/>
          <w:bCs/>
        </w:rPr>
        <w:t xml:space="preserve"> a binary indicator that takes the value of 0 for </w:t>
      </w:r>
      <w:r>
        <w:rPr>
          <w:rFonts w:cs="Times New Roman"/>
          <w:bCs/>
        </w:rPr>
        <w:t xml:space="preserve">the before-COVID group and 1 for the </w:t>
      </w:r>
      <w:r w:rsidR="003F501A">
        <w:rPr>
          <w:rFonts w:cs="Times New Roman"/>
          <w:bCs/>
        </w:rPr>
        <w:t>during</w:t>
      </w:r>
      <w:r>
        <w:rPr>
          <w:rFonts w:cs="Times New Roman"/>
          <w:bCs/>
        </w:rPr>
        <w:t>-COVID group</w:t>
      </w:r>
      <w:r w:rsidR="00541E10" w:rsidRPr="00541E10">
        <w:rPr>
          <w:rFonts w:cs="Times New Roman"/>
          <w:bCs/>
        </w:rPr>
        <w:t xml:space="preserve">. This indicator variable is then interacted with the exogenous variables in the model to create three sets of effects. First, each exogenous variable is included </w:t>
      </w:r>
      <w:r w:rsidR="00982EA6">
        <w:rPr>
          <w:rFonts w:cs="Times New Roman"/>
          <w:bCs/>
        </w:rPr>
        <w:t xml:space="preserve">(without any interaction with the </w:t>
      </w:r>
      <w:r w:rsidR="003F501A">
        <w:rPr>
          <w:rFonts w:cs="Times New Roman"/>
          <w:bCs/>
        </w:rPr>
        <w:t>during</w:t>
      </w:r>
      <w:r w:rsidR="00982EA6">
        <w:rPr>
          <w:rFonts w:cs="Times New Roman"/>
          <w:bCs/>
        </w:rPr>
        <w:t xml:space="preserve">-COVID binary indicator) </w:t>
      </w:r>
      <w:r w:rsidR="00541E10" w:rsidRPr="00541E10">
        <w:rPr>
          <w:rFonts w:cs="Times New Roman"/>
          <w:bCs/>
        </w:rPr>
        <w:t xml:space="preserve">to generate a </w:t>
      </w:r>
      <w:r w:rsidR="00F777A5">
        <w:rPr>
          <w:rFonts w:cs="Times New Roman"/>
          <w:bCs/>
        </w:rPr>
        <w:t xml:space="preserve">before-COVID </w:t>
      </w:r>
      <w:r w:rsidR="00541E10" w:rsidRPr="00541E10">
        <w:rPr>
          <w:rFonts w:cs="Times New Roman"/>
          <w:bCs/>
        </w:rPr>
        <w:t>baseline effect</w:t>
      </w:r>
      <w:r w:rsidR="00F777A5">
        <w:rPr>
          <w:rFonts w:cs="Times New Roman"/>
          <w:bCs/>
        </w:rPr>
        <w:t xml:space="preserve"> </w:t>
      </w:r>
      <w:r w:rsidR="00C07EB7">
        <w:rPr>
          <w:rFonts w:cs="Times New Roman"/>
          <w:bCs/>
        </w:rPr>
        <w:t>valuation (“utility”) of each factor</w:t>
      </w:r>
      <w:r w:rsidR="00541E10" w:rsidRPr="00541E10">
        <w:rPr>
          <w:rFonts w:cs="Times New Roman"/>
          <w:bCs/>
        </w:rPr>
        <w:t xml:space="preserve">. Second, the COVID-effect indicator is included in the model alone to represent a generic </w:t>
      </w:r>
      <w:r w:rsidR="00F777A5">
        <w:rPr>
          <w:rFonts w:cs="Times New Roman"/>
          <w:bCs/>
        </w:rPr>
        <w:t xml:space="preserve">COVID </w:t>
      </w:r>
      <w:r w:rsidR="00541E10" w:rsidRPr="00541E10">
        <w:rPr>
          <w:rFonts w:cs="Times New Roman"/>
          <w:bCs/>
        </w:rPr>
        <w:t xml:space="preserve">shock effect </w:t>
      </w:r>
      <w:r w:rsidR="00F777A5">
        <w:rPr>
          <w:rFonts w:cs="Times New Roman"/>
          <w:bCs/>
        </w:rPr>
        <w:t xml:space="preserve">on each factor </w:t>
      </w:r>
      <w:r w:rsidR="00541E10" w:rsidRPr="00541E10">
        <w:rPr>
          <w:rFonts w:cs="Times New Roman"/>
          <w:bCs/>
        </w:rPr>
        <w:t>compared with the baseline preference</w:t>
      </w:r>
      <w:r w:rsidR="00F777A5">
        <w:rPr>
          <w:rFonts w:cs="Times New Roman"/>
          <w:bCs/>
        </w:rPr>
        <w:t xml:space="preserve"> for that factor</w:t>
      </w:r>
      <w:r w:rsidR="00541E10" w:rsidRPr="00541E10">
        <w:rPr>
          <w:rFonts w:cs="Times New Roman"/>
          <w:bCs/>
        </w:rPr>
        <w:t xml:space="preserve">. Finally, the indicator interacts with each exogenous variable to reveal the shifting effects of each exogenous variable since the </w:t>
      </w:r>
      <w:r w:rsidR="003F501A">
        <w:rPr>
          <w:rFonts w:cs="Times New Roman"/>
          <w:bCs/>
        </w:rPr>
        <w:t xml:space="preserve">onset of </w:t>
      </w:r>
      <w:r w:rsidR="00541E10" w:rsidRPr="00541E10">
        <w:rPr>
          <w:rFonts w:cs="Times New Roman"/>
          <w:bCs/>
        </w:rPr>
        <w:t xml:space="preserve">pandemic. As this final set of interactions represents the shocks, it is possible to add the baseline effects and COVID shifts to determine the total effect of the exogenous variables </w:t>
      </w:r>
      <w:r w:rsidR="00452A21">
        <w:rPr>
          <w:rFonts w:cs="Times New Roman"/>
          <w:bCs/>
        </w:rPr>
        <w:t>in</w:t>
      </w:r>
      <w:r w:rsidR="00541E10" w:rsidRPr="00541E10">
        <w:rPr>
          <w:rFonts w:cs="Times New Roman"/>
          <w:bCs/>
        </w:rPr>
        <w:t xml:space="preserve"> the </w:t>
      </w:r>
      <w:r w:rsidR="00452A21">
        <w:rPr>
          <w:rFonts w:cs="Times New Roman"/>
          <w:bCs/>
        </w:rPr>
        <w:t>during</w:t>
      </w:r>
      <w:r w:rsidR="00541E10" w:rsidRPr="00541E10">
        <w:rPr>
          <w:rFonts w:cs="Times New Roman"/>
          <w:bCs/>
        </w:rPr>
        <w:t xml:space="preserve">-COVID period. </w:t>
      </w:r>
      <w:r w:rsidR="00C07EB7">
        <w:rPr>
          <w:rFonts w:cs="Times New Roman"/>
          <w:bCs/>
        </w:rPr>
        <w:t xml:space="preserve">If an exogenous variable does not appear in its interaction with the binary indicator for a specific factor, but in the baseline effect for that factor, this implies that the baseline effect also permeates to the </w:t>
      </w:r>
      <w:r w:rsidR="00452A21">
        <w:rPr>
          <w:rFonts w:cs="Times New Roman"/>
          <w:bCs/>
        </w:rPr>
        <w:t>during</w:t>
      </w:r>
      <w:r w:rsidR="00C07EB7">
        <w:rPr>
          <w:rFonts w:cs="Times New Roman"/>
          <w:bCs/>
        </w:rPr>
        <w:t xml:space="preserve">-COVID valuation of the factor with no change because of the pandemic. </w:t>
      </w:r>
    </w:p>
    <w:p w14:paraId="556E1E27" w14:textId="503D59B9" w:rsidR="00E41A41" w:rsidRDefault="00D94574" w:rsidP="00541E10">
      <w:pPr>
        <w:autoSpaceDE w:val="0"/>
        <w:autoSpaceDN w:val="0"/>
        <w:adjustRightInd w:val="0"/>
        <w:spacing w:after="0" w:line="240" w:lineRule="auto"/>
        <w:ind w:firstLine="720"/>
        <w:jc w:val="both"/>
        <w:rPr>
          <w:rFonts w:cs="Times New Roman"/>
          <w:bCs/>
        </w:rPr>
      </w:pPr>
      <w:r>
        <w:rPr>
          <w:rFonts w:cs="Times New Roman"/>
          <w:bCs/>
        </w:rPr>
        <w:t xml:space="preserve">We should note </w:t>
      </w:r>
      <w:r w:rsidR="00E41A41">
        <w:rPr>
          <w:rFonts w:cs="Times New Roman"/>
          <w:bCs/>
        </w:rPr>
        <w:t>t</w:t>
      </w:r>
      <w:r w:rsidR="00C07EB7">
        <w:rPr>
          <w:rFonts w:cs="Times New Roman"/>
          <w:bCs/>
        </w:rPr>
        <w:t>wo</w:t>
      </w:r>
      <w:r w:rsidR="00E41A41">
        <w:rPr>
          <w:rFonts w:cs="Times New Roman"/>
          <w:bCs/>
        </w:rPr>
        <w:t xml:space="preserve"> </w:t>
      </w:r>
      <w:r w:rsidR="00925D84">
        <w:rPr>
          <w:rFonts w:cs="Times New Roman"/>
          <w:bCs/>
        </w:rPr>
        <w:t xml:space="preserve">potential </w:t>
      </w:r>
      <w:r w:rsidR="00E41A41">
        <w:rPr>
          <w:rFonts w:cs="Times New Roman"/>
          <w:bCs/>
        </w:rPr>
        <w:t xml:space="preserve">limitations of </w:t>
      </w:r>
      <w:r>
        <w:rPr>
          <w:rFonts w:cs="Times New Roman"/>
          <w:bCs/>
        </w:rPr>
        <w:t xml:space="preserve">our </w:t>
      </w:r>
      <w:r w:rsidR="00E41A41">
        <w:rPr>
          <w:rFonts w:cs="Times New Roman"/>
          <w:bCs/>
        </w:rPr>
        <w:t>approach</w:t>
      </w:r>
      <w:r>
        <w:rPr>
          <w:rFonts w:cs="Times New Roman"/>
          <w:bCs/>
        </w:rPr>
        <w:t xml:space="preserve"> here</w:t>
      </w:r>
      <w:r w:rsidR="00E41A41">
        <w:rPr>
          <w:rFonts w:cs="Times New Roman"/>
          <w:bCs/>
        </w:rPr>
        <w:t xml:space="preserve">. First, </w:t>
      </w:r>
      <w:r w:rsidR="00C07EB7">
        <w:rPr>
          <w:rFonts w:cs="Times New Roman"/>
          <w:bCs/>
        </w:rPr>
        <w:t xml:space="preserve">the reference person of each household was </w:t>
      </w:r>
      <w:r w:rsidR="00E41A41">
        <w:rPr>
          <w:rFonts w:cs="Times New Roman"/>
          <w:bCs/>
        </w:rPr>
        <w:t xml:space="preserve">asked to recall a decision-making process that may have happened </w:t>
      </w:r>
      <w:r w:rsidR="00C07EB7">
        <w:rPr>
          <w:rFonts w:cs="Times New Roman"/>
          <w:bCs/>
        </w:rPr>
        <w:t>up to five years back</w:t>
      </w:r>
      <w:r w:rsidR="000471EB">
        <w:rPr>
          <w:rFonts w:cs="Times New Roman"/>
          <w:bCs/>
        </w:rPr>
        <w:t>,</w:t>
      </w:r>
      <w:r w:rsidR="00E41A41">
        <w:rPr>
          <w:rFonts w:cs="Times New Roman"/>
          <w:bCs/>
        </w:rPr>
        <w:t xml:space="preserve"> and </w:t>
      </w:r>
      <w:r w:rsidR="00925D84">
        <w:rPr>
          <w:rFonts w:cs="Times New Roman"/>
          <w:bCs/>
        </w:rPr>
        <w:t xml:space="preserve">thus the responses may be susceptible to </w:t>
      </w:r>
      <w:r w:rsidR="00E41A41">
        <w:rPr>
          <w:rFonts w:cs="Times New Roman"/>
          <w:bCs/>
        </w:rPr>
        <w:t>recall bias. However,</w:t>
      </w:r>
      <w:r w:rsidR="00CD6ED5">
        <w:rPr>
          <w:rFonts w:cs="Times New Roman"/>
          <w:bCs/>
        </w:rPr>
        <w:t xml:space="preserve"> there is evidence suggesting that </w:t>
      </w:r>
      <w:r w:rsidR="00B034A9">
        <w:rPr>
          <w:rFonts w:cs="Times New Roman"/>
          <w:bCs/>
        </w:rPr>
        <w:t xml:space="preserve">decision </w:t>
      </w:r>
      <w:r w:rsidR="00BE410B">
        <w:rPr>
          <w:rFonts w:cs="Times New Roman"/>
          <w:bCs/>
        </w:rPr>
        <w:t xml:space="preserve">making processes relating to </w:t>
      </w:r>
      <w:r w:rsidR="002D66B1">
        <w:rPr>
          <w:rFonts w:cs="Times New Roman"/>
          <w:bCs/>
        </w:rPr>
        <w:t>major life decisions</w:t>
      </w:r>
      <w:r w:rsidR="00CD6ED5">
        <w:rPr>
          <w:rFonts w:cs="Times New Roman"/>
          <w:bCs/>
        </w:rPr>
        <w:t>, such as</w:t>
      </w:r>
      <w:r w:rsidR="00E41A41">
        <w:rPr>
          <w:rFonts w:cs="Times New Roman"/>
          <w:bCs/>
        </w:rPr>
        <w:t xml:space="preserve"> </w:t>
      </w:r>
      <w:r w:rsidR="00C07EB7">
        <w:rPr>
          <w:rFonts w:cs="Times New Roman"/>
          <w:bCs/>
        </w:rPr>
        <w:t xml:space="preserve">residential location </w:t>
      </w:r>
      <w:r w:rsidR="00E41A41">
        <w:rPr>
          <w:rFonts w:cs="Times New Roman"/>
          <w:bCs/>
        </w:rPr>
        <w:t>decision</w:t>
      </w:r>
      <w:r w:rsidR="009E61BA">
        <w:rPr>
          <w:rFonts w:cs="Times New Roman"/>
          <w:bCs/>
        </w:rPr>
        <w:t>s</w:t>
      </w:r>
      <w:r w:rsidR="00CD6ED5">
        <w:rPr>
          <w:rFonts w:cs="Times New Roman"/>
          <w:bCs/>
        </w:rPr>
        <w:t xml:space="preserve">, are less susceptible to recall biases because they cause shocks to lifestyles that are contemplated </w:t>
      </w:r>
      <w:r w:rsidR="002D66B1">
        <w:rPr>
          <w:rFonts w:cs="Times New Roman"/>
          <w:bCs/>
        </w:rPr>
        <w:t>at some length</w:t>
      </w:r>
      <w:r w:rsidR="00925D84">
        <w:rPr>
          <w:rFonts w:cs="Times New Roman"/>
          <w:bCs/>
        </w:rPr>
        <w:t xml:space="preserve"> </w:t>
      </w:r>
      <w:r w:rsidR="00CD6ED5">
        <w:rPr>
          <w:rFonts w:cs="Times New Roman"/>
          <w:bCs/>
        </w:rPr>
        <w:fldChar w:fldCharType="begin"/>
      </w:r>
      <w:r w:rsidR="00CD6ED5">
        <w:rPr>
          <w:rFonts w:cs="Times New Roman"/>
          <w:bCs/>
        </w:rPr>
        <w:instrText xml:space="preserve"> ADDIN ZOTERO_ITEM CSL_CITATION {"citationID":"UMQwybiP","properties":{"formattedCitation":"(Beegle et al., 2012; Bell et al., 2019)","plainCitation":"(Beegle et al., 2012; Bell et al., 2019)","noteIndex":0},"citationItems":[{"id":3057,"uris":["http://zotero.org/users/12832277/items/MF8T48QW"],"itemData":{"id":3057,"type":"article-journal","abstract":"Despite the importance of agriculture to economic development, and a vast accompanying literature on the subject, little research has been done on data quality. Due to survey logistics, agricultural data are usually collected by asking respondents to recall the details of events occurring during past agricultural seasons, potentially leading to recall bias. The problem is further complicated when interviews are conducted over the course of several months, thus leading to recall of variable length. To test for recall bias, the length of time between harvest and interview is examined for three African countries with respect to several common agricultural input and harvest measures. The analysis shows little evidence of large recall bias impacting data quality. There is some indication that more salient events are less subject to recall decay. Overall, the results allay some concerns about the quality of some types of agricultural data collected through recall over lengthy periods.","collection-title":"Symposium on Measurement and Survey Design","container-title":"Journal of Development Economics","DOI":"10.1016/j.jdeveco.2011.09.005","ISSN":"0304-3878","issue":"1","page":"34-41","source":"ScienceDirect","title":"Reliability of Recall in Agricultural Data","volume":"98","author":[{"family":"Beegle","given":"Kathleen"},{"family":"Carletto","given":"Calogero"},{"family":"Himelein","given":"Kristen"}],"issued":{"date-parts":[["2012",5,1]]}}},{"id":3062,"uris":["http://zotero.org/users/12832277/items/9R3U63MJ"],"itemData":{"id":3062,"type":"article-journal","abstract":"A major impediment to understanding human-environment interactions is that data on social systems are not collected in a way that is easily comparable to natural systems data. While many environmental variables are collected with high frequency, gridded in time and space, social data is typically conducted irregularly, in waves that are far apart in time. These efforts typically engage respondents for hours at a time, and suffer from decay in participants’ ability to recall their experiences over long periods of time. Systematic use of mobile and smartphones has the potential to transcend these challenges, with a critical first step being an evaluation of where survey respondents experience the greatest recall decay. We present results from, to our knowledge, the first systematic evaluation of recall bias in components of a household survey, using the Open Data Kit (ODK) platform on Android smartphones. We tasked approximately 500 farmers in rural Bangladesh with responding regularly to components of a large household survey, randomizing the frequency of each task to be received weekly, monthly, or seasonally. We find respondents’ recall of consumption and experience (such as sick days) to suffer much more greatly than their recall of the use of their households’ time for labor and farm activities. Further, we demonstrate a feasible and cost-effective means of engaging respondents in rural areas to create and maintain a true socio-economic “baseline” to mirror similar efforts in the natural sciences.","container-title":"Population and Environment","DOI":"10.1007/s11111-019-0314-1","ISSN":"1573-7810","issue":"3","language":"en","page":"325-345","source":"Springer Link","title":"Assessing Recall Bias and Measurement Error in High-Frequency Social Data Collection for Human-Environment Research","volume":"40","author":[{"family":"Bell","given":"Andrew"},{"family":"Ward","given":"Patrick"},{"family":"Tamal","given":"Md. Ehsanul Haque"},{"family":"Killilea","given":"Mary"}],"issued":{"date-parts":[["2019",3,1]]}}}],"schema":"https://github.com/citation-style-language/schema/raw/master/csl-citation.json"} </w:instrText>
      </w:r>
      <w:r w:rsidR="00CD6ED5">
        <w:rPr>
          <w:rFonts w:cs="Times New Roman"/>
          <w:bCs/>
        </w:rPr>
        <w:fldChar w:fldCharType="separate"/>
      </w:r>
      <w:r w:rsidR="00CD6ED5" w:rsidRPr="00CD6ED5">
        <w:rPr>
          <w:rFonts w:cs="Times New Roman"/>
        </w:rPr>
        <w:t>(Beegle et al., 2012; Bell et al., 2019)</w:t>
      </w:r>
      <w:r w:rsidR="00CD6ED5">
        <w:rPr>
          <w:rFonts w:cs="Times New Roman"/>
          <w:bCs/>
        </w:rPr>
        <w:fldChar w:fldCharType="end"/>
      </w:r>
      <w:r w:rsidR="00E41A41">
        <w:rPr>
          <w:rFonts w:cs="Times New Roman"/>
          <w:bCs/>
        </w:rPr>
        <w:t xml:space="preserve">. </w:t>
      </w:r>
      <w:r w:rsidR="00D64DEE">
        <w:rPr>
          <w:rFonts w:cs="Times New Roman"/>
          <w:bCs/>
        </w:rPr>
        <w:t xml:space="preserve">Additionally, </w:t>
      </w:r>
      <w:r w:rsidR="00E41A41">
        <w:rPr>
          <w:rFonts w:cs="Times New Roman"/>
          <w:bCs/>
        </w:rPr>
        <w:t xml:space="preserve">since </w:t>
      </w:r>
      <w:r w:rsidR="00C07EB7">
        <w:rPr>
          <w:rFonts w:cs="Times New Roman"/>
          <w:bCs/>
        </w:rPr>
        <w:t>these reference individuals</w:t>
      </w:r>
      <w:r w:rsidR="00E41A41">
        <w:rPr>
          <w:rFonts w:cs="Times New Roman"/>
          <w:bCs/>
        </w:rPr>
        <w:t xml:space="preserve"> are asked about their most recent relocation, </w:t>
      </w:r>
      <w:r w:rsidR="002D66B1">
        <w:rPr>
          <w:rFonts w:cs="Times New Roman"/>
          <w:bCs/>
        </w:rPr>
        <w:t>they</w:t>
      </w:r>
      <w:r w:rsidR="00E41A41">
        <w:rPr>
          <w:rFonts w:cs="Times New Roman"/>
          <w:bCs/>
        </w:rPr>
        <w:t xml:space="preserve"> are still living </w:t>
      </w:r>
      <w:r w:rsidR="00E41A41">
        <w:rPr>
          <w:rFonts w:cs="Times New Roman"/>
          <w:bCs/>
        </w:rPr>
        <w:lastRenderedPageBreak/>
        <w:t>with the consequences of t</w:t>
      </w:r>
      <w:r w:rsidR="00925D84">
        <w:rPr>
          <w:rFonts w:cs="Times New Roman"/>
          <w:bCs/>
        </w:rPr>
        <w:t>heir residential location</w:t>
      </w:r>
      <w:r w:rsidR="00E41A41">
        <w:rPr>
          <w:rFonts w:cs="Times New Roman"/>
          <w:bCs/>
        </w:rPr>
        <w:t xml:space="preserve"> decision, </w:t>
      </w:r>
      <w:r w:rsidR="00925D84">
        <w:rPr>
          <w:rFonts w:cs="Times New Roman"/>
          <w:bCs/>
        </w:rPr>
        <w:t xml:space="preserve">which should </w:t>
      </w:r>
      <w:r w:rsidR="00E41A41">
        <w:rPr>
          <w:rFonts w:cs="Times New Roman"/>
          <w:bCs/>
        </w:rPr>
        <w:t>ma</w:t>
      </w:r>
      <w:r w:rsidR="00925D84">
        <w:rPr>
          <w:rFonts w:cs="Times New Roman"/>
          <w:bCs/>
        </w:rPr>
        <w:t xml:space="preserve">ke </w:t>
      </w:r>
      <w:r w:rsidR="00E41A41">
        <w:rPr>
          <w:rFonts w:cs="Times New Roman"/>
          <w:bCs/>
        </w:rPr>
        <w:t xml:space="preserve">it easier to remember the factors that led to choosing their current home in the first place </w:t>
      </w:r>
      <w:r w:rsidR="00E41A41">
        <w:rPr>
          <w:rFonts w:cs="Times New Roman"/>
          <w:bCs/>
        </w:rPr>
        <w:fldChar w:fldCharType="begin"/>
      </w:r>
      <w:r w:rsidR="00960373">
        <w:rPr>
          <w:rFonts w:cs="Times New Roman"/>
          <w:bCs/>
        </w:rPr>
        <w:instrText xml:space="preserve"> ADDIN ZOTERO_ITEM CSL_CITATION {"citationID":"tfZ1RdaE","properties":{"formattedCitation":"(Hollingworth and Miller, 1996; M\\uc0\\u252{}ggenburg, 2021)","plainCitation":"(Hollingworth and Miller, 1996; Müggenburg, 2021)","dontUpdate":true,"noteIndex":0},"citationItems":[{"id":2982,"uris":["http://zotero.org/users/12832277/items/QSBFM63S"],"itemData":{"id":2982,"type":"article-journal","abstract":"Recent work in the area of transportation and land use modeling and, more specifically, residential mobility modeling has recognized the need for increased experimentation with dynamic models. Implicitly, dynamic models require longitudinal data, which are time-consuming and expensive to collect. As an alternative to panel studies, a retrospective interviewing technique to collect data for use in a dynamic model of residential mobility is examined. A small retrospective survey of households in Toronto, Canada, was conducted using three data collection methods; mail, telephone, and telephone with mail. Ninety complete observations were obtained. The retrospective survey process and the three data collection methods are assessed and evaluated. Though not without problems, the retrospective survey proved to be a favorable alternative to panel studies. The telephone-with-mail survey method showed the most potential for use in future data collection efforts on the basis of its costs, response rates, and quality of data.","container-title":"Transportation Research Record","DOI":"10.1177/0361198196155100110","ISSN":"0361-1981","issue":"1","language":"en","note":"publisher: SAGE Publications Inc","page":"74-81","source":"SAGE Journals","title":"Retrospective Interviewing and Its Application in Study of Residential Mobility","volume":"1551","author":[{"family":"Hollingworth","given":"Brian J."},{"family":"Miller","given":"Eric J."}],"issued":{"date-parts":[["1996",1,1]]}}},{"id":2979,"uris":["http://zotero.org/users/12832277/items/C48DUI5K"],"itemData":{"id":2979,"type":"article-journal","abstract":"In the last decades, an emerging research interest has developed for long-term, individual travel patterns. Retrospective methods as one approach to investigate long-term behaviour on the personal level are being applied more often in travel research. Although biases and errors in retrieval are well known in cognitive psychology and memory research, they are hardly discussed in travel research. This paper focuses on three research questions: (1) What insights into the quality of retrospective methods are provided by memory research, what are its strengths and weaknesses? (2) What can we derive from the theory for the empirical work and the design of surveys? (3) What results can we transfer to the application of retrospective methods in travel research? Firstly, this paper provides an overview of the most important recall traps, such as omission, incorrect numerical and biased retrieval. As memory research has shown, various techniques can support retrieval and response behaviour regarding past behaviour, for example, the choice of event type, memory characteristics and recall aids, such as temporal and thematic landmarks, help improve accuracy. Furthermore, the design of a retrospective survey plays an important role, for example by building up an internal and thematic framework in respondents. The use of retrospective methods in travel research is categorized in the application fields of life events, changes in travel patterns, social networks and travel distances, mobility socialization, travel attitudes and needs and mobility practices. Along these categories, this paper discusses the potential, risks and opportunities to improve the use of retrospective data in travel research.","container-title":"Transportation Research Part A: Policy and Practice","DOI":"10.1016/j.tra.2021.01.010","ISSN":"0965-8564","page":"302-318","source":"ScienceDirect","title":"Beyond the Limits of Memory? The Reliability of Retrospective Data in Travel Research","volume":"145","author":[{"family":"Müggenburg","given":"Hannah"}],"issued":{"date-parts":[["2021",3,1]]}}}],"schema":"https://github.com/citation-style-language/schema/raw/master/csl-citation.json"} </w:instrText>
      </w:r>
      <w:r w:rsidR="00E41A41">
        <w:rPr>
          <w:rFonts w:cs="Times New Roman"/>
          <w:bCs/>
        </w:rPr>
        <w:fldChar w:fldCharType="separate"/>
      </w:r>
      <w:r w:rsidR="00E41A41" w:rsidRPr="002F2B6B">
        <w:rPr>
          <w:rFonts w:cs="Times New Roman"/>
          <w:kern w:val="0"/>
        </w:rPr>
        <w:t>(</w:t>
      </w:r>
      <w:r w:rsidR="00E41A41">
        <w:rPr>
          <w:rFonts w:cs="Times New Roman"/>
          <w:kern w:val="0"/>
        </w:rPr>
        <w:t xml:space="preserve">for more detailed discussion of the issue of recall bias when using retrospective data for housing decisions, see, </w:t>
      </w:r>
      <w:r w:rsidR="00E41A41" w:rsidRPr="002F2B6B">
        <w:rPr>
          <w:rFonts w:cs="Times New Roman"/>
          <w:kern w:val="0"/>
        </w:rPr>
        <w:t>Hollingworth and Miller, 1996; Müggenburg, 2021)</w:t>
      </w:r>
      <w:r w:rsidR="00E41A41">
        <w:rPr>
          <w:rFonts w:cs="Times New Roman"/>
          <w:bCs/>
        </w:rPr>
        <w:fldChar w:fldCharType="end"/>
      </w:r>
      <w:r w:rsidR="00E41A41">
        <w:rPr>
          <w:rFonts w:cs="Times New Roman"/>
          <w:bCs/>
        </w:rPr>
        <w:t xml:space="preserve">. Second, the approach used here employs a cross-sectional dataset to study the changes in individual-level decision making across time, comparing the choices of different decision makers in the before-COVID and </w:t>
      </w:r>
      <w:r w:rsidR="00FA6465">
        <w:rPr>
          <w:rFonts w:cs="Times New Roman"/>
          <w:bCs/>
        </w:rPr>
        <w:t>during</w:t>
      </w:r>
      <w:r w:rsidR="00E41A41">
        <w:rPr>
          <w:rFonts w:cs="Times New Roman"/>
          <w:bCs/>
        </w:rPr>
        <w:t xml:space="preserve">-COVID periods. </w:t>
      </w:r>
      <w:r w:rsidR="00925D84">
        <w:rPr>
          <w:rFonts w:cs="Times New Roman"/>
          <w:bCs/>
        </w:rPr>
        <w:t xml:space="preserve">Of course, this is an issue with all cross-sectional </w:t>
      </w:r>
      <w:r w:rsidR="009C5E12">
        <w:rPr>
          <w:rFonts w:cs="Times New Roman"/>
          <w:bCs/>
        </w:rPr>
        <w:t>analyses because</w:t>
      </w:r>
      <w:r w:rsidR="00925D84">
        <w:rPr>
          <w:rFonts w:cs="Times New Roman"/>
          <w:bCs/>
        </w:rPr>
        <w:t xml:space="preserve"> the effects of exogenous variables </w:t>
      </w:r>
      <w:r w:rsidR="009C5E12">
        <w:rPr>
          <w:rFonts w:cs="Times New Roman"/>
          <w:bCs/>
        </w:rPr>
        <w:t>are</w:t>
      </w:r>
      <w:r w:rsidR="00925D84">
        <w:rPr>
          <w:rFonts w:cs="Times New Roman"/>
          <w:bCs/>
        </w:rPr>
        <w:t xml:space="preserve"> captured through variations across individuals in the exogenous and endogenous outcomes. Future studies can complement our study with more detailed multi-year longitudinal data that elicits importance ratings from the same set of individuals over time (of course, as discussed in Bhat</w:t>
      </w:r>
      <w:r w:rsidR="00AF5E18">
        <w:rPr>
          <w:rFonts w:cs="Times New Roman"/>
          <w:bCs/>
        </w:rPr>
        <w:t xml:space="preserve"> </w:t>
      </w:r>
      <w:r w:rsidR="00AF5E18">
        <w:rPr>
          <w:rFonts w:cs="Times New Roman"/>
          <w:bCs/>
        </w:rPr>
        <w:fldChar w:fldCharType="begin"/>
      </w:r>
      <w:r w:rsidR="00C12493">
        <w:rPr>
          <w:rFonts w:cs="Times New Roman"/>
          <w:bCs/>
        </w:rPr>
        <w:instrText xml:space="preserve"> ADDIN ZOTERO_ITEM CSL_CITATION {"citationID":"dFajDF7l","properties":{"formattedCitation":"(2022)","plainCitation":"(2022)","noteIndex":0},"citationItems":[{"id":3047,"uris":["http://zotero.org/users/12832277/items/22GKHEUJ"],"itemData":{"id":3047,"type":"article-journal","container-title":"ITE Journal","issue":"10","page":"29–33","source":"Google Scholar","title":"Data Collection Methods and Activity-Travel Behavior Analysis in a Fast Evolving Technological Future","volume":"92","author":[{"family":"Bhat","given":"Chandra R."}],"issued":{"date-parts":[["2022",10]]}},"label":"page","suppress-author":true}],"schema":"https://github.com/citation-style-language/schema/raw/master/csl-citation.json"} </w:instrText>
      </w:r>
      <w:r w:rsidR="00AF5E18">
        <w:rPr>
          <w:rFonts w:cs="Times New Roman"/>
          <w:bCs/>
        </w:rPr>
        <w:fldChar w:fldCharType="separate"/>
      </w:r>
      <w:r w:rsidR="00AF5E18" w:rsidRPr="00AF5E18">
        <w:rPr>
          <w:rFonts w:cs="Times New Roman"/>
        </w:rPr>
        <w:t>(2022)</w:t>
      </w:r>
      <w:r w:rsidR="00AF5E18">
        <w:rPr>
          <w:rFonts w:cs="Times New Roman"/>
          <w:bCs/>
        </w:rPr>
        <w:fldChar w:fldCharType="end"/>
      </w:r>
      <w:r w:rsidR="00925D84">
        <w:rPr>
          <w:rFonts w:cs="Times New Roman"/>
          <w:bCs/>
        </w:rPr>
        <w:t xml:space="preserve">, </w:t>
      </w:r>
      <w:r w:rsidR="00B46ECC">
        <w:rPr>
          <w:rFonts w:cs="Times New Roman"/>
          <w:bCs/>
        </w:rPr>
        <w:t xml:space="preserve">the use of </w:t>
      </w:r>
      <w:r w:rsidR="00925D84">
        <w:rPr>
          <w:rFonts w:cs="Times New Roman"/>
          <w:bCs/>
        </w:rPr>
        <w:t xml:space="preserve">panel data </w:t>
      </w:r>
      <w:r w:rsidR="00B46ECC">
        <w:rPr>
          <w:rFonts w:cs="Times New Roman"/>
          <w:bCs/>
        </w:rPr>
        <w:t>is</w:t>
      </w:r>
      <w:r w:rsidR="00925D84">
        <w:rPr>
          <w:rFonts w:cs="Times New Roman"/>
          <w:bCs/>
        </w:rPr>
        <w:t xml:space="preserve"> not a panacea either, and has its own challenges; there is value in investigating preference valuations using both cross-sectional and longitudinal data sets). </w:t>
      </w:r>
    </w:p>
    <w:p w14:paraId="4A68B16E" w14:textId="77777777" w:rsidR="00BB15E5" w:rsidRPr="00541E10" w:rsidRDefault="00BB15E5" w:rsidP="00BB15E5">
      <w:pPr>
        <w:autoSpaceDE w:val="0"/>
        <w:autoSpaceDN w:val="0"/>
        <w:adjustRightInd w:val="0"/>
        <w:spacing w:after="0" w:line="240" w:lineRule="auto"/>
        <w:jc w:val="both"/>
        <w:rPr>
          <w:rFonts w:cs="Times New Roman"/>
        </w:rPr>
      </w:pPr>
    </w:p>
    <w:p w14:paraId="2D6B941E" w14:textId="7E0F6143" w:rsidR="00BB15E5" w:rsidRPr="00251A17" w:rsidRDefault="00982EA6" w:rsidP="00BB15E5">
      <w:pPr>
        <w:autoSpaceDE w:val="0"/>
        <w:autoSpaceDN w:val="0"/>
        <w:adjustRightInd w:val="0"/>
        <w:spacing w:after="0" w:line="240" w:lineRule="auto"/>
        <w:jc w:val="both"/>
        <w:rPr>
          <w:rFonts w:cs="Times New Roman"/>
          <w:i/>
          <w:iCs/>
        </w:rPr>
      </w:pPr>
      <w:r w:rsidRPr="00251A17">
        <w:rPr>
          <w:rFonts w:cs="Times New Roman"/>
          <w:i/>
          <w:iCs/>
        </w:rPr>
        <w:t>2</w:t>
      </w:r>
      <w:r w:rsidR="00BB15E5" w:rsidRPr="00251A17">
        <w:rPr>
          <w:rFonts w:cs="Times New Roman"/>
          <w:i/>
          <w:iCs/>
        </w:rPr>
        <w:t>.1.</w:t>
      </w:r>
      <w:r w:rsidRPr="00251A17">
        <w:rPr>
          <w:rFonts w:cs="Times New Roman"/>
          <w:i/>
          <w:iCs/>
        </w:rPr>
        <w:t>2</w:t>
      </w:r>
      <w:r w:rsidR="00BB15E5" w:rsidRPr="00251A17">
        <w:rPr>
          <w:rFonts w:cs="Times New Roman"/>
          <w:i/>
          <w:iCs/>
        </w:rPr>
        <w:t xml:space="preserve"> Outcome Variables</w:t>
      </w:r>
    </w:p>
    <w:p w14:paraId="386AB267" w14:textId="29B6B017" w:rsidR="00BF41FA" w:rsidRDefault="00D42EB9" w:rsidP="00617B8D">
      <w:pPr>
        <w:spacing w:after="0" w:line="240" w:lineRule="auto"/>
        <w:jc w:val="both"/>
        <w:rPr>
          <w:rFonts w:cs="Times New Roman"/>
        </w:rPr>
      </w:pPr>
      <w:r w:rsidRPr="00C6225F">
        <w:rPr>
          <w:rFonts w:eastAsia="Times New Roman" w:cs="Times New Roman"/>
          <w:color w:val="222222"/>
          <w:lang w:eastAsia="en-IN"/>
        </w:rPr>
        <w:t xml:space="preserve">Table </w:t>
      </w:r>
      <w:r w:rsidR="00DC4880">
        <w:rPr>
          <w:rFonts w:eastAsia="Times New Roman" w:cs="Times New Roman"/>
          <w:color w:val="222222"/>
          <w:lang w:eastAsia="en-IN"/>
        </w:rPr>
        <w:t>1</w:t>
      </w:r>
      <w:r w:rsidRPr="00C6225F">
        <w:rPr>
          <w:rFonts w:eastAsia="Times New Roman" w:cs="Times New Roman"/>
          <w:color w:val="222222"/>
          <w:lang w:eastAsia="en-IN"/>
        </w:rPr>
        <w:t xml:space="preserve"> </w:t>
      </w:r>
      <w:r>
        <w:rPr>
          <w:rFonts w:eastAsia="Times New Roman" w:cs="Times New Roman"/>
          <w:color w:val="222222"/>
          <w:lang w:eastAsia="en-IN"/>
        </w:rPr>
        <w:t xml:space="preserve">presents </w:t>
      </w:r>
      <w:r w:rsidRPr="00C6225F">
        <w:rPr>
          <w:rFonts w:eastAsia="Times New Roman" w:cs="Times New Roman"/>
          <w:color w:val="222222"/>
          <w:lang w:eastAsia="en-IN"/>
        </w:rPr>
        <w:t>the ranking preferences of the respondents</w:t>
      </w:r>
      <w:r>
        <w:rPr>
          <w:rFonts w:eastAsia="Times New Roman" w:cs="Times New Roman"/>
          <w:color w:val="222222"/>
          <w:lang w:eastAsia="en-IN"/>
        </w:rPr>
        <w:t xml:space="preserve"> </w:t>
      </w:r>
      <w:r w:rsidR="00617B8D">
        <w:rPr>
          <w:rFonts w:eastAsia="Times New Roman" w:cs="Times New Roman"/>
          <w:color w:val="222222"/>
          <w:lang w:eastAsia="en-IN"/>
        </w:rPr>
        <w:t>among</w:t>
      </w:r>
      <w:r>
        <w:rPr>
          <w:rFonts w:eastAsia="Times New Roman" w:cs="Times New Roman"/>
          <w:color w:val="222222"/>
          <w:lang w:eastAsia="en-IN"/>
        </w:rPr>
        <w:t xml:space="preserve"> the nine residential location factors</w:t>
      </w:r>
      <w:r w:rsidRPr="00C6225F">
        <w:rPr>
          <w:rFonts w:eastAsia="Times New Roman" w:cs="Times New Roman"/>
          <w:color w:val="222222"/>
          <w:lang w:eastAsia="en-IN"/>
        </w:rPr>
        <w:t xml:space="preserve">. </w:t>
      </w:r>
      <w:r>
        <w:rPr>
          <w:rFonts w:eastAsia="Times New Roman" w:cs="Times New Roman"/>
          <w:color w:val="222222"/>
          <w:lang w:eastAsia="en-IN"/>
        </w:rPr>
        <w:t xml:space="preserve">The table presents, for each of the before- and </w:t>
      </w:r>
      <w:r w:rsidR="00FA6465">
        <w:rPr>
          <w:rFonts w:eastAsia="Times New Roman" w:cs="Times New Roman"/>
          <w:color w:val="222222"/>
          <w:lang w:eastAsia="en-IN"/>
        </w:rPr>
        <w:t>during</w:t>
      </w:r>
      <w:r>
        <w:rPr>
          <w:rFonts w:eastAsia="Times New Roman" w:cs="Times New Roman"/>
          <w:color w:val="222222"/>
          <w:lang w:eastAsia="en-IN"/>
        </w:rPr>
        <w:t xml:space="preserve">-COVID periods, the </w:t>
      </w:r>
      <w:r w:rsidR="008321EB">
        <w:rPr>
          <w:rFonts w:eastAsia="Times New Roman" w:cs="Times New Roman"/>
          <w:color w:val="222222"/>
          <w:lang w:eastAsia="en-IN"/>
        </w:rPr>
        <w:t xml:space="preserve">percentage </w:t>
      </w:r>
      <w:r>
        <w:rPr>
          <w:rFonts w:eastAsia="Times New Roman" w:cs="Times New Roman"/>
          <w:color w:val="222222"/>
          <w:lang w:eastAsia="en-IN"/>
        </w:rPr>
        <w:t xml:space="preserve">share of individuals selecting each factor as the </w:t>
      </w:r>
      <w:r w:rsidR="00617B8D">
        <w:rPr>
          <w:rFonts w:eastAsia="Times New Roman" w:cs="Times New Roman"/>
          <w:color w:val="222222"/>
          <w:lang w:eastAsia="en-IN"/>
        </w:rPr>
        <w:t>top</w:t>
      </w:r>
      <w:r>
        <w:rPr>
          <w:rFonts w:eastAsia="Times New Roman" w:cs="Times New Roman"/>
          <w:color w:val="222222"/>
          <w:lang w:eastAsia="en-IN"/>
        </w:rPr>
        <w:t xml:space="preserve">-ranked, in the </w:t>
      </w:r>
      <w:r w:rsidR="00617B8D">
        <w:rPr>
          <w:rFonts w:eastAsia="Times New Roman" w:cs="Times New Roman"/>
          <w:color w:val="222222"/>
          <w:lang w:eastAsia="en-IN"/>
        </w:rPr>
        <w:t>t</w:t>
      </w:r>
      <w:r>
        <w:rPr>
          <w:rFonts w:eastAsia="Times New Roman" w:cs="Times New Roman"/>
          <w:color w:val="222222"/>
          <w:lang w:eastAsia="en-IN"/>
        </w:rPr>
        <w:t xml:space="preserve">op 2 ranks, and so on until the </w:t>
      </w:r>
      <w:r w:rsidR="00617B8D">
        <w:rPr>
          <w:rFonts w:eastAsia="Times New Roman" w:cs="Times New Roman"/>
          <w:color w:val="222222"/>
          <w:lang w:eastAsia="en-IN"/>
        </w:rPr>
        <w:t>l</w:t>
      </w:r>
      <w:r w:rsidRPr="00617B8D">
        <w:rPr>
          <w:rFonts w:eastAsia="Times New Roman" w:cs="Times New Roman"/>
          <w:color w:val="222222"/>
          <w:lang w:eastAsia="en-IN"/>
        </w:rPr>
        <w:t>ast-ranked</w:t>
      </w:r>
      <w:r w:rsidR="00617B8D">
        <w:rPr>
          <w:rFonts w:eastAsia="Times New Roman" w:cs="Times New Roman"/>
          <w:color w:val="222222"/>
          <w:lang w:eastAsia="en-IN"/>
        </w:rPr>
        <w:t xml:space="preserve"> factor</w:t>
      </w:r>
      <w:r w:rsidRPr="00617B8D">
        <w:rPr>
          <w:rFonts w:eastAsia="Times New Roman" w:cs="Times New Roman"/>
          <w:color w:val="222222"/>
          <w:lang w:eastAsia="en-IN"/>
        </w:rPr>
        <w:t>.</w:t>
      </w:r>
      <w:r w:rsidR="008A303C">
        <w:rPr>
          <w:rStyle w:val="FootnoteReference"/>
          <w:rFonts w:eastAsia="Times New Roman" w:cs="Times New Roman"/>
          <w:color w:val="222222"/>
          <w:lang w:eastAsia="en-IN"/>
        </w:rPr>
        <w:footnoteReference w:id="4"/>
      </w:r>
      <w:r w:rsidRPr="00617B8D">
        <w:rPr>
          <w:rFonts w:eastAsia="Times New Roman" w:cs="Times New Roman"/>
          <w:color w:val="222222"/>
          <w:lang w:eastAsia="en-IN"/>
        </w:rPr>
        <w:t xml:space="preserve"> </w:t>
      </w:r>
      <w:r w:rsidR="00BB15E5" w:rsidRPr="00617B8D">
        <w:rPr>
          <w:rFonts w:cs="Times New Roman"/>
        </w:rPr>
        <w:t>The sample statistics reveal that affordability is by far the most significant factor, with</w:t>
      </w:r>
      <w:r w:rsidR="00B43E48" w:rsidRPr="00617B8D">
        <w:rPr>
          <w:rFonts w:cs="Times New Roman"/>
        </w:rPr>
        <w:t xml:space="preserve"> more than </w:t>
      </w:r>
      <w:r w:rsidR="00DC4880" w:rsidRPr="00617B8D">
        <w:rPr>
          <w:rFonts w:cs="Times New Roman"/>
        </w:rPr>
        <w:t>25</w:t>
      </w:r>
      <w:r w:rsidR="00B43E48" w:rsidRPr="00617B8D">
        <w:rPr>
          <w:rFonts w:cs="Times New Roman"/>
        </w:rPr>
        <w:t xml:space="preserve">% of respondents ranking it first in both the before-COVID and </w:t>
      </w:r>
      <w:r w:rsidR="00FA6465">
        <w:rPr>
          <w:rFonts w:cs="Times New Roman"/>
        </w:rPr>
        <w:t>during</w:t>
      </w:r>
      <w:r w:rsidR="00B43E48" w:rsidRPr="00617B8D">
        <w:rPr>
          <w:rFonts w:cs="Times New Roman"/>
        </w:rPr>
        <w:t>-COVID segments</w:t>
      </w:r>
      <w:r w:rsidR="00DC4880" w:rsidRPr="00617B8D">
        <w:rPr>
          <w:rFonts w:cs="Times New Roman"/>
        </w:rPr>
        <w:t xml:space="preserve"> and more than 60% ranking it in the top three in each segment</w:t>
      </w:r>
      <w:r w:rsidR="00BB15E5" w:rsidRPr="00617B8D">
        <w:rPr>
          <w:rFonts w:cs="Times New Roman"/>
        </w:rPr>
        <w:t xml:space="preserve">. </w:t>
      </w:r>
      <w:r w:rsidR="008321EB">
        <w:rPr>
          <w:rFonts w:cs="Times New Roman"/>
        </w:rPr>
        <w:t>Also, less than 5% of respondents rank affordability as the last-ranked factor. O</w:t>
      </w:r>
      <w:r w:rsidR="00BB15E5" w:rsidRPr="00617B8D">
        <w:rPr>
          <w:rFonts w:cs="Times New Roman"/>
        </w:rPr>
        <w:t>ther highly significant factors include a short commute to work</w:t>
      </w:r>
      <w:r w:rsidR="00103846">
        <w:rPr>
          <w:rFonts w:cs="Times New Roman"/>
        </w:rPr>
        <w:t xml:space="preserve"> </w:t>
      </w:r>
      <w:r w:rsidR="00DC4880" w:rsidRPr="00617B8D">
        <w:rPr>
          <w:rFonts w:cs="Times New Roman"/>
        </w:rPr>
        <w:t xml:space="preserve">and living in a walkable neighborhood. </w:t>
      </w:r>
      <w:r w:rsidR="00BB15E5" w:rsidRPr="00617B8D">
        <w:rPr>
          <w:rFonts w:cs="Times New Roman"/>
        </w:rPr>
        <w:t>Conversely, at the opposite end of the spectrum,</w:t>
      </w:r>
      <w:r w:rsidR="00B43E48" w:rsidRPr="00617B8D">
        <w:rPr>
          <w:rFonts w:cs="Times New Roman"/>
        </w:rPr>
        <w:t xml:space="preserve"> </w:t>
      </w:r>
      <w:r w:rsidR="004A7D0E">
        <w:rPr>
          <w:rFonts w:cs="Times New Roman"/>
        </w:rPr>
        <w:t xml:space="preserve">quality of schools, </w:t>
      </w:r>
      <w:r w:rsidR="00B43E48" w:rsidRPr="00617B8D">
        <w:rPr>
          <w:rFonts w:cs="Times New Roman"/>
        </w:rPr>
        <w:t>being close to a highway</w:t>
      </w:r>
      <w:r w:rsidR="008321EB">
        <w:rPr>
          <w:rFonts w:cs="Times New Roman"/>
        </w:rPr>
        <w:t xml:space="preserve">, and being close to public transit </w:t>
      </w:r>
      <w:r w:rsidR="00BB15E5" w:rsidRPr="00617B8D">
        <w:rPr>
          <w:rFonts w:cs="Times New Roman"/>
        </w:rPr>
        <w:t>were rated as relatively unimportant factors by respondents</w:t>
      </w:r>
      <w:r w:rsidR="00B43E48" w:rsidRPr="00617B8D">
        <w:rPr>
          <w:rFonts w:cs="Times New Roman"/>
        </w:rPr>
        <w:t xml:space="preserve"> in bo</w:t>
      </w:r>
      <w:r w:rsidR="008321EB">
        <w:rPr>
          <w:rFonts w:cs="Times New Roman"/>
        </w:rPr>
        <w:t xml:space="preserve">th the before-COVID and </w:t>
      </w:r>
      <w:r w:rsidR="00FA6465">
        <w:rPr>
          <w:rFonts w:cs="Times New Roman"/>
        </w:rPr>
        <w:t>during</w:t>
      </w:r>
      <w:r w:rsidR="008321EB">
        <w:rPr>
          <w:rFonts w:cs="Times New Roman"/>
        </w:rPr>
        <w:t xml:space="preserve">-COVID periods (these three factors have a share higher than 10% in </w:t>
      </w:r>
      <w:r w:rsidR="00BF41FA">
        <w:rPr>
          <w:rFonts w:cs="Times New Roman"/>
        </w:rPr>
        <w:t>the</w:t>
      </w:r>
      <w:r w:rsidR="00BF41FA" w:rsidRPr="00BF41FA">
        <w:rPr>
          <w:rFonts w:cs="Times New Roman"/>
        </w:rPr>
        <w:t xml:space="preserve"> </w:t>
      </w:r>
      <w:r w:rsidR="00BF41FA">
        <w:rPr>
          <w:rFonts w:cs="Times New Roman"/>
        </w:rPr>
        <w:t xml:space="preserve">column labeled “last-ranked” in </w:t>
      </w:r>
      <w:r w:rsidR="008321EB">
        <w:rPr>
          <w:rFonts w:cs="Times New Roman"/>
        </w:rPr>
        <w:t>both periods</w:t>
      </w:r>
      <w:r w:rsidR="00BF41FA">
        <w:rPr>
          <w:rFonts w:cs="Times New Roman"/>
        </w:rPr>
        <w:t>,</w:t>
      </w:r>
      <w:r w:rsidR="008321EB">
        <w:rPr>
          <w:rFonts w:cs="Times New Roman"/>
        </w:rPr>
        <w:t xml:space="preserve"> </w:t>
      </w:r>
      <w:r w:rsidR="007B1DA0">
        <w:rPr>
          <w:rFonts w:cs="Times New Roman"/>
        </w:rPr>
        <w:t>identifying them as the least important factor</w:t>
      </w:r>
      <w:r w:rsidR="00BF41FA">
        <w:rPr>
          <w:rFonts w:cs="Times New Roman"/>
        </w:rPr>
        <w:t>s</w:t>
      </w:r>
      <w:r w:rsidR="007B1DA0">
        <w:rPr>
          <w:rFonts w:cs="Times New Roman"/>
        </w:rPr>
        <w:t>)</w:t>
      </w:r>
      <w:r w:rsidR="00BB15E5" w:rsidRPr="00617B8D">
        <w:rPr>
          <w:rFonts w:cs="Times New Roman"/>
        </w:rPr>
        <w:t xml:space="preserve">. </w:t>
      </w:r>
    </w:p>
    <w:p w14:paraId="4270117E" w14:textId="42F4AB16" w:rsidR="00B43E48" w:rsidRDefault="00BF41FA" w:rsidP="00CA7F44">
      <w:pPr>
        <w:spacing w:after="0" w:line="240" w:lineRule="auto"/>
        <w:ind w:firstLine="720"/>
        <w:jc w:val="both"/>
        <w:rPr>
          <w:rFonts w:cs="Times New Roman"/>
        </w:rPr>
      </w:pPr>
      <w:r>
        <w:rPr>
          <w:rFonts w:cs="Times New Roman"/>
        </w:rPr>
        <w:t xml:space="preserve">A </w:t>
      </w:r>
      <w:r w:rsidR="00BB15E5" w:rsidRPr="00617B8D">
        <w:rPr>
          <w:rFonts w:cs="Times New Roman"/>
        </w:rPr>
        <w:t>compari</w:t>
      </w:r>
      <w:r>
        <w:rPr>
          <w:rFonts w:cs="Times New Roman"/>
        </w:rPr>
        <w:t xml:space="preserve">son of </w:t>
      </w:r>
      <w:r w:rsidR="00BB15E5" w:rsidRPr="00617B8D">
        <w:rPr>
          <w:rFonts w:cs="Times New Roman"/>
        </w:rPr>
        <w:t xml:space="preserve">the priorities of respondents who relocated before the pandemic to those who relocated after the </w:t>
      </w:r>
      <w:r w:rsidR="00A7031F">
        <w:rPr>
          <w:rFonts w:cs="Times New Roman"/>
        </w:rPr>
        <w:t xml:space="preserve">onset of </w:t>
      </w:r>
      <w:r w:rsidR="00BB15E5" w:rsidRPr="00617B8D">
        <w:rPr>
          <w:rFonts w:cs="Times New Roman"/>
        </w:rPr>
        <w:t>pandemic</w:t>
      </w:r>
      <w:r>
        <w:rPr>
          <w:rFonts w:cs="Times New Roman"/>
        </w:rPr>
        <w:t xml:space="preserve"> in Table 1 shows</w:t>
      </w:r>
      <w:r w:rsidR="00BB15E5" w:rsidRPr="00617B8D">
        <w:rPr>
          <w:rFonts w:cs="Times New Roman"/>
        </w:rPr>
        <w:t xml:space="preserve"> notable shifts</w:t>
      </w:r>
      <w:r w:rsidR="00750CBD">
        <w:rPr>
          <w:rFonts w:cs="Times New Roman"/>
        </w:rPr>
        <w:t xml:space="preserve"> in the rankings</w:t>
      </w:r>
      <w:r w:rsidR="00BB15E5" w:rsidRPr="00617B8D">
        <w:rPr>
          <w:rFonts w:cs="Times New Roman"/>
        </w:rPr>
        <w:t xml:space="preserve">. In particular, </w:t>
      </w:r>
      <w:r w:rsidR="007B1DA0">
        <w:rPr>
          <w:rFonts w:cs="Times New Roman"/>
        </w:rPr>
        <w:t xml:space="preserve">there is evidence that, across the entire sample, </w:t>
      </w:r>
      <w:r w:rsidR="00D55A45">
        <w:rPr>
          <w:rFonts w:cs="Times New Roman"/>
        </w:rPr>
        <w:t xml:space="preserve">the importance of </w:t>
      </w:r>
      <w:r w:rsidR="00283E0E">
        <w:rPr>
          <w:rFonts w:cs="Times New Roman"/>
        </w:rPr>
        <w:t>being close to friends and family</w:t>
      </w:r>
      <w:r w:rsidR="007B1DA0">
        <w:rPr>
          <w:rFonts w:cs="Times New Roman"/>
        </w:rPr>
        <w:t xml:space="preserve"> </w:t>
      </w:r>
      <w:r w:rsidR="00D55A45">
        <w:rPr>
          <w:rFonts w:cs="Times New Roman"/>
        </w:rPr>
        <w:t xml:space="preserve">has </w:t>
      </w:r>
      <w:r>
        <w:rPr>
          <w:rFonts w:cs="Times New Roman"/>
        </w:rPr>
        <w:t xml:space="preserve">risen </w:t>
      </w:r>
      <w:r w:rsidR="00D55A45">
        <w:rPr>
          <w:rFonts w:cs="Times New Roman"/>
        </w:rPr>
        <w:t xml:space="preserve">in the </w:t>
      </w:r>
      <w:r w:rsidR="00A7031F">
        <w:rPr>
          <w:rFonts w:cs="Times New Roman"/>
        </w:rPr>
        <w:t>during</w:t>
      </w:r>
      <w:r w:rsidR="00D55A45">
        <w:rPr>
          <w:rFonts w:cs="Times New Roman"/>
        </w:rPr>
        <w:t xml:space="preserve">-COVID period, while the importance of </w:t>
      </w:r>
      <w:r w:rsidR="00BB15E5" w:rsidRPr="00617B8D">
        <w:rPr>
          <w:rFonts w:cs="Times New Roman"/>
        </w:rPr>
        <w:t xml:space="preserve">quality of schools </w:t>
      </w:r>
      <w:r w:rsidR="00D55A45">
        <w:rPr>
          <w:rFonts w:cs="Times New Roman"/>
        </w:rPr>
        <w:t xml:space="preserve">has fallen in the </w:t>
      </w:r>
      <w:r w:rsidR="00A7031F">
        <w:rPr>
          <w:rFonts w:cs="Times New Roman"/>
        </w:rPr>
        <w:t>during</w:t>
      </w:r>
      <w:r w:rsidR="00D55A45">
        <w:rPr>
          <w:rFonts w:cs="Times New Roman"/>
        </w:rPr>
        <w:t xml:space="preserve">-COVID period. Of course, Table 1 does not provide the entire picture of rises and falls in the importance of different factors because the table does not include the relative rankings in the three intermediate categories (that is, ranks #4 through #6). </w:t>
      </w:r>
      <w:r w:rsidR="000D7078">
        <w:rPr>
          <w:rFonts w:cs="Times New Roman"/>
        </w:rPr>
        <w:t xml:space="preserve">Also, in a ranking model, the utility of each alternative (housing factor in the current study) as a function of exogenous variables (see Section </w:t>
      </w:r>
      <w:r w:rsidR="00B21E3C">
        <w:rPr>
          <w:rFonts w:cs="Times New Roman"/>
        </w:rPr>
        <w:t>2</w:t>
      </w:r>
      <w:r w:rsidR="000D7078">
        <w:rPr>
          <w:rFonts w:cs="Times New Roman"/>
        </w:rPr>
        <w:t>.2 for the mode</w:t>
      </w:r>
      <w:r w:rsidR="001C17EC">
        <w:rPr>
          <w:rFonts w:cs="Times New Roman"/>
        </w:rPr>
        <w:t>l</w:t>
      </w:r>
      <w:r w:rsidR="000D7078">
        <w:rPr>
          <w:rFonts w:cs="Times New Roman"/>
        </w:rPr>
        <w:t xml:space="preserve"> formulation) is determined based on the complete ranking of all alternatives across all individuals, which is not considered in the aggregate statistics of Table 1. </w:t>
      </w:r>
      <w:r w:rsidR="00D55A45">
        <w:rPr>
          <w:rFonts w:cs="Times New Roman"/>
        </w:rPr>
        <w:t xml:space="preserve">Besides, the aggregate statistics mask variations in </w:t>
      </w:r>
      <w:r>
        <w:rPr>
          <w:rFonts w:cs="Times New Roman"/>
        </w:rPr>
        <w:t>the rankings</w:t>
      </w:r>
      <w:r w:rsidR="00D55A45">
        <w:rPr>
          <w:rFonts w:cs="Times New Roman"/>
        </w:rPr>
        <w:t xml:space="preserve">, and changes in </w:t>
      </w:r>
      <w:r>
        <w:rPr>
          <w:rFonts w:cs="Times New Roman"/>
        </w:rPr>
        <w:t>the rankings</w:t>
      </w:r>
      <w:r w:rsidR="001C17EC">
        <w:rPr>
          <w:rFonts w:cs="Times New Roman"/>
        </w:rPr>
        <w:t>,</w:t>
      </w:r>
      <w:r w:rsidR="00D55A45">
        <w:rPr>
          <w:rFonts w:cs="Times New Roman"/>
        </w:rPr>
        <w:t xml:space="preserve"> between the before- and </w:t>
      </w:r>
      <w:r w:rsidR="00A7031F">
        <w:rPr>
          <w:rFonts w:cs="Times New Roman"/>
        </w:rPr>
        <w:t>during</w:t>
      </w:r>
      <w:r w:rsidR="00D55A45">
        <w:rPr>
          <w:rFonts w:cs="Times New Roman"/>
        </w:rPr>
        <w:t xml:space="preserve">-COVID periods across different households. </w:t>
      </w:r>
      <w:r w:rsidR="001505C2" w:rsidRPr="00617B8D">
        <w:rPr>
          <w:rFonts w:cs="Times New Roman"/>
        </w:rPr>
        <w:t xml:space="preserve">For instance, while quality of schools gets relatively low rankings overall, particularly in the </w:t>
      </w:r>
      <w:r w:rsidR="00A7031F">
        <w:rPr>
          <w:rFonts w:cs="Times New Roman"/>
        </w:rPr>
        <w:t>during</w:t>
      </w:r>
      <w:r w:rsidR="001505C2" w:rsidRPr="00617B8D">
        <w:rPr>
          <w:rFonts w:cs="Times New Roman"/>
        </w:rPr>
        <w:t xml:space="preserve">-COVID period, it may </w:t>
      </w:r>
      <w:r w:rsidR="001505C2">
        <w:rPr>
          <w:rFonts w:cs="Times New Roman"/>
        </w:rPr>
        <w:t xml:space="preserve">not be that unimportant a </w:t>
      </w:r>
      <w:r w:rsidR="001505C2" w:rsidRPr="00617B8D">
        <w:rPr>
          <w:rFonts w:cs="Times New Roman"/>
        </w:rPr>
        <w:t>factor</w:t>
      </w:r>
      <w:r w:rsidR="001505C2">
        <w:rPr>
          <w:rFonts w:cs="Times New Roman"/>
        </w:rPr>
        <w:t xml:space="preserve"> for </w:t>
      </w:r>
      <w:r w:rsidR="001505C2" w:rsidRPr="00F303F0">
        <w:rPr>
          <w:rFonts w:cs="Times New Roman"/>
        </w:rPr>
        <w:t xml:space="preserve">families </w:t>
      </w:r>
      <w:r w:rsidR="001505C2">
        <w:rPr>
          <w:rFonts w:cs="Times New Roman"/>
        </w:rPr>
        <w:t xml:space="preserve">with </w:t>
      </w:r>
      <w:r w:rsidR="001505C2" w:rsidRPr="00F303F0">
        <w:rPr>
          <w:rFonts w:cs="Times New Roman"/>
        </w:rPr>
        <w:t>young children.</w:t>
      </w:r>
      <w:r w:rsidR="001505C2">
        <w:rPr>
          <w:rFonts w:cs="Times New Roman"/>
        </w:rPr>
        <w:t xml:space="preserve"> </w:t>
      </w:r>
      <w:r w:rsidR="00D55A45">
        <w:rPr>
          <w:rFonts w:cs="Times New Roman"/>
        </w:rPr>
        <w:t xml:space="preserve">To comprehensively </w:t>
      </w:r>
      <w:r w:rsidR="001505C2">
        <w:rPr>
          <w:rFonts w:cs="Times New Roman"/>
        </w:rPr>
        <w:t xml:space="preserve">understand the heterogeneity in preferences, and the heterogeneity in the changes </w:t>
      </w:r>
      <w:r w:rsidR="001505C2">
        <w:rPr>
          <w:rFonts w:cs="Times New Roman"/>
        </w:rPr>
        <w:lastRenderedPageBreak/>
        <w:t xml:space="preserve">in preferences between the before- and </w:t>
      </w:r>
      <w:r w:rsidR="00A7031F">
        <w:rPr>
          <w:rFonts w:cs="Times New Roman"/>
        </w:rPr>
        <w:t>during</w:t>
      </w:r>
      <w:r w:rsidR="001505C2">
        <w:rPr>
          <w:rFonts w:cs="Times New Roman"/>
        </w:rPr>
        <w:t>-COVID periods, while also using the entire depth of nine rankings of factors, th</w:t>
      </w:r>
      <w:r>
        <w:rPr>
          <w:rFonts w:cs="Times New Roman"/>
        </w:rPr>
        <w:t xml:space="preserve">e </w:t>
      </w:r>
      <w:r w:rsidR="001505C2">
        <w:rPr>
          <w:rFonts w:cs="Times New Roman"/>
        </w:rPr>
        <w:t>rigorous multivariate ranking analysis undertaken in this study is needed.</w:t>
      </w:r>
    </w:p>
    <w:p w14:paraId="68AFCEBD" w14:textId="77777777" w:rsidR="00BB15E5" w:rsidRPr="00F303F0" w:rsidRDefault="00BB15E5" w:rsidP="00BB15E5">
      <w:pPr>
        <w:autoSpaceDE w:val="0"/>
        <w:autoSpaceDN w:val="0"/>
        <w:adjustRightInd w:val="0"/>
        <w:spacing w:after="0" w:line="240" w:lineRule="auto"/>
        <w:jc w:val="both"/>
        <w:rPr>
          <w:rFonts w:cs="Times New Roman"/>
          <w:b/>
          <w:bCs/>
        </w:rPr>
      </w:pPr>
    </w:p>
    <w:p w14:paraId="3B9B0AA1" w14:textId="3F3CAED8" w:rsidR="00BB15E5" w:rsidRPr="00251A17" w:rsidRDefault="00982EA6" w:rsidP="00BB15E5">
      <w:pPr>
        <w:autoSpaceDE w:val="0"/>
        <w:autoSpaceDN w:val="0"/>
        <w:adjustRightInd w:val="0"/>
        <w:spacing w:after="0" w:line="240" w:lineRule="auto"/>
        <w:jc w:val="both"/>
        <w:rPr>
          <w:rFonts w:cs="Times New Roman"/>
          <w:i/>
          <w:iCs/>
        </w:rPr>
      </w:pPr>
      <w:r w:rsidRPr="00251A17">
        <w:rPr>
          <w:rFonts w:cs="Times New Roman"/>
          <w:i/>
          <w:iCs/>
        </w:rPr>
        <w:t>2</w:t>
      </w:r>
      <w:r w:rsidR="00BB15E5" w:rsidRPr="00251A17">
        <w:rPr>
          <w:rFonts w:cs="Times New Roman"/>
          <w:i/>
          <w:iCs/>
        </w:rPr>
        <w:t>.1.</w:t>
      </w:r>
      <w:r w:rsidRPr="00251A17">
        <w:rPr>
          <w:rFonts w:cs="Times New Roman"/>
          <w:i/>
          <w:iCs/>
        </w:rPr>
        <w:t>3</w:t>
      </w:r>
      <w:r w:rsidR="00BB15E5" w:rsidRPr="00251A17">
        <w:rPr>
          <w:rFonts w:cs="Times New Roman"/>
          <w:i/>
          <w:iCs/>
        </w:rPr>
        <w:t xml:space="preserve"> Exogenous Variables </w:t>
      </w:r>
    </w:p>
    <w:p w14:paraId="45F39C1A" w14:textId="6E03900C" w:rsidR="00BB15E5" w:rsidRDefault="007560C5" w:rsidP="00BB15E5">
      <w:pPr>
        <w:autoSpaceDE w:val="0"/>
        <w:autoSpaceDN w:val="0"/>
        <w:adjustRightInd w:val="0"/>
        <w:spacing w:after="0" w:line="240" w:lineRule="auto"/>
        <w:jc w:val="both"/>
        <w:rPr>
          <w:rFonts w:cs="Times New Roman"/>
        </w:rPr>
      </w:pPr>
      <w:r w:rsidRPr="00F303F0">
        <w:rPr>
          <w:rFonts w:cs="Times New Roman"/>
        </w:rPr>
        <w:t xml:space="preserve">The socioeconomic and </w:t>
      </w:r>
      <w:r w:rsidR="006B6FBA" w:rsidRPr="00F303F0">
        <w:rPr>
          <w:rFonts w:cs="Times New Roman"/>
        </w:rPr>
        <w:t>demographic characteristics of the households in the sample are provided in Table 2</w:t>
      </w:r>
      <w:r w:rsidR="00057A81" w:rsidRPr="00751D2F">
        <w:rPr>
          <w:rFonts w:cs="Times New Roman"/>
        </w:rPr>
        <w:t>,</w:t>
      </w:r>
      <w:r w:rsidR="009652B9" w:rsidRPr="00F303F0">
        <w:rPr>
          <w:rFonts w:cs="Times New Roman"/>
        </w:rPr>
        <w:t xml:space="preserve"> along with corresponding </w:t>
      </w:r>
      <w:r w:rsidR="009652B9" w:rsidRPr="00F303F0">
        <w:t xml:space="preserve">data from the 2020 United States Census </w:t>
      </w:r>
      <w:r w:rsidR="009652B9" w:rsidRPr="00F303F0">
        <w:fldChar w:fldCharType="begin"/>
      </w:r>
      <w:r w:rsidR="009652B9" w:rsidRPr="00F303F0">
        <w:instrText xml:space="preserve"> ADDIN ZOTERO_ITEM CSL_CITATION {"citationID":"p8Dqg4Op","properties":{"formattedCitation":"(U.S. Census Bureau, 2020)","plainCitation":"(U.S. Census Bureau, 2020)","noteIndex":0},"citationItems":[{"id":2942,"uris":["http://zotero.org/users/12832277/items/WENPG286"],"itemData":{"id":2942,"type":"report","collection-title":"Decennial Census, DEC Demographic Profile, Table DP1","title":"Profile of General Population and Housing Characteristics.","URL":"https://data.census.gov/table/DECENNIALDP2020.DP1?g=010XX00US&amp;d=DEC%20Demographic%20Profile","author":[{"family":"U.S. Census Bureau","given":""}],"issued":{"date-parts":[["2020"]]}}}],"schema":"https://github.com/citation-style-language/schema/raw/master/csl-citation.json"} </w:instrText>
      </w:r>
      <w:r w:rsidR="009652B9" w:rsidRPr="00F303F0">
        <w:fldChar w:fldCharType="separate"/>
      </w:r>
      <w:r w:rsidR="009652B9" w:rsidRPr="00F303F0">
        <w:rPr>
          <w:rFonts w:cs="Times New Roman"/>
        </w:rPr>
        <w:t>(U.S. Census Bureau, 2020)</w:t>
      </w:r>
      <w:r w:rsidR="009652B9" w:rsidRPr="00F303F0">
        <w:fldChar w:fldCharType="end"/>
      </w:r>
      <w:r w:rsidR="006B6FBA" w:rsidRPr="00F303F0">
        <w:rPr>
          <w:rFonts w:cs="Times New Roman"/>
        </w:rPr>
        <w:t xml:space="preserve">. </w:t>
      </w:r>
      <w:r w:rsidR="006D3CB8" w:rsidRPr="00F303F0">
        <w:rPr>
          <w:rFonts w:cs="Times New Roman"/>
        </w:rPr>
        <w:t>These demographic characteristics represent th</w:t>
      </w:r>
      <w:r w:rsidR="00057A81" w:rsidRPr="00F303F0">
        <w:rPr>
          <w:rFonts w:cs="Times New Roman"/>
        </w:rPr>
        <w:t>ose of the</w:t>
      </w:r>
      <w:r w:rsidR="006D3CB8" w:rsidRPr="00F303F0">
        <w:rPr>
          <w:rFonts w:cs="Times New Roman"/>
        </w:rPr>
        <w:t xml:space="preserve"> entire household </w:t>
      </w:r>
      <w:r w:rsidR="009652B9" w:rsidRPr="00F303F0">
        <w:rPr>
          <w:rFonts w:cs="Times New Roman"/>
        </w:rPr>
        <w:t>(for instance</w:t>
      </w:r>
      <w:r w:rsidR="00057A81" w:rsidRPr="00F303F0">
        <w:rPr>
          <w:rFonts w:cs="Times New Roman"/>
        </w:rPr>
        <w:t>,</w:t>
      </w:r>
      <w:r w:rsidR="009652B9" w:rsidRPr="00F303F0">
        <w:rPr>
          <w:rFonts w:cs="Times New Roman"/>
        </w:rPr>
        <w:t xml:space="preserve"> the education attainment refers to the highest level of education attained</w:t>
      </w:r>
      <w:r w:rsidR="00057A81" w:rsidRPr="00F303F0">
        <w:rPr>
          <w:rFonts w:cs="Times New Roman"/>
          <w:i/>
          <w:iCs/>
        </w:rPr>
        <w:t xml:space="preserve"> across different </w:t>
      </w:r>
      <w:r w:rsidR="009652B9" w:rsidRPr="00F303F0">
        <w:rPr>
          <w:rFonts w:cs="Times New Roman"/>
          <w:i/>
          <w:iCs/>
        </w:rPr>
        <w:t>member</w:t>
      </w:r>
      <w:r w:rsidR="00057A81" w:rsidRPr="00F303F0">
        <w:rPr>
          <w:rFonts w:cs="Times New Roman"/>
          <w:i/>
          <w:iCs/>
        </w:rPr>
        <w:t>s</w:t>
      </w:r>
      <w:r w:rsidR="009652B9" w:rsidRPr="00F303F0">
        <w:rPr>
          <w:rFonts w:cs="Times New Roman"/>
          <w:i/>
          <w:iCs/>
        </w:rPr>
        <w:t xml:space="preserve"> of the household</w:t>
      </w:r>
      <w:r w:rsidR="009652B9" w:rsidRPr="00F303F0">
        <w:rPr>
          <w:rFonts w:cs="Times New Roman"/>
        </w:rPr>
        <w:t>)</w:t>
      </w:r>
      <w:r w:rsidR="006D3CB8" w:rsidRPr="00F303F0">
        <w:rPr>
          <w:rFonts w:cs="Times New Roman"/>
        </w:rPr>
        <w:t xml:space="preserve">. </w:t>
      </w:r>
      <w:r w:rsidR="00CB6F74" w:rsidRPr="00F303F0">
        <w:rPr>
          <w:rFonts w:cs="Times New Roman"/>
        </w:rPr>
        <w:t xml:space="preserve">The sample consists of </w:t>
      </w:r>
      <w:r w:rsidR="00723739" w:rsidRPr="00F303F0">
        <w:rPr>
          <w:rFonts w:cs="Times New Roman"/>
        </w:rPr>
        <w:t>3</w:t>
      </w:r>
      <w:r w:rsidR="00E83DD5">
        <w:rPr>
          <w:rFonts w:cs="Times New Roman"/>
        </w:rPr>
        <w:t>4.3</w:t>
      </w:r>
      <w:r w:rsidR="00723739" w:rsidRPr="00F303F0">
        <w:rPr>
          <w:rFonts w:cs="Times New Roman"/>
        </w:rPr>
        <w:t>% single adult households, with the remaining 6</w:t>
      </w:r>
      <w:r w:rsidR="00E83DD5">
        <w:rPr>
          <w:rFonts w:cs="Times New Roman"/>
        </w:rPr>
        <w:t>5.7</w:t>
      </w:r>
      <w:r w:rsidR="00723739" w:rsidRPr="00F303F0">
        <w:rPr>
          <w:rFonts w:cs="Times New Roman"/>
        </w:rPr>
        <w:t xml:space="preserve">% being households with </w:t>
      </w:r>
      <w:r w:rsidR="00736107" w:rsidRPr="00F303F0">
        <w:rPr>
          <w:rFonts w:cs="Times New Roman"/>
        </w:rPr>
        <w:t xml:space="preserve">two or more adults. </w:t>
      </w:r>
      <w:r w:rsidR="00004BC2">
        <w:rPr>
          <w:rFonts w:cs="Times New Roman"/>
        </w:rPr>
        <w:t>This distribution is quite close to the Census statistics</w:t>
      </w:r>
      <w:r w:rsidR="00641B3F">
        <w:rPr>
          <w:rFonts w:cs="Times New Roman"/>
        </w:rPr>
        <w:t>.</w:t>
      </w:r>
      <w:r w:rsidR="00004BC2">
        <w:rPr>
          <w:rFonts w:cs="Times New Roman"/>
        </w:rPr>
        <w:t xml:space="preserve"> </w:t>
      </w:r>
      <w:r w:rsidR="00D83A7E">
        <w:rPr>
          <w:rFonts w:cs="Times New Roman"/>
        </w:rPr>
        <w:t xml:space="preserve">The sample has a slight underrepresentation of households with at least one child </w:t>
      </w:r>
      <w:r w:rsidR="00442315" w:rsidRPr="00F303F0">
        <w:rPr>
          <w:rFonts w:cs="Times New Roman"/>
        </w:rPr>
        <w:t>(aged 17 or younger)</w:t>
      </w:r>
      <w:r w:rsidR="001D4A3E" w:rsidRPr="00F303F0">
        <w:rPr>
          <w:rFonts w:cs="Times New Roman"/>
        </w:rPr>
        <w:t xml:space="preserve"> and </w:t>
      </w:r>
      <w:r w:rsidR="00D83A7E">
        <w:rPr>
          <w:rFonts w:cs="Times New Roman"/>
        </w:rPr>
        <w:t xml:space="preserve">a more significant underrepresentation of households </w:t>
      </w:r>
      <w:r w:rsidR="001D4A3E" w:rsidRPr="00F303F0">
        <w:rPr>
          <w:rFonts w:cs="Times New Roman"/>
        </w:rPr>
        <w:t>with at least one retired adult. Additionally, t</w:t>
      </w:r>
      <w:r w:rsidR="00736107" w:rsidRPr="00F303F0">
        <w:rPr>
          <w:rFonts w:cs="Times New Roman"/>
        </w:rPr>
        <w:t xml:space="preserve">he majority of households had at least one working adult, </w:t>
      </w:r>
      <w:r w:rsidR="00B57FB6" w:rsidRPr="00F303F0">
        <w:rPr>
          <w:rFonts w:cs="Times New Roman"/>
        </w:rPr>
        <w:t xml:space="preserve">while </w:t>
      </w:r>
      <w:r w:rsidR="00D7154D">
        <w:rPr>
          <w:rFonts w:cs="Times New Roman"/>
        </w:rPr>
        <w:t>18.4</w:t>
      </w:r>
      <w:r w:rsidR="00B57FB6" w:rsidRPr="00F303F0">
        <w:rPr>
          <w:rFonts w:cs="Times New Roman"/>
        </w:rPr>
        <w:t xml:space="preserve">% </w:t>
      </w:r>
      <w:r w:rsidR="00D7154D">
        <w:rPr>
          <w:rFonts w:cs="Times New Roman"/>
        </w:rPr>
        <w:t xml:space="preserve">were </w:t>
      </w:r>
      <w:r w:rsidR="00B57FB6" w:rsidRPr="00F303F0">
        <w:rPr>
          <w:rFonts w:cs="Times New Roman"/>
        </w:rPr>
        <w:t>co</w:t>
      </w:r>
      <w:r w:rsidR="001C17EC">
        <w:rPr>
          <w:rFonts w:cs="Times New Roman"/>
        </w:rPr>
        <w:t>mprised</w:t>
      </w:r>
      <w:r w:rsidR="00B57FB6" w:rsidRPr="00F303F0">
        <w:rPr>
          <w:rFonts w:cs="Times New Roman"/>
        </w:rPr>
        <w:t xml:space="preserve"> only of adults </w:t>
      </w:r>
      <w:r w:rsidR="00BF41FA">
        <w:rPr>
          <w:rFonts w:cs="Times New Roman"/>
        </w:rPr>
        <w:t>who</w:t>
      </w:r>
      <w:r w:rsidR="00B57FB6" w:rsidRPr="00F303F0">
        <w:rPr>
          <w:rFonts w:cs="Times New Roman"/>
        </w:rPr>
        <w:t xml:space="preserve"> were </w:t>
      </w:r>
      <w:r w:rsidR="00BF41FA">
        <w:rPr>
          <w:rFonts w:cs="Times New Roman"/>
        </w:rPr>
        <w:t xml:space="preserve">all </w:t>
      </w:r>
      <w:r w:rsidR="00B57FB6" w:rsidRPr="00F303F0">
        <w:rPr>
          <w:rFonts w:cs="Times New Roman"/>
        </w:rPr>
        <w:t xml:space="preserve">unemployed or retired. </w:t>
      </w:r>
      <w:r w:rsidR="002642AD">
        <w:rPr>
          <w:rFonts w:cs="Times New Roman"/>
        </w:rPr>
        <w:t>The sample includes</w:t>
      </w:r>
      <w:r w:rsidR="009652B9" w:rsidRPr="00F303F0">
        <w:rPr>
          <w:rFonts w:cs="Times New Roman"/>
        </w:rPr>
        <w:t xml:space="preserve"> a significant overrepresentation of households with high levels of educational attainment</w:t>
      </w:r>
      <w:r w:rsidR="002642AD">
        <w:rPr>
          <w:rFonts w:cs="Times New Roman"/>
        </w:rPr>
        <w:t xml:space="preserve"> (30.</w:t>
      </w:r>
      <w:r w:rsidR="00814652">
        <w:rPr>
          <w:rFonts w:cs="Times New Roman"/>
        </w:rPr>
        <w:t>8</w:t>
      </w:r>
      <w:r w:rsidR="002642AD">
        <w:rPr>
          <w:rFonts w:cs="Times New Roman"/>
        </w:rPr>
        <w:t>%)</w:t>
      </w:r>
      <w:r w:rsidR="009652B9" w:rsidRPr="00F303F0">
        <w:rPr>
          <w:rFonts w:cs="Times New Roman"/>
        </w:rPr>
        <w:t xml:space="preserve"> compared with Census data</w:t>
      </w:r>
      <w:r w:rsidR="002642AD">
        <w:rPr>
          <w:rFonts w:cs="Times New Roman"/>
        </w:rPr>
        <w:t xml:space="preserve"> (2.9%)</w:t>
      </w:r>
      <w:r w:rsidR="009652B9" w:rsidRPr="00F303F0">
        <w:rPr>
          <w:rFonts w:cs="Times New Roman"/>
        </w:rPr>
        <w:t xml:space="preserve">, and underrepresentation of households with no bachelor’s degrees. </w:t>
      </w:r>
      <w:r w:rsidR="00A42B1E" w:rsidRPr="00F303F0">
        <w:rPr>
          <w:rFonts w:cs="Times New Roman"/>
        </w:rPr>
        <w:t xml:space="preserve">In terms of </w:t>
      </w:r>
      <w:r w:rsidR="00442315" w:rsidRPr="00F303F0">
        <w:rPr>
          <w:rFonts w:cs="Times New Roman"/>
        </w:rPr>
        <w:t xml:space="preserve">annual </w:t>
      </w:r>
      <w:r w:rsidR="00A42B1E" w:rsidRPr="00F303F0">
        <w:rPr>
          <w:rFonts w:cs="Times New Roman"/>
        </w:rPr>
        <w:t>household income, the sample is slightly skewed towards higher income levels, with 4</w:t>
      </w:r>
      <w:r w:rsidR="00814652">
        <w:rPr>
          <w:rFonts w:cs="Times New Roman"/>
        </w:rPr>
        <w:t>4.0</w:t>
      </w:r>
      <w:r w:rsidR="00A42B1E" w:rsidRPr="00F303F0">
        <w:rPr>
          <w:rFonts w:cs="Times New Roman"/>
        </w:rPr>
        <w:t xml:space="preserve">% reporting </w:t>
      </w:r>
      <w:r w:rsidR="001C17EC">
        <w:rPr>
          <w:rFonts w:cs="Times New Roman"/>
        </w:rPr>
        <w:t xml:space="preserve">an annual </w:t>
      </w:r>
      <w:r w:rsidR="00A42B1E" w:rsidRPr="00F303F0">
        <w:rPr>
          <w:rFonts w:cs="Times New Roman"/>
        </w:rPr>
        <w:t xml:space="preserve">income </w:t>
      </w:r>
      <w:r w:rsidR="001C17EC">
        <w:rPr>
          <w:rFonts w:cs="Times New Roman"/>
        </w:rPr>
        <w:t>higher</w:t>
      </w:r>
      <w:r w:rsidR="00A42B1E" w:rsidRPr="00F303F0">
        <w:rPr>
          <w:rFonts w:cs="Times New Roman"/>
        </w:rPr>
        <w:t xml:space="preserve"> than $100,000 </w:t>
      </w:r>
      <w:r w:rsidR="002642AD">
        <w:rPr>
          <w:rFonts w:cs="Times New Roman"/>
        </w:rPr>
        <w:t xml:space="preserve">compared </w:t>
      </w:r>
      <w:r w:rsidR="001C17EC">
        <w:rPr>
          <w:rFonts w:cs="Times New Roman"/>
        </w:rPr>
        <w:t>to</w:t>
      </w:r>
      <w:r w:rsidR="002642AD">
        <w:rPr>
          <w:rFonts w:cs="Times New Roman"/>
        </w:rPr>
        <w:t xml:space="preserve"> 37.3% in the census data</w:t>
      </w:r>
      <w:r w:rsidR="00A42B1E" w:rsidRPr="00F303F0">
        <w:rPr>
          <w:rFonts w:cs="Times New Roman"/>
        </w:rPr>
        <w:t xml:space="preserve">. </w:t>
      </w:r>
      <w:r w:rsidR="00BD2514" w:rsidRPr="00F303F0">
        <w:rPr>
          <w:rFonts w:cs="Times New Roman"/>
        </w:rPr>
        <w:t xml:space="preserve">There is also an overrepresentation of non-Hispanic individuals, making up </w:t>
      </w:r>
      <w:r w:rsidR="00172AF6">
        <w:rPr>
          <w:rFonts w:cs="Times New Roman"/>
        </w:rPr>
        <w:t>89.6</w:t>
      </w:r>
      <w:r w:rsidR="00BB51CF" w:rsidRPr="00F303F0">
        <w:rPr>
          <w:rFonts w:cs="Times New Roman"/>
        </w:rPr>
        <w:t>%</w:t>
      </w:r>
      <w:r w:rsidR="00BD2514" w:rsidRPr="00F303F0">
        <w:rPr>
          <w:rFonts w:cs="Times New Roman"/>
        </w:rPr>
        <w:t xml:space="preserve"> </w:t>
      </w:r>
      <w:r w:rsidR="00BB51CF" w:rsidRPr="00F303F0">
        <w:rPr>
          <w:rFonts w:cs="Times New Roman"/>
        </w:rPr>
        <w:t>of</w:t>
      </w:r>
      <w:r w:rsidR="00BD2514" w:rsidRPr="00F303F0">
        <w:rPr>
          <w:rFonts w:cs="Times New Roman"/>
        </w:rPr>
        <w:t xml:space="preserve"> the sample</w:t>
      </w:r>
      <w:r w:rsidR="00BB51CF" w:rsidRPr="00F303F0">
        <w:rPr>
          <w:rFonts w:cs="Times New Roman"/>
        </w:rPr>
        <w:t xml:space="preserve">. </w:t>
      </w:r>
      <w:r w:rsidR="00F54065" w:rsidRPr="00F303F0">
        <w:rPr>
          <w:rFonts w:cs="Times New Roman"/>
        </w:rPr>
        <w:t xml:space="preserve">Finally, race was also reported at the household level, </w:t>
      </w:r>
      <w:r w:rsidR="002642AD">
        <w:rPr>
          <w:rFonts w:cs="Times New Roman"/>
        </w:rPr>
        <w:t>with a</w:t>
      </w:r>
      <w:r w:rsidR="00172AF6">
        <w:rPr>
          <w:rFonts w:cs="Times New Roman"/>
        </w:rPr>
        <w:t xml:space="preserve"> slight</w:t>
      </w:r>
      <w:r w:rsidR="002642AD">
        <w:rPr>
          <w:rFonts w:cs="Times New Roman"/>
        </w:rPr>
        <w:t xml:space="preserve"> overrepresentation of households identifying as White only</w:t>
      </w:r>
      <w:r w:rsidR="008E7DAF" w:rsidRPr="00F303F0">
        <w:rPr>
          <w:rFonts w:cs="Times New Roman"/>
        </w:rPr>
        <w:t>.</w:t>
      </w:r>
      <w:r w:rsidR="008E7DAF">
        <w:rPr>
          <w:rFonts w:cs="Times New Roman"/>
        </w:rPr>
        <w:t xml:space="preserve"> </w:t>
      </w:r>
    </w:p>
    <w:p w14:paraId="0D3C3CF9" w14:textId="140E6967" w:rsidR="002642AD" w:rsidRDefault="002642AD" w:rsidP="00BB15E5">
      <w:pPr>
        <w:autoSpaceDE w:val="0"/>
        <w:autoSpaceDN w:val="0"/>
        <w:adjustRightInd w:val="0"/>
        <w:spacing w:after="0" w:line="240" w:lineRule="auto"/>
        <w:jc w:val="both"/>
        <w:rPr>
          <w:rFonts w:cs="Times New Roman"/>
          <w:highlight w:val="yellow"/>
        </w:rPr>
      </w:pPr>
      <w:r>
        <w:rPr>
          <w:rFonts w:cs="Times New Roman"/>
        </w:rPr>
        <w:tab/>
        <w:t>The observed skews in the exogenous variables relative to the US Census statistics imply that the unweighted descriptive statistics from this sample cannot be generalized to the entire population. However, the sample is reasonably representative of many of the exogenous variables (except for ethnicity and educational attainment)</w:t>
      </w:r>
      <w:r w:rsidR="00150E5E">
        <w:rPr>
          <w:rFonts w:cs="Times New Roman"/>
        </w:rPr>
        <w:t>, has substantial variation in each of the exogenous variables included,</w:t>
      </w:r>
      <w:r>
        <w:rPr>
          <w:rFonts w:cs="Times New Roman"/>
        </w:rPr>
        <w:t xml:space="preserve"> and is not derived from an endogenous sampling scheme. </w:t>
      </w:r>
      <w:r w:rsidR="00150E5E">
        <w:rPr>
          <w:rFonts w:cs="Times New Roman"/>
        </w:rPr>
        <w:t>Therefore, weighting is unnecessary for the individual-level analysis undertaken in this study</w:t>
      </w:r>
      <w:r w:rsidR="001C17EC">
        <w:rPr>
          <w:rFonts w:cs="Times New Roman"/>
        </w:rPr>
        <w:t xml:space="preserve">; </w:t>
      </w:r>
      <w:r w:rsidR="00150E5E">
        <w:rPr>
          <w:rFonts w:cs="Times New Roman"/>
        </w:rPr>
        <w:t xml:space="preserve">an unweighted approach is preferred due to its greater efficiency </w:t>
      </w:r>
      <w:r w:rsidR="00150E5E">
        <w:rPr>
          <w:rFonts w:cs="Times New Roman"/>
        </w:rPr>
        <w:fldChar w:fldCharType="begin"/>
      </w:r>
      <w:r w:rsidR="00150E5E">
        <w:rPr>
          <w:rFonts w:cs="Times New Roman"/>
        </w:rPr>
        <w:instrText xml:space="preserve"> ADDIN ZOTERO_ITEM CSL_CITATION {"citationID":"Fuej0xKH","properties":{"formattedCitation":"(Solon et al., 2015)","plainCitation":"(Solon et al., 2015)","noteIndex":0},"citationItems":[{"id":721,"uris":["http://zotero.org/users/12832277/items/68L8HU9K"],"itemData":{"id":721,"type":"article-journal","abstract":"When estimating population descriptive statistics, weighting is called for if needed to make the analysis sample representative of the target population. With regard to research directed instead at estimating causal effects, we discuss three distinct weighting motives: (1) to achieve precise estimates by correcting for heteroskedasticity; (2) to achieve consistent estimates by correcting for endogenous sampling; and (3) to identify average partial effects in the presence of unmodeled heterogeneity of effects. In each case, we find that the motive sometimes does not apply in situations where practitioners often assume it does.","container-title":"Journal of Human Resources","DOI":"10.3368/jhr.50.2.301","ISSN":"0022-166X, 1548-8004","issue":"2","language":"en","license":"© 2015 by the Board of Regents of the University of Wisconsin System","note":"publisher: University of Wisconsin Press\nsection: Symposium on Empirical Methods","page":"301-316","source":"jhr.uwpress.org","title":"What Are We Weighting For?","volume":"50","author":[{"family":"Solon","given":"Gary"},{"family":"Haider","given":"Steven J."},{"family":"Wooldridge","given":"Jeffrey M."}],"issued":{"date-parts":[["2015",3,31]]}}}],"schema":"https://github.com/citation-style-language/schema/raw/master/csl-citation.json"} </w:instrText>
      </w:r>
      <w:r w:rsidR="00150E5E">
        <w:rPr>
          <w:rFonts w:cs="Times New Roman"/>
        </w:rPr>
        <w:fldChar w:fldCharType="separate"/>
      </w:r>
      <w:r w:rsidR="00150E5E" w:rsidRPr="00150E5E">
        <w:rPr>
          <w:rFonts w:cs="Times New Roman"/>
        </w:rPr>
        <w:t>(Solon et al., 2015)</w:t>
      </w:r>
      <w:r w:rsidR="00150E5E">
        <w:rPr>
          <w:rFonts w:cs="Times New Roman"/>
        </w:rPr>
        <w:fldChar w:fldCharType="end"/>
      </w:r>
      <w:r w:rsidR="00150E5E">
        <w:rPr>
          <w:rFonts w:cs="Times New Roman"/>
        </w:rPr>
        <w:t xml:space="preserve">. </w:t>
      </w:r>
    </w:p>
    <w:p w14:paraId="14E2F781" w14:textId="05EFAC94" w:rsidR="008843E8" w:rsidRDefault="008843E8" w:rsidP="00727863">
      <w:pPr>
        <w:autoSpaceDE w:val="0"/>
        <w:autoSpaceDN w:val="0"/>
        <w:adjustRightInd w:val="0"/>
        <w:spacing w:after="0" w:line="240" w:lineRule="auto"/>
        <w:jc w:val="both"/>
        <w:rPr>
          <w:rFonts w:cs="Times New Roman"/>
          <w:b/>
        </w:rPr>
      </w:pPr>
    </w:p>
    <w:p w14:paraId="303E4FDB" w14:textId="4E8CD03E" w:rsidR="00C33A03" w:rsidRDefault="00982EA6" w:rsidP="00727863">
      <w:pPr>
        <w:autoSpaceDE w:val="0"/>
        <w:autoSpaceDN w:val="0"/>
        <w:adjustRightInd w:val="0"/>
        <w:spacing w:after="0" w:line="240" w:lineRule="auto"/>
        <w:jc w:val="both"/>
        <w:rPr>
          <w:rFonts w:cs="Times New Roman"/>
          <w:bCs/>
        </w:rPr>
      </w:pPr>
      <w:r>
        <w:rPr>
          <w:rFonts w:cs="Times New Roman"/>
          <w:b/>
        </w:rPr>
        <w:t>2</w:t>
      </w:r>
      <w:r w:rsidR="008843E8">
        <w:rPr>
          <w:rFonts w:cs="Times New Roman"/>
          <w:b/>
        </w:rPr>
        <w:t>.</w:t>
      </w:r>
      <w:r w:rsidR="00541E10">
        <w:rPr>
          <w:rFonts w:cs="Times New Roman"/>
          <w:b/>
        </w:rPr>
        <w:t>2</w:t>
      </w:r>
      <w:r w:rsidR="008843E8">
        <w:rPr>
          <w:rFonts w:cs="Times New Roman"/>
          <w:b/>
        </w:rPr>
        <w:t xml:space="preserve"> Model Form</w:t>
      </w:r>
      <w:r w:rsidR="00630C26">
        <w:rPr>
          <w:rFonts w:cs="Times New Roman"/>
          <w:b/>
        </w:rPr>
        <w:t>ul</w:t>
      </w:r>
      <w:r w:rsidR="008843E8">
        <w:rPr>
          <w:rFonts w:cs="Times New Roman"/>
          <w:b/>
        </w:rPr>
        <w:t>ation</w:t>
      </w:r>
      <w:r w:rsidR="00630C26">
        <w:rPr>
          <w:rFonts w:cs="Times New Roman"/>
          <w:b/>
        </w:rPr>
        <w:t xml:space="preserve"> </w:t>
      </w:r>
    </w:p>
    <w:p w14:paraId="3EE3B18A" w14:textId="7EF37F0A" w:rsidR="00C21220" w:rsidRDefault="003272BE" w:rsidP="00251A17">
      <w:pPr>
        <w:autoSpaceDE w:val="0"/>
        <w:autoSpaceDN w:val="0"/>
        <w:adjustRightInd w:val="0"/>
        <w:spacing w:after="120" w:line="240" w:lineRule="auto"/>
        <w:jc w:val="both"/>
        <w:rPr>
          <w:rFonts w:cs="Times New Roman"/>
        </w:rPr>
      </w:pPr>
      <w:bookmarkStart w:id="0" w:name="_Hlk165446524"/>
      <w:r>
        <w:rPr>
          <w:rFonts w:cs="Times New Roman"/>
          <w:bCs/>
        </w:rPr>
        <w:t>T</w:t>
      </w:r>
      <w:r w:rsidR="00E01168">
        <w:rPr>
          <w:rFonts w:cs="Times New Roman"/>
          <w:bCs/>
        </w:rPr>
        <w:t xml:space="preserve">he </w:t>
      </w:r>
      <w:r w:rsidR="008A6FBF">
        <w:rPr>
          <w:rFonts w:cs="Times New Roman"/>
          <w:bCs/>
        </w:rPr>
        <w:t>framework adopted for this study is the Rank</w:t>
      </w:r>
      <w:r w:rsidR="00F303F0">
        <w:rPr>
          <w:rFonts w:cs="Times New Roman"/>
          <w:bCs/>
        </w:rPr>
        <w:t>-</w:t>
      </w:r>
      <w:r w:rsidR="008A6FBF">
        <w:rPr>
          <w:rFonts w:cs="Times New Roman"/>
          <w:bCs/>
        </w:rPr>
        <w:t xml:space="preserve">Ordered Probit </w:t>
      </w:r>
      <w:r w:rsidR="005058CA">
        <w:rPr>
          <w:rFonts w:cs="Times New Roman"/>
          <w:bCs/>
        </w:rPr>
        <w:t xml:space="preserve">(ROP) </w:t>
      </w:r>
      <w:r w:rsidR="008A6FBF">
        <w:rPr>
          <w:rFonts w:cs="Times New Roman"/>
          <w:bCs/>
        </w:rPr>
        <w:t xml:space="preserve">model </w:t>
      </w:r>
      <w:r w:rsidR="009C594B">
        <w:rPr>
          <w:rFonts w:cs="Times New Roman"/>
          <w:bCs/>
        </w:rPr>
        <w:t xml:space="preserve">using a generalized likelihood function that accommodates </w:t>
      </w:r>
      <w:r w:rsidR="00E06F46">
        <w:rPr>
          <w:rFonts w:cs="Times New Roman"/>
          <w:bCs/>
        </w:rPr>
        <w:t>multiple alternatives with the same rank</w:t>
      </w:r>
      <w:r w:rsidR="00276FAD">
        <w:rPr>
          <w:rFonts w:cs="Times New Roman"/>
          <w:bCs/>
        </w:rPr>
        <w:t xml:space="preserve"> </w:t>
      </w:r>
      <w:r w:rsidR="00276FAD">
        <w:rPr>
          <w:rFonts w:cs="Times New Roman"/>
          <w:bCs/>
        </w:rPr>
        <w:fldChar w:fldCharType="begin"/>
      </w:r>
      <w:r w:rsidR="00460F21">
        <w:rPr>
          <w:rFonts w:cs="Times New Roman"/>
          <w:bCs/>
        </w:rPr>
        <w:instrText xml:space="preserve"> ADDIN ZOTERO_ITEM CSL_CITATION {"citationID":"wRPylQwi","properties":{"formattedCitation":"(Nair et al., 2018)","plainCitation":"(Nair et al., 2018)","dontUpdate":true,"noteIndex":0},"citationItems":[{"id":1990,"uris":["http://zotero.org/users/12832277/items/EU87QJDM"],"itemData":{"id":1990,"type":"article-journal","abstract":"Surveys of behavior could benefit from information about people’s relative ranking of choice alternatives. Rank ordered data are often collected in stated preference surveys where respondents are asked to rank hypothetical alternatives (rather than choose a single alternative) to better understand their relative preferences. Despite the widespread interest in collecting data on and modeling people’s preferences for choice alternatives, rank-ordered data are rarely collected in travel surveys and very little progress has been made in the ability to rigorously model such data and obtain reliable parameter estimates. This paper presents a rank ordered probit modeling approach that overcomes limitations associated with prior approaches in analyzing rank ordered data. The efficacy of the rank ordered probit modeling methodology is demonstrated through an application of the model to understand preferences for alternative configurations of autonomous vehicles (AV) using the 2015 Puget Sound Regional Travel Study survey data set. The methodology offers behaviorally intuitive model results with a variety of socio-economic and demographic characteristics, including age, gender, household income, education, employment and household structure, significantly influencing preference for alternative configurations of AV adoption, ownership, and shared usage. The ability to estimate rank ordered probit models offers a pathway for better utilizing rank ordered data to understand preferences and recognize that choices may not be absolute in many instances.","container-title":"Transportation","DOI":"10.1007/s11116-018-9945-9","ISSN":"1572-9435","issue":"6","language":"en","page":"1623-1637","source":"Springer Link","title":"An Application of a Rank Ordered Probit Modeling Approach to Understanding Level of Interest in Autonomous Vehicles","volume":"45","author":[{"family":"Nair","given":"Gopindra Sivakumar"},{"family":"Astroza","given":"Sebastian"},{"family":"Bhat","given":"Chandra R."},{"family":"Khoeini","given":"Sara"},{"family":"Pendyala","given":"Ram M."}],"issued":{"date-parts":[["2018",11,1]]}}}],"schema":"https://github.com/citation-style-language/schema/raw/master/csl-citation.json"} </w:instrText>
      </w:r>
      <w:r w:rsidR="00276FAD">
        <w:rPr>
          <w:rFonts w:cs="Times New Roman"/>
          <w:bCs/>
        </w:rPr>
        <w:fldChar w:fldCharType="separate"/>
      </w:r>
      <w:r w:rsidR="00276FAD" w:rsidRPr="00276FAD">
        <w:rPr>
          <w:rFonts w:cs="Times New Roman"/>
        </w:rPr>
        <w:t>(</w:t>
      </w:r>
      <w:r w:rsidR="00BF41FA">
        <w:rPr>
          <w:rFonts w:cs="Times New Roman"/>
        </w:rPr>
        <w:t xml:space="preserve">that is, tied rankings; </w:t>
      </w:r>
      <w:r w:rsidR="00067D42">
        <w:rPr>
          <w:rFonts w:cs="Times New Roman"/>
        </w:rPr>
        <w:t xml:space="preserve">see </w:t>
      </w:r>
      <w:r w:rsidR="00276FAD" w:rsidRPr="00276FAD">
        <w:rPr>
          <w:rFonts w:cs="Times New Roman"/>
        </w:rPr>
        <w:t>Nair et al., 2018)</w:t>
      </w:r>
      <w:r w:rsidR="00276FAD">
        <w:rPr>
          <w:rFonts w:cs="Times New Roman"/>
          <w:bCs/>
        </w:rPr>
        <w:fldChar w:fldCharType="end"/>
      </w:r>
      <w:r w:rsidR="00E06F46">
        <w:rPr>
          <w:rFonts w:cs="Times New Roman"/>
          <w:bCs/>
        </w:rPr>
        <w:t xml:space="preserve">. </w:t>
      </w:r>
      <w:r w:rsidR="00430355">
        <w:rPr>
          <w:rFonts w:cs="Times New Roman"/>
          <w:bCs/>
        </w:rPr>
        <w:t>C</w:t>
      </w:r>
      <w:r w:rsidR="00CF42F3">
        <w:rPr>
          <w:rFonts w:cs="Times New Roman"/>
          <w:bCs/>
        </w:rPr>
        <w:t>onsider an individual</w:t>
      </w:r>
      <w:r w:rsidR="00C515BE">
        <w:rPr>
          <w:rFonts w:cs="Times New Roman"/>
          <w:bCs/>
        </w:rPr>
        <w:t xml:space="preserve"> </w:t>
      </w:r>
      <w:r w:rsidR="00C515BE" w:rsidRPr="00C515BE">
        <w:rPr>
          <w:rFonts w:cs="Times New Roman"/>
          <w:bCs/>
          <w:position w:val="-10"/>
        </w:rPr>
        <w:object w:dxaOrig="200" w:dyaOrig="260" w14:anchorId="2924E2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2.85pt" o:ole="">
            <v:imagedata r:id="rId8" o:title=""/>
          </v:shape>
          <o:OLEObject Type="Embed" ProgID="Equation.DSMT4" ShapeID="_x0000_i1025" DrawAspect="Content" ObjectID="_1801464538" r:id="rId9"/>
        </w:object>
      </w:r>
      <w:r w:rsidR="00CF42F3">
        <w:rPr>
          <w:rFonts w:cs="Times New Roman"/>
          <w:bCs/>
        </w:rPr>
        <w:t xml:space="preserve"> </w:t>
      </w:r>
      <w:r w:rsidR="00C515BE" w:rsidRPr="006D2D2D">
        <w:rPr>
          <w:rFonts w:cs="Times New Roman"/>
          <w:bCs/>
          <w:position w:val="-10"/>
        </w:rPr>
        <w:object w:dxaOrig="1400" w:dyaOrig="320" w14:anchorId="1822AC65">
          <v:shape id="_x0000_i1026" type="#_x0000_t75" style="width:70.3pt;height:15.85pt" o:ole="">
            <v:imagedata r:id="rId10" o:title=""/>
          </v:shape>
          <o:OLEObject Type="Embed" ProgID="Equation.DSMT4" ShapeID="_x0000_i1026" DrawAspect="Content" ObjectID="_1801464539" r:id="rId11"/>
        </w:object>
      </w:r>
      <w:r w:rsidR="005058CA">
        <w:rPr>
          <w:rFonts w:cs="Times New Roman"/>
          <w:bCs/>
        </w:rPr>
        <w:t xml:space="preserve"> </w:t>
      </w:r>
      <w:r w:rsidR="00851B0B" w:rsidRPr="00C6225F">
        <w:rPr>
          <w:rFonts w:cs="Times New Roman"/>
        </w:rPr>
        <w:t xml:space="preserve">who ascribes a utility </w:t>
      </w:r>
      <w:r w:rsidR="00851B0B" w:rsidRPr="00C6225F">
        <w:rPr>
          <w:rFonts w:cs="Times New Roman"/>
          <w:position w:val="-14"/>
        </w:rPr>
        <w:object w:dxaOrig="360" w:dyaOrig="380" w14:anchorId="785D2843">
          <v:shape id="_x0000_i1027" type="#_x0000_t75" style="width:18pt;height:18pt" o:ole="" o:preferrelative="f">
            <v:imagedata r:id="rId12" o:title=""/>
            <o:lock v:ext="edit" aspectratio="f"/>
          </v:shape>
          <o:OLEObject Type="Embed" ProgID="Equation.3" ShapeID="_x0000_i1027" DrawAspect="Content" ObjectID="_1801464540" r:id="rId13"/>
        </w:object>
      </w:r>
      <w:r w:rsidR="00851B0B" w:rsidRPr="00C6225F">
        <w:rPr>
          <w:rFonts w:cs="Times New Roman"/>
        </w:rPr>
        <w:t xml:space="preserve"> to </w:t>
      </w:r>
      <w:r w:rsidR="004F4175">
        <w:rPr>
          <w:rFonts w:cs="Times New Roman"/>
        </w:rPr>
        <w:t xml:space="preserve">each </w:t>
      </w:r>
      <w:r w:rsidR="00851B0B" w:rsidRPr="00C6225F">
        <w:rPr>
          <w:rFonts w:cs="Times New Roman"/>
        </w:rPr>
        <w:t>alternative</w:t>
      </w:r>
      <w:r w:rsidR="004F4175">
        <w:rPr>
          <w:rFonts w:cs="Times New Roman"/>
        </w:rPr>
        <w:t xml:space="preserve"> housing factor</w:t>
      </w:r>
      <w:r w:rsidR="00C515BE">
        <w:rPr>
          <w:rFonts w:cs="Times New Roman"/>
        </w:rPr>
        <w:t xml:space="preserve"> </w:t>
      </w:r>
      <w:r w:rsidR="00C515BE" w:rsidRPr="00C515BE">
        <w:rPr>
          <w:rFonts w:cs="Times New Roman"/>
          <w:position w:val="-6"/>
        </w:rPr>
        <w:object w:dxaOrig="139" w:dyaOrig="260" w14:anchorId="769A505A">
          <v:shape id="_x0000_i1028" type="#_x0000_t75" style="width:7.3pt;height:12.85pt" o:ole="">
            <v:imagedata r:id="rId14" o:title=""/>
          </v:shape>
          <o:OLEObject Type="Embed" ProgID="Equation.DSMT4" ShapeID="_x0000_i1028" DrawAspect="Content" ObjectID="_1801464541" r:id="rId15"/>
        </w:object>
      </w:r>
      <w:r w:rsidR="00AD0437">
        <w:rPr>
          <w:rFonts w:cs="Times New Roman"/>
        </w:rPr>
        <w:t xml:space="preserve"> </w:t>
      </w:r>
      <w:r w:rsidR="00AD0437" w:rsidRPr="00AD0437">
        <w:rPr>
          <w:rFonts w:cs="Times New Roman"/>
          <w:position w:val="-10"/>
        </w:rPr>
        <w:object w:dxaOrig="1280" w:dyaOrig="320" w14:anchorId="0871F2B8">
          <v:shape id="_x0000_i1029" type="#_x0000_t75" style="width:64.7pt;height:15.85pt" o:ole="">
            <v:imagedata r:id="rId16" o:title=""/>
          </v:shape>
          <o:OLEObject Type="Embed" ProgID="Equation.DSMT4" ShapeID="_x0000_i1029" DrawAspect="Content" ObjectID="_1801464542" r:id="rId17"/>
        </w:object>
      </w:r>
      <w:r w:rsidR="00851B0B" w:rsidRPr="00C6225F">
        <w:rPr>
          <w:rFonts w:cs="Times New Roman"/>
          <w:color w:val="222222"/>
          <w:shd w:val="clear" w:color="auto" w:fill="FFFFFF"/>
        </w:rPr>
        <w:t>.</w:t>
      </w:r>
      <w:r w:rsidR="00EC3DC6" w:rsidRPr="00EC3DC6">
        <w:rPr>
          <w:rFonts w:cs="Times New Roman"/>
        </w:rPr>
        <w:t xml:space="preserve"> </w:t>
      </w:r>
      <w:r w:rsidR="00845DED">
        <w:rPr>
          <w:rFonts w:cs="Times New Roman"/>
        </w:rPr>
        <w:t>The individual-specific utility function</w:t>
      </w:r>
      <w:r w:rsidR="005B3A0E">
        <w:rPr>
          <w:rFonts w:cs="Times New Roman"/>
        </w:rPr>
        <w:t xml:space="preserve"> </w:t>
      </w:r>
      <w:r w:rsidR="005058CA">
        <w:rPr>
          <w:rFonts w:cs="Times New Roman"/>
        </w:rPr>
        <w:t xml:space="preserve">for </w:t>
      </w:r>
      <w:r w:rsidR="004F2E47">
        <w:rPr>
          <w:rFonts w:cs="Times New Roman"/>
        </w:rPr>
        <w:t xml:space="preserve">each alternative </w:t>
      </w:r>
      <w:r w:rsidR="00AB02D6">
        <w:rPr>
          <w:rFonts w:cs="Times New Roman"/>
        </w:rPr>
        <w:t xml:space="preserve">within </w:t>
      </w:r>
      <w:r w:rsidR="005058CA">
        <w:rPr>
          <w:rFonts w:cs="Times New Roman"/>
        </w:rPr>
        <w:t xml:space="preserve">the ROP model </w:t>
      </w:r>
      <w:r w:rsidR="005B3A0E">
        <w:rPr>
          <w:rFonts w:cs="Times New Roman"/>
        </w:rPr>
        <w:t xml:space="preserve">is written as follows: </w:t>
      </w:r>
    </w:p>
    <w:p w14:paraId="5AE6D7EC" w14:textId="1A896712" w:rsidR="00C20339" w:rsidRPr="00C6225F" w:rsidRDefault="00DE310A" w:rsidP="00251A17">
      <w:pPr>
        <w:pStyle w:val="MTDisplayEquation"/>
        <w:tabs>
          <w:tab w:val="clear" w:pos="4680"/>
          <w:tab w:val="center" w:pos="9360"/>
        </w:tabs>
        <w:spacing w:after="120"/>
        <w:jc w:val="left"/>
      </w:pPr>
      <w:r w:rsidRPr="00B36890">
        <w:rPr>
          <w:position w:val="-14"/>
        </w:rPr>
        <w:object w:dxaOrig="1500" w:dyaOrig="380" w14:anchorId="36432ED6">
          <v:shape id="_x0000_i1030" type="#_x0000_t75" style="width:75pt;height:19.3pt" o:ole="">
            <v:imagedata r:id="rId18" o:title=""/>
          </v:shape>
          <o:OLEObject Type="Embed" ProgID="Equation.DSMT4" ShapeID="_x0000_i1030" DrawAspect="Content" ObjectID="_1801464543" r:id="rId19"/>
        </w:object>
      </w:r>
      <w:r w:rsidR="00B36890">
        <w:tab/>
      </w:r>
      <w:r w:rsidR="00B36890">
        <w:fldChar w:fldCharType="begin"/>
      </w:r>
      <w:r w:rsidR="00B36890">
        <w:instrText xml:space="preserve"> MACROBUTTON MTPlaceRef \* MERGEFORMAT </w:instrText>
      </w:r>
      <w:r w:rsidR="00B36890">
        <w:fldChar w:fldCharType="begin"/>
      </w:r>
      <w:r w:rsidR="00B36890">
        <w:instrText xml:space="preserve"> SEQ MTEqn \h \* MERGEFORMAT </w:instrText>
      </w:r>
      <w:r w:rsidR="00B36890">
        <w:fldChar w:fldCharType="end"/>
      </w:r>
      <w:r w:rsidR="00B36890">
        <w:instrText>(</w:instrText>
      </w:r>
      <w:r w:rsidR="009411E9">
        <w:fldChar w:fldCharType="begin"/>
      </w:r>
      <w:r w:rsidR="009411E9">
        <w:instrText xml:space="preserve"> SEQ MTEqn \c \* Arabic \* MERGEFORMAT </w:instrText>
      </w:r>
      <w:r w:rsidR="009411E9">
        <w:fldChar w:fldCharType="separate"/>
      </w:r>
      <w:r w:rsidR="00702F1D">
        <w:rPr>
          <w:noProof/>
        </w:rPr>
        <w:instrText>1</w:instrText>
      </w:r>
      <w:r w:rsidR="009411E9">
        <w:rPr>
          <w:noProof/>
        </w:rPr>
        <w:fldChar w:fldCharType="end"/>
      </w:r>
      <w:r w:rsidR="00B36890">
        <w:instrText>)</w:instrText>
      </w:r>
      <w:r w:rsidR="00B36890">
        <w:fldChar w:fldCharType="end"/>
      </w:r>
    </w:p>
    <w:p w14:paraId="31CC215E" w14:textId="786C4D87" w:rsidR="00D46F7F" w:rsidRDefault="00D67173" w:rsidP="00D46F7F">
      <w:pPr>
        <w:autoSpaceDE w:val="0"/>
        <w:autoSpaceDN w:val="0"/>
        <w:adjustRightInd w:val="0"/>
        <w:spacing w:after="0" w:line="240" w:lineRule="auto"/>
        <w:jc w:val="both"/>
        <w:rPr>
          <w:rFonts w:cs="Times New Roman"/>
        </w:rPr>
      </w:pPr>
      <w:r>
        <w:rPr>
          <w:rFonts w:cs="Times New Roman"/>
        </w:rPr>
        <w:t xml:space="preserve">where </w:t>
      </w:r>
      <w:r w:rsidRPr="00C6225F">
        <w:rPr>
          <w:rFonts w:cs="Times New Roman"/>
          <w:position w:val="-14"/>
        </w:rPr>
        <w:object w:dxaOrig="320" w:dyaOrig="380" w14:anchorId="3BD37069">
          <v:shape id="_x0000_i1031" type="#_x0000_t75" style="width:18pt;height:19.3pt" o:ole="">
            <v:imagedata r:id="rId20" o:title=""/>
          </v:shape>
          <o:OLEObject Type="Embed" ProgID="Equation.DSMT4" ShapeID="_x0000_i1031" DrawAspect="Content" ObjectID="_1801464544" r:id="rId21"/>
        </w:object>
      </w:r>
      <w:r w:rsidRPr="00C6225F">
        <w:rPr>
          <w:rFonts w:cs="Times New Roman"/>
        </w:rPr>
        <w:t xml:space="preserve"> is a </w:t>
      </w:r>
      <w:r w:rsidR="00A54C14" w:rsidRPr="00C6225F">
        <w:rPr>
          <w:rFonts w:cs="Times New Roman"/>
          <w:position w:val="-10"/>
        </w:rPr>
        <w:object w:dxaOrig="660" w:dyaOrig="320" w14:anchorId="398C3460">
          <v:shape id="_x0000_i1032" type="#_x0000_t75" style="width:33.85pt;height:15.85pt" o:ole="">
            <v:imagedata r:id="rId22" o:title=""/>
          </v:shape>
          <o:OLEObject Type="Embed" ProgID="Equation.DSMT4" ShapeID="_x0000_i1032" DrawAspect="Content" ObjectID="_1801464545" r:id="rId23"/>
        </w:object>
      </w:r>
      <w:r w:rsidRPr="00C6225F">
        <w:rPr>
          <w:rFonts w:cs="Times New Roman"/>
        </w:rPr>
        <w:t xml:space="preserve"> vector of exogenous attributes (including a constant for each alternative</w:t>
      </w:r>
      <w:r w:rsidR="005058CA">
        <w:rPr>
          <w:rFonts w:cs="Times New Roman"/>
        </w:rPr>
        <w:t xml:space="preserve"> </w:t>
      </w:r>
      <w:r w:rsidR="00E37E48">
        <w:rPr>
          <w:rFonts w:cs="Times New Roman"/>
        </w:rPr>
        <w:t>excluding a base alternative</w:t>
      </w:r>
      <w:r w:rsidRPr="00C6225F">
        <w:rPr>
          <w:rFonts w:cs="Times New Roman"/>
        </w:rPr>
        <w:t xml:space="preserve">), and </w:t>
      </w:r>
      <w:r w:rsidR="00DE310A" w:rsidRPr="00DE310A">
        <w:rPr>
          <w:rFonts w:cs="Times New Roman"/>
          <w:position w:val="-10"/>
        </w:rPr>
        <w:object w:dxaOrig="200" w:dyaOrig="320" w14:anchorId="52C2249C">
          <v:shape id="_x0000_i1033" type="#_x0000_t75" style="width:9pt;height:15.85pt" o:ole="">
            <v:imagedata r:id="rId24" o:title=""/>
          </v:shape>
          <o:OLEObject Type="Embed" ProgID="Equation.DSMT4" ShapeID="_x0000_i1033" DrawAspect="Content" ObjectID="_1801464546" r:id="rId25"/>
        </w:object>
      </w:r>
      <w:r w:rsidRPr="00C6225F">
        <w:rPr>
          <w:rFonts w:cs="Times New Roman"/>
        </w:rPr>
        <w:t xml:space="preserve"> is a</w:t>
      </w:r>
      <w:r w:rsidR="00863BB1">
        <w:rPr>
          <w:rFonts w:cs="Times New Roman"/>
        </w:rPr>
        <w:t xml:space="preserve"> corresponding</w:t>
      </w:r>
      <w:r w:rsidRPr="00C6225F">
        <w:rPr>
          <w:rFonts w:cs="Times New Roman"/>
        </w:rPr>
        <w:t xml:space="preserve"> </w:t>
      </w:r>
      <w:r w:rsidR="00863BB1" w:rsidRPr="00C6225F">
        <w:rPr>
          <w:rFonts w:cs="Times New Roman"/>
          <w:position w:val="-10"/>
        </w:rPr>
        <w:object w:dxaOrig="660" w:dyaOrig="320" w14:anchorId="7D03576D">
          <v:shape id="_x0000_i1034" type="#_x0000_t75" style="width:33.85pt;height:15.85pt" o:ole="">
            <v:imagedata r:id="rId26" o:title=""/>
          </v:shape>
          <o:OLEObject Type="Embed" ProgID="Equation.DSMT4" ShapeID="_x0000_i1034" DrawAspect="Content" ObjectID="_1801464547" r:id="rId27"/>
        </w:object>
      </w:r>
      <w:r w:rsidRPr="00C6225F">
        <w:rPr>
          <w:rFonts w:cs="Times New Roman"/>
        </w:rPr>
        <w:t xml:space="preserve"> vector of </w:t>
      </w:r>
      <w:proofErr w:type="gramStart"/>
      <w:r w:rsidRPr="00C6225F">
        <w:rPr>
          <w:rFonts w:cs="Times New Roman"/>
        </w:rPr>
        <w:t>coefficients</w:t>
      </w:r>
      <w:r w:rsidR="009B082D">
        <w:rPr>
          <w:rFonts w:cs="Times New Roman"/>
        </w:rPr>
        <w:t>.</w:t>
      </w:r>
      <w:proofErr w:type="gramEnd"/>
      <w:r w:rsidR="009B082D">
        <w:rPr>
          <w:rFonts w:cs="Times New Roman"/>
        </w:rPr>
        <w:t xml:space="preserve"> </w:t>
      </w:r>
      <w:r w:rsidR="00C63FC3" w:rsidRPr="00C6225F">
        <w:rPr>
          <w:rFonts w:cs="Times New Roman"/>
        </w:rPr>
        <w:t>We also assume that</w:t>
      </w:r>
      <w:r w:rsidR="009B082D">
        <w:rPr>
          <w:rFonts w:cs="Times New Roman"/>
        </w:rPr>
        <w:t xml:space="preserve"> the error term</w:t>
      </w:r>
      <w:r w:rsidR="00C63FC3" w:rsidRPr="00C6225F">
        <w:rPr>
          <w:rFonts w:cs="Times New Roman"/>
        </w:rPr>
        <w:t xml:space="preserve"> </w:t>
      </w:r>
      <w:r w:rsidR="00251A17" w:rsidRPr="00C6225F">
        <w:rPr>
          <w:rFonts w:cs="Times New Roman"/>
          <w:position w:val="-14"/>
        </w:rPr>
        <w:object w:dxaOrig="300" w:dyaOrig="380" w14:anchorId="51E12D1D">
          <v:shape id="_x0000_i1035" type="#_x0000_t75" style="width:15pt;height:18.85pt" o:ole="" o:preferrelative="f">
            <v:imagedata r:id="rId28" o:title=""/>
            <o:lock v:ext="edit" aspectratio="f"/>
          </v:shape>
          <o:OLEObject Type="Embed" ProgID="Equation.DSMT4" ShapeID="_x0000_i1035" DrawAspect="Content" ObjectID="_1801464548" r:id="rId29"/>
        </w:object>
      </w:r>
      <w:r w:rsidR="00C63FC3" w:rsidRPr="00C6225F">
        <w:rPr>
          <w:rFonts w:cs="Times New Roman"/>
        </w:rPr>
        <w:t xml:space="preserve"> is independent and identically normally distributed across </w:t>
      </w:r>
      <w:r w:rsidR="00883F3A">
        <w:rPr>
          <w:rFonts w:cs="Times New Roman"/>
        </w:rPr>
        <w:t xml:space="preserve">individuals </w:t>
      </w:r>
      <w:r w:rsidR="00FF3A4E" w:rsidRPr="00C6225F">
        <w:rPr>
          <w:rFonts w:cs="Times New Roman"/>
          <w:i/>
        </w:rPr>
        <w:t>q</w:t>
      </w:r>
      <w:r w:rsidR="00FF3A4E" w:rsidRPr="00C6225F">
        <w:rPr>
          <w:rFonts w:cs="Times New Roman"/>
        </w:rPr>
        <w:t xml:space="preserve"> but</w:t>
      </w:r>
      <w:r w:rsidR="00C63FC3" w:rsidRPr="00C6225F">
        <w:rPr>
          <w:rFonts w:cs="Times New Roman"/>
        </w:rPr>
        <w:t xml:space="preserve"> allow a general covariance structure across alternatives for </w:t>
      </w:r>
      <w:r w:rsidR="00883F3A">
        <w:rPr>
          <w:rFonts w:cs="Times New Roman"/>
        </w:rPr>
        <w:t xml:space="preserve">each </w:t>
      </w:r>
      <w:r w:rsidR="00C63FC3" w:rsidRPr="00C6225F">
        <w:rPr>
          <w:rFonts w:cs="Times New Roman"/>
        </w:rPr>
        <w:t xml:space="preserve">individual. Specifically, let </w:t>
      </w:r>
      <w:r w:rsidR="00251A17" w:rsidRPr="00C6225F">
        <w:rPr>
          <w:rFonts w:cs="Times New Roman"/>
          <w:position w:val="-14"/>
        </w:rPr>
        <w:object w:dxaOrig="2000" w:dyaOrig="380" w14:anchorId="468C8CCC">
          <v:shape id="_x0000_i1036" type="#_x0000_t75" style="width:100.3pt;height:18.85pt" o:ole="" o:preferrelative="f">
            <v:imagedata r:id="rId30" o:title=""/>
            <o:lock v:ext="edit" aspectratio="f"/>
          </v:shape>
          <o:OLEObject Type="Embed" ProgID="Equation.DSMT4" ShapeID="_x0000_i1036" DrawAspect="Content" ObjectID="_1801464549" r:id="rId31"/>
        </w:object>
      </w:r>
      <w:r w:rsidR="00C63FC3" w:rsidRPr="00C6225F">
        <w:rPr>
          <w:rFonts w:cs="Times New Roman"/>
        </w:rPr>
        <w:t xml:space="preserve"> (</w:t>
      </w:r>
      <w:r w:rsidR="00C63FC3" w:rsidRPr="00C6225F">
        <w:rPr>
          <w:rFonts w:cs="Times New Roman"/>
          <w:position w:val="-4"/>
        </w:rPr>
        <w:object w:dxaOrig="499" w:dyaOrig="260" w14:anchorId="19025118">
          <v:shape id="_x0000_i1037" type="#_x0000_t75" style="width:24pt;height:12.85pt" o:ole="">
            <v:imagedata r:id="rId32" o:title=""/>
          </v:shape>
          <o:OLEObject Type="Embed" ProgID="Equation.3" ShapeID="_x0000_i1037" DrawAspect="Content" ObjectID="_1801464550" r:id="rId33"/>
        </w:object>
      </w:r>
      <w:r w:rsidR="00C21220">
        <w:rPr>
          <w:rFonts w:cs="Times New Roman"/>
        </w:rPr>
        <w:t xml:space="preserve"> vector</w:t>
      </w:r>
      <w:r w:rsidR="00C63FC3" w:rsidRPr="00C6225F">
        <w:rPr>
          <w:rFonts w:cs="Times New Roman"/>
        </w:rPr>
        <w:t xml:space="preserve">). Then, we assume </w:t>
      </w:r>
      <w:r w:rsidR="00A27FD3" w:rsidRPr="00C6225F">
        <w:rPr>
          <w:rFonts w:cs="Times New Roman"/>
          <w:position w:val="-14"/>
        </w:rPr>
        <w:object w:dxaOrig="1700" w:dyaOrig="380" w14:anchorId="08EDB72D">
          <v:shape id="_x0000_i1038" type="#_x0000_t75" style="width:86.15pt;height:19.3pt" o:ole="">
            <v:imagedata r:id="rId34" o:title=""/>
          </v:shape>
          <o:OLEObject Type="Embed" ProgID="Equation.DSMT4" ShapeID="_x0000_i1038" DrawAspect="Content" ObjectID="_1801464551" r:id="rId35"/>
        </w:object>
      </w:r>
      <w:r w:rsidR="00C63FC3" w:rsidRPr="00C6225F">
        <w:rPr>
          <w:rFonts w:cs="Times New Roman"/>
        </w:rPr>
        <w:t>.</w:t>
      </w:r>
      <w:r w:rsidR="006A2949">
        <w:rPr>
          <w:rFonts w:cs="Times New Roman"/>
        </w:rPr>
        <w:t xml:space="preserve"> </w:t>
      </w:r>
      <w:r w:rsidR="00D46F7F">
        <w:rPr>
          <w:rFonts w:cs="Times New Roman"/>
        </w:rPr>
        <w:t xml:space="preserve">Additionally, for identification of this specification (as in Multinomial Probit models), exclusion </w:t>
      </w:r>
      <w:r w:rsidR="00D46F7F">
        <w:rPr>
          <w:rFonts w:cs="Times New Roman"/>
        </w:rPr>
        <w:lastRenderedPageBreak/>
        <w:t>restrictions are needed for individual-specific cov</w:t>
      </w:r>
      <w:r w:rsidR="00D46F7F" w:rsidRPr="00D46F7F">
        <w:rPr>
          <w:rFonts w:cs="Times New Roman"/>
        </w:rPr>
        <w:t xml:space="preserve">ariates such that at least one individual characteristic is excluded from each alternative’s utility in addition to being excluded from a base alternative. These exclusion restrictions are not needed for covariates whose values vary across alternatives </w:t>
      </w:r>
      <w:r w:rsidR="00D46F7F" w:rsidRPr="00D46F7F">
        <w:rPr>
          <w:rFonts w:cs="Times New Roman"/>
        </w:rPr>
        <w:fldChar w:fldCharType="begin"/>
      </w:r>
      <w:r w:rsidR="00D46F7F" w:rsidRPr="00D46F7F">
        <w:rPr>
          <w:rFonts w:cs="Times New Roman"/>
        </w:rPr>
        <w:instrText xml:space="preserve"> ADDIN ZOTERO_ITEM CSL_CITATION {"citationID":"yn0srsbi","properties":{"formattedCitation":"(Keane, 1992; Munkin and Trivedi, 2008)","plainCitation":"(Keane, 1992; Munkin and Trivedi, 2008)","dontUpdate":true,"noteIndex":0},"citationItems":[{"id":2101,"uris":["http://zotero.org/users/12832277/items/SQRWE9DS"],"itemData":{"id":2101,"type":"article-journal","abstract":"Although formal conditions for identification in the multinomial probit (MNP) model are now clearly established, little is known about how various estimable MNP specifications perform in practice. This article shows that parameter identification in the MNP model is extremely tenuous in the absence of exclusion restrictions. This previously unnoticed fact is important because formal identification of MNP models does not require exclusion restrictions, and many potential economic applications of MNP are to situations in which exclusion restrictions are not readily available. Thus, failure to be aware of the difficulties present in such situations may lead to reporting of unreliable results.","container-title":"Journal of Business &amp; Economic Statistics","DOI":"10.1080/07350015.1992.10509898","ISSN":"0735-0015","issue":"2","note":"publisher: Taylor &amp; Francis\n_eprint: https://www.tandfonline.com/doi/pdf/10.1080/07350015.1992.10509898","page":"193-200","source":"Taylor and Francis+NEJM","title":"A Note on Identification in the Multinomial Probit Model","volume":"10","author":[{"family":"Keane","given":"Michael P."}],"issued":{"date-parts":[["1992",4,1]]}}},{"id":2103,"uris":["http://zotero.org/users/12832277/items/U6KCDYB4"],"itemData":{"id":2103,"type":"article-journal","abstract":"This paper presents a Bayesian analysis of an ordered probit model with endogenous selection. The model can be applied when analyzing ordered outcomes that depend on endogenous covariates that are discrete choice indicators modeled by a multinomial probit model. The model is illustrated by analyzing the effects of different types of medical insurance plans on the level of hospital utilization, allowing for potential endogeneity of insurance status. The estimation is performed using the Markov chain Monte Carlo (MCMC) methods to approximate the posterior distribution of the parameters in the model.","container-title":"Journal of Econometrics","DOI":"10.1016/j.jeconom.2007.11.001","ISSN":"0304-4076","issue":"2","page":"334-348","source":"ScienceDirect","title":"Bayesian Analysis of the Ordered Probit Model with Endogenous Selection","volume":"143","author":[{"family":"Munkin","given":"Murat K."},{"family":"Trivedi","given":"Pravin K."}],"issued":{"date-parts":[["2008",4,1]]}}}],"schema":"https://github.com/citation-style-language/schema/raw/master/csl-citation.json"} </w:instrText>
      </w:r>
      <w:r w:rsidR="00D46F7F" w:rsidRPr="00D46F7F">
        <w:rPr>
          <w:rFonts w:cs="Times New Roman"/>
        </w:rPr>
        <w:fldChar w:fldCharType="separate"/>
      </w:r>
      <w:r w:rsidR="00D46F7F" w:rsidRPr="00D46F7F">
        <w:rPr>
          <w:rFonts w:cs="Times New Roman"/>
        </w:rPr>
        <w:t>(see Keane, 1992; Munkin and Trivedi, 2008)</w:t>
      </w:r>
      <w:r w:rsidR="00D46F7F" w:rsidRPr="00D46F7F">
        <w:rPr>
          <w:rFonts w:cs="Times New Roman"/>
        </w:rPr>
        <w:fldChar w:fldCharType="end"/>
      </w:r>
      <w:r w:rsidR="00D46F7F" w:rsidRPr="00D46F7F">
        <w:rPr>
          <w:rFonts w:cs="Times New Roman"/>
        </w:rPr>
        <w:t>.</w:t>
      </w:r>
    </w:p>
    <w:p w14:paraId="69150BE8" w14:textId="1514520C" w:rsidR="00F7103E" w:rsidRDefault="006A2949" w:rsidP="00D46F7F">
      <w:pPr>
        <w:autoSpaceDE w:val="0"/>
        <w:autoSpaceDN w:val="0"/>
        <w:adjustRightInd w:val="0"/>
        <w:spacing w:after="0" w:line="240" w:lineRule="auto"/>
        <w:ind w:firstLine="720"/>
        <w:jc w:val="both"/>
        <w:rPr>
          <w:rFonts w:cs="Times New Roman"/>
        </w:rPr>
      </w:pPr>
      <w:r>
        <w:rPr>
          <w:rFonts w:cs="Times New Roman"/>
        </w:rPr>
        <w:t xml:space="preserve">Since </w:t>
      </w:r>
      <w:r w:rsidR="00EA25FD" w:rsidRPr="00C6225F">
        <w:rPr>
          <w:rFonts w:cs="Times New Roman"/>
        </w:rPr>
        <w:t xml:space="preserve">the utility of all the alternatives can be multiplied by a positive constant </w:t>
      </w:r>
      <w:r w:rsidR="005058CA">
        <w:rPr>
          <w:rFonts w:cs="Times New Roman"/>
        </w:rPr>
        <w:t xml:space="preserve">and </w:t>
      </w:r>
      <w:r w:rsidR="005058CA" w:rsidRPr="00C6225F">
        <w:rPr>
          <w:rFonts w:cs="Times New Roman"/>
        </w:rPr>
        <w:t xml:space="preserve">a constant can be added to all the utilities </w:t>
      </w:r>
      <w:r w:rsidR="00EA25FD" w:rsidRPr="00C6225F">
        <w:rPr>
          <w:rFonts w:cs="Times New Roman"/>
        </w:rPr>
        <w:t>without changing the rank-ordering of the utilities</w:t>
      </w:r>
      <w:r w:rsidR="00EA25FD">
        <w:rPr>
          <w:rFonts w:cs="Times New Roman"/>
        </w:rPr>
        <w:t xml:space="preserve">, </w:t>
      </w:r>
      <w:r w:rsidR="00F132E3">
        <w:rPr>
          <w:rFonts w:cs="Times New Roman"/>
        </w:rPr>
        <w:t>a</w:t>
      </w:r>
      <w:r w:rsidR="00F132E3" w:rsidRPr="00C6225F">
        <w:rPr>
          <w:rFonts w:cs="Times New Roman"/>
        </w:rPr>
        <w:t>ppropriate scale and level normalization</w:t>
      </w:r>
      <w:r w:rsidR="00F132E3">
        <w:rPr>
          <w:rFonts w:cs="Times New Roman"/>
        </w:rPr>
        <w:t>s</w:t>
      </w:r>
      <w:r w:rsidR="00F132E3" w:rsidRPr="00C6225F">
        <w:rPr>
          <w:rFonts w:cs="Times New Roman"/>
        </w:rPr>
        <w:t xml:space="preserve"> must be imposed on </w:t>
      </w:r>
      <w:r w:rsidR="00F132E3" w:rsidRPr="00C6225F">
        <w:rPr>
          <w:rFonts w:cs="Times New Roman"/>
          <w:position w:val="-4"/>
        </w:rPr>
        <w:object w:dxaOrig="260" w:dyaOrig="260" w14:anchorId="27C39D3F">
          <v:shape id="_x0000_i1039" type="#_x0000_t75" style="width:12.85pt;height:12.85pt" o:ole="">
            <v:imagedata r:id="rId36" o:title=""/>
          </v:shape>
          <o:OLEObject Type="Embed" ProgID="Equation.DSMT4" ShapeID="_x0000_i1039" DrawAspect="Content" ObjectID="_1801464552" r:id="rId37"/>
        </w:object>
      </w:r>
      <w:r w:rsidR="00F132E3" w:rsidRPr="00C6225F">
        <w:rPr>
          <w:rFonts w:cs="Times New Roman"/>
        </w:rPr>
        <w:t xml:space="preserve"> for identifiability</w:t>
      </w:r>
      <w:r w:rsidR="00DB6458">
        <w:rPr>
          <w:rFonts w:cs="Times New Roman"/>
        </w:rPr>
        <w:t xml:space="preserve"> </w:t>
      </w:r>
      <w:r w:rsidR="00DB6458">
        <w:rPr>
          <w:rFonts w:cs="Times New Roman"/>
        </w:rPr>
        <w:fldChar w:fldCharType="begin"/>
      </w:r>
      <w:r w:rsidR="00DB6458">
        <w:rPr>
          <w:rFonts w:cs="Times New Roman"/>
        </w:rPr>
        <w:instrText xml:space="preserve"> ADDIN ZOTERO_ITEM CSL_CITATION {"citationID":"3luGRown","properties":{"formattedCitation":"(Alvo and Yu, 2014)","plainCitation":"(Alvo and Yu, 2014)","noteIndex":0},"citationItems":[{"id":2099,"uris":["http://zotero.org/users/12832277/items/QGBXJ4QM"],"itemData":{"id":2099,"type":"chapter","abstract":"In 1980, the American Psychological Association (APA) conducted an election in which five candidates (A, B, C, D, and E) were running for president and voters were asked to rank order all of the candidates. Candidates A and B are research psychologists, C is a community psychologist, and D and E are clinical psychologists. Among those voters, 5738 gave complete rankings. These complete rankings are considered here (Diaconis (1988)). Note that lower rank implies more favorable. Then the average ranks received by candidates A, B, C, D, and E are 2.84, 3.16, 2.92, 3.09, and 2.99, respectively. This means that voters generally prefer candidate A the most, candidate C the second, etc. However, in order to make inferences on the preferences of the candidates, modeling of the ranking data is needed. In Sect. 9.1 we consider a model for this data which takes into account covariates.","collection-title":"Frontiers in Probability and the Statistical Sciences","container-title":"Statistical Methods for Ranking Data","event-place":"New York, NY","ISBN":"978-1-4939-1471-5","language":"en","note":"DOI: 10.1007/978-1-4939-1471-5_9","page":"171-198","publisher":"Springer","publisher-place":"New York, NY","source":"Springer Link","title":"Probit Models for Ranking Data","URL":"https://doi.org/10.1007/978-1-4939-1471-5_9","author":[{"family":"Alvo","given":"Mayer"},{"family":"Yu","given":"Philip L. H."}],"editor":[{"family":"Alvo","given":"Mayer"},{"family":"Yu","given":"Philip L.H."}],"accessed":{"date-parts":[["2024",1,22]]},"issued":{"date-parts":[["2014"]]}}}],"schema":"https://github.com/citation-style-language/schema/raw/master/csl-citation.json"} </w:instrText>
      </w:r>
      <w:r w:rsidR="00DB6458">
        <w:rPr>
          <w:rFonts w:cs="Times New Roman"/>
        </w:rPr>
        <w:fldChar w:fldCharType="separate"/>
      </w:r>
      <w:r w:rsidR="00DB6458" w:rsidRPr="00DB6458">
        <w:rPr>
          <w:rFonts w:cs="Times New Roman"/>
        </w:rPr>
        <w:t>(</w:t>
      </w:r>
      <w:proofErr w:type="spellStart"/>
      <w:r w:rsidR="00DB6458" w:rsidRPr="00DB6458">
        <w:rPr>
          <w:rFonts w:cs="Times New Roman"/>
        </w:rPr>
        <w:t>Alvo</w:t>
      </w:r>
      <w:proofErr w:type="spellEnd"/>
      <w:r w:rsidR="00DB6458" w:rsidRPr="00DB6458">
        <w:rPr>
          <w:rFonts w:cs="Times New Roman"/>
        </w:rPr>
        <w:t xml:space="preserve"> and Yu, 2014)</w:t>
      </w:r>
      <w:r w:rsidR="00DB6458">
        <w:rPr>
          <w:rFonts w:cs="Times New Roman"/>
        </w:rPr>
        <w:fldChar w:fldCharType="end"/>
      </w:r>
      <w:r w:rsidR="00F132E3">
        <w:rPr>
          <w:rFonts w:cs="Times New Roman"/>
        </w:rPr>
        <w:t xml:space="preserve">. </w:t>
      </w:r>
      <w:r w:rsidR="008D3041" w:rsidRPr="00C6225F">
        <w:rPr>
          <w:rFonts w:cs="Times New Roman"/>
        </w:rPr>
        <w:t xml:space="preserve">Taking the utility differentials with respect to the first alternative, only the elements of the covariance matrix </w:t>
      </w:r>
      <w:r w:rsidR="008D3041" w:rsidRPr="00C6225F">
        <w:rPr>
          <w:rFonts w:cs="Times New Roman"/>
          <w:position w:val="-12"/>
        </w:rPr>
        <w:object w:dxaOrig="320" w:dyaOrig="360" w14:anchorId="6AF8809C">
          <v:shape id="_x0000_i1040" type="#_x0000_t75" style="width:15.85pt;height:18pt" o:ole="" o:preferrelative="f">
            <v:imagedata r:id="rId38" o:title=""/>
            <o:lock v:ext="edit" aspectratio="f"/>
          </v:shape>
          <o:OLEObject Type="Embed" ProgID="Equation.DSMT4" ShapeID="_x0000_i1040" DrawAspect="Content" ObjectID="_1801464553" r:id="rId39"/>
        </w:object>
      </w:r>
      <w:r w:rsidR="008D3041" w:rsidRPr="00C6225F">
        <w:rPr>
          <w:rFonts w:cs="Times New Roman"/>
        </w:rPr>
        <w:t xml:space="preserve"> of </w:t>
      </w:r>
      <w:r w:rsidR="008D3041" w:rsidRPr="00C6225F">
        <w:rPr>
          <w:rFonts w:cs="Times New Roman"/>
          <w:position w:val="-14"/>
        </w:rPr>
        <w:object w:dxaOrig="1980" w:dyaOrig="380" w14:anchorId="5A6ACE11">
          <v:shape id="_x0000_i1041" type="#_x0000_t75" style="width:99.85pt;height:18pt" o:ole="" o:preferrelative="f">
            <v:imagedata r:id="rId40" o:title=""/>
            <o:lock v:ext="edit" aspectratio="f"/>
          </v:shape>
          <o:OLEObject Type="Embed" ProgID="Equation.DSMT4" ShapeID="_x0000_i1041" DrawAspect="Content" ObjectID="_1801464554" r:id="rId41"/>
        </w:object>
      </w:r>
      <w:r w:rsidR="008D3041" w:rsidRPr="00C6225F">
        <w:rPr>
          <w:rFonts w:cs="Times New Roman"/>
        </w:rPr>
        <w:t xml:space="preserve"> are estimable. However, the approach </w:t>
      </w:r>
      <w:r w:rsidR="00B3016E">
        <w:rPr>
          <w:rFonts w:cs="Times New Roman"/>
        </w:rPr>
        <w:t>used</w:t>
      </w:r>
      <w:r w:rsidR="008D3041" w:rsidRPr="00C6225F">
        <w:rPr>
          <w:rFonts w:cs="Times New Roman"/>
        </w:rPr>
        <w:t xml:space="preserve"> here takes the </w:t>
      </w:r>
      <w:r w:rsidR="00D46F7F">
        <w:rPr>
          <w:rFonts w:cs="Times New Roman"/>
        </w:rPr>
        <w:t>utility differences</w:t>
      </w:r>
      <w:r w:rsidR="008D3041" w:rsidRPr="00C6225F">
        <w:rPr>
          <w:rFonts w:cs="Times New Roman"/>
        </w:rPr>
        <w:t xml:space="preserve"> in a specific way </w:t>
      </w:r>
      <w:r w:rsidR="00D46F7F">
        <w:rPr>
          <w:rFonts w:cs="Times New Roman"/>
        </w:rPr>
        <w:t>as</w:t>
      </w:r>
      <w:r w:rsidR="008D3041" w:rsidRPr="00C6225F">
        <w:rPr>
          <w:rFonts w:cs="Times New Roman"/>
        </w:rPr>
        <w:t xml:space="preserve"> a function of the observed ranking (as discussed later). Thus, if individual </w:t>
      </w:r>
      <w:r w:rsidR="008D3041" w:rsidRPr="00C6225F">
        <w:rPr>
          <w:rFonts w:cs="Times New Roman"/>
          <w:i/>
        </w:rPr>
        <w:t>q</w:t>
      </w:r>
      <w:r w:rsidR="008D3041" w:rsidRPr="00C6225F">
        <w:rPr>
          <w:rFonts w:cs="Times New Roman"/>
        </w:rPr>
        <w:t xml:space="preserve"> </w:t>
      </w:r>
      <w:r w:rsidR="00D46F7F">
        <w:rPr>
          <w:rFonts w:cs="Times New Roman"/>
        </w:rPr>
        <w:t>selects</w:t>
      </w:r>
      <w:r w:rsidR="008D3041" w:rsidRPr="00C6225F">
        <w:rPr>
          <w:rFonts w:cs="Times New Roman"/>
        </w:rPr>
        <w:t xml:space="preserve"> ranking </w:t>
      </w:r>
      <w:r w:rsidR="008D3041" w:rsidRPr="00C6225F">
        <w:rPr>
          <w:rFonts w:cs="Times New Roman"/>
          <w:position w:val="-14"/>
        </w:rPr>
        <w:object w:dxaOrig="220" w:dyaOrig="380" w14:anchorId="4E704382">
          <v:shape id="_x0000_i1042" type="#_x0000_t75" style="width:11.15pt;height:19.3pt" o:ole="">
            <v:imagedata r:id="rId42" o:title=""/>
          </v:shape>
          <o:OLEObject Type="Embed" ProgID="Equation.DSMT4" ShapeID="_x0000_i1042" DrawAspect="Content" ObjectID="_1801464555" r:id="rId43"/>
        </w:object>
      </w:r>
      <w:r w:rsidR="008D3041" w:rsidRPr="00C6225F">
        <w:rPr>
          <w:rFonts w:cs="Times New Roman"/>
        </w:rPr>
        <w:t xml:space="preserve">, the covariance matrix </w:t>
      </w:r>
      <w:r w:rsidR="008D3041" w:rsidRPr="00C6225F">
        <w:rPr>
          <w:rFonts w:cs="Times New Roman"/>
          <w:position w:val="-16"/>
        </w:rPr>
        <w:object w:dxaOrig="380" w:dyaOrig="400" w14:anchorId="43DAAA31">
          <v:shape id="_x0000_i1043" type="#_x0000_t75" style="width:18pt;height:19.7pt" o:ole="" o:preferrelative="f">
            <v:imagedata r:id="rId44" o:title=""/>
            <o:lock v:ext="edit" aspectratio="f"/>
          </v:shape>
          <o:OLEObject Type="Embed" ProgID="Equation.DSMT4" ShapeID="_x0000_i1043" DrawAspect="Content" ObjectID="_1801464556" r:id="rId45"/>
        </w:object>
      </w:r>
      <w:r w:rsidR="008D3041" w:rsidRPr="00C6225F">
        <w:rPr>
          <w:rFonts w:cs="Times New Roman"/>
        </w:rPr>
        <w:t xml:space="preserve"> is desired for the individual.</w:t>
      </w:r>
      <w:r w:rsidR="00F777A5">
        <w:rPr>
          <w:rFonts w:cs="Times New Roman"/>
        </w:rPr>
        <w:t xml:space="preserve"> But</w:t>
      </w:r>
      <w:bookmarkStart w:id="1" w:name="_Hlk88726510"/>
      <w:r w:rsidR="008D3041" w:rsidRPr="00C6225F">
        <w:rPr>
          <w:rFonts w:cs="Times New Roman"/>
        </w:rPr>
        <w:t xml:space="preserve">, even though different differenced covariance matrices are used for different individuals, they must originate </w:t>
      </w:r>
      <w:r w:rsidR="00D46F7F">
        <w:rPr>
          <w:rFonts w:cs="Times New Roman"/>
        </w:rPr>
        <w:t>from</w:t>
      </w:r>
      <w:r w:rsidR="00D46F7F" w:rsidRPr="00C6225F">
        <w:rPr>
          <w:rFonts w:cs="Times New Roman"/>
        </w:rPr>
        <w:t xml:space="preserve"> </w:t>
      </w:r>
      <w:r w:rsidR="008D3041" w:rsidRPr="00C6225F">
        <w:rPr>
          <w:rFonts w:cs="Times New Roman"/>
        </w:rPr>
        <w:t xml:space="preserve">the same matrix </w:t>
      </w:r>
      <w:r w:rsidR="001D474D" w:rsidRPr="00AD0437">
        <w:rPr>
          <w:rFonts w:cs="Times New Roman"/>
          <w:b/>
          <w:position w:val="-4"/>
        </w:rPr>
        <w:object w:dxaOrig="260" w:dyaOrig="260" w14:anchorId="11A69E41">
          <v:shape id="_x0000_i1044" type="#_x0000_t75" style="width:12.85pt;height:12.85pt" o:ole="">
            <v:imagedata r:id="rId46" o:title=""/>
          </v:shape>
          <o:OLEObject Type="Embed" ProgID="Equation.DSMT4" ShapeID="_x0000_i1044" DrawAspect="Content" ObjectID="_1801464557" r:id="rId47"/>
        </w:object>
      </w:r>
      <w:r w:rsidR="008D3041" w:rsidRPr="00C6225F">
        <w:rPr>
          <w:rFonts w:cs="Times New Roman"/>
        </w:rPr>
        <w:t xml:space="preserve">. </w:t>
      </w:r>
      <w:bookmarkEnd w:id="1"/>
      <w:r w:rsidR="008D3041" w:rsidRPr="00C6225F">
        <w:rPr>
          <w:rFonts w:cs="Times New Roman"/>
        </w:rPr>
        <w:t>To achieve this consistency,</w:t>
      </w:r>
      <w:r w:rsidR="008D3041" w:rsidRPr="00C6225F">
        <w:rPr>
          <w:rFonts w:cs="Times New Roman"/>
          <w:b/>
        </w:rPr>
        <w:t xml:space="preserve"> </w:t>
      </w:r>
      <w:r w:rsidR="001D474D" w:rsidRPr="00AD0437">
        <w:rPr>
          <w:rFonts w:cs="Times New Roman"/>
          <w:b/>
          <w:position w:val="-4"/>
        </w:rPr>
        <w:object w:dxaOrig="260" w:dyaOrig="260" w14:anchorId="0A285ED0">
          <v:shape id="_x0000_i1045" type="#_x0000_t75" style="width:12.85pt;height:12.85pt" o:ole="">
            <v:imagedata r:id="rId46" o:title=""/>
          </v:shape>
          <o:OLEObject Type="Embed" ProgID="Equation.DSMT4" ShapeID="_x0000_i1045" DrawAspect="Content" ObjectID="_1801464558" r:id="rId48"/>
        </w:object>
      </w:r>
      <w:r w:rsidR="008D3041" w:rsidRPr="00C6225F">
        <w:rPr>
          <w:rFonts w:cs="Times New Roman"/>
        </w:rPr>
        <w:t xml:space="preserve"> is constructed from </w:t>
      </w:r>
      <w:r w:rsidR="008D3041" w:rsidRPr="00C6225F">
        <w:rPr>
          <w:rFonts w:cs="Times New Roman"/>
          <w:position w:val="-12"/>
        </w:rPr>
        <w:object w:dxaOrig="320" w:dyaOrig="360" w14:anchorId="36BFFD15">
          <v:shape id="_x0000_i1046" type="#_x0000_t75" style="width:15.85pt;height:18pt" o:ole="" o:preferrelative="f">
            <v:imagedata r:id="rId38" o:title=""/>
            <o:lock v:ext="edit" aspectratio="f"/>
          </v:shape>
          <o:OLEObject Type="Embed" ProgID="Equation.DSMT4" ShapeID="_x0000_i1046" DrawAspect="Content" ObjectID="_1801464559" r:id="rId49"/>
        </w:object>
      </w:r>
      <w:r w:rsidR="008D3041" w:rsidRPr="00C6225F">
        <w:rPr>
          <w:rFonts w:cs="Times New Roman"/>
        </w:rPr>
        <w:t xml:space="preserve"> by adding an additional row on top and an additional column to the left. All elements of this additional row and column are </w:t>
      </w:r>
      <w:r w:rsidR="00A6319C">
        <w:rPr>
          <w:rFonts w:cs="Times New Roman"/>
        </w:rPr>
        <w:t>assigned</w:t>
      </w:r>
      <w:r w:rsidR="008D3041" w:rsidRPr="00C6225F">
        <w:rPr>
          <w:rFonts w:cs="Times New Roman"/>
        </w:rPr>
        <w:t xml:space="preserve"> </w:t>
      </w:r>
      <w:r w:rsidR="00A6319C">
        <w:rPr>
          <w:rFonts w:cs="Times New Roman"/>
        </w:rPr>
        <w:t>the val</w:t>
      </w:r>
      <w:r w:rsidR="00A6319C" w:rsidRPr="00D46F7F">
        <w:rPr>
          <w:rFonts w:cs="Times New Roman"/>
        </w:rPr>
        <w:t xml:space="preserve">ue </w:t>
      </w:r>
      <w:r w:rsidR="008D3041" w:rsidRPr="00D46F7F">
        <w:rPr>
          <w:rFonts w:cs="Times New Roman"/>
        </w:rPr>
        <w:t xml:space="preserve">zero. </w:t>
      </w:r>
      <w:r w:rsidR="00D46F7F" w:rsidRPr="00D46F7F">
        <w:rPr>
          <w:rFonts w:cs="Times New Roman"/>
        </w:rPr>
        <w:t>Finally</w:t>
      </w:r>
      <w:r w:rsidR="005058CA" w:rsidRPr="00D46F7F">
        <w:rPr>
          <w:rFonts w:cs="Times New Roman"/>
        </w:rPr>
        <w:t xml:space="preserve">, since the scale of </w:t>
      </w:r>
      <w:r w:rsidR="00D46F7F" w:rsidRPr="00D46F7F">
        <w:rPr>
          <w:position w:val="-4"/>
        </w:rPr>
        <w:object w:dxaOrig="260" w:dyaOrig="260" w14:anchorId="2BC86A23">
          <v:shape id="_x0000_i1047" type="#_x0000_t75" style="width:12.85pt;height:12.85pt" o:ole="">
            <v:imagedata r:id="rId50" o:title=""/>
          </v:shape>
          <o:OLEObject Type="Embed" ProgID="Equation.DSMT4" ShapeID="_x0000_i1047" DrawAspect="Content" ObjectID="_1801464560" r:id="rId51"/>
        </w:object>
      </w:r>
      <w:r w:rsidR="005058CA" w:rsidRPr="00D46F7F">
        <w:rPr>
          <w:rFonts w:cs="Times New Roman"/>
        </w:rPr>
        <w:t xml:space="preserve"> is not identified, </w:t>
      </w:r>
      <w:r w:rsidR="008D3041" w:rsidRPr="00D46F7F">
        <w:rPr>
          <w:rFonts w:cs="Times New Roman"/>
        </w:rPr>
        <w:t xml:space="preserve">we normalize the element of </w:t>
      </w:r>
      <w:r w:rsidR="001D474D" w:rsidRPr="00D46F7F">
        <w:rPr>
          <w:rFonts w:cs="Times New Roman"/>
          <w:b/>
          <w:position w:val="-4"/>
        </w:rPr>
        <w:object w:dxaOrig="260" w:dyaOrig="260" w14:anchorId="7D79429D">
          <v:shape id="_x0000_i1048" type="#_x0000_t75" style="width:12.85pt;height:12.85pt" o:ole="">
            <v:imagedata r:id="rId46" o:title=""/>
          </v:shape>
          <o:OLEObject Type="Embed" ProgID="Equation.DSMT4" ShapeID="_x0000_i1048" DrawAspect="Content" ObjectID="_1801464561" r:id="rId52"/>
        </w:object>
      </w:r>
      <w:r w:rsidR="008D3041" w:rsidRPr="00D46F7F">
        <w:rPr>
          <w:rFonts w:cs="Times New Roman"/>
        </w:rPr>
        <w:t xml:space="preserve"> in the second row and second column to the value of one. </w:t>
      </w:r>
      <w:r w:rsidR="00D46F7F" w:rsidRPr="00D46F7F">
        <w:rPr>
          <w:rFonts w:cs="Times New Roman"/>
        </w:rPr>
        <w:t>These</w:t>
      </w:r>
      <w:r w:rsidR="008D3041" w:rsidRPr="00D46F7F">
        <w:rPr>
          <w:rFonts w:cs="Times New Roman"/>
        </w:rPr>
        <w:t xml:space="preserve"> normalizations are innocuous and needed for identification</w:t>
      </w:r>
      <w:r w:rsidR="00C15B50" w:rsidRPr="00D46F7F">
        <w:rPr>
          <w:rFonts w:cs="Times New Roman"/>
        </w:rPr>
        <w:t xml:space="preserve">, so this </w:t>
      </w:r>
      <w:r w:rsidR="001D474D" w:rsidRPr="00D46F7F">
        <w:rPr>
          <w:rFonts w:cs="Times New Roman"/>
          <w:b/>
          <w:position w:val="-4"/>
        </w:rPr>
        <w:object w:dxaOrig="260" w:dyaOrig="260" w14:anchorId="72A27571">
          <v:shape id="_x0000_i1049" type="#_x0000_t75" style="width:12.85pt;height:12.85pt" o:ole="">
            <v:imagedata r:id="rId46" o:title=""/>
          </v:shape>
          <o:OLEObject Type="Embed" ProgID="Equation.DSMT4" ShapeID="_x0000_i1049" DrawAspect="Content" ObjectID="_1801464562" r:id="rId53"/>
        </w:object>
      </w:r>
      <w:r w:rsidR="008D3041" w:rsidRPr="00D46F7F">
        <w:rPr>
          <w:rFonts w:cs="Times New Roman"/>
        </w:rPr>
        <w:t xml:space="preserve"> matrix </w:t>
      </w:r>
      <w:r w:rsidR="009B034E" w:rsidRPr="00D46F7F">
        <w:rPr>
          <w:rFonts w:cs="Times New Roman"/>
        </w:rPr>
        <w:t>remains</w:t>
      </w:r>
      <w:r w:rsidR="008D3041" w:rsidRPr="00D46F7F">
        <w:rPr>
          <w:rFonts w:cs="Times New Roman"/>
        </w:rPr>
        <w:t xml:space="preserve"> is fully general.</w:t>
      </w:r>
      <w:r w:rsidR="009B034E" w:rsidRPr="00D46F7F">
        <w:rPr>
          <w:rFonts w:cs="Times New Roman"/>
        </w:rPr>
        <w:t xml:space="preserve"> </w:t>
      </w:r>
      <w:bookmarkStart w:id="2" w:name="_Hlk88727019"/>
    </w:p>
    <w:p w14:paraId="6A154403" w14:textId="59D21283" w:rsidR="002C0ECC" w:rsidRDefault="00F20565" w:rsidP="00251A17">
      <w:pPr>
        <w:spacing w:after="120" w:line="240" w:lineRule="auto"/>
        <w:ind w:firstLine="720"/>
        <w:jc w:val="both"/>
        <w:rPr>
          <w:rFonts w:cs="Times New Roman"/>
        </w:rPr>
      </w:pPr>
      <w:r w:rsidRPr="00C6225F">
        <w:rPr>
          <w:rFonts w:cs="Times New Roman"/>
        </w:rPr>
        <w:t>The model above may be written in a more compact form by</w:t>
      </w:r>
      <w:r w:rsidR="00853E35" w:rsidRPr="00853E35">
        <w:rPr>
          <w:rFonts w:cs="Times New Roman"/>
        </w:rPr>
        <w:t xml:space="preserve"> </w:t>
      </w:r>
      <w:r w:rsidR="00853E35" w:rsidRPr="00C6225F">
        <w:rPr>
          <w:rFonts w:cs="Times New Roman"/>
        </w:rPr>
        <w:t>defining the following vectors and matrices:</w:t>
      </w:r>
      <w:r w:rsidR="00E22A1A" w:rsidRPr="00E22A1A">
        <w:rPr>
          <w:rFonts w:cs="Times New Roman"/>
        </w:rPr>
        <w:t xml:space="preserve"> </w:t>
      </w:r>
      <w:r w:rsidR="00251A17" w:rsidRPr="00C6225F">
        <w:rPr>
          <w:rFonts w:cs="Times New Roman"/>
          <w:position w:val="-14"/>
        </w:rPr>
        <w:object w:dxaOrig="2240" w:dyaOrig="380" w14:anchorId="33EE964F">
          <v:shape id="_x0000_i1050" type="#_x0000_t75" style="width:112.3pt;height:18.85pt" o:ole="" o:preferrelative="f">
            <v:imagedata r:id="rId54" o:title=""/>
            <o:lock v:ext="edit" aspectratio="f"/>
          </v:shape>
          <o:OLEObject Type="Embed" ProgID="Equation.DSMT4" ShapeID="_x0000_i1050" DrawAspect="Content" ObjectID="_1801464563" r:id="rId55"/>
        </w:object>
      </w:r>
      <w:r w:rsidR="00E22A1A" w:rsidRPr="00C6225F">
        <w:rPr>
          <w:rFonts w:cs="Times New Roman"/>
        </w:rPr>
        <w:t xml:space="preserve">   (</w:t>
      </w:r>
      <w:r w:rsidR="00251A17" w:rsidRPr="00C6225F">
        <w:rPr>
          <w:rFonts w:cs="Times New Roman"/>
          <w:position w:val="-4"/>
        </w:rPr>
        <w:object w:dxaOrig="480" w:dyaOrig="260" w14:anchorId="63091848">
          <v:shape id="_x0000_i1051" type="#_x0000_t75" style="width:24pt;height:12.85pt" o:ole="" o:preferrelative="f">
            <v:imagedata r:id="rId56" o:title=""/>
            <o:lock v:ext="edit" aspectratio="f"/>
          </v:shape>
          <o:OLEObject Type="Embed" ProgID="Equation.3" ShapeID="_x0000_i1051" DrawAspect="Content" ObjectID="_1801464564" r:id="rId57"/>
        </w:object>
      </w:r>
      <w:r w:rsidR="00E22A1A" w:rsidRPr="00C6225F">
        <w:rPr>
          <w:rFonts w:cs="Times New Roman"/>
          <w:position w:val="-10"/>
        </w:rPr>
        <w:t xml:space="preserve"> </w:t>
      </w:r>
      <w:r w:rsidR="00E22A1A" w:rsidRPr="00C6225F">
        <w:rPr>
          <w:rFonts w:cs="Times New Roman"/>
        </w:rPr>
        <w:t>vector)</w:t>
      </w:r>
      <w:r w:rsidR="00CC0789">
        <w:rPr>
          <w:rFonts w:cs="Times New Roman"/>
        </w:rPr>
        <w:t xml:space="preserve"> and </w:t>
      </w:r>
      <w:r w:rsidR="00251A17" w:rsidRPr="00C6225F">
        <w:rPr>
          <w:rFonts w:cs="Times New Roman"/>
          <w:position w:val="-14"/>
        </w:rPr>
        <w:object w:dxaOrig="2079" w:dyaOrig="380" w14:anchorId="4DD37B33">
          <v:shape id="_x0000_i1052" type="#_x0000_t75" style="width:103.7pt;height:18.85pt" o:ole="" o:preferrelative="f">
            <v:imagedata r:id="rId58" o:title=""/>
            <o:lock v:ext="edit" aspectratio="f"/>
          </v:shape>
          <o:OLEObject Type="Embed" ProgID="Equation.DSMT4" ShapeID="_x0000_i1052" DrawAspect="Content" ObjectID="_1801464565" r:id="rId59"/>
        </w:object>
      </w:r>
      <w:r w:rsidR="009C70A9">
        <w:rPr>
          <w:rFonts w:cs="Times New Roman"/>
        </w:rPr>
        <w:t xml:space="preserve"> </w:t>
      </w:r>
      <w:r w:rsidR="00251A17" w:rsidRPr="002C0ECC">
        <w:rPr>
          <w:rFonts w:cs="Times New Roman"/>
          <w:position w:val="-10"/>
        </w:rPr>
        <w:object w:dxaOrig="1420" w:dyaOrig="320" w14:anchorId="1E17066E">
          <v:shape id="_x0000_i1053" type="#_x0000_t75" style="width:71.15pt;height:15.85pt" o:ole="" o:preferrelative="f">
            <v:imagedata r:id="rId60" o:title=""/>
            <o:lock v:ext="edit" aspectratio="f"/>
          </v:shape>
          <o:OLEObject Type="Embed" ProgID="Equation.DSMT4" ShapeID="_x0000_i1053" DrawAspect="Content" ObjectID="_1801464566" r:id="rId61"/>
        </w:object>
      </w:r>
      <w:r w:rsidR="00CC0789">
        <w:rPr>
          <w:rFonts w:cs="Times New Roman"/>
        </w:rPr>
        <w:t xml:space="preserve">. </w:t>
      </w:r>
      <w:r w:rsidR="00C21220">
        <w:rPr>
          <w:rFonts w:cs="Times New Roman"/>
        </w:rPr>
        <w:t xml:space="preserve">Then, </w:t>
      </w:r>
      <w:r w:rsidR="00860E38">
        <w:rPr>
          <w:rFonts w:cs="Times New Roman"/>
        </w:rPr>
        <w:t>we can write Equation (1) in matrix notation as:</w:t>
      </w:r>
    </w:p>
    <w:p w14:paraId="4D554697" w14:textId="2B421972" w:rsidR="002C0ECC" w:rsidRDefault="00251A17" w:rsidP="00251A17">
      <w:pPr>
        <w:pStyle w:val="MTDisplayEquation"/>
        <w:tabs>
          <w:tab w:val="clear" w:pos="4680"/>
        </w:tabs>
        <w:spacing w:after="120"/>
      </w:pPr>
      <w:r w:rsidRPr="000524CF">
        <w:rPr>
          <w:position w:val="-14"/>
        </w:rPr>
        <w:object w:dxaOrig="1340" w:dyaOrig="380" w14:anchorId="6F4A31C5">
          <v:shape id="_x0000_i1054" type="#_x0000_t75" style="width:66.85pt;height:18.85pt" o:ole="" o:preferrelative="f">
            <v:imagedata r:id="rId62" o:title=""/>
            <o:lock v:ext="edit" aspectratio="f"/>
          </v:shape>
          <o:OLEObject Type="Embed" ProgID="Equation.DSMT4" ShapeID="_x0000_i1054" DrawAspect="Content" ObjectID="_1801464567" r:id="rId63"/>
        </w:object>
      </w:r>
      <w:r w:rsidR="002C0ECC">
        <w:t>,</w:t>
      </w:r>
      <w:r w:rsidR="00A13F44">
        <w:tab/>
      </w:r>
      <w:r w:rsidR="00A13F44">
        <w:fldChar w:fldCharType="begin"/>
      </w:r>
      <w:r w:rsidR="00A13F44">
        <w:instrText xml:space="preserve"> MACROBUTTON MTPlaceRef \* MERGEFORMAT </w:instrText>
      </w:r>
      <w:r w:rsidR="00A13F44">
        <w:fldChar w:fldCharType="begin"/>
      </w:r>
      <w:r w:rsidR="00A13F44">
        <w:instrText xml:space="preserve"> SEQ MTEqn \h \* MERGEFORMAT </w:instrText>
      </w:r>
      <w:r w:rsidR="00A13F44">
        <w:fldChar w:fldCharType="end"/>
      </w:r>
      <w:r w:rsidR="00A13F44">
        <w:instrText>(</w:instrText>
      </w:r>
      <w:r w:rsidR="009411E9">
        <w:fldChar w:fldCharType="begin"/>
      </w:r>
      <w:r w:rsidR="009411E9">
        <w:instrText xml:space="preserve"> SEQ MTEqn \c \* Arabic \* MERGEFORMAT </w:instrText>
      </w:r>
      <w:r w:rsidR="009411E9">
        <w:fldChar w:fldCharType="separate"/>
      </w:r>
      <w:r w:rsidR="00702F1D">
        <w:rPr>
          <w:noProof/>
        </w:rPr>
        <w:instrText>2</w:instrText>
      </w:r>
      <w:r w:rsidR="009411E9">
        <w:rPr>
          <w:noProof/>
        </w:rPr>
        <w:fldChar w:fldCharType="end"/>
      </w:r>
      <w:r w:rsidR="00A13F44">
        <w:instrText>)</w:instrText>
      </w:r>
      <w:r w:rsidR="00A13F44">
        <w:fldChar w:fldCharType="end"/>
      </w:r>
    </w:p>
    <w:p w14:paraId="6EF57C36" w14:textId="6F96E073" w:rsidR="00E22A1A" w:rsidRPr="00860E38" w:rsidRDefault="00845BFA" w:rsidP="00727863">
      <w:pPr>
        <w:spacing w:after="0" w:line="240" w:lineRule="auto"/>
        <w:jc w:val="both"/>
        <w:rPr>
          <w:rFonts w:cs="Times New Roman"/>
        </w:rPr>
      </w:pPr>
      <w:r w:rsidRPr="00D46F7F">
        <w:rPr>
          <w:rFonts w:cs="Times New Roman"/>
        </w:rPr>
        <w:t xml:space="preserve">where </w:t>
      </w:r>
      <w:r w:rsidR="00251A17" w:rsidRPr="00D46F7F">
        <w:rPr>
          <w:rFonts w:cs="Times New Roman"/>
          <w:position w:val="-14"/>
        </w:rPr>
        <w:object w:dxaOrig="2040" w:dyaOrig="380" w14:anchorId="6DE50859">
          <v:shape id="_x0000_i1055" type="#_x0000_t75" style="width:102pt;height:18.85pt" o:ole="" o:preferrelative="f">
            <v:imagedata r:id="rId64" o:title=""/>
            <o:lock v:ext="edit" aspectratio="f"/>
          </v:shape>
          <o:OLEObject Type="Embed" ProgID="Equation.DSMT4" ShapeID="_x0000_i1055" DrawAspect="Content" ObjectID="_1801464568" r:id="rId65"/>
        </w:object>
      </w:r>
      <w:r w:rsidR="0081661F" w:rsidRPr="00D46F7F">
        <w:t>.</w:t>
      </w:r>
      <w:r w:rsidR="0081661F">
        <w:t xml:space="preserve"> </w:t>
      </w:r>
    </w:p>
    <w:p w14:paraId="18C90C61" w14:textId="4BDBA9CC" w:rsidR="006F68C6" w:rsidRPr="00731A9C" w:rsidRDefault="006F68C6" w:rsidP="00727863">
      <w:pPr>
        <w:keepNext/>
        <w:spacing w:after="0" w:line="240" w:lineRule="auto"/>
        <w:ind w:firstLine="720"/>
        <w:jc w:val="both"/>
        <w:rPr>
          <w:rFonts w:cs="Times New Roman"/>
          <w:b/>
          <w:bCs/>
        </w:rPr>
      </w:pPr>
      <w:r>
        <w:rPr>
          <w:rFonts w:cs="Times New Roman"/>
        </w:rPr>
        <w:t>For</w:t>
      </w:r>
      <w:r w:rsidRPr="00C6225F">
        <w:rPr>
          <w:rFonts w:cs="Times New Roman"/>
        </w:rPr>
        <w:t xml:space="preserve"> estimation, </w:t>
      </w:r>
      <w:r>
        <w:rPr>
          <w:rFonts w:cs="Times New Roman"/>
        </w:rPr>
        <w:t xml:space="preserve">we </w:t>
      </w:r>
      <w:r w:rsidRPr="00C6225F">
        <w:rPr>
          <w:rFonts w:cs="Times New Roman"/>
        </w:rPr>
        <w:t xml:space="preserve">define a contrast matrix for </w:t>
      </w:r>
      <w:r w:rsidR="00F66651">
        <w:rPr>
          <w:rFonts w:cs="Times New Roman"/>
        </w:rPr>
        <w:t xml:space="preserve">each </w:t>
      </w:r>
      <w:r w:rsidRPr="00C6225F">
        <w:rPr>
          <w:rFonts w:cs="Times New Roman"/>
        </w:rPr>
        <w:t xml:space="preserve">individual </w:t>
      </w:r>
      <w:r w:rsidR="001D474D" w:rsidRPr="001D474D">
        <w:rPr>
          <w:rFonts w:cs="Times New Roman"/>
          <w:position w:val="-10"/>
        </w:rPr>
        <w:object w:dxaOrig="200" w:dyaOrig="260" w14:anchorId="1539B8D3">
          <v:shape id="_x0000_i1056" type="#_x0000_t75" style="width:9pt;height:12.85pt" o:ole="">
            <v:imagedata r:id="rId66" o:title=""/>
          </v:shape>
          <o:OLEObject Type="Embed" ProgID="Equation.DSMT4" ShapeID="_x0000_i1056" DrawAspect="Content" ObjectID="_1801464569" r:id="rId67"/>
        </w:object>
      </w:r>
      <w:r w:rsidRPr="00C6225F">
        <w:rPr>
          <w:rFonts w:cs="Times New Roman"/>
          <w:i/>
        </w:rPr>
        <w:t xml:space="preserve"> </w:t>
      </w:r>
      <w:r w:rsidRPr="00C6225F">
        <w:rPr>
          <w:rFonts w:cs="Times New Roman"/>
        </w:rPr>
        <w:t>based on the</w:t>
      </w:r>
      <w:r w:rsidR="00F66651">
        <w:rPr>
          <w:rFonts w:cs="Times New Roman"/>
        </w:rPr>
        <w:t>ir</w:t>
      </w:r>
      <w:r w:rsidRPr="00C6225F">
        <w:rPr>
          <w:rFonts w:cs="Times New Roman"/>
        </w:rPr>
        <w:t xml:space="preserve"> ranking </w:t>
      </w:r>
      <w:r w:rsidRPr="00C6225F">
        <w:rPr>
          <w:rFonts w:cs="Times New Roman"/>
          <w:position w:val="-14"/>
        </w:rPr>
        <w:object w:dxaOrig="220" w:dyaOrig="380" w14:anchorId="0FD02D53">
          <v:shape id="_x0000_i1057" type="#_x0000_t75" style="width:11.15pt;height:19.3pt" o:ole="">
            <v:imagedata r:id="rId68" o:title=""/>
          </v:shape>
          <o:OLEObject Type="Embed" ProgID="Equation.3" ShapeID="_x0000_i1057" DrawAspect="Content" ObjectID="_1801464570" r:id="rId69"/>
        </w:object>
      </w:r>
      <w:r w:rsidRPr="00C6225F">
        <w:rPr>
          <w:rFonts w:cs="Times New Roman"/>
        </w:rPr>
        <w:t xml:space="preserve"> of alternatives. Specifically, let the first ranked alternative for individual </w:t>
      </w:r>
      <w:r w:rsidR="00960FAD" w:rsidRPr="00960FAD">
        <w:rPr>
          <w:rFonts w:cs="Times New Roman"/>
          <w:i/>
          <w:position w:val="-10"/>
        </w:rPr>
        <w:object w:dxaOrig="200" w:dyaOrig="260" w14:anchorId="6949E79F">
          <v:shape id="_x0000_i1058" type="#_x0000_t75" style="width:9pt;height:12.85pt" o:ole="">
            <v:imagedata r:id="rId70" o:title=""/>
          </v:shape>
          <o:OLEObject Type="Embed" ProgID="Equation.DSMT4" ShapeID="_x0000_i1058" DrawAspect="Content" ObjectID="_1801464571" r:id="rId71"/>
        </w:object>
      </w:r>
      <w:r w:rsidR="00960FAD">
        <w:rPr>
          <w:rFonts w:cs="Times New Roman"/>
          <w:i/>
        </w:rPr>
        <w:t xml:space="preserve"> </w:t>
      </w:r>
      <w:r w:rsidRPr="00C6225F">
        <w:rPr>
          <w:rFonts w:cs="Times New Roman"/>
        </w:rPr>
        <w:t xml:space="preserve"> be </w:t>
      </w:r>
      <w:r w:rsidRPr="00C6225F">
        <w:rPr>
          <w:rFonts w:cs="Times New Roman"/>
          <w:position w:val="-14"/>
        </w:rPr>
        <w:object w:dxaOrig="240" w:dyaOrig="380" w14:anchorId="406794E8">
          <v:shape id="_x0000_i1059" type="#_x0000_t75" style="width:11.15pt;height:19.3pt" o:ole="">
            <v:imagedata r:id="rId72" o:title=""/>
          </v:shape>
          <o:OLEObject Type="Embed" ProgID="Equation.3" ShapeID="_x0000_i1059" DrawAspect="Content" ObjectID="_1801464572" r:id="rId73"/>
        </w:object>
      </w:r>
      <w:r w:rsidRPr="00C6225F">
        <w:rPr>
          <w:rFonts w:cs="Times New Roman"/>
        </w:rPr>
        <w:t xml:space="preserve">, the second </w:t>
      </w:r>
      <w:r w:rsidRPr="00C6225F">
        <w:rPr>
          <w:rFonts w:cs="Times New Roman"/>
          <w:position w:val="-14"/>
        </w:rPr>
        <w:object w:dxaOrig="340" w:dyaOrig="380" w14:anchorId="60C85442">
          <v:shape id="_x0000_i1060" type="#_x0000_t75" style="width:16.7pt;height:19.3pt" o:ole="">
            <v:imagedata r:id="rId74" o:title=""/>
          </v:shape>
          <o:OLEObject Type="Embed" ProgID="Equation.3" ShapeID="_x0000_i1060" DrawAspect="Content" ObjectID="_1801464573" r:id="rId75"/>
        </w:object>
      </w:r>
      <w:r w:rsidRPr="00C6225F">
        <w:rPr>
          <w:rFonts w:cs="Times New Roman"/>
        </w:rPr>
        <w:t xml:space="preserve"> and so on until the last-ranked alternative </w:t>
      </w:r>
      <w:r w:rsidRPr="00C6225F">
        <w:rPr>
          <w:rFonts w:cs="Times New Roman"/>
          <w:position w:val="-14"/>
        </w:rPr>
        <w:object w:dxaOrig="320" w:dyaOrig="380" w14:anchorId="005548DD">
          <v:shape id="_x0000_i1061" type="#_x0000_t75" style="width:15.85pt;height:19.3pt" o:ole="">
            <v:imagedata r:id="rId76" o:title=""/>
          </v:shape>
          <o:OLEObject Type="Embed" ProgID="Equation.3" ShapeID="_x0000_i1061" DrawAspect="Content" ObjectID="_1801464574" r:id="rId77"/>
        </w:object>
      </w:r>
      <w:r w:rsidRPr="00C6225F">
        <w:rPr>
          <w:rFonts w:cs="Times New Roman"/>
        </w:rPr>
        <w:t xml:space="preserve"> Then, the following </w:t>
      </w:r>
      <w:r w:rsidRPr="00C6225F">
        <w:rPr>
          <w:rFonts w:cs="Times New Roman"/>
          <w:position w:val="-10"/>
        </w:rPr>
        <w:object w:dxaOrig="639" w:dyaOrig="320" w14:anchorId="62D8F470">
          <v:shape id="_x0000_i1062" type="#_x0000_t75" style="width:31.7pt;height:15.85pt" o:ole="">
            <v:imagedata r:id="rId78" o:title=""/>
          </v:shape>
          <o:OLEObject Type="Embed" ProgID="Equation.3" ShapeID="_x0000_i1062" DrawAspect="Content" ObjectID="_1801464575" r:id="rId79"/>
        </w:object>
      </w:r>
      <w:r w:rsidRPr="00C6225F">
        <w:rPr>
          <w:rFonts w:cs="Times New Roman"/>
        </w:rPr>
        <w:t xml:space="preserve">inequalities should hold: </w:t>
      </w:r>
      <w:r w:rsidRPr="00C6225F">
        <w:rPr>
          <w:rFonts w:cs="Times New Roman"/>
          <w:position w:val="-20"/>
        </w:rPr>
        <w:object w:dxaOrig="4660" w:dyaOrig="440" w14:anchorId="382668B2">
          <v:shape id="_x0000_i1063" type="#_x0000_t75" style="width:232.7pt;height:19.3pt" o:ole="" o:preferrelative="f">
            <v:imagedata r:id="rId80" o:title=""/>
            <o:lock v:ext="edit" aspectratio="f"/>
          </v:shape>
          <o:OLEObject Type="Embed" ProgID="Equation.3" ShapeID="_x0000_i1063" DrawAspect="Content" ObjectID="_1801464576" r:id="rId81"/>
        </w:object>
      </w:r>
      <w:r w:rsidR="00E776BF">
        <w:rPr>
          <w:rFonts w:cs="Times New Roman"/>
        </w:rPr>
        <w:t xml:space="preserve"> I</w:t>
      </w:r>
      <w:r w:rsidRPr="00C6225F">
        <w:rPr>
          <w:rFonts w:cs="Times New Roman"/>
        </w:rPr>
        <w:t xml:space="preserve">n vector notation, </w:t>
      </w:r>
      <w:r w:rsidR="00E776BF">
        <w:rPr>
          <w:rFonts w:cs="Times New Roman"/>
        </w:rPr>
        <w:t xml:space="preserve">we can write these inequalities using </w:t>
      </w:r>
      <w:r w:rsidRPr="00C6225F">
        <w:rPr>
          <w:rFonts w:cs="Times New Roman"/>
        </w:rPr>
        <w:t xml:space="preserve">a contrast matrix </w:t>
      </w:r>
      <w:r w:rsidR="00251A17" w:rsidRPr="00C6225F">
        <w:rPr>
          <w:rFonts w:cs="Times New Roman"/>
          <w:position w:val="-14"/>
        </w:rPr>
        <w:object w:dxaOrig="380" w:dyaOrig="380" w14:anchorId="348B4E21">
          <v:shape id="_x0000_i1064" type="#_x0000_t75" style="width:18.85pt;height:18.85pt" o:ole="" o:preferrelative="f">
            <v:imagedata r:id="rId82" o:title=""/>
            <o:lock v:ext="edit" aspectratio="f"/>
          </v:shape>
          <o:OLEObject Type="Embed" ProgID="Equation.3" ShapeID="_x0000_i1064" DrawAspect="Content" ObjectID="_1801464577" r:id="rId83"/>
        </w:object>
      </w:r>
      <w:r w:rsidR="00251A17">
        <w:rPr>
          <w:rFonts w:cs="Times New Roman"/>
        </w:rPr>
        <w:t xml:space="preserve"> </w:t>
      </w:r>
      <w:r w:rsidRPr="00C6225F">
        <w:rPr>
          <w:rFonts w:cs="Times New Roman"/>
        </w:rPr>
        <w:t xml:space="preserve">with </w:t>
      </w:r>
      <w:r w:rsidR="00251A17" w:rsidRPr="00960FAD">
        <w:rPr>
          <w:rFonts w:cs="Times New Roman"/>
          <w:position w:val="-10"/>
        </w:rPr>
        <w:object w:dxaOrig="639" w:dyaOrig="320" w14:anchorId="1D912FDE">
          <v:shape id="_x0000_i1065" type="#_x0000_t75" style="width:31.7pt;height:15.85pt" o:ole="" o:preferrelative="f">
            <v:imagedata r:id="rId84" o:title=""/>
            <o:lock v:ext="edit" aspectratio="f"/>
          </v:shape>
          <o:OLEObject Type="Embed" ProgID="Equation.DSMT4" ShapeID="_x0000_i1065" DrawAspect="Content" ObjectID="_1801464578" r:id="rId85"/>
        </w:object>
      </w:r>
      <w:r w:rsidR="00960FAD">
        <w:rPr>
          <w:rFonts w:cs="Times New Roman"/>
        </w:rPr>
        <w:t xml:space="preserve"> </w:t>
      </w:r>
      <w:r w:rsidRPr="00C6225F">
        <w:rPr>
          <w:rFonts w:cs="Times New Roman"/>
        </w:rPr>
        <w:t>rows</w:t>
      </w:r>
      <w:r w:rsidR="00E776BF">
        <w:rPr>
          <w:rFonts w:cs="Times New Roman"/>
        </w:rPr>
        <w:t xml:space="preserve"> for each inequality</w:t>
      </w:r>
      <w:r w:rsidRPr="00C6225F">
        <w:rPr>
          <w:rFonts w:cs="Times New Roman"/>
        </w:rPr>
        <w:t xml:space="preserve"> and </w:t>
      </w:r>
      <w:r w:rsidR="00960FAD" w:rsidRPr="00960FAD">
        <w:rPr>
          <w:rFonts w:cs="Times New Roman"/>
          <w:i/>
          <w:position w:val="-4"/>
        </w:rPr>
        <w:object w:dxaOrig="200" w:dyaOrig="260" w14:anchorId="2CEDE906">
          <v:shape id="_x0000_i1066" type="#_x0000_t75" style="width:9pt;height:12.85pt" o:ole="">
            <v:imagedata r:id="rId86" o:title=""/>
          </v:shape>
          <o:OLEObject Type="Embed" ProgID="Equation.DSMT4" ShapeID="_x0000_i1066" DrawAspect="Content" ObjectID="_1801464579" r:id="rId87"/>
        </w:object>
      </w:r>
      <w:r w:rsidRPr="00C6225F">
        <w:rPr>
          <w:rFonts w:cs="Times New Roman"/>
        </w:rPr>
        <w:t xml:space="preserve"> columns</w:t>
      </w:r>
      <w:r w:rsidR="00E776BF">
        <w:rPr>
          <w:rFonts w:cs="Times New Roman"/>
        </w:rPr>
        <w:t xml:space="preserve"> for each alternative</w:t>
      </w:r>
      <w:r w:rsidRPr="00C6225F">
        <w:rPr>
          <w:rFonts w:cs="Times New Roman"/>
        </w:rPr>
        <w:t xml:space="preserve">. </w:t>
      </w:r>
      <w:r w:rsidR="00E776BF">
        <w:rPr>
          <w:rFonts w:cs="Times New Roman"/>
        </w:rPr>
        <w:t>To start, f</w:t>
      </w:r>
      <w:r w:rsidRPr="00C6225F">
        <w:rPr>
          <w:rFonts w:cs="Times New Roman"/>
        </w:rPr>
        <w:t xml:space="preserve">ill all the elements of the </w:t>
      </w:r>
      <w:r w:rsidR="00E776BF">
        <w:rPr>
          <w:rFonts w:cs="Times New Roman"/>
        </w:rPr>
        <w:t xml:space="preserve">contrast </w:t>
      </w:r>
      <w:r w:rsidRPr="00C6225F">
        <w:rPr>
          <w:rFonts w:cs="Times New Roman"/>
        </w:rPr>
        <w:t>matrix with zeros. Then, in the first row</w:t>
      </w:r>
      <w:r w:rsidR="00713B2A" w:rsidRPr="00C6225F">
        <w:rPr>
          <w:rFonts w:cs="Times New Roman"/>
        </w:rPr>
        <w:t xml:space="preserve"> (corresponding to the first inequality above)</w:t>
      </w:r>
      <w:r w:rsidRPr="00C6225F">
        <w:rPr>
          <w:rFonts w:cs="Times New Roman"/>
        </w:rPr>
        <w:t xml:space="preserve">, place </w:t>
      </w:r>
      <w:r w:rsidR="00713B2A" w:rsidRPr="00C6225F">
        <w:rPr>
          <w:rFonts w:cs="Times New Roman"/>
        </w:rPr>
        <w:t xml:space="preserve">a </w:t>
      </w:r>
      <w:r w:rsidR="00713B2A">
        <w:rPr>
          <w:rFonts w:cs="Times New Roman"/>
        </w:rPr>
        <w:t>negative one</w:t>
      </w:r>
      <w:r w:rsidR="00713B2A" w:rsidRPr="00C6225F">
        <w:rPr>
          <w:rFonts w:cs="Times New Roman"/>
        </w:rPr>
        <w:t xml:space="preserve"> in the column corresponding to the first-ranked alternative </w:t>
      </w:r>
      <w:r w:rsidR="00713B2A">
        <w:rPr>
          <w:rFonts w:cs="Times New Roman"/>
        </w:rPr>
        <w:t>and a</w:t>
      </w:r>
      <w:r w:rsidRPr="00C6225F">
        <w:rPr>
          <w:rFonts w:cs="Times New Roman"/>
        </w:rPr>
        <w:t xml:space="preserve"> </w:t>
      </w:r>
      <w:r w:rsidR="00E87F47">
        <w:rPr>
          <w:rFonts w:cs="Times New Roman"/>
        </w:rPr>
        <w:t>one</w:t>
      </w:r>
      <w:r w:rsidRPr="00C6225F">
        <w:rPr>
          <w:rFonts w:cs="Times New Roman"/>
        </w:rPr>
        <w:t xml:space="preserve"> in the column corresponding to the second-ranked alternative. In the second row</w:t>
      </w:r>
      <w:r w:rsidR="00713B2A" w:rsidRPr="00C6225F">
        <w:rPr>
          <w:rFonts w:cs="Times New Roman"/>
        </w:rPr>
        <w:t xml:space="preserve"> (corresponding to the second inequality above)</w:t>
      </w:r>
      <w:r w:rsidRPr="00C6225F">
        <w:rPr>
          <w:rFonts w:cs="Times New Roman"/>
        </w:rPr>
        <w:t xml:space="preserve">, place </w:t>
      </w:r>
      <w:r w:rsidR="008E5CDA" w:rsidRPr="00C6225F">
        <w:rPr>
          <w:rFonts w:cs="Times New Roman"/>
        </w:rPr>
        <w:t xml:space="preserve">a </w:t>
      </w:r>
      <w:r w:rsidR="008E5CDA">
        <w:rPr>
          <w:rFonts w:cs="Times New Roman"/>
        </w:rPr>
        <w:t>negative one</w:t>
      </w:r>
      <w:r w:rsidR="008E5CDA" w:rsidRPr="00C6225F">
        <w:rPr>
          <w:rFonts w:cs="Times New Roman"/>
        </w:rPr>
        <w:t xml:space="preserve"> in the column corresponding to the second-ranked alternative </w:t>
      </w:r>
      <w:r w:rsidR="008E5CDA">
        <w:rPr>
          <w:rFonts w:cs="Times New Roman"/>
        </w:rPr>
        <w:t>and a</w:t>
      </w:r>
      <w:r w:rsidRPr="00C6225F">
        <w:rPr>
          <w:rFonts w:cs="Times New Roman"/>
        </w:rPr>
        <w:t xml:space="preserve"> </w:t>
      </w:r>
      <w:r w:rsidR="00E87F47">
        <w:rPr>
          <w:rFonts w:cs="Times New Roman"/>
        </w:rPr>
        <w:t>one</w:t>
      </w:r>
      <w:r w:rsidRPr="00C6225F">
        <w:rPr>
          <w:rFonts w:cs="Times New Roman"/>
        </w:rPr>
        <w:t xml:space="preserve"> in the column corresponding to the third-ranked alternative</w:t>
      </w:r>
      <w:r w:rsidR="008E5CDA">
        <w:rPr>
          <w:rFonts w:cs="Times New Roman"/>
        </w:rPr>
        <w:t>. Continue this process</w:t>
      </w:r>
      <w:r w:rsidRPr="00C6225F">
        <w:rPr>
          <w:rFonts w:cs="Times New Roman"/>
        </w:rPr>
        <w:t xml:space="preserve"> until placing </w:t>
      </w:r>
      <w:r w:rsidR="008E5CDA">
        <w:rPr>
          <w:rFonts w:cs="Times New Roman"/>
        </w:rPr>
        <w:t>a</w:t>
      </w:r>
      <w:r w:rsidRPr="00C6225F">
        <w:rPr>
          <w:rFonts w:cs="Times New Roman"/>
        </w:rPr>
        <w:t xml:space="preserve"> </w:t>
      </w:r>
      <w:r w:rsidR="00E87F47">
        <w:rPr>
          <w:rFonts w:cs="Times New Roman"/>
        </w:rPr>
        <w:t>negative one</w:t>
      </w:r>
      <w:r w:rsidRPr="00C6225F">
        <w:rPr>
          <w:rFonts w:cs="Times New Roman"/>
        </w:rPr>
        <w:t xml:space="preserve"> in the column corresponding to the penultimate-ranked alternative, and a </w:t>
      </w:r>
      <w:r w:rsidR="00E87F47">
        <w:rPr>
          <w:rFonts w:cs="Times New Roman"/>
        </w:rPr>
        <w:t>one</w:t>
      </w:r>
      <w:r w:rsidRPr="00C6225F">
        <w:rPr>
          <w:rFonts w:cs="Times New Roman"/>
        </w:rPr>
        <w:t xml:space="preserve"> in the column corresponding to the last-ranked alternative </w:t>
      </w:r>
      <w:r w:rsidR="008E5CDA">
        <w:rPr>
          <w:rFonts w:cs="Times New Roman"/>
        </w:rPr>
        <w:t xml:space="preserve">in the final row </w:t>
      </w:r>
      <w:r w:rsidRPr="00C6225F">
        <w:rPr>
          <w:rFonts w:cs="Times New Roman"/>
        </w:rPr>
        <w:t xml:space="preserve">(corresponding to the last inequality above). </w:t>
      </w:r>
    </w:p>
    <w:p w14:paraId="08CB321E" w14:textId="70064203" w:rsidR="00813D99" w:rsidRDefault="005E549E" w:rsidP="00251A17">
      <w:pPr>
        <w:spacing w:after="120" w:line="240" w:lineRule="auto"/>
        <w:ind w:firstLine="720"/>
        <w:jc w:val="both"/>
        <w:rPr>
          <w:rFonts w:cs="Times New Roman"/>
        </w:rPr>
      </w:pPr>
      <w:r>
        <w:rPr>
          <w:rFonts w:cs="Times New Roman"/>
        </w:rPr>
        <w:t>T</w:t>
      </w:r>
      <w:r w:rsidR="00813D99">
        <w:rPr>
          <w:rFonts w:cs="Times New Roman"/>
        </w:rPr>
        <w:t xml:space="preserve">he contrast matrix </w:t>
      </w:r>
      <w:r w:rsidR="00251A17" w:rsidRPr="00C6225F">
        <w:rPr>
          <w:rFonts w:cs="Times New Roman"/>
          <w:position w:val="-14"/>
        </w:rPr>
        <w:object w:dxaOrig="380" w:dyaOrig="380" w14:anchorId="78939DB6">
          <v:shape id="_x0000_i1067" type="#_x0000_t75" style="width:18.85pt;height:18.85pt" o:ole="" o:preferrelative="f">
            <v:imagedata r:id="rId82" o:title=""/>
            <o:lock v:ext="edit" aspectratio="f"/>
          </v:shape>
          <o:OLEObject Type="Embed" ProgID="Equation.3" ShapeID="_x0000_i1067" DrawAspect="Content" ObjectID="_1801464580" r:id="rId88"/>
        </w:object>
      </w:r>
      <w:r w:rsidR="00813D99">
        <w:rPr>
          <w:rFonts w:cs="Times New Roman"/>
        </w:rPr>
        <w:t>, as defined above</w:t>
      </w:r>
      <w:r w:rsidR="002C0ECC">
        <w:rPr>
          <w:rFonts w:cs="Times New Roman"/>
        </w:rPr>
        <w:t>,</w:t>
      </w:r>
      <w:r w:rsidR="00813D99">
        <w:rPr>
          <w:rFonts w:cs="Times New Roman"/>
        </w:rPr>
        <w:t xml:space="preserve"> </w:t>
      </w:r>
      <w:r>
        <w:rPr>
          <w:rFonts w:cs="Times New Roman"/>
        </w:rPr>
        <w:t xml:space="preserve">does not accommodate tied rankings. </w:t>
      </w:r>
      <w:r w:rsidR="00536381">
        <w:rPr>
          <w:rFonts w:cs="Times New Roman"/>
        </w:rPr>
        <w:t>In</w:t>
      </w:r>
      <w:r>
        <w:rPr>
          <w:rFonts w:cs="Times New Roman"/>
        </w:rPr>
        <w:t xml:space="preserve"> the context of converting a set of </w:t>
      </w:r>
      <w:r w:rsidR="0037161B">
        <w:rPr>
          <w:rFonts w:cs="Times New Roman"/>
        </w:rPr>
        <w:t>importance ratings to a set of rankings</w:t>
      </w:r>
      <w:r w:rsidR="00536381">
        <w:rPr>
          <w:rFonts w:cs="Times New Roman"/>
        </w:rPr>
        <w:t xml:space="preserve">, it is necessary to accommodate tied rankings as participants may indicate the same level of importance for multiple factors (in fact, </w:t>
      </w:r>
      <w:r w:rsidR="00DD07EF">
        <w:rPr>
          <w:rFonts w:cs="Times New Roman"/>
        </w:rPr>
        <w:t>the survey design included</w:t>
      </w:r>
      <w:r w:rsidR="00536381">
        <w:rPr>
          <w:rFonts w:cs="Times New Roman"/>
        </w:rPr>
        <w:t xml:space="preserve"> more factors than </w:t>
      </w:r>
      <w:r w:rsidR="00DD07EF">
        <w:rPr>
          <w:rFonts w:cs="Times New Roman"/>
        </w:rPr>
        <w:t xml:space="preserve">importance levels, so every record in </w:t>
      </w:r>
      <w:r w:rsidR="00DD07EF">
        <w:rPr>
          <w:rFonts w:cs="Times New Roman"/>
        </w:rPr>
        <w:lastRenderedPageBreak/>
        <w:t>the sam</w:t>
      </w:r>
      <w:r w:rsidR="008E5CDA">
        <w:rPr>
          <w:rFonts w:cs="Times New Roman"/>
        </w:rPr>
        <w:t>pl</w:t>
      </w:r>
      <w:r w:rsidR="00DD07EF">
        <w:rPr>
          <w:rFonts w:cs="Times New Roman"/>
        </w:rPr>
        <w:t xml:space="preserve">e includes tied </w:t>
      </w:r>
      <w:r w:rsidR="008E5CDA">
        <w:rPr>
          <w:rFonts w:cs="Times New Roman"/>
        </w:rPr>
        <w:t>rankings</w:t>
      </w:r>
      <w:r w:rsidR="00DD07EF">
        <w:rPr>
          <w:rFonts w:cs="Times New Roman"/>
        </w:rPr>
        <w:t xml:space="preserve">). </w:t>
      </w:r>
      <w:r w:rsidR="00CA27F5">
        <w:rPr>
          <w:rFonts w:cs="Times New Roman"/>
        </w:rPr>
        <w:t xml:space="preserve">To account for these scenarios where respondents reported multiple factors </w:t>
      </w:r>
      <w:r w:rsidR="00CA27F5" w:rsidRPr="007E44AB">
        <w:rPr>
          <w:rFonts w:cs="Times New Roman"/>
        </w:rPr>
        <w:t xml:space="preserve">with the same level of importance, </w:t>
      </w:r>
      <w:r w:rsidR="0030080C" w:rsidRPr="007E44AB">
        <w:rPr>
          <w:rFonts w:cs="Times New Roman"/>
        </w:rPr>
        <w:t xml:space="preserve">we adopt </w:t>
      </w:r>
      <w:r w:rsidR="00747539" w:rsidRPr="007E44AB">
        <w:rPr>
          <w:rFonts w:cs="Times New Roman"/>
        </w:rPr>
        <w:t>the</w:t>
      </w:r>
      <w:r w:rsidR="00C706AA" w:rsidRPr="007E44AB">
        <w:rPr>
          <w:rFonts w:cs="Times New Roman"/>
        </w:rPr>
        <w:t xml:space="preserve"> framework proposed by Allison and Chrisktakis</w:t>
      </w:r>
      <w:r w:rsidR="00E72285" w:rsidRPr="007E44AB">
        <w:rPr>
          <w:rFonts w:cs="Times New Roman"/>
        </w:rPr>
        <w:t xml:space="preserve"> </w:t>
      </w:r>
      <w:r w:rsidR="00E72285" w:rsidRPr="007E44AB">
        <w:rPr>
          <w:rFonts w:cs="Times New Roman"/>
        </w:rPr>
        <w:fldChar w:fldCharType="begin"/>
      </w:r>
      <w:r w:rsidR="00E72285" w:rsidRPr="007E44AB">
        <w:rPr>
          <w:rFonts w:cs="Times New Roman"/>
        </w:rPr>
        <w:instrText xml:space="preserve"> ADDIN ZOTERO_ITEM CSL_CITATION {"citationID":"OMAWs7i1","properties":{"formattedCitation":"(1994)","plainCitation":"(1994)","noteIndex":0},"citationItems":[{"id":2106,"uris":["http://zotero.org/users/12832277/items/HRK7EUH4"],"itemData":{"id":2106,"type":"article-journal","abstract":"Methods are presented for analyzing data generated by asking respondents to rank a set of items. Based on a conditional logit model, these methods allow us to estimate and test for differences among items in respondents' preferences for them; to test for differences in item preferences across subpopulations; and to incorporate predictor variables describing respondents, items, or both. The models can be easily estimated with programs for proportional hazards models, and they can be generalized to allow for ties in the rankings. Detailed examples are given.","container-title":"Sociological Methodology","DOI":"10.2307/270983","ISSN":"0081-1750","note":"publisher: [American Sociological Association, Wiley, Sage Publications, Inc.]","page":"199-228","source":"JSTOR","title":"Logit Models for Sets of Ranked Items","volume":"24","author":[{"family":"Allison","given":"Paul D."},{"family":"Christakis","given":"Nicholas A."}],"issued":{"date-parts":[["1994"]]}},"label":"page","suppress-author":true}],"schema":"https://github.com/citation-style-language/schema/raw/master/csl-citation.json"} </w:instrText>
      </w:r>
      <w:r w:rsidR="00E72285" w:rsidRPr="007E44AB">
        <w:rPr>
          <w:rFonts w:cs="Times New Roman"/>
        </w:rPr>
        <w:fldChar w:fldCharType="separate"/>
      </w:r>
      <w:r w:rsidR="00E72285" w:rsidRPr="007E44AB">
        <w:rPr>
          <w:rFonts w:cs="Times New Roman"/>
        </w:rPr>
        <w:t>(1994)</w:t>
      </w:r>
      <w:r w:rsidR="00E72285" w:rsidRPr="007E44AB">
        <w:rPr>
          <w:rFonts w:cs="Times New Roman"/>
        </w:rPr>
        <w:fldChar w:fldCharType="end"/>
      </w:r>
      <w:r w:rsidR="00C706AA" w:rsidRPr="007E44AB">
        <w:rPr>
          <w:rFonts w:cs="Times New Roman"/>
        </w:rPr>
        <w:t xml:space="preserve"> for the ROL model and generalized to the ROP model by </w:t>
      </w:r>
      <w:r w:rsidR="00747539" w:rsidRPr="007E44AB">
        <w:rPr>
          <w:rFonts w:cs="Times New Roman"/>
        </w:rPr>
        <w:t>Nair et al.</w:t>
      </w:r>
      <w:r w:rsidR="007E44AB" w:rsidRPr="007E44AB">
        <w:rPr>
          <w:rFonts w:cs="Times New Roman"/>
        </w:rPr>
        <w:t xml:space="preserve"> </w:t>
      </w:r>
      <w:r w:rsidR="007E44AB" w:rsidRPr="007E44AB">
        <w:rPr>
          <w:rFonts w:cs="Times New Roman"/>
        </w:rPr>
        <w:fldChar w:fldCharType="begin"/>
      </w:r>
      <w:r w:rsidR="00460F21">
        <w:rPr>
          <w:rFonts w:cs="Times New Roman"/>
        </w:rPr>
        <w:instrText xml:space="preserve"> ADDIN ZOTERO_ITEM CSL_CITATION {"citationID":"hZ1gWphl","properties":{"formattedCitation":"(2018)","plainCitation":"(2018)","noteIndex":0},"citationItems":[{"id":1990,"uris":["http://zotero.org/users/12832277/items/EU87QJDM"],"itemData":{"id":1990,"type":"article-journal","abstract":"Surveys of behavior could benefit from information about people’s relative ranking of choice alternatives. Rank ordered data are often collected in stated preference surveys where respondents are asked to rank hypothetical alternatives (rather than choose a single alternative) to better understand their relative preferences. Despite the widespread interest in collecting data on and modeling people’s preferences for choice alternatives, rank-ordered data are rarely collected in travel surveys and very little progress has been made in the ability to rigorously model such data and obtain reliable parameter estimates. This paper presents a rank ordered probit modeling approach that overcomes limitations associated with prior approaches in analyzing rank ordered data. The efficacy of the rank ordered probit modeling methodology is demonstrated through an application of the model to understand preferences for alternative configurations of autonomous vehicles (AV) using the 2015 Puget Sound Regional Travel Study survey data set. The methodology offers behaviorally intuitive model results with a variety of socio-economic and demographic characteristics, including age, gender, household income, education, employment and household structure, significantly influencing preference for alternative configurations of AV adoption, ownership, and shared usage. The ability to estimate rank ordered probit models offers a pathway for better utilizing rank ordered data to understand preferences and recognize that choices may not be absolute in many instances.","container-title":"Transportation","DOI":"10.1007/s11116-018-9945-9","ISSN":"1572-9435","issue":"6","language":"en","page":"1623-1637","source":"Springer Link","title":"An Application of a Rank Ordered Probit Modeling Approach to Understanding Level of Interest in Autonomous Vehicles","volume":"45","author":[{"family":"Nair","given":"Gopindra Sivakumar"},{"family":"Astroza","given":"Sebastian"},{"family":"Bhat","given":"Chandra R."},{"family":"Khoeini","given":"Sara"},{"family":"Pendyala","given":"Ram M."}],"issued":{"date-parts":[["2018",11,1]]}},"label":"page","suppress-author":true}],"schema":"https://github.com/citation-style-language/schema/raw/master/csl-citation.json"} </w:instrText>
      </w:r>
      <w:r w:rsidR="007E44AB" w:rsidRPr="007E44AB">
        <w:rPr>
          <w:rFonts w:cs="Times New Roman"/>
        </w:rPr>
        <w:fldChar w:fldCharType="separate"/>
      </w:r>
      <w:r w:rsidR="007E44AB" w:rsidRPr="007E44AB">
        <w:rPr>
          <w:rFonts w:cs="Times New Roman"/>
        </w:rPr>
        <w:t>(2018)</w:t>
      </w:r>
      <w:r w:rsidR="007E44AB" w:rsidRPr="007E44AB">
        <w:rPr>
          <w:rFonts w:cs="Times New Roman"/>
        </w:rPr>
        <w:fldChar w:fldCharType="end"/>
      </w:r>
      <w:r w:rsidR="00747539" w:rsidRPr="007E44AB">
        <w:rPr>
          <w:rFonts w:cs="Times New Roman"/>
        </w:rPr>
        <w:t>.</w:t>
      </w:r>
      <w:r w:rsidR="00747539">
        <w:rPr>
          <w:rFonts w:cs="Times New Roman"/>
        </w:rPr>
        <w:t xml:space="preserve"> </w:t>
      </w:r>
      <w:r w:rsidR="00797F4E">
        <w:rPr>
          <w:rFonts w:cs="Times New Roman"/>
        </w:rPr>
        <w:t xml:space="preserve">Specifically, it is assumed that when respondents provide the same level of importance for multiple housing factors, there is </w:t>
      </w:r>
      <w:r w:rsidR="00C65A0F">
        <w:rPr>
          <w:rFonts w:cs="Times New Roman"/>
        </w:rPr>
        <w:t xml:space="preserve">still </w:t>
      </w:r>
      <w:r w:rsidR="00AF062F">
        <w:rPr>
          <w:rFonts w:cs="Times New Roman"/>
        </w:rPr>
        <w:t>an</w:t>
      </w:r>
      <w:r w:rsidR="00C65A0F">
        <w:rPr>
          <w:rFonts w:cs="Times New Roman"/>
        </w:rPr>
        <w:t xml:space="preserve"> underlying preference ordering among them. Since </w:t>
      </w:r>
      <w:r w:rsidR="00030A77">
        <w:rPr>
          <w:rFonts w:cs="Times New Roman"/>
        </w:rPr>
        <w:t xml:space="preserve">this underlying preference ordering is unobserved, the likelihood is calculated as the probability of </w:t>
      </w:r>
      <w:r w:rsidR="008E5CDA">
        <w:rPr>
          <w:rFonts w:cs="Times New Roman"/>
        </w:rPr>
        <w:t>any possible ordering consistent with the observed ranking</w:t>
      </w:r>
      <w:r w:rsidR="00075F84">
        <w:rPr>
          <w:rFonts w:cs="Times New Roman"/>
        </w:rPr>
        <w:t>, resulting in a greater number of inequality conditions,</w:t>
      </w:r>
      <w:r w:rsidR="009C70A9">
        <w:t xml:space="preserve"> </w:t>
      </w:r>
      <w:r w:rsidR="009C70A9" w:rsidRPr="002C0ECC">
        <w:rPr>
          <w:rFonts w:cs="Times New Roman"/>
          <w:position w:val="-14"/>
        </w:rPr>
        <w:object w:dxaOrig="279" w:dyaOrig="380" w14:anchorId="40C491D8">
          <v:shape id="_x0000_i1068" type="#_x0000_t75" style="width:12.85pt;height:18.85pt" o:ole="">
            <v:imagedata r:id="rId89" o:title=""/>
          </v:shape>
          <o:OLEObject Type="Embed" ProgID="Equation.DSMT4" ShapeID="_x0000_i1068" DrawAspect="Content" ObjectID="_1801464581" r:id="rId90"/>
        </w:object>
      </w:r>
      <w:r w:rsidR="00650BC8">
        <w:rPr>
          <w:rFonts w:cs="Times New Roman"/>
        </w:rPr>
        <w:t xml:space="preserve">. </w:t>
      </w:r>
      <w:r w:rsidR="00650BC8" w:rsidRPr="00650BC8">
        <w:rPr>
          <w:rFonts w:cs="Times New Roman"/>
        </w:rPr>
        <w:t xml:space="preserve">For example, if an individual </w:t>
      </w:r>
      <w:r w:rsidR="00CC227F" w:rsidRPr="00CC227F">
        <w:rPr>
          <w:rFonts w:cs="Times New Roman"/>
          <w:position w:val="-10"/>
        </w:rPr>
        <w:object w:dxaOrig="200" w:dyaOrig="260" w14:anchorId="26FF2290">
          <v:shape id="_x0000_i1069" type="#_x0000_t75" style="width:9pt;height:12.85pt" o:ole="">
            <v:imagedata r:id="rId91" o:title=""/>
          </v:shape>
          <o:OLEObject Type="Embed" ProgID="Equation.DSMT4" ShapeID="_x0000_i1069" DrawAspect="Content" ObjectID="_1801464582" r:id="rId92"/>
        </w:object>
      </w:r>
      <w:r w:rsidR="00650BC8" w:rsidRPr="00650BC8">
        <w:rPr>
          <w:rFonts w:cs="Times New Roman"/>
        </w:rPr>
        <w:t xml:space="preserve"> assigns the first rank to alternative 3, </w:t>
      </w:r>
      <w:r w:rsidR="00EC0D7C">
        <w:rPr>
          <w:rFonts w:cs="Times New Roman"/>
        </w:rPr>
        <w:t xml:space="preserve">has a tie for </w:t>
      </w:r>
      <w:r w:rsidR="00650BC8" w:rsidRPr="00650BC8">
        <w:rPr>
          <w:rFonts w:cs="Times New Roman"/>
        </w:rPr>
        <w:t xml:space="preserve">second rank </w:t>
      </w:r>
      <w:r w:rsidR="00EC0D7C">
        <w:rPr>
          <w:rFonts w:cs="Times New Roman"/>
        </w:rPr>
        <w:t>among</w:t>
      </w:r>
      <w:r w:rsidR="00650BC8" w:rsidRPr="00650BC8">
        <w:rPr>
          <w:rFonts w:cs="Times New Roman"/>
        </w:rPr>
        <w:t xml:space="preserve"> alternatives 2 and 4</w:t>
      </w:r>
      <w:r w:rsidR="00EC0D7C">
        <w:rPr>
          <w:rFonts w:cs="Times New Roman"/>
        </w:rPr>
        <w:t>,</w:t>
      </w:r>
      <w:r w:rsidR="00650BC8" w:rsidRPr="00650BC8">
        <w:rPr>
          <w:rFonts w:cs="Times New Roman"/>
        </w:rPr>
        <w:t xml:space="preserve"> and </w:t>
      </w:r>
      <w:r w:rsidR="00EC0D7C">
        <w:rPr>
          <w:rFonts w:cs="Times New Roman"/>
        </w:rPr>
        <w:t xml:space="preserve">assigns </w:t>
      </w:r>
      <w:r w:rsidR="00650BC8" w:rsidRPr="00650BC8">
        <w:rPr>
          <w:rFonts w:cs="Times New Roman"/>
        </w:rPr>
        <w:t xml:space="preserve">third rank to alternative 1, </w:t>
      </w:r>
      <w:r w:rsidR="00731A9C">
        <w:rPr>
          <w:rFonts w:cs="Times New Roman"/>
        </w:rPr>
        <w:t xml:space="preserve">they have </w:t>
      </w:r>
      <w:r w:rsidR="00650BC8" w:rsidRPr="00650BC8">
        <w:rPr>
          <w:rFonts w:cs="Times New Roman"/>
        </w:rPr>
        <w:t>the following four conditions</w:t>
      </w:r>
      <w:r w:rsidR="001D2707">
        <w:rPr>
          <w:rFonts w:cs="Times New Roman"/>
        </w:rPr>
        <w:t>:</w:t>
      </w:r>
      <w:r w:rsidR="00251A17">
        <w:rPr>
          <w:rFonts w:cs="Times New Roman"/>
        </w:rPr>
        <w:t xml:space="preserve"> </w:t>
      </w:r>
      <w:r w:rsidR="00251A17" w:rsidRPr="001D588C">
        <w:rPr>
          <w:rFonts w:cs="Times New Roman"/>
          <w:position w:val="-14"/>
        </w:rPr>
        <w:object w:dxaOrig="5580" w:dyaOrig="380" w14:anchorId="6D3DE529">
          <v:shape id="_x0000_i1108" type="#_x0000_t75" style="width:279.45pt;height:18.85pt" o:ole="" o:preferrelative="f">
            <v:imagedata r:id="rId93" o:title=""/>
            <o:lock v:ext="edit" aspectratio="f"/>
          </v:shape>
          <o:OLEObject Type="Embed" ProgID="Equation.DSMT4" ShapeID="_x0000_i1108" DrawAspect="Content" ObjectID="_1801464583" r:id="rId94"/>
        </w:object>
      </w:r>
      <w:r w:rsidR="00731A9C">
        <w:rPr>
          <w:rFonts w:cs="Times New Roman"/>
        </w:rPr>
        <w:t xml:space="preserve"> Thus,</w:t>
      </w:r>
      <w:r w:rsidR="00DF3EBD">
        <w:rPr>
          <w:rFonts w:cs="Times New Roman"/>
        </w:rPr>
        <w:t xml:space="preserve"> in this example,</w:t>
      </w:r>
      <w:r w:rsidR="00731A9C">
        <w:rPr>
          <w:rFonts w:cs="Times New Roman"/>
        </w:rPr>
        <w:t xml:space="preserve"> </w:t>
      </w:r>
      <w:r w:rsidR="00731A9C" w:rsidRPr="00650BC8">
        <w:rPr>
          <w:rFonts w:cs="Times New Roman"/>
        </w:rPr>
        <w:t xml:space="preserve">the contrast matrix </w:t>
      </w:r>
      <w:r w:rsidR="00731A9C" w:rsidRPr="00C6225F">
        <w:rPr>
          <w:rFonts w:cs="Times New Roman"/>
          <w:position w:val="-14"/>
        </w:rPr>
        <w:object w:dxaOrig="380" w:dyaOrig="380" w14:anchorId="47664EA7">
          <v:shape id="_x0000_i1071" type="#_x0000_t75" style="width:19.3pt;height:19.3pt" o:ole="">
            <v:imagedata r:id="rId82" o:title=""/>
          </v:shape>
          <o:OLEObject Type="Embed" ProgID="Equation.3" ShapeID="_x0000_i1071" DrawAspect="Content" ObjectID="_1801464584" r:id="rId95"/>
        </w:object>
      </w:r>
      <w:r w:rsidR="00731A9C" w:rsidRPr="00650BC8">
        <w:rPr>
          <w:rFonts w:cs="Times New Roman"/>
        </w:rPr>
        <w:t xml:space="preserve"> is structured </w:t>
      </w:r>
      <w:r w:rsidR="00B03706">
        <w:rPr>
          <w:rFonts w:cs="Times New Roman"/>
        </w:rPr>
        <w:t>as follows:</w:t>
      </w:r>
    </w:p>
    <w:p w14:paraId="3A157458" w14:textId="439ED162" w:rsidR="00B748B6" w:rsidRDefault="00251A17" w:rsidP="00251A17">
      <w:pPr>
        <w:keepNext/>
        <w:spacing w:after="120" w:line="240" w:lineRule="auto"/>
        <w:jc w:val="both"/>
        <w:rPr>
          <w:rFonts w:cs="Times New Roman"/>
        </w:rPr>
      </w:pPr>
      <w:r w:rsidRPr="00BB3BD9">
        <w:rPr>
          <w:rFonts w:cs="Times New Roman"/>
          <w:position w:val="-66"/>
        </w:rPr>
        <w:object w:dxaOrig="2420" w:dyaOrig="1440" w14:anchorId="641D2FFB">
          <v:shape id="_x0000_i1072" type="#_x0000_t75" style="width:120.85pt;height:1in" o:ole="" o:preferrelative="f">
            <v:imagedata r:id="rId96" o:title=""/>
            <o:lock v:ext="edit" aspectratio="f"/>
          </v:shape>
          <o:OLEObject Type="Embed" ProgID="Equation.DSMT4" ShapeID="_x0000_i1072" DrawAspect="Content" ObjectID="_1801464585" r:id="rId97"/>
        </w:object>
      </w:r>
    </w:p>
    <w:p w14:paraId="7A584D7C" w14:textId="53087736" w:rsidR="00CC232D" w:rsidRDefault="00F13AC2" w:rsidP="003F65A3">
      <w:pPr>
        <w:keepNext/>
        <w:spacing w:after="120" w:line="240" w:lineRule="auto"/>
        <w:jc w:val="both"/>
      </w:pPr>
      <w:r>
        <w:rPr>
          <w:rFonts w:cs="Times New Roman"/>
        </w:rPr>
        <w:tab/>
        <w:t xml:space="preserve">Note that the number of rows in </w:t>
      </w:r>
      <w:r w:rsidRPr="00C6225F">
        <w:rPr>
          <w:rFonts w:cs="Times New Roman"/>
          <w:position w:val="-14"/>
        </w:rPr>
        <w:object w:dxaOrig="380" w:dyaOrig="380" w14:anchorId="00A910B5">
          <v:shape id="_x0000_i1073" type="#_x0000_t75" style="width:19.3pt;height:19.3pt" o:ole="">
            <v:imagedata r:id="rId82" o:title=""/>
          </v:shape>
          <o:OLEObject Type="Embed" ProgID="Equation.3" ShapeID="_x0000_i1073" DrawAspect="Content" ObjectID="_1801464586" r:id="rId98"/>
        </w:object>
      </w:r>
      <w:r w:rsidR="00222BA2">
        <w:rPr>
          <w:rFonts w:cs="Times New Roman"/>
        </w:rPr>
        <w:t xml:space="preserve"> is now </w:t>
      </w:r>
      <w:r w:rsidR="009C70A9" w:rsidRPr="009C70A9">
        <w:rPr>
          <w:rFonts w:cs="Times New Roman"/>
          <w:position w:val="-14"/>
        </w:rPr>
        <w:object w:dxaOrig="760" w:dyaOrig="380" w14:anchorId="7DB891E8">
          <v:shape id="_x0000_i1074" type="#_x0000_t75" style="width:37.7pt;height:19.3pt" o:ole="">
            <v:imagedata r:id="rId99" o:title=""/>
          </v:shape>
          <o:OLEObject Type="Embed" ProgID="Equation.DSMT4" ShapeID="_x0000_i1074" DrawAspect="Content" ObjectID="_1801464587" r:id="rId100"/>
        </w:object>
      </w:r>
      <w:r w:rsidR="00222BA2">
        <w:rPr>
          <w:rFonts w:cs="Times New Roman"/>
        </w:rPr>
        <w:t>, which</w:t>
      </w:r>
      <w:r>
        <w:rPr>
          <w:rFonts w:cs="Times New Roman"/>
        </w:rPr>
        <w:t xml:space="preserve"> depends on the number of ties in</w:t>
      </w:r>
      <w:r w:rsidR="00C52925">
        <w:rPr>
          <w:rFonts w:cs="Times New Roman"/>
        </w:rPr>
        <w:t xml:space="preserve"> each </w:t>
      </w:r>
      <w:r w:rsidR="008E5CDA">
        <w:rPr>
          <w:rFonts w:cs="Times New Roman"/>
        </w:rPr>
        <w:t xml:space="preserve">individual’s </w:t>
      </w:r>
      <w:r w:rsidR="00C52925">
        <w:rPr>
          <w:rFonts w:cs="Times New Roman"/>
        </w:rPr>
        <w:t>responses. Once the contrast matrix has been defined</w:t>
      </w:r>
      <w:r w:rsidR="00841A1B">
        <w:rPr>
          <w:rFonts w:cs="Times New Roman"/>
        </w:rPr>
        <w:t>, the inequalities for each individual can be rewritten in vector form</w:t>
      </w:r>
      <w:r w:rsidR="00C13802">
        <w:rPr>
          <w:rFonts w:cs="Times New Roman"/>
        </w:rPr>
        <w:t xml:space="preserve"> as </w:t>
      </w:r>
      <w:r w:rsidR="001A47B8" w:rsidRPr="001E26CC">
        <w:rPr>
          <w:rFonts w:cs="Times New Roman"/>
          <w:position w:val="-14"/>
        </w:rPr>
        <w:object w:dxaOrig="1740" w:dyaOrig="380" w14:anchorId="685A3390">
          <v:shape id="_x0000_i1075" type="#_x0000_t75" style="width:87pt;height:19.3pt" o:ole="">
            <v:imagedata r:id="rId101" o:title=""/>
          </v:shape>
          <o:OLEObject Type="Embed" ProgID="Equation.DSMT4" ShapeID="_x0000_i1075" DrawAspect="Content" ObjectID="_1801464588" r:id="rId102"/>
        </w:object>
      </w:r>
      <w:r w:rsidR="005F4AAD">
        <w:rPr>
          <w:rFonts w:cs="Times New Roman"/>
        </w:rPr>
        <w:t xml:space="preserve">, and it can be seen that </w:t>
      </w:r>
      <w:r w:rsidR="009C70A9" w:rsidRPr="009C70A9">
        <w:rPr>
          <w:rFonts w:cs="Times New Roman"/>
          <w:position w:val="-16"/>
        </w:rPr>
        <w:object w:dxaOrig="2280" w:dyaOrig="400" w14:anchorId="7E4A5683">
          <v:shape id="_x0000_i1076" type="#_x0000_t75" style="width:114pt;height:20.15pt" o:ole="">
            <v:imagedata r:id="rId103" o:title=""/>
          </v:shape>
          <o:OLEObject Type="Embed" ProgID="Equation.DSMT4" ShapeID="_x0000_i1076" DrawAspect="Content" ObjectID="_1801464589" r:id="rId104"/>
        </w:object>
      </w:r>
      <w:r w:rsidR="00167A9B">
        <w:rPr>
          <w:rFonts w:cs="Times New Roman"/>
        </w:rPr>
        <w:t xml:space="preserve">, with </w:t>
      </w:r>
      <w:r w:rsidR="00DE310A" w:rsidRPr="005A0F01">
        <w:rPr>
          <w:position w:val="-14"/>
        </w:rPr>
        <w:object w:dxaOrig="1240" w:dyaOrig="380" w14:anchorId="04E5DDEC">
          <v:shape id="_x0000_i1077" type="#_x0000_t75" style="width:61.7pt;height:19.3pt" o:ole="">
            <v:imagedata r:id="rId105" o:title=""/>
          </v:shape>
          <o:OLEObject Type="Embed" ProgID="Equation.DSMT4" ShapeID="_x0000_i1077" DrawAspect="Content" ObjectID="_1801464590" r:id="rId106"/>
        </w:object>
      </w:r>
      <w:r w:rsidR="00465BB9">
        <w:t xml:space="preserve"> </w:t>
      </w:r>
      <w:r w:rsidR="00167A9B">
        <w:t>and</w:t>
      </w:r>
      <w:r w:rsidR="00465BB9">
        <w:t xml:space="preserve"> </w:t>
      </w:r>
      <w:r w:rsidR="00465BB9" w:rsidRPr="00133FC9">
        <w:rPr>
          <w:position w:val="-14"/>
        </w:rPr>
        <w:object w:dxaOrig="1400" w:dyaOrig="380" w14:anchorId="2B28D30C">
          <v:shape id="_x0000_i1078" type="#_x0000_t75" style="width:71.15pt;height:19.3pt" o:ole="">
            <v:imagedata r:id="rId107" o:title=""/>
          </v:shape>
          <o:OLEObject Type="Embed" ProgID="Equation.DSMT4" ShapeID="_x0000_i1078" DrawAspect="Content" ObjectID="_1801464591" r:id="rId108"/>
        </w:object>
      </w:r>
      <w:r w:rsidR="00E80388">
        <w:t xml:space="preserve"> </w:t>
      </w:r>
      <w:r w:rsidR="00E80388" w:rsidRPr="00E80388">
        <w:t xml:space="preserve">The likelihood of </w:t>
      </w:r>
      <w:r w:rsidR="00544E86">
        <w:t>each observation in the</w:t>
      </w:r>
      <w:r w:rsidR="00E80388" w:rsidRPr="00E80388">
        <w:t xml:space="preserve"> sample (i.e., individual 1 having the ranking </w:t>
      </w:r>
      <w:r w:rsidR="0086213D" w:rsidRPr="0086213D">
        <w:rPr>
          <w:position w:val="-12"/>
        </w:rPr>
        <w:object w:dxaOrig="200" w:dyaOrig="360" w14:anchorId="3AB1550D">
          <v:shape id="_x0000_i1079" type="#_x0000_t75" style="width:9pt;height:18pt" o:ole="">
            <v:imagedata r:id="rId109" o:title=""/>
          </v:shape>
          <o:OLEObject Type="Embed" ProgID="Equation.DSMT4" ShapeID="_x0000_i1079" DrawAspect="Content" ObjectID="_1801464592" r:id="rId110"/>
        </w:object>
      </w:r>
      <w:r w:rsidR="00E80388" w:rsidRPr="00E80388">
        <w:t xml:space="preserve">, individual 2 having the ranking </w:t>
      </w:r>
      <w:r w:rsidR="0086213D" w:rsidRPr="0086213D">
        <w:rPr>
          <w:position w:val="-12"/>
        </w:rPr>
        <w:object w:dxaOrig="220" w:dyaOrig="360" w14:anchorId="0FCE1638">
          <v:shape id="_x0000_i1080" type="#_x0000_t75" style="width:11.15pt;height:18pt" o:ole="">
            <v:imagedata r:id="rId111" o:title=""/>
          </v:shape>
          <o:OLEObject Type="Embed" ProgID="Equation.DSMT4" ShapeID="_x0000_i1080" DrawAspect="Content" ObjectID="_1801464593" r:id="rId112"/>
        </w:object>
      </w:r>
      <w:r w:rsidR="00E80388" w:rsidRPr="00E80388">
        <w:t>, ...,</w:t>
      </w:r>
      <w:r w:rsidR="0086213D">
        <w:t xml:space="preserve"> and</w:t>
      </w:r>
      <w:r w:rsidR="00E80388" w:rsidRPr="00E80388">
        <w:t xml:space="preserve"> individual </w:t>
      </w:r>
      <w:r w:rsidR="00E80388" w:rsidRPr="003F65A3">
        <w:rPr>
          <w:i/>
          <w:iCs/>
        </w:rPr>
        <w:t>Q</w:t>
      </w:r>
      <w:r w:rsidR="00E80388" w:rsidRPr="00E80388">
        <w:t xml:space="preserve"> having the ranking</w:t>
      </w:r>
      <w:r w:rsidR="0086213D">
        <w:t xml:space="preserve"> </w:t>
      </w:r>
      <w:r w:rsidR="00A03FF3" w:rsidRPr="00A03FF3">
        <w:rPr>
          <w:position w:val="-14"/>
        </w:rPr>
        <w:object w:dxaOrig="240" w:dyaOrig="380" w14:anchorId="35C69E25">
          <v:shape id="_x0000_i1081" type="#_x0000_t75" style="width:11.15pt;height:19.3pt" o:ole="">
            <v:imagedata r:id="rId113" o:title=""/>
          </v:shape>
          <o:OLEObject Type="Embed" ProgID="Equation.DSMT4" ShapeID="_x0000_i1081" DrawAspect="Content" ObjectID="_1801464594" r:id="rId114"/>
        </w:object>
      </w:r>
      <w:r w:rsidR="00E80388" w:rsidRPr="00E80388">
        <w:t>) may then be written succinctly as</w:t>
      </w:r>
      <w:r w:rsidR="00A03FF3">
        <w:t xml:space="preserve"> </w:t>
      </w:r>
      <w:r w:rsidR="009C70A9" w:rsidRPr="00A03FF3">
        <w:rPr>
          <w:position w:val="-14"/>
        </w:rPr>
        <w:object w:dxaOrig="1579" w:dyaOrig="380" w14:anchorId="6C189F55">
          <v:shape id="_x0000_i1082" type="#_x0000_t75" style="width:79.7pt;height:19.3pt" o:ole="">
            <v:imagedata r:id="rId115" o:title=""/>
          </v:shape>
          <o:OLEObject Type="Embed" ProgID="Equation.DSMT4" ShapeID="_x0000_i1082" DrawAspect="Content" ObjectID="_1801464595" r:id="rId116"/>
        </w:object>
      </w:r>
      <w:r w:rsidR="00E80388" w:rsidRPr="00E80388">
        <w:t>The parameter vector to be estimated is</w:t>
      </w:r>
      <w:r w:rsidR="000B5032">
        <w:rPr>
          <w:rFonts w:ascii="Cambria Math" w:hAnsi="Cambria Math" w:cs="Cambria Math"/>
        </w:rPr>
        <w:t xml:space="preserve"> </w:t>
      </w:r>
      <w:r w:rsidR="00DE310A" w:rsidRPr="000B5032">
        <w:rPr>
          <w:rFonts w:ascii="Cambria Math" w:hAnsi="Cambria Math" w:cs="Cambria Math"/>
          <w:position w:val="-10"/>
        </w:rPr>
        <w:object w:dxaOrig="1160" w:dyaOrig="360" w14:anchorId="2A58A77E">
          <v:shape id="_x0000_i1083" type="#_x0000_t75" style="width:57.85pt;height:18pt" o:ole="">
            <v:imagedata r:id="rId117" o:title=""/>
          </v:shape>
          <o:OLEObject Type="Embed" ProgID="Equation.DSMT4" ShapeID="_x0000_i1083" DrawAspect="Content" ObjectID="_1801464596" r:id="rId118"/>
        </w:object>
      </w:r>
      <w:r w:rsidR="00E80388" w:rsidRPr="00E80388">
        <w:t>, where</w:t>
      </w:r>
      <w:r w:rsidR="00061242">
        <w:t xml:space="preserve"> </w:t>
      </w:r>
      <w:r w:rsidR="00B326E7" w:rsidRPr="00B326E7">
        <w:rPr>
          <w:position w:val="-4"/>
        </w:rPr>
        <w:object w:dxaOrig="260" w:dyaOrig="300" w14:anchorId="62146A57">
          <v:shape id="_x0000_i1084" type="#_x0000_t75" style="width:12.85pt;height:15pt" o:ole="">
            <v:imagedata r:id="rId119" o:title=""/>
          </v:shape>
          <o:OLEObject Type="Embed" ProgID="Equation.DSMT4" ShapeID="_x0000_i1084" DrawAspect="Content" ObjectID="_1801464597" r:id="rId120"/>
        </w:object>
      </w:r>
      <w:r w:rsidR="00E80388" w:rsidRPr="00E80388">
        <w:t xml:space="preserve"> is </w:t>
      </w:r>
      <w:r w:rsidR="00A27FD3">
        <w:t>a</w:t>
      </w:r>
      <w:r w:rsidR="00A27FD3" w:rsidRPr="00E80388">
        <w:t xml:space="preserve"> </w:t>
      </w:r>
      <w:r w:rsidR="00E80388" w:rsidRPr="00E80388">
        <w:t>column vector obtained by vertically stacking the unique elements of the matrix</w:t>
      </w:r>
      <w:r w:rsidR="00BD0541">
        <w:t xml:space="preserve"> </w:t>
      </w:r>
      <w:r w:rsidR="00CC232D" w:rsidRPr="00805524">
        <w:rPr>
          <w:position w:val="-4"/>
        </w:rPr>
        <w:object w:dxaOrig="260" w:dyaOrig="260" w14:anchorId="762F3B56">
          <v:shape id="_x0000_i1085" type="#_x0000_t75" style="width:12.85pt;height:12.85pt" o:ole="">
            <v:imagedata r:id="rId121" o:title=""/>
          </v:shape>
          <o:OLEObject Type="Embed" ProgID="Equation.DSMT4" ShapeID="_x0000_i1085" DrawAspect="Content" ObjectID="_1801464598" r:id="rId122"/>
        </w:object>
      </w:r>
      <w:r w:rsidR="00E80388" w:rsidRPr="00E80388">
        <w:t xml:space="preserve">. </w:t>
      </w:r>
      <w:r w:rsidR="008E5CDA">
        <w:t>Then, t</w:t>
      </w:r>
      <w:r w:rsidR="00E80388" w:rsidRPr="00E80388">
        <w:t xml:space="preserve">he likelihood function is: </w:t>
      </w:r>
    </w:p>
    <w:p w14:paraId="585C84B0" w14:textId="4A3EA6C9" w:rsidR="00CC232D" w:rsidRDefault="003F65A3" w:rsidP="003F65A3">
      <w:pPr>
        <w:pStyle w:val="MTDisplayEquation"/>
        <w:tabs>
          <w:tab w:val="clear" w:pos="4680"/>
        </w:tabs>
        <w:spacing w:after="120"/>
        <w:jc w:val="left"/>
      </w:pPr>
      <w:r w:rsidRPr="002962CF">
        <w:rPr>
          <w:position w:val="-32"/>
        </w:rPr>
        <w:object w:dxaOrig="3159" w:dyaOrig="740" w14:anchorId="7C2B114E">
          <v:shape id="_x0000_i1086" type="#_x0000_t75" style="width:157.7pt;height:36.85pt" o:ole="">
            <v:imagedata r:id="rId123" o:title=""/>
          </v:shape>
          <o:OLEObject Type="Embed" ProgID="Equation.DSMT4" ShapeID="_x0000_i1086" DrawAspect="Content" ObjectID="_1801464599" r:id="rId124"/>
        </w:object>
      </w:r>
      <w:r w:rsidR="00CC232D">
        <w:tab/>
      </w:r>
      <w:r w:rsidR="00CC232D">
        <w:fldChar w:fldCharType="begin"/>
      </w:r>
      <w:r w:rsidR="00CC232D">
        <w:instrText xml:space="preserve"> MACROBUTTON MTPlaceRef \* MERGEFORMAT </w:instrText>
      </w:r>
      <w:r w:rsidR="00CC232D">
        <w:fldChar w:fldCharType="begin"/>
      </w:r>
      <w:r w:rsidR="00CC232D">
        <w:instrText xml:space="preserve"> SEQ MTEqn \h \* MERGEFORMAT </w:instrText>
      </w:r>
      <w:r w:rsidR="00CC232D">
        <w:fldChar w:fldCharType="end"/>
      </w:r>
      <w:r w:rsidR="00CC232D">
        <w:instrText>(</w:instrText>
      </w:r>
      <w:r w:rsidR="009411E9">
        <w:fldChar w:fldCharType="begin"/>
      </w:r>
      <w:r w:rsidR="009411E9">
        <w:instrText xml:space="preserve"> SEQ MTEqn \c \* Arabic \* MERGEFORMAT </w:instrText>
      </w:r>
      <w:r w:rsidR="009411E9">
        <w:fldChar w:fldCharType="separate"/>
      </w:r>
      <w:r w:rsidR="00702F1D">
        <w:rPr>
          <w:noProof/>
        </w:rPr>
        <w:instrText>3</w:instrText>
      </w:r>
      <w:r w:rsidR="009411E9">
        <w:rPr>
          <w:noProof/>
        </w:rPr>
        <w:fldChar w:fldCharType="end"/>
      </w:r>
      <w:r w:rsidR="00CC232D">
        <w:instrText>)</w:instrText>
      </w:r>
      <w:r w:rsidR="00CC232D">
        <w:fldChar w:fldCharType="end"/>
      </w:r>
    </w:p>
    <w:p w14:paraId="13CE3E29" w14:textId="536B8296" w:rsidR="00B03706" w:rsidRPr="00C6225F" w:rsidRDefault="009C70A9" w:rsidP="00727863">
      <w:pPr>
        <w:keepNext/>
        <w:spacing w:after="0" w:line="240" w:lineRule="auto"/>
        <w:jc w:val="both"/>
        <w:rPr>
          <w:rFonts w:cs="Times New Roman"/>
        </w:rPr>
      </w:pPr>
      <w:r>
        <w:t>w</w:t>
      </w:r>
      <w:r w:rsidR="00E80388" w:rsidRPr="00E80388">
        <w:t>here</w:t>
      </w:r>
      <w:r w:rsidR="00BC254B">
        <w:t xml:space="preserve"> </w:t>
      </w:r>
      <w:r w:rsidRPr="009C70A9">
        <w:rPr>
          <w:position w:val="-16"/>
        </w:rPr>
        <w:object w:dxaOrig="1800" w:dyaOrig="400" w14:anchorId="4589B8D3">
          <v:shape id="_x0000_i1087" type="#_x0000_t75" style="width:90pt;height:19.7pt" o:ole="">
            <v:imagedata r:id="rId125" o:title=""/>
          </v:shape>
          <o:OLEObject Type="Embed" ProgID="Equation.DSMT4" ShapeID="_x0000_i1087" DrawAspect="Content" ObjectID="_1801464600" r:id="rId126"/>
        </w:object>
      </w:r>
      <w:r w:rsidR="00BC254B">
        <w:t xml:space="preserve"> is the </w:t>
      </w:r>
      <w:r w:rsidRPr="009C70A9">
        <w:rPr>
          <w:position w:val="-14"/>
        </w:rPr>
        <w:object w:dxaOrig="760" w:dyaOrig="380" w14:anchorId="0F2D8C96">
          <v:shape id="_x0000_i1088" type="#_x0000_t75" style="width:36.85pt;height:19.3pt" o:ole="">
            <v:imagedata r:id="rId127" o:title=""/>
          </v:shape>
          <o:OLEObject Type="Embed" ProgID="Equation.DSMT4" ShapeID="_x0000_i1088" DrawAspect="Content" ObjectID="_1801464601" r:id="rId128"/>
        </w:object>
      </w:r>
      <w:r w:rsidR="00BC254B">
        <w:t xml:space="preserve"> dimensional multivariate cumulative normal distribution function computed at the truncation point vector </w:t>
      </w:r>
      <w:r w:rsidRPr="009C70A9">
        <w:rPr>
          <w:position w:val="-16"/>
        </w:rPr>
        <w:object w:dxaOrig="600" w:dyaOrig="400" w14:anchorId="56AE2539">
          <v:shape id="_x0000_i1089" type="#_x0000_t75" style="width:30pt;height:19.7pt" o:ole="">
            <v:imagedata r:id="rId129" o:title=""/>
          </v:shape>
          <o:OLEObject Type="Embed" ProgID="Equation.DSMT4" ShapeID="_x0000_i1089" DrawAspect="Content" ObjectID="_1801464602" r:id="rId130"/>
        </w:object>
      </w:r>
      <w:r w:rsidR="00BC254B">
        <w:t xml:space="preserve"> with mean </w:t>
      </w:r>
      <w:r w:rsidR="008E5CDA" w:rsidRPr="008E5CDA">
        <w:rPr>
          <w:position w:val="-10"/>
        </w:rPr>
        <w:object w:dxaOrig="200" w:dyaOrig="260" w14:anchorId="38CA3268">
          <v:shape id="_x0000_i1090" type="#_x0000_t75" style="width:11.15pt;height:12pt" o:ole="">
            <v:imagedata r:id="rId131" o:title=""/>
          </v:shape>
          <o:OLEObject Type="Embed" ProgID="Equation.DSMT4" ShapeID="_x0000_i1090" DrawAspect="Content" ObjectID="_1801464603" r:id="rId132"/>
        </w:object>
      </w:r>
      <w:r w:rsidR="008E5CDA">
        <w:t xml:space="preserve"> </w:t>
      </w:r>
      <w:r w:rsidR="00BC254B">
        <w:t>and covariance matri</w:t>
      </w:r>
      <w:r w:rsidR="008E5CDA">
        <w:t xml:space="preserve">x </w:t>
      </w:r>
      <w:r w:rsidR="008E5CDA" w:rsidRPr="008E5CDA">
        <w:rPr>
          <w:position w:val="-10"/>
        </w:rPr>
        <w:object w:dxaOrig="180" w:dyaOrig="260" w14:anchorId="76FA1892">
          <v:shape id="_x0000_i1091" type="#_x0000_t75" style="width:9pt;height:12pt" o:ole="">
            <v:imagedata r:id="rId133" o:title=""/>
          </v:shape>
          <o:OLEObject Type="Embed" ProgID="Equation.DSMT4" ShapeID="_x0000_i1091" DrawAspect="Content" ObjectID="_1801464604" r:id="rId134"/>
        </w:object>
      </w:r>
      <w:r w:rsidR="00BC254B">
        <w:t>.</w:t>
      </w:r>
    </w:p>
    <w:p w14:paraId="2E549194" w14:textId="08B54522" w:rsidR="00F20565" w:rsidRDefault="001F4633" w:rsidP="006D2D2D">
      <w:pPr>
        <w:autoSpaceDE w:val="0"/>
        <w:autoSpaceDN w:val="0"/>
        <w:adjustRightInd w:val="0"/>
        <w:spacing w:after="0" w:line="240" w:lineRule="auto"/>
        <w:ind w:firstLine="720"/>
        <w:jc w:val="both"/>
        <w:rPr>
          <w:rFonts w:cs="Times New Roman"/>
        </w:rPr>
      </w:pPr>
      <w:r w:rsidRPr="001F4633">
        <w:rPr>
          <w:rFonts w:cs="Times New Roman"/>
        </w:rPr>
        <w:t>The likelihood function above entails the evaluation of a</w:t>
      </w:r>
      <w:r w:rsidR="00CC227F">
        <w:rPr>
          <w:rFonts w:cs="Times New Roman"/>
        </w:rPr>
        <w:t xml:space="preserve"> </w:t>
      </w:r>
      <w:r w:rsidR="009C70A9" w:rsidRPr="009C70A9">
        <w:rPr>
          <w:rFonts w:cs="Times New Roman"/>
          <w:position w:val="-14"/>
        </w:rPr>
        <w:object w:dxaOrig="760" w:dyaOrig="380" w14:anchorId="68E548B4">
          <v:shape id="_x0000_i1092" type="#_x0000_t75" style="width:36.85pt;height:19.3pt" o:ole="">
            <v:imagedata r:id="rId135" o:title=""/>
          </v:shape>
          <o:OLEObject Type="Embed" ProgID="Equation.DSMT4" ShapeID="_x0000_i1092" DrawAspect="Content" ObjectID="_1801464605" r:id="rId136"/>
        </w:object>
      </w:r>
      <w:r w:rsidR="006B4D4C">
        <w:rPr>
          <w:rFonts w:cs="Times New Roman"/>
        </w:rPr>
        <w:t xml:space="preserve"> </w:t>
      </w:r>
      <w:r w:rsidRPr="001F4633">
        <w:rPr>
          <w:rFonts w:cs="Times New Roman"/>
        </w:rPr>
        <w:t>dimensional integral</w:t>
      </w:r>
      <w:r w:rsidR="00FD1E0A">
        <w:rPr>
          <w:rFonts w:cs="Times New Roman"/>
        </w:rPr>
        <w:t>. In this paper, we use</w:t>
      </w:r>
      <w:r w:rsidR="004F7E28">
        <w:rPr>
          <w:rFonts w:cs="Times New Roman"/>
        </w:rPr>
        <w:t xml:space="preserve"> Bhat’s</w:t>
      </w:r>
      <w:r w:rsidR="00487A6A">
        <w:rPr>
          <w:rFonts w:cs="Times New Roman"/>
        </w:rPr>
        <w:t xml:space="preserve"> </w:t>
      </w:r>
      <w:r w:rsidR="00544BFE">
        <w:rPr>
          <w:rFonts w:cs="Times New Roman"/>
        </w:rPr>
        <w:fldChar w:fldCharType="begin"/>
      </w:r>
      <w:r w:rsidR="00460F21">
        <w:rPr>
          <w:rFonts w:cs="Times New Roman"/>
        </w:rPr>
        <w:instrText xml:space="preserve"> ADDIN ZOTERO_ITEM CSL_CITATION {"citationID":"FbPNql3Q","properties":{"formattedCitation":"(2011)","plainCitation":"(2011)","noteIndex":0},"citationItems":[{"id":944,"uris":["http://zotero.org/users/12832277/items/R7UT4X3N"],"itemData":{"id":944,"type":"article-journal","abstract":"The likelihood functions of multinomial probit (MNP)-based choice models entail the evaluation of analytically-intractable integrals. As a result, such models are usually estimated using maximum simulated likelihood (MSL) techniques. Unfortunately, for many practical situations, the computational cost to ensure good asymptotic MSL estimator properties can be prohibitive and practically infeasible as the number of dimensions of integration rises. In this paper, we introduce a maximum approximate composite marginal likelihood (MACML) estimation approach for MNP models that can be applied using simple optimization software for likelihood estimation. It also represents a conceptually and pedagogically simpler procedure relative to simulation techniques, and has the advantage of substantial computational time efficiency relative to the MSL approach. The paper provides a “blueprint” for the MACML estimation for a wide variety of MNP models.","container-title":"Transportation Research Part B: Methodological","DOI":"10.1016/j.trb.2011.04.005","ISSN":"0191-2615","issue":"7","page":"923-939","source":"ScienceDirect","title":"The Maximum Approximate Composite Marginal Likelihood (MACML) Estimation of Multinomial Probit-Based Unordered Response Choice Models","volume":"45","author":[{"family":"Bhat","given":"Chandra R."}],"issued":{"date-parts":[["2011",8,1]]}},"label":"page","suppress-author":true}],"schema":"https://github.com/citation-style-language/schema/raw/master/csl-citation.json"} </w:instrText>
      </w:r>
      <w:r w:rsidR="00544BFE">
        <w:rPr>
          <w:rFonts w:cs="Times New Roman"/>
        </w:rPr>
        <w:fldChar w:fldCharType="separate"/>
      </w:r>
      <w:r w:rsidR="00544BFE" w:rsidRPr="00544BFE">
        <w:rPr>
          <w:rFonts w:cs="Times New Roman"/>
        </w:rPr>
        <w:t>(2011)</w:t>
      </w:r>
      <w:r w:rsidR="00544BFE">
        <w:rPr>
          <w:rFonts w:cs="Times New Roman"/>
        </w:rPr>
        <w:fldChar w:fldCharType="end"/>
      </w:r>
      <w:r w:rsidR="004F7E28">
        <w:rPr>
          <w:rFonts w:cs="Times New Roman"/>
        </w:rPr>
        <w:t xml:space="preserve"> </w:t>
      </w:r>
      <w:r w:rsidR="006B4D4C">
        <w:rPr>
          <w:rFonts w:cs="Times New Roman"/>
        </w:rPr>
        <w:t>m</w:t>
      </w:r>
      <w:r w:rsidRPr="001F4633">
        <w:rPr>
          <w:rFonts w:cs="Times New Roman"/>
        </w:rPr>
        <w:t xml:space="preserve">aximum </w:t>
      </w:r>
      <w:r w:rsidR="006B4D4C">
        <w:rPr>
          <w:rFonts w:cs="Times New Roman"/>
        </w:rPr>
        <w:t>a</w:t>
      </w:r>
      <w:r w:rsidRPr="001F4633">
        <w:rPr>
          <w:rFonts w:cs="Times New Roman"/>
        </w:rPr>
        <w:t xml:space="preserve">pproximate </w:t>
      </w:r>
      <w:r w:rsidR="006B4D4C">
        <w:rPr>
          <w:rFonts w:cs="Times New Roman"/>
        </w:rPr>
        <w:t>c</w:t>
      </w:r>
      <w:r w:rsidRPr="001F4633">
        <w:rPr>
          <w:rFonts w:cs="Times New Roman"/>
        </w:rPr>
        <w:t xml:space="preserve">omposite </w:t>
      </w:r>
      <w:r w:rsidR="006B4D4C">
        <w:rPr>
          <w:rFonts w:cs="Times New Roman"/>
        </w:rPr>
        <w:t>m</w:t>
      </w:r>
      <w:r w:rsidRPr="001F4633">
        <w:rPr>
          <w:rFonts w:cs="Times New Roman"/>
        </w:rPr>
        <w:t xml:space="preserve">arginal </w:t>
      </w:r>
      <w:r w:rsidR="006B4D4C">
        <w:rPr>
          <w:rFonts w:cs="Times New Roman"/>
        </w:rPr>
        <w:t>l</w:t>
      </w:r>
      <w:r w:rsidRPr="001F4633">
        <w:rPr>
          <w:rFonts w:cs="Times New Roman"/>
        </w:rPr>
        <w:t>ikelihood (MACML) procedure</w:t>
      </w:r>
      <w:r w:rsidR="004F7E28">
        <w:rPr>
          <w:rFonts w:cs="Times New Roman"/>
        </w:rPr>
        <w:t xml:space="preserve">, along with procedures to accurately estimate the MVN distribution based on Bhat </w:t>
      </w:r>
      <w:r w:rsidR="00544BFE">
        <w:rPr>
          <w:rFonts w:cs="Times New Roman"/>
        </w:rPr>
        <w:fldChar w:fldCharType="begin"/>
      </w:r>
      <w:r w:rsidR="00460F21">
        <w:rPr>
          <w:rFonts w:cs="Times New Roman"/>
        </w:rPr>
        <w:instrText xml:space="preserve"> ADDIN ZOTERO_ITEM CSL_CITATION {"citationID":"uHdLQ4Vc","properties":{"formattedCitation":"(2018)","plainCitation":"(2018)","noteIndex":0},"citationItems":[{"id":2026,"uris":["http://zotero.org/users/12832277/items/SHBDR4NL"],"itemData":{"id":2026,"type":"article-journal","abstract":"In this paper, we develop a new matrix-based implementation of the Mendell and Elston (ME) analytic approximation to evaluate the multivariate normal cumulative distribution (MVNCD) function, using an LDLT decomposition method followed by a rank 1 update of the LDLT factorization. Our implementation is easy to code for individuals familiar with matrix-based coding. Further, our new matrix-based implementation for the ME algorithm allows us to efficiently write the analytic matrix-based gradients of the approximated MVNCD function with respect to the abscissae and correlation parameters, an issue that is important in econometric model estimation. In addition, we propose four new analytic methods for approximating the MVNCD function. The paper then evaluates the ability of the multiple approximations for individual MVNCD evaluations as well as multinomial probit model estimation. As expected, in our tests for evaluating individual MVNCD functions, we found that the traditional GHK approach degrades rapidly as the dimensionality of integration increases. Concomitant with this degradation in accuracy is a rapid increase in computational time. The analytic approximation methods are also much more stable across different numbers of dimensions of integration, and even the simplest of these methods is superior to the GHK-500 beyond seven dimensions of integration. Based on all the evaluation results in this paper, we recommend the new Two-Variate Bivariate Screening (TVBS) method proposed in this paper as the evaluation approach for MVNCD function evaluation.","container-title":"Transportation Research Part B: Methodological","DOI":"10.1016/j.trb.2018.01.011","ISSN":"0191-2615","page":"238-256","source":"ScienceDirect","title":"New Matrix-Based Methods for the Analytic Evaluation of the Multivariate Cumulative Normal Distribution Function","volume":"109","author":[{"family":"Bhat","given":"Chandra R."}],"issued":{"date-parts":[["2018",3,1]]}},"label":"page","suppress-author":true}],"schema":"https://github.com/citation-style-language/schema/raw/master/csl-citation.json"} </w:instrText>
      </w:r>
      <w:r w:rsidR="00544BFE">
        <w:rPr>
          <w:rFonts w:cs="Times New Roman"/>
        </w:rPr>
        <w:fldChar w:fldCharType="separate"/>
      </w:r>
      <w:r w:rsidR="00544BFE" w:rsidRPr="00544BFE">
        <w:rPr>
          <w:rFonts w:cs="Times New Roman"/>
        </w:rPr>
        <w:t>(2018)</w:t>
      </w:r>
      <w:r w:rsidR="00544BFE">
        <w:rPr>
          <w:rFonts w:cs="Times New Roman"/>
        </w:rPr>
        <w:fldChar w:fldCharType="end"/>
      </w:r>
      <w:r w:rsidR="004F7E28">
        <w:rPr>
          <w:rFonts w:cs="Times New Roman"/>
        </w:rPr>
        <w:t>.</w:t>
      </w:r>
    </w:p>
    <w:bookmarkEnd w:id="0"/>
    <w:bookmarkEnd w:id="2"/>
    <w:p w14:paraId="364E57E4" w14:textId="77777777" w:rsidR="00AC2F24" w:rsidRDefault="00AC2F24" w:rsidP="00727863">
      <w:pPr>
        <w:autoSpaceDE w:val="0"/>
        <w:autoSpaceDN w:val="0"/>
        <w:adjustRightInd w:val="0"/>
        <w:spacing w:after="0" w:line="240" w:lineRule="auto"/>
        <w:jc w:val="both"/>
        <w:rPr>
          <w:rFonts w:cs="Times New Roman"/>
          <w:b/>
        </w:rPr>
      </w:pPr>
    </w:p>
    <w:p w14:paraId="03288860" w14:textId="738DCC1F" w:rsidR="00BB15E5" w:rsidRDefault="003B66CE" w:rsidP="00727863">
      <w:pPr>
        <w:autoSpaceDE w:val="0"/>
        <w:autoSpaceDN w:val="0"/>
        <w:adjustRightInd w:val="0"/>
        <w:spacing w:after="0" w:line="240" w:lineRule="auto"/>
        <w:jc w:val="both"/>
        <w:rPr>
          <w:rFonts w:cs="Times New Roman"/>
          <w:b/>
        </w:rPr>
      </w:pPr>
      <w:r>
        <w:rPr>
          <w:rFonts w:cs="Times New Roman"/>
          <w:b/>
        </w:rPr>
        <w:t>3</w:t>
      </w:r>
      <w:r w:rsidR="00BB15E5">
        <w:rPr>
          <w:rFonts w:cs="Times New Roman"/>
          <w:b/>
        </w:rPr>
        <w:t xml:space="preserve">. </w:t>
      </w:r>
      <w:r w:rsidR="00D44899">
        <w:rPr>
          <w:rFonts w:cs="Times New Roman"/>
          <w:b/>
        </w:rPr>
        <w:t xml:space="preserve">MODEL </w:t>
      </w:r>
      <w:r w:rsidR="007277D7">
        <w:rPr>
          <w:rFonts w:cs="Times New Roman"/>
          <w:b/>
        </w:rPr>
        <w:t>RESULTS</w:t>
      </w:r>
    </w:p>
    <w:p w14:paraId="477B2A49" w14:textId="7F225BC1" w:rsidR="007A063F" w:rsidRDefault="00087755" w:rsidP="007A194D">
      <w:pPr>
        <w:autoSpaceDE w:val="0"/>
        <w:autoSpaceDN w:val="0"/>
        <w:adjustRightInd w:val="0"/>
        <w:spacing w:after="0" w:line="240" w:lineRule="auto"/>
        <w:jc w:val="both"/>
        <w:rPr>
          <w:rFonts w:cs="Times New Roman"/>
          <w:bCs/>
        </w:rPr>
      </w:pPr>
      <w:r>
        <w:rPr>
          <w:rFonts w:cs="Times New Roman"/>
          <w:bCs/>
        </w:rPr>
        <w:t xml:space="preserve">The final model specification was developed through an </w:t>
      </w:r>
      <w:r w:rsidR="002D5279">
        <w:rPr>
          <w:rFonts w:cs="Times New Roman"/>
          <w:bCs/>
        </w:rPr>
        <w:t>iterative process</w:t>
      </w:r>
      <w:r>
        <w:rPr>
          <w:rFonts w:cs="Times New Roman"/>
          <w:bCs/>
        </w:rPr>
        <w:t xml:space="preserve"> of </w:t>
      </w:r>
      <w:r w:rsidR="002D5279">
        <w:rPr>
          <w:rFonts w:cs="Times New Roman"/>
          <w:bCs/>
        </w:rPr>
        <w:t xml:space="preserve">including exogenous variables in various forms and testing </w:t>
      </w:r>
      <w:r w:rsidR="003B7215">
        <w:rPr>
          <w:rFonts w:cs="Times New Roman"/>
          <w:bCs/>
        </w:rPr>
        <w:t xml:space="preserve">the statistical fit of </w:t>
      </w:r>
      <w:r w:rsidR="00430355">
        <w:rPr>
          <w:rFonts w:cs="Times New Roman"/>
          <w:bCs/>
        </w:rPr>
        <w:t xml:space="preserve">a multitude of </w:t>
      </w:r>
      <w:r w:rsidR="003B7215">
        <w:rPr>
          <w:rFonts w:cs="Times New Roman"/>
          <w:bCs/>
        </w:rPr>
        <w:t xml:space="preserve">combinations of exogenous variables. Categorical variables were initially included in their most disaggregate form and progressively combined </w:t>
      </w:r>
      <w:r w:rsidR="00240A12">
        <w:rPr>
          <w:rFonts w:cs="Times New Roman"/>
          <w:bCs/>
        </w:rPr>
        <w:t xml:space="preserve">based on statistical tests to yield a parsimonious specification. </w:t>
      </w:r>
      <w:r w:rsidR="007A194D">
        <w:rPr>
          <w:rFonts w:cs="Times New Roman"/>
          <w:bCs/>
        </w:rPr>
        <w:t xml:space="preserve">Additionally, </w:t>
      </w:r>
      <w:r w:rsidR="00BF34E5">
        <w:rPr>
          <w:rFonts w:cs="Times New Roman"/>
          <w:bCs/>
        </w:rPr>
        <w:t xml:space="preserve">in some cases, we have chosen to keep some variables in the specification even if </w:t>
      </w:r>
      <w:r w:rsidR="00BF34E5">
        <w:rPr>
          <w:rFonts w:cs="Times New Roman"/>
          <w:bCs/>
        </w:rPr>
        <w:lastRenderedPageBreak/>
        <w:t xml:space="preserve">they are statistically significant only at the 80% confidence level (that is, a t-statistic threshold of 1.28; admittedly, some caution needs to be exercised in making conclusions based on such variables). </w:t>
      </w:r>
      <w:r w:rsidR="007A194D">
        <w:t>A low t-statistic threshold was chosen because of the moderate sample size</w:t>
      </w:r>
      <w:r w:rsidR="00430355">
        <w:t xml:space="preserve"> in each of the before- and </w:t>
      </w:r>
      <w:r w:rsidR="00A7031F">
        <w:t>during</w:t>
      </w:r>
      <w:r w:rsidR="00430355">
        <w:t>-COVID periods</w:t>
      </w:r>
      <w:r w:rsidR="007A194D">
        <w:t xml:space="preserve">, </w:t>
      </w:r>
      <w:r w:rsidR="00430355">
        <w:t>the relatively large number</w:t>
      </w:r>
      <w:r w:rsidR="009E61BA">
        <w:t xml:space="preserve"> </w:t>
      </w:r>
      <w:r w:rsidR="00430355">
        <w:t xml:space="preserve">of </w:t>
      </w:r>
      <w:r w:rsidR="009E61BA">
        <w:t>factors</w:t>
      </w:r>
      <w:r w:rsidR="007A194D">
        <w:t xml:space="preserve">, and the potential of marginally significant variables to inform future empirical investigations with larger sample sizes. </w:t>
      </w:r>
      <w:r w:rsidR="003B28B8">
        <w:rPr>
          <w:rFonts w:cs="Times New Roman"/>
          <w:bCs/>
        </w:rPr>
        <w:t>The model results are shown in Table 3</w:t>
      </w:r>
      <w:r w:rsidR="00210B61">
        <w:rPr>
          <w:rFonts w:cs="Times New Roman"/>
          <w:bCs/>
        </w:rPr>
        <w:t xml:space="preserve"> (a</w:t>
      </w:r>
      <w:r w:rsidR="00210B61" w:rsidRPr="00210B61">
        <w:rPr>
          <w:rFonts w:cs="Times New Roman"/>
          <w:bCs/>
        </w:rPr>
        <w:t xml:space="preserve"> “—” entry in the table indicates that the row exogenous variable does not have any statistically significant impact on the colu</w:t>
      </w:r>
      <w:r w:rsidR="00430355">
        <w:rPr>
          <w:rFonts w:cs="Times New Roman"/>
          <w:bCs/>
        </w:rPr>
        <w:t>mn outcome factor, even at the 80% confidence level</w:t>
      </w:r>
      <w:r w:rsidR="009E61BA">
        <w:rPr>
          <w:rFonts w:cs="Times New Roman"/>
          <w:bCs/>
        </w:rPr>
        <w:t>)</w:t>
      </w:r>
      <w:r w:rsidR="009A3FBA">
        <w:rPr>
          <w:rFonts w:cs="Times New Roman"/>
          <w:bCs/>
        </w:rPr>
        <w:t xml:space="preserve">. </w:t>
      </w:r>
      <w:r w:rsidR="00934E6C">
        <w:rPr>
          <w:rFonts w:cs="Times New Roman"/>
          <w:bCs/>
        </w:rPr>
        <w:t xml:space="preserve">Note that the constants for each factor (both in the before-COVID period and the </w:t>
      </w:r>
      <w:r w:rsidR="00A7031F">
        <w:rPr>
          <w:rFonts w:cs="Times New Roman"/>
          <w:bCs/>
        </w:rPr>
        <w:t>during</w:t>
      </w:r>
      <w:r w:rsidR="00934E6C">
        <w:rPr>
          <w:rFonts w:cs="Times New Roman"/>
          <w:bCs/>
        </w:rPr>
        <w:t xml:space="preserve">-COVID period) are included in the model regardless of the t-statistic significance, because these simply adjust for the range of exogenous variables in the model. </w:t>
      </w:r>
    </w:p>
    <w:p w14:paraId="5E993548" w14:textId="77777777" w:rsidR="007A063F" w:rsidRDefault="007A063F" w:rsidP="00727863">
      <w:pPr>
        <w:autoSpaceDE w:val="0"/>
        <w:autoSpaceDN w:val="0"/>
        <w:adjustRightInd w:val="0"/>
        <w:spacing w:after="0" w:line="240" w:lineRule="auto"/>
        <w:jc w:val="both"/>
        <w:rPr>
          <w:rFonts w:cs="Times New Roman"/>
          <w:bCs/>
        </w:rPr>
      </w:pPr>
    </w:p>
    <w:p w14:paraId="094C2FE3" w14:textId="2AF9FAF2" w:rsidR="000211E3" w:rsidRDefault="003B66CE" w:rsidP="00727863">
      <w:pPr>
        <w:autoSpaceDE w:val="0"/>
        <w:autoSpaceDN w:val="0"/>
        <w:adjustRightInd w:val="0"/>
        <w:spacing w:after="0" w:line="240" w:lineRule="auto"/>
        <w:jc w:val="both"/>
        <w:rPr>
          <w:rFonts w:cs="Times New Roman"/>
          <w:bCs/>
        </w:rPr>
      </w:pPr>
      <w:r>
        <w:rPr>
          <w:rFonts w:cs="Times New Roman"/>
          <w:b/>
        </w:rPr>
        <w:t>3</w:t>
      </w:r>
      <w:r w:rsidR="007A063F">
        <w:rPr>
          <w:rFonts w:cs="Times New Roman"/>
          <w:b/>
        </w:rPr>
        <w:t xml:space="preserve">.1 </w:t>
      </w:r>
      <w:r w:rsidR="000211E3">
        <w:rPr>
          <w:rFonts w:cs="Times New Roman"/>
          <w:b/>
        </w:rPr>
        <w:t>Main Estimation Results</w:t>
      </w:r>
    </w:p>
    <w:p w14:paraId="089D7CCB" w14:textId="41BF798D" w:rsidR="000211E3" w:rsidRDefault="007B402D" w:rsidP="00727863">
      <w:pPr>
        <w:autoSpaceDE w:val="0"/>
        <w:autoSpaceDN w:val="0"/>
        <w:adjustRightInd w:val="0"/>
        <w:spacing w:after="0" w:line="240" w:lineRule="auto"/>
        <w:jc w:val="both"/>
        <w:rPr>
          <w:rFonts w:cs="Times New Roman"/>
          <w:bCs/>
        </w:rPr>
      </w:pPr>
      <w:r>
        <w:rPr>
          <w:rFonts w:cs="Times New Roman"/>
          <w:bCs/>
        </w:rPr>
        <w:t>The main estimation results are presented in Table 3. The first</w:t>
      </w:r>
      <w:r w:rsidR="003127D2">
        <w:rPr>
          <w:rFonts w:cs="Times New Roman"/>
          <w:bCs/>
        </w:rPr>
        <w:t xml:space="preserve"> two rows of the table show </w:t>
      </w:r>
      <w:r w:rsidR="006D10A3">
        <w:rPr>
          <w:rFonts w:cs="Times New Roman"/>
          <w:bCs/>
        </w:rPr>
        <w:t>the</w:t>
      </w:r>
      <w:r>
        <w:rPr>
          <w:rFonts w:cs="Times New Roman"/>
          <w:bCs/>
        </w:rPr>
        <w:t xml:space="preserve"> set of </w:t>
      </w:r>
      <w:r w:rsidR="006D10A3">
        <w:rPr>
          <w:rFonts w:cs="Times New Roman"/>
          <w:bCs/>
        </w:rPr>
        <w:t xml:space="preserve">overall </w:t>
      </w:r>
      <w:r>
        <w:rPr>
          <w:rFonts w:cs="Times New Roman"/>
          <w:bCs/>
        </w:rPr>
        <w:t xml:space="preserve">constant effects </w:t>
      </w:r>
      <w:r w:rsidR="006D10A3">
        <w:rPr>
          <w:rFonts w:cs="Times New Roman"/>
          <w:bCs/>
        </w:rPr>
        <w:t>and the set of COVID-effect variables</w:t>
      </w:r>
      <w:r w:rsidR="00430355">
        <w:rPr>
          <w:rFonts w:cs="Times New Roman"/>
          <w:bCs/>
        </w:rPr>
        <w:t xml:space="preserve"> on the utility of each factor</w:t>
      </w:r>
      <w:r w:rsidR="006D10A3">
        <w:rPr>
          <w:rFonts w:cs="Times New Roman"/>
          <w:bCs/>
        </w:rPr>
        <w:t xml:space="preserve">. Each of these sets of variables are estimated to match the observed before-COVID and </w:t>
      </w:r>
      <w:r w:rsidR="00A7031F">
        <w:rPr>
          <w:rFonts w:cs="Times New Roman"/>
          <w:bCs/>
        </w:rPr>
        <w:t>during</w:t>
      </w:r>
      <w:r w:rsidR="006D10A3">
        <w:rPr>
          <w:rFonts w:cs="Times New Roman"/>
          <w:bCs/>
        </w:rPr>
        <w:t xml:space="preserve">-COVID ranking choice proportions and do not have any substantial interpretations. </w:t>
      </w:r>
      <w:r w:rsidR="00150E5E">
        <w:rPr>
          <w:rFonts w:cs="Times New Roman"/>
          <w:bCs/>
        </w:rPr>
        <w:t>However</w:t>
      </w:r>
      <w:r w:rsidR="00CC70D5">
        <w:rPr>
          <w:rFonts w:cs="Times New Roman"/>
          <w:bCs/>
        </w:rPr>
        <w:t xml:space="preserve">, </w:t>
      </w:r>
      <w:r w:rsidR="00F21E4B">
        <w:rPr>
          <w:rFonts w:cs="Times New Roman"/>
          <w:bCs/>
        </w:rPr>
        <w:t xml:space="preserve">significant heterogeneity in the impact of the pandemic is revealed by the interactions between the COVID-effect variable and the remaining exogenous variables. </w:t>
      </w:r>
      <w:r w:rsidR="00F65EA7" w:rsidRPr="00F65EA7">
        <w:rPr>
          <w:rFonts w:cs="Times New Roman"/>
          <w:bCs/>
        </w:rPr>
        <w:t>The remainder of this section focuses on the effects of the exogenous variables</w:t>
      </w:r>
      <w:r w:rsidR="00430355">
        <w:rPr>
          <w:rFonts w:cs="Times New Roman"/>
          <w:bCs/>
        </w:rPr>
        <w:t xml:space="preserve"> (on the utilities of the different location factors)</w:t>
      </w:r>
      <w:r w:rsidR="00FD674D">
        <w:rPr>
          <w:rFonts w:cs="Times New Roman"/>
          <w:bCs/>
        </w:rPr>
        <w:t xml:space="preserve">. </w:t>
      </w:r>
      <w:r w:rsidR="00430355">
        <w:rPr>
          <w:rFonts w:cs="Times New Roman"/>
          <w:bCs/>
        </w:rPr>
        <w:t xml:space="preserve">For streamlining </w:t>
      </w:r>
      <w:r w:rsidR="005A6BAE">
        <w:rPr>
          <w:rFonts w:cs="Times New Roman"/>
          <w:bCs/>
        </w:rPr>
        <w:t>purposes</w:t>
      </w:r>
      <w:r w:rsidR="00430355">
        <w:rPr>
          <w:rFonts w:cs="Times New Roman"/>
          <w:bCs/>
        </w:rPr>
        <w:t xml:space="preserve">, the exogenous variables are grouped into “Household Composition” and “Household Sociodemographic” variables, with the first set of variables focusing on general lifecycle variables and the second on education, income, race/ethnicity, and vehicle ownership. </w:t>
      </w:r>
      <w:r w:rsidR="00FD674D">
        <w:rPr>
          <w:rFonts w:cs="Times New Roman"/>
          <w:bCs/>
        </w:rPr>
        <w:t>T</w:t>
      </w:r>
      <w:r w:rsidR="00F65EA7" w:rsidRPr="00F65EA7">
        <w:rPr>
          <w:rFonts w:cs="Times New Roman"/>
          <w:bCs/>
        </w:rPr>
        <w:t>o conserve space</w:t>
      </w:r>
      <w:r w:rsidR="00FD674D">
        <w:rPr>
          <w:rFonts w:cs="Times New Roman"/>
          <w:bCs/>
        </w:rPr>
        <w:t>,</w:t>
      </w:r>
      <w:r w:rsidR="00F65EA7" w:rsidRPr="00F65EA7">
        <w:rPr>
          <w:rFonts w:cs="Times New Roman"/>
          <w:bCs/>
        </w:rPr>
        <w:t xml:space="preserve"> we discuss the results selectively, </w:t>
      </w:r>
      <w:r w:rsidR="005A6BAE">
        <w:rPr>
          <w:rFonts w:cs="Times New Roman"/>
          <w:bCs/>
        </w:rPr>
        <w:t xml:space="preserve">with an emphasis </w:t>
      </w:r>
      <w:r w:rsidR="00F65EA7" w:rsidRPr="00F65EA7">
        <w:rPr>
          <w:rFonts w:cs="Times New Roman"/>
          <w:bCs/>
        </w:rPr>
        <w:t xml:space="preserve">on the </w:t>
      </w:r>
      <w:r w:rsidR="005A6BAE">
        <w:rPr>
          <w:rFonts w:cs="Times New Roman"/>
          <w:bCs/>
        </w:rPr>
        <w:t xml:space="preserve">pandemic </w:t>
      </w:r>
      <w:r w:rsidR="00F65EA7" w:rsidRPr="00F65EA7">
        <w:rPr>
          <w:rFonts w:cs="Times New Roman"/>
          <w:bCs/>
        </w:rPr>
        <w:t>effects</w:t>
      </w:r>
      <w:r w:rsidR="005A6BAE">
        <w:rPr>
          <w:rFonts w:cs="Times New Roman"/>
          <w:bCs/>
        </w:rPr>
        <w:t xml:space="preserve">. </w:t>
      </w:r>
    </w:p>
    <w:p w14:paraId="7248C5BB" w14:textId="6DB85819" w:rsidR="00B04583" w:rsidRPr="005E29BF" w:rsidRDefault="00B04583" w:rsidP="00727863">
      <w:pPr>
        <w:autoSpaceDE w:val="0"/>
        <w:autoSpaceDN w:val="0"/>
        <w:adjustRightInd w:val="0"/>
        <w:spacing w:after="0" w:line="240" w:lineRule="auto"/>
        <w:jc w:val="both"/>
        <w:rPr>
          <w:rFonts w:cs="Times New Roman"/>
          <w:b/>
        </w:rPr>
      </w:pPr>
      <w:r>
        <w:rPr>
          <w:rFonts w:cs="Times New Roman"/>
          <w:bCs/>
        </w:rPr>
        <w:tab/>
      </w:r>
      <w:r w:rsidR="00D761A4">
        <w:rPr>
          <w:rFonts w:cs="Times New Roman"/>
          <w:bCs/>
        </w:rPr>
        <w:t xml:space="preserve">Household composition has several effects on </w:t>
      </w:r>
      <w:r w:rsidR="00430355">
        <w:rPr>
          <w:rFonts w:cs="Times New Roman"/>
          <w:bCs/>
        </w:rPr>
        <w:t>location</w:t>
      </w:r>
      <w:r w:rsidR="00D761A4">
        <w:rPr>
          <w:rFonts w:cs="Times New Roman"/>
          <w:bCs/>
        </w:rPr>
        <w:t xml:space="preserve"> preferences</w:t>
      </w:r>
      <w:r w:rsidR="00C77C39">
        <w:rPr>
          <w:rStyle w:val="FootnoteReference"/>
          <w:rFonts w:cs="Times New Roman"/>
          <w:bCs/>
        </w:rPr>
        <w:footnoteReference w:id="5"/>
      </w:r>
      <w:r w:rsidR="00D761A4">
        <w:rPr>
          <w:rFonts w:cs="Times New Roman"/>
          <w:bCs/>
        </w:rPr>
        <w:t xml:space="preserve">. Households with children </w:t>
      </w:r>
      <w:r w:rsidR="00B6549C">
        <w:rPr>
          <w:rFonts w:cs="Times New Roman"/>
          <w:bCs/>
        </w:rPr>
        <w:t xml:space="preserve">and retired adults </w:t>
      </w:r>
      <w:r w:rsidR="000330EE">
        <w:rPr>
          <w:rFonts w:cs="Times New Roman"/>
          <w:bCs/>
        </w:rPr>
        <w:t xml:space="preserve">tend to </w:t>
      </w:r>
      <w:r w:rsidR="007578B4">
        <w:rPr>
          <w:rFonts w:cs="Times New Roman"/>
          <w:bCs/>
        </w:rPr>
        <w:t>generally</w:t>
      </w:r>
      <w:r w:rsidR="005A6BAE">
        <w:rPr>
          <w:rFonts w:cs="Times New Roman"/>
          <w:bCs/>
        </w:rPr>
        <w:t xml:space="preserve"> </w:t>
      </w:r>
      <w:r w:rsidR="00430355">
        <w:rPr>
          <w:rFonts w:cs="Times New Roman"/>
          <w:bCs/>
        </w:rPr>
        <w:t xml:space="preserve">value </w:t>
      </w:r>
      <w:r w:rsidR="000330EE">
        <w:rPr>
          <w:rFonts w:cs="Times New Roman"/>
          <w:bCs/>
        </w:rPr>
        <w:t>being close to friends and family</w:t>
      </w:r>
      <w:r w:rsidR="00145245">
        <w:rPr>
          <w:rFonts w:cs="Times New Roman"/>
          <w:bCs/>
        </w:rPr>
        <w:t xml:space="preserve">, a trend that has grown </w:t>
      </w:r>
      <w:r w:rsidR="0089346D">
        <w:rPr>
          <w:rFonts w:cs="Times New Roman"/>
          <w:bCs/>
        </w:rPr>
        <w:t xml:space="preserve">for retired adults </w:t>
      </w:r>
      <w:r w:rsidR="007578B4">
        <w:rPr>
          <w:rFonts w:cs="Times New Roman"/>
          <w:bCs/>
        </w:rPr>
        <w:t>since</w:t>
      </w:r>
      <w:r w:rsidR="00145245">
        <w:rPr>
          <w:rFonts w:cs="Times New Roman"/>
          <w:bCs/>
        </w:rPr>
        <w:t xml:space="preserve"> the pandemic. </w:t>
      </w:r>
      <w:r w:rsidR="00397E75">
        <w:rPr>
          <w:rFonts w:cs="Times New Roman"/>
          <w:bCs/>
        </w:rPr>
        <w:t xml:space="preserve">It appears that </w:t>
      </w:r>
      <w:r w:rsidR="00632E4C">
        <w:rPr>
          <w:rFonts w:cs="Times New Roman"/>
          <w:bCs/>
        </w:rPr>
        <w:t>both groups</w:t>
      </w:r>
      <w:r w:rsidR="00397E75">
        <w:rPr>
          <w:rFonts w:cs="Times New Roman"/>
          <w:bCs/>
        </w:rPr>
        <w:t xml:space="preserve"> </w:t>
      </w:r>
      <w:r w:rsidR="00145245">
        <w:rPr>
          <w:rFonts w:cs="Times New Roman"/>
          <w:bCs/>
        </w:rPr>
        <w:t>have</w:t>
      </w:r>
      <w:r w:rsidR="00397E75">
        <w:rPr>
          <w:rFonts w:cs="Times New Roman"/>
          <w:bCs/>
        </w:rPr>
        <w:t xml:space="preserve"> </w:t>
      </w:r>
      <w:r w:rsidR="006555D1">
        <w:rPr>
          <w:rFonts w:cs="Times New Roman"/>
          <w:bCs/>
        </w:rPr>
        <w:t xml:space="preserve">also begun prioritizing affordability </w:t>
      </w:r>
      <w:r w:rsidR="005A6BAE">
        <w:rPr>
          <w:rFonts w:cs="Times New Roman"/>
          <w:bCs/>
        </w:rPr>
        <w:t xml:space="preserve">after the onset of </w:t>
      </w:r>
      <w:r w:rsidR="006555D1">
        <w:rPr>
          <w:rFonts w:cs="Times New Roman"/>
          <w:bCs/>
        </w:rPr>
        <w:t>the pandemic</w:t>
      </w:r>
      <w:r w:rsidR="005A6BAE">
        <w:rPr>
          <w:rFonts w:cs="Times New Roman"/>
          <w:bCs/>
        </w:rPr>
        <w:t xml:space="preserve"> (as reflected in the positive signs on these variables interacted with the “</w:t>
      </w:r>
      <w:r w:rsidR="001956AB">
        <w:rPr>
          <w:rFonts w:cs="Times New Roman"/>
          <w:bCs/>
        </w:rPr>
        <w:t>during</w:t>
      </w:r>
      <w:r w:rsidR="005A6BAE">
        <w:rPr>
          <w:rFonts w:cs="Times New Roman"/>
          <w:bCs/>
        </w:rPr>
        <w:t>-COVID” indicator in the “affordability” column)</w:t>
      </w:r>
      <w:r w:rsidR="00523B5A">
        <w:rPr>
          <w:rFonts w:cs="Times New Roman"/>
          <w:bCs/>
        </w:rPr>
        <w:t>. T</w:t>
      </w:r>
      <w:r w:rsidR="00720300">
        <w:rPr>
          <w:rFonts w:cs="Times New Roman"/>
          <w:bCs/>
        </w:rPr>
        <w:t xml:space="preserve">hose with children </w:t>
      </w:r>
      <w:r w:rsidR="0089346D">
        <w:rPr>
          <w:rFonts w:cs="Times New Roman"/>
          <w:bCs/>
        </w:rPr>
        <w:t xml:space="preserve">place a much </w:t>
      </w:r>
      <w:r w:rsidR="00702F1D">
        <w:rPr>
          <w:rFonts w:cs="Times New Roman"/>
          <w:bCs/>
        </w:rPr>
        <w:t xml:space="preserve">higher valuation </w:t>
      </w:r>
      <w:r w:rsidR="0089346D">
        <w:rPr>
          <w:rFonts w:cs="Times New Roman"/>
          <w:bCs/>
        </w:rPr>
        <w:t xml:space="preserve">on </w:t>
      </w:r>
      <w:r w:rsidR="000330EE">
        <w:rPr>
          <w:rFonts w:cs="Times New Roman"/>
          <w:bCs/>
        </w:rPr>
        <w:t>access to high quality schools</w:t>
      </w:r>
      <w:r w:rsidR="00397E75">
        <w:rPr>
          <w:rFonts w:cs="Times New Roman"/>
          <w:bCs/>
        </w:rPr>
        <w:t xml:space="preserve"> relative to households without children (especially, and expectedly, relative to single adult households)</w:t>
      </w:r>
      <w:r w:rsidR="00A76395">
        <w:rPr>
          <w:rFonts w:cs="Times New Roman"/>
          <w:bCs/>
        </w:rPr>
        <w:t xml:space="preserve">, </w:t>
      </w:r>
      <w:r w:rsidR="00397E75">
        <w:rPr>
          <w:rFonts w:cs="Times New Roman"/>
          <w:bCs/>
        </w:rPr>
        <w:t xml:space="preserve">with this </w:t>
      </w:r>
      <w:r w:rsidR="00702F1D">
        <w:rPr>
          <w:rFonts w:cs="Times New Roman"/>
          <w:bCs/>
        </w:rPr>
        <w:t>valuation</w:t>
      </w:r>
      <w:r w:rsidR="00397E75">
        <w:rPr>
          <w:rFonts w:cs="Times New Roman"/>
          <w:bCs/>
        </w:rPr>
        <w:t xml:space="preserve"> </w:t>
      </w:r>
      <w:r w:rsidR="005A6BAE">
        <w:rPr>
          <w:rFonts w:cs="Times New Roman"/>
          <w:bCs/>
        </w:rPr>
        <w:t xml:space="preserve">for high quality schools only </w:t>
      </w:r>
      <w:r w:rsidR="00397E75">
        <w:rPr>
          <w:rFonts w:cs="Times New Roman"/>
          <w:bCs/>
        </w:rPr>
        <w:t xml:space="preserve">increasing further </w:t>
      </w:r>
      <w:r w:rsidR="005A6BAE">
        <w:rPr>
          <w:rFonts w:cs="Times New Roman"/>
          <w:bCs/>
        </w:rPr>
        <w:t xml:space="preserve">in the </w:t>
      </w:r>
      <w:r w:rsidR="001956AB">
        <w:rPr>
          <w:rFonts w:cs="Times New Roman"/>
          <w:bCs/>
        </w:rPr>
        <w:t>during</w:t>
      </w:r>
      <w:r w:rsidR="005A6BAE">
        <w:rPr>
          <w:rFonts w:cs="Times New Roman"/>
          <w:bCs/>
        </w:rPr>
        <w:t>-COVID period</w:t>
      </w:r>
      <w:r w:rsidR="002B7704">
        <w:rPr>
          <w:rFonts w:cs="Times New Roman"/>
          <w:bCs/>
        </w:rPr>
        <w:t xml:space="preserve"> (this shift effect is, however, statistically significant only at the 86% confidence level)</w:t>
      </w:r>
      <w:r w:rsidR="00A76395">
        <w:rPr>
          <w:rFonts w:cs="Times New Roman"/>
          <w:bCs/>
        </w:rPr>
        <w:t>.</w:t>
      </w:r>
      <w:r w:rsidR="003B11B7">
        <w:rPr>
          <w:rFonts w:cs="Times New Roman"/>
          <w:bCs/>
        </w:rPr>
        <w:t xml:space="preserve"> </w:t>
      </w:r>
      <w:r w:rsidR="000F785D">
        <w:rPr>
          <w:rFonts w:cs="Times New Roman"/>
          <w:bCs/>
        </w:rPr>
        <w:t>H</w:t>
      </w:r>
      <w:r w:rsidR="001C40F7">
        <w:rPr>
          <w:rFonts w:cs="Times New Roman"/>
          <w:bCs/>
        </w:rPr>
        <w:t xml:space="preserve">ouseholds with children also </w:t>
      </w:r>
      <w:r w:rsidR="00702F1D">
        <w:rPr>
          <w:rFonts w:cs="Times New Roman"/>
          <w:bCs/>
        </w:rPr>
        <w:t>ascribe</w:t>
      </w:r>
      <w:r w:rsidR="001C40F7">
        <w:rPr>
          <w:rFonts w:cs="Times New Roman"/>
          <w:bCs/>
        </w:rPr>
        <w:t xml:space="preserve"> lower</w:t>
      </w:r>
      <w:r w:rsidR="00702F1D">
        <w:rPr>
          <w:rFonts w:cs="Times New Roman"/>
          <w:bCs/>
        </w:rPr>
        <w:t xml:space="preserve"> utility to</w:t>
      </w:r>
      <w:r w:rsidR="001C40F7">
        <w:rPr>
          <w:rFonts w:cs="Times New Roman"/>
          <w:bCs/>
        </w:rPr>
        <w:t xml:space="preserve"> being close to public transit</w:t>
      </w:r>
      <w:r w:rsidR="005A6BAE">
        <w:rPr>
          <w:rFonts w:cs="Times New Roman"/>
          <w:bCs/>
        </w:rPr>
        <w:t xml:space="preserve"> relative to households without children</w:t>
      </w:r>
      <w:r w:rsidR="001C40F7">
        <w:rPr>
          <w:rFonts w:cs="Times New Roman"/>
          <w:bCs/>
        </w:rPr>
        <w:t xml:space="preserve">, </w:t>
      </w:r>
      <w:r w:rsidR="00D2006A">
        <w:rPr>
          <w:rFonts w:cs="Times New Roman"/>
          <w:bCs/>
        </w:rPr>
        <w:t xml:space="preserve">consistent with previous literature suggesting </w:t>
      </w:r>
      <w:r w:rsidR="009E61BA">
        <w:rPr>
          <w:rFonts w:cs="Times New Roman"/>
          <w:bCs/>
        </w:rPr>
        <w:t xml:space="preserve">that </w:t>
      </w:r>
      <w:r w:rsidR="00D2006A">
        <w:rPr>
          <w:rFonts w:cs="Times New Roman"/>
          <w:bCs/>
        </w:rPr>
        <w:t xml:space="preserve">households with children </w:t>
      </w:r>
      <w:r w:rsidR="009E61BA">
        <w:rPr>
          <w:rFonts w:cs="Times New Roman"/>
          <w:bCs/>
        </w:rPr>
        <w:t xml:space="preserve">have </w:t>
      </w:r>
      <w:r w:rsidR="00903124">
        <w:rPr>
          <w:rFonts w:cs="Times New Roman"/>
          <w:bCs/>
        </w:rPr>
        <w:t xml:space="preserve">complex trip-chaining </w:t>
      </w:r>
      <w:r w:rsidR="009E61BA">
        <w:rPr>
          <w:rFonts w:cs="Times New Roman"/>
          <w:bCs/>
        </w:rPr>
        <w:t xml:space="preserve">patterns </w:t>
      </w:r>
      <w:r w:rsidR="00903124">
        <w:rPr>
          <w:rFonts w:cs="Times New Roman"/>
          <w:bCs/>
        </w:rPr>
        <w:t xml:space="preserve">that </w:t>
      </w:r>
      <w:r w:rsidR="009E61BA">
        <w:rPr>
          <w:rFonts w:cs="Times New Roman"/>
          <w:bCs/>
        </w:rPr>
        <w:t>are</w:t>
      </w:r>
      <w:r w:rsidR="00903124">
        <w:rPr>
          <w:rFonts w:cs="Times New Roman"/>
          <w:bCs/>
        </w:rPr>
        <w:t xml:space="preserve"> not easily </w:t>
      </w:r>
      <w:r w:rsidR="009E61BA">
        <w:rPr>
          <w:rFonts w:cs="Times New Roman"/>
          <w:bCs/>
        </w:rPr>
        <w:t>pursued</w:t>
      </w:r>
      <w:r w:rsidR="00903124">
        <w:rPr>
          <w:rFonts w:cs="Times New Roman"/>
          <w:bCs/>
        </w:rPr>
        <w:t xml:space="preserve"> on public transit </w:t>
      </w:r>
      <w:r w:rsidR="00257D78">
        <w:rPr>
          <w:rFonts w:cs="Times New Roman"/>
          <w:bCs/>
        </w:rPr>
        <w:fldChar w:fldCharType="begin"/>
      </w:r>
      <w:r w:rsidR="001F71AC">
        <w:rPr>
          <w:rFonts w:cs="Times New Roman"/>
          <w:bCs/>
        </w:rPr>
        <w:instrText xml:space="preserve"> ADDIN ZOTERO_ITEM CSL_CITATION {"citationID":"gCl5wpmD","properties":{"formattedCitation":"(Brown et al., 2016; Kersting et al., 2021)","plainCitation":"(Brown et al., 2016; Kersting et al., 2021)","noteIndex":0},"citationItems":[{"id":2655,"uris":["http://zotero.org/users/12832277/items/3E8LZ9LE"],"itemData":{"id":2655,"type":"article-journal","abstract":"In the past decade, there has been much talk about a decline in driving among youth. This study examined whether this decline is associated with an increased reliance on public transit. To address this issue, 2001 and 2009 National Household Travel Survey (NHTS) data were used to analyze the relationship between age and transit use. Findings indicate that although young adults are more likely to ride transit than older adults, transit use among youth can be explained largely by (1) life cycle factors common among young people but unlikely to persist as they age, (2) higher levels of transit use among non-whites, who are disproportionately young, and (3) locational factors such as living in densely-developed neighborhoods that may or may not continue as young people age. Therefore, whereas transit habits established early in life may persist as young adults age, the data examined here suggest that such an outcome is far from assured.","container-title":"Journal of Public Transportation","DOI":"10.5038/2375-0901.19.1.4","ISSN":"1077-291X","issue":"1","journalAbbreviation":"Journal of Public Transportation","page":"49-67","source":"ScienceDirect","title":"A Taste for Transit? Analyzing Public Transit Use Trends among Youth","title-short":"A Taste for Transit?","volume":"19","author":[{"family":"Brown","given":"Anne E."},{"family":"Blumenberg","given":"Evelyn"},{"family":"Taylor","given":"Brian D."},{"family":"Ralph","given":"Kelcie"},{"family":"Voulgaris","given":"Carole Turley"}],"issued":{"date-parts":[["2016",1,1]]}}},{"id":2683,"uris":["http://zotero.org/users/12832277/items/74DYHU2Y"],"itemData":{"id":2683,"type":"article-journal","abstract":"Everyday commuting as a mobility phenomenon is well-investigated and has been the topic of many contributions. Nevertheless, the distinct determinants of the commuting professional’s motivation to regularly travel comparably long distances have not been in the focus of research yet. Thus, this contribution analyses the sociodemographic variables that underpin the well-educated group’s decision to commute longer distances than other educational groups. For German Microcensus data, ordered logistic regression models are used to estimate and compare the influences of sociodemographic variables on all commuting employees and commuting professionals. The data of German Microcensus of the year 2012 are used for the analysis. The results imply that some characteristics exert the already known effects on both samples. Others do vary with education and thus illustrate some unique sociodemographic influences on the commuting behaviour of professionals.","container-title":"Transportation","DOI":"10.1007/s11116-020-10124-w","ISSN":"1572-9435","issue":"5","language":"en","page":"2127-2158","source":"Springer Link","title":"A Socioeconomic Analysis of Commuting Professionals","volume":"48","author":[{"family":"Kersting","given":"Moritz"},{"family":"Matthies","given":"Eike"},{"family":"Lahner","given":"Jörg"},{"family":"Schlüter","given":"Jan"}],"issued":{"date-parts":[["2021",10,1]]}}}],"schema":"https://github.com/citation-style-language/schema/raw/master/csl-citation.json"} </w:instrText>
      </w:r>
      <w:r w:rsidR="00257D78">
        <w:rPr>
          <w:rFonts w:cs="Times New Roman"/>
          <w:bCs/>
        </w:rPr>
        <w:fldChar w:fldCharType="separate"/>
      </w:r>
      <w:r w:rsidR="001F71AC" w:rsidRPr="001F71AC">
        <w:rPr>
          <w:rFonts w:cs="Times New Roman"/>
        </w:rPr>
        <w:t>(Brown et al., 2016; Kersting et al., 2021)</w:t>
      </w:r>
      <w:r w:rsidR="00257D78">
        <w:rPr>
          <w:rFonts w:cs="Times New Roman"/>
          <w:bCs/>
        </w:rPr>
        <w:fldChar w:fldCharType="end"/>
      </w:r>
      <w:r w:rsidR="003B11B7">
        <w:rPr>
          <w:rFonts w:cs="Times New Roman"/>
          <w:bCs/>
        </w:rPr>
        <w:t xml:space="preserve">. </w:t>
      </w:r>
      <w:r w:rsidR="000F785D">
        <w:rPr>
          <w:rFonts w:cs="Times New Roman"/>
          <w:bCs/>
        </w:rPr>
        <w:t>Additionally, s</w:t>
      </w:r>
      <w:r w:rsidR="003B11B7">
        <w:rPr>
          <w:rFonts w:cs="Times New Roman"/>
          <w:bCs/>
        </w:rPr>
        <w:t xml:space="preserve">ince the pandemic, households with children </w:t>
      </w:r>
      <w:r w:rsidR="005A6BAE">
        <w:rPr>
          <w:rFonts w:cs="Times New Roman"/>
          <w:bCs/>
        </w:rPr>
        <w:t xml:space="preserve">reveal </w:t>
      </w:r>
      <w:r w:rsidR="003B11B7">
        <w:rPr>
          <w:rFonts w:cs="Times New Roman"/>
          <w:bCs/>
        </w:rPr>
        <w:t xml:space="preserve">a growing preference for </w:t>
      </w:r>
      <w:r w:rsidR="00815581">
        <w:rPr>
          <w:rFonts w:cs="Times New Roman"/>
          <w:bCs/>
        </w:rPr>
        <w:t xml:space="preserve">local accessibility through neighborhood walkability </w:t>
      </w:r>
      <w:r w:rsidR="002B7704">
        <w:rPr>
          <w:rFonts w:cs="Times New Roman"/>
          <w:bCs/>
        </w:rPr>
        <w:t xml:space="preserve">(significant only at the 88% level) </w:t>
      </w:r>
      <w:r w:rsidR="00815581">
        <w:rPr>
          <w:rFonts w:cs="Times New Roman"/>
          <w:bCs/>
        </w:rPr>
        <w:t xml:space="preserve">and </w:t>
      </w:r>
      <w:r w:rsidR="002B66D2">
        <w:rPr>
          <w:rFonts w:cs="Times New Roman"/>
          <w:bCs/>
        </w:rPr>
        <w:t>access to cultural centers and activities</w:t>
      </w:r>
      <w:r w:rsidR="00397E75">
        <w:rPr>
          <w:rFonts w:cs="Times New Roman"/>
          <w:bCs/>
        </w:rPr>
        <w:t>,</w:t>
      </w:r>
      <w:r w:rsidR="00E01E1F">
        <w:rPr>
          <w:rFonts w:cs="Times New Roman"/>
          <w:bCs/>
        </w:rPr>
        <w:t xml:space="preserve"> likely reflect</w:t>
      </w:r>
      <w:r w:rsidR="00397E75">
        <w:rPr>
          <w:rFonts w:cs="Times New Roman"/>
          <w:bCs/>
        </w:rPr>
        <w:t>ing</w:t>
      </w:r>
      <w:r w:rsidR="00E01E1F">
        <w:rPr>
          <w:rFonts w:cs="Times New Roman"/>
          <w:bCs/>
        </w:rPr>
        <w:t xml:space="preserve"> the tendency of parents to </w:t>
      </w:r>
      <w:r w:rsidR="00A07BC8">
        <w:rPr>
          <w:rFonts w:cs="Times New Roman"/>
          <w:bCs/>
        </w:rPr>
        <w:t>return their children to</w:t>
      </w:r>
      <w:r w:rsidR="00397E75">
        <w:rPr>
          <w:rFonts w:cs="Times New Roman"/>
          <w:bCs/>
        </w:rPr>
        <w:t xml:space="preserve"> </w:t>
      </w:r>
      <w:r w:rsidR="00A07BC8">
        <w:rPr>
          <w:rFonts w:cs="Times New Roman"/>
          <w:bCs/>
        </w:rPr>
        <w:t xml:space="preserve">social activities </w:t>
      </w:r>
      <w:r w:rsidR="003E3971">
        <w:rPr>
          <w:rFonts w:cs="Times New Roman"/>
          <w:bCs/>
        </w:rPr>
        <w:fldChar w:fldCharType="begin"/>
      </w:r>
      <w:r w:rsidR="003E3971">
        <w:rPr>
          <w:rFonts w:cs="Times New Roman"/>
          <w:bCs/>
        </w:rPr>
        <w:instrText xml:space="preserve"> ADDIN ZOTERO_ITEM CSL_CITATION {"citationID":"jGdbc7qi","properties":{"formattedCitation":"(Szpunar et al., 2021)","plainCitation":"(Szpunar et al., 2021)","noteIndex":0},"citationItems":[{"id":2792,"uris":["http://zotero.org/users/12832277/items/GYJPHIPS"],"itemData":{"id":2792,"type":"article-journal","abstract":"The COVID-19 pandemic and associated public health measures have resulted in the closure of many physical activity-supporting facilities. This study examined Ontario parents’ and children’s perspectives of COVID-19’s impact on children’s physical activity behaviours, return to play/sport during COVID-19, as well as barriers/facilitators to getting active amid extended closures of physical activity venues.","container-title":"BMC Public Health","DOI":"10.1186/s12889-021-12344-w","ISSN":"1471-2458","issue":"1","source":"BioMed Central","title":"Children and Parents’ Perspectives of the Impact of the COVID-19 Pandemic on Ontario Children’s Physical Activity, Play, and Sport Behaviours","URL":"https://doi.org/10.1186/s12889-021-12344-w","volume":"21","author":[{"family":"Szpunar","given":"Monika"},{"family":"Vanderloo","given":"Leigh M."},{"family":"Bruijns","given":"Brianne A."},{"family":"Truelove","given":"Stephanie"},{"family":"Burke","given":"Shauna M."},{"family":"Gilliland","given":"Jason"},{"family":"Irwin","given":"Jennifer D."},{"family":"Tucker","given":"Patricia"}],"accessed":{"date-parts":[["2024",3,1]]},"issued":{"date-parts":[["2021",12,13]]}}}],"schema":"https://github.com/citation-style-language/schema/raw/master/csl-citation.json"} </w:instrText>
      </w:r>
      <w:r w:rsidR="003E3971">
        <w:rPr>
          <w:rFonts w:cs="Times New Roman"/>
          <w:bCs/>
        </w:rPr>
        <w:fldChar w:fldCharType="separate"/>
      </w:r>
      <w:r w:rsidR="003E3971" w:rsidRPr="003E3971">
        <w:rPr>
          <w:rFonts w:cs="Times New Roman"/>
        </w:rPr>
        <w:t>(Szpunar et al., 2021)</w:t>
      </w:r>
      <w:r w:rsidR="003E3971">
        <w:rPr>
          <w:rFonts w:cs="Times New Roman"/>
          <w:bCs/>
        </w:rPr>
        <w:fldChar w:fldCharType="end"/>
      </w:r>
      <w:r w:rsidR="00314EDD">
        <w:rPr>
          <w:rFonts w:cs="Times New Roman"/>
          <w:bCs/>
        </w:rPr>
        <w:t xml:space="preserve">. </w:t>
      </w:r>
      <w:r w:rsidR="00D77225">
        <w:rPr>
          <w:rFonts w:cs="Times New Roman"/>
          <w:bCs/>
        </w:rPr>
        <w:t>F</w:t>
      </w:r>
      <w:r w:rsidR="00397E75">
        <w:rPr>
          <w:rFonts w:cs="Times New Roman"/>
          <w:bCs/>
        </w:rPr>
        <w:t>urther, h</w:t>
      </w:r>
      <w:r w:rsidR="00BB3088">
        <w:rPr>
          <w:rFonts w:cs="Times New Roman"/>
          <w:bCs/>
        </w:rPr>
        <w:t xml:space="preserve">ouseholds with retired adults have also begun </w:t>
      </w:r>
      <w:r w:rsidR="004006EC">
        <w:rPr>
          <w:rFonts w:cs="Times New Roman"/>
          <w:bCs/>
        </w:rPr>
        <w:t>prioritizing</w:t>
      </w:r>
      <w:r w:rsidR="00BB3088">
        <w:rPr>
          <w:rFonts w:cs="Times New Roman"/>
          <w:bCs/>
        </w:rPr>
        <w:t xml:space="preserve"> </w:t>
      </w:r>
      <w:r w:rsidR="00D77225">
        <w:rPr>
          <w:rFonts w:cs="Times New Roman"/>
          <w:bCs/>
        </w:rPr>
        <w:t>space</w:t>
      </w:r>
      <w:r w:rsidR="00BB3088">
        <w:rPr>
          <w:rFonts w:cs="Times New Roman"/>
          <w:bCs/>
        </w:rPr>
        <w:t xml:space="preserve"> and </w:t>
      </w:r>
      <w:r w:rsidR="004006EC">
        <w:rPr>
          <w:rFonts w:cs="Times New Roman"/>
          <w:bCs/>
        </w:rPr>
        <w:t>separation</w:t>
      </w:r>
      <w:r w:rsidR="00BB3088">
        <w:rPr>
          <w:rFonts w:cs="Times New Roman"/>
          <w:bCs/>
        </w:rPr>
        <w:t xml:space="preserve"> from others since the pandemic</w:t>
      </w:r>
      <w:r w:rsidR="004E5D42">
        <w:rPr>
          <w:rFonts w:cs="Times New Roman"/>
          <w:bCs/>
        </w:rPr>
        <w:t xml:space="preserve"> (significant at the 85% confidence level)</w:t>
      </w:r>
      <w:r w:rsidR="00BB3088">
        <w:rPr>
          <w:rFonts w:cs="Times New Roman"/>
          <w:bCs/>
        </w:rPr>
        <w:t xml:space="preserve">, while </w:t>
      </w:r>
      <w:r w:rsidR="004006EC">
        <w:rPr>
          <w:rFonts w:cs="Times New Roman"/>
          <w:bCs/>
        </w:rPr>
        <w:t>placing less</w:t>
      </w:r>
      <w:r w:rsidR="00702F1D">
        <w:rPr>
          <w:rFonts w:cs="Times New Roman"/>
          <w:bCs/>
        </w:rPr>
        <w:t xml:space="preserve"> value</w:t>
      </w:r>
      <w:r w:rsidR="004006EC">
        <w:rPr>
          <w:rFonts w:cs="Times New Roman"/>
          <w:bCs/>
        </w:rPr>
        <w:t xml:space="preserve"> on commute distance. </w:t>
      </w:r>
      <w:r w:rsidR="00D43639">
        <w:rPr>
          <w:rFonts w:cs="Times New Roman"/>
          <w:bCs/>
        </w:rPr>
        <w:t xml:space="preserve">As retired adults are </w:t>
      </w:r>
      <w:r w:rsidR="00D43639">
        <w:rPr>
          <w:rFonts w:cs="Times New Roman"/>
          <w:bCs/>
        </w:rPr>
        <w:lastRenderedPageBreak/>
        <w:t xml:space="preserve">more susceptible to the impacts of COVID-19, this increased attention </w:t>
      </w:r>
      <w:r w:rsidR="000F785D">
        <w:rPr>
          <w:rFonts w:cs="Times New Roman"/>
          <w:bCs/>
        </w:rPr>
        <w:t xml:space="preserve">given </w:t>
      </w:r>
      <w:r w:rsidR="00D43639">
        <w:rPr>
          <w:rFonts w:cs="Times New Roman"/>
          <w:bCs/>
        </w:rPr>
        <w:t xml:space="preserve">to space and separation from others is not surprising. </w:t>
      </w:r>
      <w:r w:rsidR="00D61793">
        <w:rPr>
          <w:rFonts w:cs="Times New Roman"/>
          <w:bCs/>
        </w:rPr>
        <w:t xml:space="preserve">Finally, </w:t>
      </w:r>
      <w:r w:rsidR="00BF26A3">
        <w:rPr>
          <w:rFonts w:cs="Times New Roman"/>
          <w:bCs/>
        </w:rPr>
        <w:t xml:space="preserve">in the group of household composition variables, </w:t>
      </w:r>
      <w:r w:rsidR="00B15925">
        <w:rPr>
          <w:rFonts w:cs="Times New Roman"/>
          <w:bCs/>
        </w:rPr>
        <w:t xml:space="preserve">the valuation (utility) that </w:t>
      </w:r>
      <w:r w:rsidR="00D61793">
        <w:rPr>
          <w:rFonts w:cs="Times New Roman"/>
          <w:bCs/>
        </w:rPr>
        <w:t xml:space="preserve">households with no workers place </w:t>
      </w:r>
      <w:r w:rsidR="00B15925">
        <w:rPr>
          <w:rFonts w:cs="Times New Roman"/>
          <w:bCs/>
        </w:rPr>
        <w:t xml:space="preserve">on commute distance and living in areas with access to cultural centers is generally lesser than for households with workers, though there is no change in this valuation (utility) because of the pandemic. </w:t>
      </w:r>
    </w:p>
    <w:p w14:paraId="2EA91BF6" w14:textId="420F41DD" w:rsidR="000F785D" w:rsidRDefault="00BF26A3" w:rsidP="000F785D">
      <w:pPr>
        <w:autoSpaceDE w:val="0"/>
        <w:autoSpaceDN w:val="0"/>
        <w:adjustRightInd w:val="0"/>
        <w:spacing w:after="0" w:line="240" w:lineRule="auto"/>
        <w:ind w:firstLine="720"/>
        <w:jc w:val="both"/>
        <w:rPr>
          <w:rFonts w:cs="Times New Roman"/>
          <w:b/>
        </w:rPr>
      </w:pPr>
      <w:r>
        <w:rPr>
          <w:rFonts w:cs="Times New Roman"/>
          <w:bCs/>
        </w:rPr>
        <w:t>Among the household sociodemographic characteristics, t</w:t>
      </w:r>
      <w:r w:rsidR="00505024">
        <w:rPr>
          <w:rFonts w:cs="Times New Roman"/>
          <w:bCs/>
        </w:rPr>
        <w:t xml:space="preserve">hose with </w:t>
      </w:r>
      <w:r>
        <w:rPr>
          <w:rFonts w:cs="Times New Roman"/>
          <w:bCs/>
        </w:rPr>
        <w:t xml:space="preserve">a graduate degree </w:t>
      </w:r>
      <w:r w:rsidR="00505024">
        <w:rPr>
          <w:rFonts w:cs="Times New Roman"/>
          <w:bCs/>
        </w:rPr>
        <w:t xml:space="preserve">tend to </w:t>
      </w:r>
      <w:r w:rsidR="00B15925">
        <w:rPr>
          <w:rFonts w:cs="Times New Roman"/>
          <w:bCs/>
        </w:rPr>
        <w:t xml:space="preserve">ascribe </w:t>
      </w:r>
      <w:r w:rsidR="00934E6C">
        <w:rPr>
          <w:rFonts w:cs="Times New Roman"/>
          <w:bCs/>
        </w:rPr>
        <w:t xml:space="preserve">(both before- and </w:t>
      </w:r>
      <w:r w:rsidR="001956AB">
        <w:rPr>
          <w:rFonts w:cs="Times New Roman"/>
          <w:bCs/>
        </w:rPr>
        <w:t>during</w:t>
      </w:r>
      <w:r w:rsidR="00934E6C">
        <w:rPr>
          <w:rFonts w:cs="Times New Roman"/>
          <w:bCs/>
        </w:rPr>
        <w:t xml:space="preserve">-COVID) </w:t>
      </w:r>
      <w:r w:rsidR="00B15925">
        <w:rPr>
          <w:rFonts w:cs="Times New Roman"/>
          <w:bCs/>
        </w:rPr>
        <w:t>less utility to</w:t>
      </w:r>
      <w:r w:rsidR="00505024">
        <w:rPr>
          <w:rFonts w:cs="Times New Roman"/>
          <w:bCs/>
        </w:rPr>
        <w:t xml:space="preserve"> affordability</w:t>
      </w:r>
      <w:r w:rsidR="00247240">
        <w:rPr>
          <w:rFonts w:cs="Times New Roman"/>
          <w:bCs/>
        </w:rPr>
        <w:t xml:space="preserve"> </w:t>
      </w:r>
      <w:r w:rsidR="00505024">
        <w:rPr>
          <w:rFonts w:cs="Times New Roman"/>
          <w:bCs/>
        </w:rPr>
        <w:t xml:space="preserve">and </w:t>
      </w:r>
      <w:r w:rsidR="00B15925">
        <w:rPr>
          <w:rFonts w:cs="Times New Roman"/>
          <w:bCs/>
        </w:rPr>
        <w:t>closeness</w:t>
      </w:r>
      <w:r w:rsidR="00505024">
        <w:rPr>
          <w:rFonts w:cs="Times New Roman"/>
          <w:bCs/>
        </w:rPr>
        <w:t xml:space="preserve"> to friends and family, likely</w:t>
      </w:r>
      <w:r w:rsidR="00954534">
        <w:rPr>
          <w:rFonts w:cs="Times New Roman"/>
          <w:bCs/>
        </w:rPr>
        <w:t xml:space="preserve"> because they are more willing to move </w:t>
      </w:r>
      <w:r w:rsidR="00E16583">
        <w:rPr>
          <w:rFonts w:cs="Times New Roman"/>
          <w:bCs/>
        </w:rPr>
        <w:t xml:space="preserve">to areas with better employment opportunities </w:t>
      </w:r>
      <w:r w:rsidR="002F5503">
        <w:rPr>
          <w:rFonts w:cs="Times New Roman"/>
          <w:bCs/>
        </w:rPr>
        <w:fldChar w:fldCharType="begin"/>
      </w:r>
      <w:r w:rsidR="00D0101F">
        <w:rPr>
          <w:rFonts w:cs="Times New Roman"/>
          <w:bCs/>
        </w:rPr>
        <w:instrText xml:space="preserve"> ADDIN ZOTERO_ITEM CSL_CITATION {"citationID":"p4K3IjyL","properties":{"formattedCitation":"(Clark and Wang, 2005; Kortum et al., 2012)","plainCitation":"(Clark and Wang, 2005; Kortum et al., 2012)","noteIndex":0},"citationItems":[{"id":733,"uris":["http://zotero.org/users/12832277/items/FCEL2Q76"],"itemData":{"id":733,"type":"article-journal","abstract":"There is an ongoing debate about whether minorities and women pay a commute penalty—that is, do these groups commute farther for lower wages than White males? Research based on commuting time has suggested that minority women bear the multiple jeopardy of race and gender in their journey-to-work behavior. The present study re-examines those findings. We show that minority women who commute longer distances have higher earnings. There is a positive or in some cases neutral relationship between distance and earnings. This suggests that we treat the notion of a commute penalty with some caution. However, women still do not earn as much as men and they are relatively if not absolutely disadvantaged in the commuting process. As expected, for women as for men, skill is a major factor in earnings gains, and relying on public transportation negatively affects earnings. In the past decade it has been fashionable to focus on the negative impacts of commuting on women, but the evidence from this study suggests that the shorter commutes by women may be an expression of the way in which families balance work and residence.","container-title":"Urban Geography","DOI":"10.2747/0272-3638.26.7.610","ISSN":"0272-3638","issue":"7","note":"publisher: Routledge\n_eprint: https://doi.org/10.2747/0272-3638.26.7.610","page":"610-626","source":"Taylor and Francis+NEJM","title":"Job Access and Commute Penalties: Balancing Work and Residence in Los Angeles","title-short":"Job Access and Commute Penalties","volume":"26","author":[{"family":"Clark","given":"William A. V."},{"family":"Wang","given":"Wenfei Winnie"}],"issued":{"date-parts":[["2005",11,1]]}}},{"id":1769,"uris":["http://zotero.org/users/12832277/items/SP4SDHAW"],"itemData":{"id":1769,"type":"article-journal","abstract":"Residential location choice is a key determinant of activity–travel behavior, yet little is known about the reasons why people choose to move or not move residences. Such understanding is critical to being able to model residential location choices over time and design built environments that people find appealing. This paper attempts to fill this gap by developing a joint model of the choice to move residence and the primary reason behind the move. The model is estimated on the Florida subsample of the 2009 U.S. National Household Travel Survey. Model results shed considerable light on the socioeconomic and demographic variables that affect a household's decision whether to move residence and the primary reason underlying that decision.","container-title":"Transportation Research Record","DOI":"10.3141/2303-04","ISSN":"0361-1981","issue":"1","language":"en","note":"publisher: SAGE Publications Inc","page":"28-37","source":"SAGE Journals","title":"Joint Model of Residential Relocation Choice and Underlying Causal Factors","volume":"2303","author":[{"family":"Kortum","given":"Katherine"},{"family":"Paleti","given":"Rajesh"},{"family":"Bhat","given":"Chandra R."},{"family":"Pendyala","given":"Ram M."}],"issued":{"date-parts":[["2012",1,1]]}}}],"schema":"https://github.com/citation-style-language/schema/raw/master/csl-citation.json"} </w:instrText>
      </w:r>
      <w:r w:rsidR="002F5503">
        <w:rPr>
          <w:rFonts w:cs="Times New Roman"/>
          <w:bCs/>
        </w:rPr>
        <w:fldChar w:fldCharType="separate"/>
      </w:r>
      <w:r w:rsidR="00D0101F" w:rsidRPr="00D0101F">
        <w:rPr>
          <w:rFonts w:cs="Times New Roman"/>
        </w:rPr>
        <w:t>(Clark and Wang, 2005; Kortum et al., 2012)</w:t>
      </w:r>
      <w:r w:rsidR="002F5503">
        <w:rPr>
          <w:rFonts w:cs="Times New Roman"/>
          <w:bCs/>
        </w:rPr>
        <w:fldChar w:fldCharType="end"/>
      </w:r>
      <w:r w:rsidR="00545734">
        <w:rPr>
          <w:rFonts w:cs="Times New Roman"/>
          <w:bCs/>
        </w:rPr>
        <w:t>.</w:t>
      </w:r>
      <w:r w:rsidR="000F785D" w:rsidRPr="000F785D">
        <w:rPr>
          <w:rFonts w:cs="Times New Roman"/>
          <w:b/>
        </w:rPr>
        <w:t xml:space="preserve"> </w:t>
      </w:r>
      <w:r w:rsidR="00B15925">
        <w:rPr>
          <w:rFonts w:cs="Times New Roman"/>
          <w:bCs/>
        </w:rPr>
        <w:t>Also, h</w:t>
      </w:r>
      <w:r w:rsidR="000F785D" w:rsidRPr="00AD00BF">
        <w:rPr>
          <w:rFonts w:cs="Times New Roman"/>
          <w:bCs/>
        </w:rPr>
        <w:t>ouse</w:t>
      </w:r>
      <w:r w:rsidR="000F785D" w:rsidRPr="000F785D">
        <w:rPr>
          <w:rFonts w:cs="Times New Roman"/>
          <w:bCs/>
        </w:rPr>
        <w:t>holds with higher levels of education</w:t>
      </w:r>
      <w:r w:rsidR="00D27C11">
        <w:rPr>
          <w:rFonts w:cs="Times New Roman"/>
          <w:bCs/>
        </w:rPr>
        <w:t>al attainment</w:t>
      </w:r>
      <w:r w:rsidR="000F785D" w:rsidRPr="000F785D">
        <w:rPr>
          <w:rFonts w:cs="Times New Roman"/>
          <w:bCs/>
        </w:rPr>
        <w:t xml:space="preserve"> </w:t>
      </w:r>
      <w:r w:rsidR="001C17EC">
        <w:rPr>
          <w:rFonts w:cs="Times New Roman"/>
          <w:bCs/>
        </w:rPr>
        <w:t>(bachelor’s degree or higher)</w:t>
      </w:r>
      <w:r w:rsidR="00977ADE">
        <w:rPr>
          <w:rFonts w:cs="Times New Roman"/>
          <w:bCs/>
        </w:rPr>
        <w:t xml:space="preserve"> </w:t>
      </w:r>
      <w:r w:rsidR="004E5D42">
        <w:rPr>
          <w:rFonts w:cs="Times New Roman"/>
          <w:bCs/>
        </w:rPr>
        <w:t xml:space="preserve">do not place much value on quality of schools when children are not present (relative to their childless peers of lower formal education). But, beyond the existing preference for school quality among those with children (discussed in the previous paragraph), households with one or more </w:t>
      </w:r>
      <w:r w:rsidR="009E61BA">
        <w:rPr>
          <w:rFonts w:cs="Times New Roman"/>
          <w:bCs/>
        </w:rPr>
        <w:t xml:space="preserve">adult </w:t>
      </w:r>
      <w:r w:rsidR="004E5D42">
        <w:rPr>
          <w:rFonts w:cs="Times New Roman"/>
          <w:bCs/>
        </w:rPr>
        <w:t xml:space="preserve">members with a </w:t>
      </w:r>
      <w:r w:rsidR="00676056">
        <w:rPr>
          <w:rFonts w:cs="Times New Roman"/>
          <w:bCs/>
        </w:rPr>
        <w:t>bachelor’s</w:t>
      </w:r>
      <w:r w:rsidR="004E5D42">
        <w:rPr>
          <w:rFonts w:cs="Times New Roman"/>
          <w:bCs/>
        </w:rPr>
        <w:t xml:space="preserve"> degree or higher place </w:t>
      </w:r>
      <w:r w:rsidR="00977ADE">
        <w:rPr>
          <w:rFonts w:cs="Times New Roman"/>
          <w:bCs/>
        </w:rPr>
        <w:t xml:space="preserve">a higher utility </w:t>
      </w:r>
      <w:r w:rsidR="00BD0229">
        <w:rPr>
          <w:rFonts w:cs="Times New Roman"/>
          <w:bCs/>
        </w:rPr>
        <w:t xml:space="preserve">on </w:t>
      </w:r>
      <w:r w:rsidR="00D861A9">
        <w:rPr>
          <w:rFonts w:cs="Times New Roman"/>
          <w:bCs/>
        </w:rPr>
        <w:t>quality of schools</w:t>
      </w:r>
      <w:r w:rsidR="004E5D42">
        <w:rPr>
          <w:rFonts w:cs="Times New Roman"/>
          <w:bCs/>
        </w:rPr>
        <w:t xml:space="preserve"> when children are present than households with children and </w:t>
      </w:r>
      <w:r w:rsidR="009E61BA">
        <w:rPr>
          <w:rFonts w:cs="Times New Roman"/>
          <w:bCs/>
        </w:rPr>
        <w:t xml:space="preserve">adult </w:t>
      </w:r>
      <w:r w:rsidR="004E5D42">
        <w:rPr>
          <w:rFonts w:cs="Times New Roman"/>
          <w:bCs/>
        </w:rPr>
        <w:t xml:space="preserve">members with lower than a </w:t>
      </w:r>
      <w:r w:rsidR="00676056">
        <w:rPr>
          <w:rFonts w:cs="Times New Roman"/>
          <w:bCs/>
        </w:rPr>
        <w:t>b</w:t>
      </w:r>
      <w:r w:rsidR="004E5D42">
        <w:rPr>
          <w:rFonts w:cs="Times New Roman"/>
          <w:bCs/>
        </w:rPr>
        <w:t xml:space="preserve">achelor’s degree. This latter result is </w:t>
      </w:r>
      <w:r w:rsidR="00D21476">
        <w:rPr>
          <w:rFonts w:cs="Times New Roman"/>
          <w:bCs/>
        </w:rPr>
        <w:t xml:space="preserve">consistent with existing findings suggesting that parents with high educational attainment are more likely to prioritize school quality </w:t>
      </w:r>
      <w:r w:rsidR="00C12493">
        <w:rPr>
          <w:rFonts w:cs="Times New Roman"/>
          <w:bCs/>
        </w:rPr>
        <w:fldChar w:fldCharType="begin"/>
      </w:r>
      <w:r w:rsidR="0084799C">
        <w:rPr>
          <w:rFonts w:cs="Times New Roman"/>
          <w:bCs/>
        </w:rPr>
        <w:instrText xml:space="preserve"> ADDIN ZOTERO_ITEM CSL_CITATION {"citationID":"rmJsIqVv","properties":{"formattedCitation":"(Zhan, 2015)","plainCitation":"(Zhan, 2015)","dontUpdate":true,"noteIndex":0},"citationItems":[{"id":3406,"uris":["http://zotero.org/users/12832277/items/G7SWFCJE"],"itemData":{"id":3406,"type":"article-journal","abstract":"This paper studies how immigrant parents value education for their children in the United States when making residential decisions. Parent valuation of education is examined through the differential effects of school quality on the residential location choices of households with and without children. The analysis relies on data from the 2000 Census and focuses on the Los Angeles Metropolitan Area. The results suggest that immigrant parents place a positive weight on school quality when choosing residences. The weight assigned to school is positively associated with household income and householder’s education. The paper further explores variation across immigrants to get at the potential economic mechanisms for differential valuation of school quality. Number of school-aged children in the household, selective migration, and potential returns to education may explain variation in the emphasis immigrant parents place on school quality in residential location choices.","container-title":"Journal of Population Economics","DOI":"10.1007/s00148-015-0545-0","ISSN":"1432-1475","issue":"3","language":"en","page":"737-783","source":"Springer Link","title":"School and Neighborhood: Residential Location Choice of Immigrant Parents in the Los Angeles Metropolitan Area","volume":"28","author":[{"family":"Zhan","given":"Crystal"}],"issued":{"date-parts":[["2015",7,1]]}}}],"schema":"https://github.com/citation-style-language/schema/raw/master/csl-citation.json"} </w:instrText>
      </w:r>
      <w:r w:rsidR="00C12493">
        <w:rPr>
          <w:rFonts w:cs="Times New Roman"/>
          <w:bCs/>
        </w:rPr>
        <w:fldChar w:fldCharType="separate"/>
      </w:r>
      <w:r w:rsidR="00C12493" w:rsidRPr="00C12493">
        <w:rPr>
          <w:rFonts w:cs="Times New Roman"/>
        </w:rPr>
        <w:t>(</w:t>
      </w:r>
      <w:r w:rsidR="004E180C">
        <w:rPr>
          <w:rFonts w:cs="Times New Roman"/>
        </w:rPr>
        <w:t xml:space="preserve">see </w:t>
      </w:r>
      <w:r w:rsidR="00C12493" w:rsidRPr="00C12493">
        <w:rPr>
          <w:rFonts w:cs="Times New Roman"/>
        </w:rPr>
        <w:t>Zhan, 2015)</w:t>
      </w:r>
      <w:r w:rsidR="00C12493">
        <w:rPr>
          <w:rFonts w:cs="Times New Roman"/>
          <w:bCs/>
        </w:rPr>
        <w:fldChar w:fldCharType="end"/>
      </w:r>
      <w:r w:rsidR="00AF5D63">
        <w:rPr>
          <w:rFonts w:cs="Times New Roman"/>
          <w:bCs/>
        </w:rPr>
        <w:t>.</w:t>
      </w:r>
      <w:r w:rsidR="004E180C">
        <w:rPr>
          <w:rFonts w:cs="Times New Roman"/>
          <w:bCs/>
        </w:rPr>
        <w:t xml:space="preserve"> </w:t>
      </w:r>
      <w:r w:rsidR="004E5D42">
        <w:rPr>
          <w:rFonts w:cs="Times New Roman"/>
          <w:bCs/>
        </w:rPr>
        <w:t xml:space="preserve">Some caution needs to be exercised in these interpretations, given that many of these effects are statistically significant at only about the 85% confidence level. </w:t>
      </w:r>
      <w:r w:rsidR="00C30B47">
        <w:rPr>
          <w:rFonts w:cs="Times New Roman"/>
          <w:bCs/>
        </w:rPr>
        <w:t xml:space="preserve">Continuing with </w:t>
      </w:r>
      <w:r w:rsidR="00977ADE">
        <w:rPr>
          <w:rFonts w:cs="Times New Roman"/>
          <w:bCs/>
        </w:rPr>
        <w:t>education effects</w:t>
      </w:r>
      <w:r w:rsidR="000F785D" w:rsidRPr="000F785D">
        <w:rPr>
          <w:rFonts w:cs="Times New Roman"/>
          <w:bCs/>
        </w:rPr>
        <w:t xml:space="preserve">, </w:t>
      </w:r>
      <w:r w:rsidR="000F785D">
        <w:rPr>
          <w:rFonts w:cs="Times New Roman"/>
          <w:bCs/>
        </w:rPr>
        <w:t xml:space="preserve">households with high levels of </w:t>
      </w:r>
      <w:r w:rsidR="00A63EB0">
        <w:rPr>
          <w:rFonts w:cs="Times New Roman"/>
          <w:bCs/>
        </w:rPr>
        <w:t xml:space="preserve">formal </w:t>
      </w:r>
      <w:r w:rsidR="000F785D">
        <w:rPr>
          <w:rFonts w:cs="Times New Roman"/>
          <w:bCs/>
        </w:rPr>
        <w:t xml:space="preserve">educational attainment </w:t>
      </w:r>
      <w:r w:rsidR="00A63EB0">
        <w:rPr>
          <w:rFonts w:cs="Times New Roman"/>
          <w:bCs/>
        </w:rPr>
        <w:t>(bachelor’s degree or higher)</w:t>
      </w:r>
      <w:r w:rsidR="00977ADE">
        <w:rPr>
          <w:rFonts w:cs="Times New Roman"/>
          <w:bCs/>
        </w:rPr>
        <w:t xml:space="preserve"> have a heightened valuation (relative to households with lower formal education levels) for “Having a walkable neighborhood and being near local activities” in the </w:t>
      </w:r>
      <w:r w:rsidR="001956AB">
        <w:rPr>
          <w:rFonts w:cs="Times New Roman"/>
          <w:bCs/>
        </w:rPr>
        <w:t>during</w:t>
      </w:r>
      <w:r w:rsidR="00977ADE">
        <w:rPr>
          <w:rFonts w:cs="Times New Roman"/>
          <w:bCs/>
        </w:rPr>
        <w:t>-COVID period (compared to the before-COVID period)</w:t>
      </w:r>
      <w:r w:rsidR="00BB20E7">
        <w:rPr>
          <w:rFonts w:cs="Times New Roman"/>
          <w:bCs/>
        </w:rPr>
        <w:t xml:space="preserve">, likely </w:t>
      </w:r>
      <w:r w:rsidR="000F473C">
        <w:rPr>
          <w:rFonts w:cs="Times New Roman"/>
          <w:bCs/>
        </w:rPr>
        <w:t>because they are more aware of the physical and psychological benefits of outdoor physical activities</w:t>
      </w:r>
      <w:r w:rsidR="00CF02BF">
        <w:rPr>
          <w:rFonts w:cs="Times New Roman"/>
          <w:bCs/>
        </w:rPr>
        <w:t xml:space="preserve"> and were more </w:t>
      </w:r>
      <w:r w:rsidR="009A1EAA">
        <w:rPr>
          <w:rFonts w:cs="Times New Roman"/>
          <w:bCs/>
        </w:rPr>
        <w:t xml:space="preserve">likely </w:t>
      </w:r>
      <w:r w:rsidR="00977ADE">
        <w:rPr>
          <w:rFonts w:cs="Times New Roman"/>
          <w:bCs/>
        </w:rPr>
        <w:t xml:space="preserve">to partake in </w:t>
      </w:r>
      <w:r w:rsidR="00CF02BF">
        <w:rPr>
          <w:rFonts w:cs="Times New Roman"/>
          <w:bCs/>
        </w:rPr>
        <w:t xml:space="preserve">physical activities during the pandemic </w:t>
      </w:r>
      <w:r w:rsidR="00AC0192">
        <w:rPr>
          <w:rFonts w:cs="Times New Roman"/>
          <w:bCs/>
        </w:rPr>
        <w:fldChar w:fldCharType="begin"/>
      </w:r>
      <w:r w:rsidR="00960373">
        <w:rPr>
          <w:rFonts w:cs="Times New Roman"/>
          <w:bCs/>
        </w:rPr>
        <w:instrText xml:space="preserve"> ADDIN ZOTERO_ITEM CSL_CITATION {"citationID":"mMBQWxUW","properties":{"unsorted":true,"formattedCitation":"(Setiowati et al., 2023; Hwang et al., 2023)","plainCitation":"(Setiowati et al., 2023; Hwang et al., 2023)","dontUpdate":true,"noteIndex":0},"citationItems":[{"id":3013,"uris":["http://zotero.org/users/12832277/items/XJ3UA86T"],"itemData":{"id":3013,"type":"article-journal","abstract":"BACKGROUND AND OBJECTIVES: The spread of Coronavirus disease limited the activities of humans in the globe in 2020 with Jakarta reported to have also struggled with the virus. The pandemic stopped humans from visiting public amenities such as urban green spaces which are one of the key components of sustainable and livable cities and have the ability to reduce the negative impact on mental health. However, there are limited studies on the behaviors and perceptions of humans toward the usage of urban green spaces during the pandemic. Therefore, this study was conducted to determine the changes in the behaviors, perceptions, and visitation of residents towards the urban green space during the pandemic based on the socioeconomic aspects as well as the access and proximity to the parks and urban forests.METHODS: A questionnaire was distributed through an online survey on social media for approximately two months, from March to April 2021, and the last data recorded showed there were 1,660 respondents. The attention was on their perceptions and visitation to the urban green spaces spread across administrative cities in Jakarta, representing 42 districts and 239 sub-districts. Data obtained were analyzed empirically using the partial least square structural equation approach and SmartPLS 3.0 software to determine the relationship between the respondents’ characteristics and proximity to urban green space visitation.FINDINGS: The results showed that almost half of the respondents perceived changes in the urban green spaces and the majority believed the spaces were more useful during the pandemic. It was also discovered that the socioeconomic characteristics of the respondents including age, education level, occupational status, and average monthly income differed statistically significantly from the criteria associated with the visitation to urban green spaces during the pandemic. The findings indicated that education was substantially associated with the decision to exercise and engage in outdoor recreation in urban green spaces. Meanwhile, not all houses close to the parks and urban forests have a statistically significant impact on their usage and this is the explanation for the non-correlation and non-causation.CONCLUSION: This study showed that the perception of urban green space by the people changed during the pandemic but its usage was reduced due to the closures and restriction policies implemented. It was also discovered that socioeconomic characteristics have a significant influence on visitation but not all accessibility factors were significantly affected and this is different from the findings of previous studies. Moreover, this study discussed and shared empirical evidence that depicts urban green space as a resilient urban infrastructure during the pandemic. This means it is necessary to promote sustainable urban planning through the development of urban green spaces to manage the medium and long-term crises.","container-title":"Global Journal of Environmental Science and Management","DOI":"10.22034/gjesm.2023.03.15","ISSN":"2383-3572","issue":"3","language":"en","note":"publisher: GJESM Publisher (Professor J. Nouri)","page":"589-606","source":"www.gjesm.net","title":"Urban Green Space During the Coronavirus Disease Pandemic with Regard to the Socioeconomic Characteristics","volume":"9","author":[{"family":"Setiowati","given":"R."},{"family":"Koestoer","given":"R. H."},{"family":"Mizuno","given":"K."},{"family":"Hasibuan","given":"H. S."}],"issued":{"date-parts":[["2023",7,1]]}}},{"id":3024,"uris":["http://zotero.org/users/12832277/items/J43EL4JA"],"itemData":{"id":3024,"type":"article-journal","container-title":"Technical paper, Department of Civil, Architectural and Environmental Engineering, The University of Texas at Austin","title":"An Analysis of Walking Frequency Before and After the Pandemic","author":[{"family":"Hwang","given":"Hyunjun"},{"family":"Haddad","given":"Angela"},{"family":"Batur","given":"Irfan"},{"family":"Saxena","given":"Shobhit"},{"family":"Pendyala","given":"Ram M."},{"family":"Bhat","given":"Chandra R."}],"issued":{"date-parts":[["2023"]]}}}],"schema":"https://github.com/citation-style-language/schema/raw/master/csl-citation.json"} </w:instrText>
      </w:r>
      <w:r w:rsidR="00AC0192">
        <w:rPr>
          <w:rFonts w:cs="Times New Roman"/>
          <w:bCs/>
        </w:rPr>
        <w:fldChar w:fldCharType="separate"/>
      </w:r>
      <w:r w:rsidR="00917B08" w:rsidRPr="00917B08">
        <w:rPr>
          <w:rFonts w:cs="Times New Roman"/>
        </w:rPr>
        <w:t>(</w:t>
      </w:r>
      <w:r w:rsidR="00917B08">
        <w:rPr>
          <w:rFonts w:cs="Times New Roman"/>
        </w:rPr>
        <w:t xml:space="preserve">see </w:t>
      </w:r>
      <w:r w:rsidR="00917B08" w:rsidRPr="00917B08">
        <w:rPr>
          <w:rFonts w:cs="Times New Roman"/>
        </w:rPr>
        <w:t>Setiowati et al., 2023; Hwang et al., 2023)</w:t>
      </w:r>
      <w:r w:rsidR="00AC0192">
        <w:rPr>
          <w:rFonts w:cs="Times New Roman"/>
          <w:bCs/>
        </w:rPr>
        <w:fldChar w:fldCharType="end"/>
      </w:r>
      <w:r w:rsidR="00D05529">
        <w:rPr>
          <w:rFonts w:cs="Times New Roman"/>
          <w:bCs/>
        </w:rPr>
        <w:t xml:space="preserve">. </w:t>
      </w:r>
    </w:p>
    <w:p w14:paraId="3B52708E" w14:textId="0833B9DE" w:rsidR="00816F1F" w:rsidRDefault="00977ADE" w:rsidP="000F785D">
      <w:pPr>
        <w:autoSpaceDE w:val="0"/>
        <w:autoSpaceDN w:val="0"/>
        <w:adjustRightInd w:val="0"/>
        <w:spacing w:after="0" w:line="240" w:lineRule="auto"/>
        <w:ind w:firstLine="720"/>
        <w:jc w:val="both"/>
        <w:rPr>
          <w:rFonts w:cs="Times New Roman"/>
          <w:bCs/>
        </w:rPr>
      </w:pPr>
      <w:r>
        <w:rPr>
          <w:rFonts w:cs="Times New Roman"/>
          <w:bCs/>
        </w:rPr>
        <w:t>The i</w:t>
      </w:r>
      <w:r w:rsidR="003346D9">
        <w:rPr>
          <w:rFonts w:cs="Times New Roman"/>
          <w:bCs/>
        </w:rPr>
        <w:t xml:space="preserve">ncome </w:t>
      </w:r>
      <w:r>
        <w:rPr>
          <w:rFonts w:cs="Times New Roman"/>
          <w:bCs/>
        </w:rPr>
        <w:t xml:space="preserve">effects in Table 3 </w:t>
      </w:r>
      <w:r w:rsidR="003346D9">
        <w:rPr>
          <w:rFonts w:cs="Times New Roman"/>
          <w:bCs/>
        </w:rPr>
        <w:t xml:space="preserve">also </w:t>
      </w:r>
      <w:r w:rsidR="009A1EAA">
        <w:rPr>
          <w:rFonts w:cs="Times New Roman"/>
          <w:bCs/>
        </w:rPr>
        <w:t>reveal</w:t>
      </w:r>
      <w:r w:rsidR="003346D9">
        <w:rPr>
          <w:rFonts w:cs="Times New Roman"/>
          <w:bCs/>
        </w:rPr>
        <w:t xml:space="preserve"> significant impacts on residential </w:t>
      </w:r>
      <w:r w:rsidR="009A1EAA">
        <w:rPr>
          <w:rFonts w:cs="Times New Roman"/>
          <w:bCs/>
        </w:rPr>
        <w:t>location valuations</w:t>
      </w:r>
      <w:r w:rsidR="003346D9">
        <w:rPr>
          <w:rFonts w:cs="Times New Roman"/>
          <w:bCs/>
        </w:rPr>
        <w:t>, with high</w:t>
      </w:r>
      <w:r w:rsidR="00D13723">
        <w:rPr>
          <w:rFonts w:cs="Times New Roman"/>
          <w:bCs/>
        </w:rPr>
        <w:t>-</w:t>
      </w:r>
      <w:r w:rsidR="003346D9">
        <w:rPr>
          <w:rFonts w:cs="Times New Roman"/>
          <w:bCs/>
        </w:rPr>
        <w:t xml:space="preserve">income </w:t>
      </w:r>
      <w:r w:rsidR="009A1EAA">
        <w:rPr>
          <w:rFonts w:cs="Times New Roman"/>
          <w:bCs/>
        </w:rPr>
        <w:t xml:space="preserve">($100K+) </w:t>
      </w:r>
      <w:r w:rsidR="003346D9">
        <w:rPr>
          <w:rFonts w:cs="Times New Roman"/>
          <w:bCs/>
        </w:rPr>
        <w:t xml:space="preserve">households placing greater </w:t>
      </w:r>
      <w:r w:rsidR="009A1EAA">
        <w:rPr>
          <w:rFonts w:cs="Times New Roman"/>
          <w:bCs/>
        </w:rPr>
        <w:t xml:space="preserve">utility than </w:t>
      </w:r>
      <w:r w:rsidR="00D13723">
        <w:rPr>
          <w:rFonts w:cs="Times New Roman"/>
          <w:bCs/>
        </w:rPr>
        <w:t>low-income</w:t>
      </w:r>
      <w:r w:rsidR="009A1EAA">
        <w:rPr>
          <w:rFonts w:cs="Times New Roman"/>
          <w:bCs/>
        </w:rPr>
        <w:t xml:space="preserve"> households (&lt;100K) to “Being close to the </w:t>
      </w:r>
      <w:r w:rsidR="003E7635">
        <w:rPr>
          <w:rFonts w:cs="Times New Roman"/>
          <w:bCs/>
        </w:rPr>
        <w:t>highway</w:t>
      </w:r>
      <w:r w:rsidR="009A1EAA">
        <w:rPr>
          <w:rFonts w:cs="Times New Roman"/>
          <w:bCs/>
        </w:rPr>
        <w:t>”</w:t>
      </w:r>
      <w:r w:rsidR="003E7635">
        <w:rPr>
          <w:rFonts w:cs="Times New Roman"/>
          <w:bCs/>
        </w:rPr>
        <w:t xml:space="preserve"> </w:t>
      </w:r>
      <w:r w:rsidR="00C12112">
        <w:rPr>
          <w:rFonts w:cs="Times New Roman"/>
          <w:bCs/>
        </w:rPr>
        <w:t xml:space="preserve">and </w:t>
      </w:r>
      <w:r w:rsidR="009A1EAA">
        <w:rPr>
          <w:rFonts w:cs="Times New Roman"/>
          <w:bCs/>
        </w:rPr>
        <w:t>“Q</w:t>
      </w:r>
      <w:r w:rsidR="00C12112">
        <w:rPr>
          <w:rFonts w:cs="Times New Roman"/>
          <w:bCs/>
        </w:rPr>
        <w:t>uality of schools</w:t>
      </w:r>
      <w:r w:rsidR="009A1EAA">
        <w:rPr>
          <w:rFonts w:cs="Times New Roman"/>
          <w:bCs/>
        </w:rPr>
        <w:t>”, and clearly placing a greater emphasis on being close to family and friends</w:t>
      </w:r>
      <w:r w:rsidR="001228D0">
        <w:rPr>
          <w:rFonts w:cs="Times New Roman"/>
          <w:bCs/>
        </w:rPr>
        <w:t xml:space="preserve"> in the </w:t>
      </w:r>
      <w:r w:rsidR="001956AB">
        <w:rPr>
          <w:rFonts w:cs="Times New Roman"/>
          <w:bCs/>
        </w:rPr>
        <w:t>during</w:t>
      </w:r>
      <w:r w:rsidR="001228D0">
        <w:rPr>
          <w:rFonts w:cs="Times New Roman"/>
          <w:bCs/>
        </w:rPr>
        <w:t>-COVID period</w:t>
      </w:r>
      <w:r w:rsidR="009A1EAA">
        <w:rPr>
          <w:rFonts w:cs="Times New Roman"/>
          <w:bCs/>
        </w:rPr>
        <w:t xml:space="preserve">.  Further, households with an annual income of 50K or more place less valuation (less utility) on short commutes compared to households with an annual income less than 50K, and this is especially so in the </w:t>
      </w:r>
      <w:r w:rsidR="001956AB">
        <w:rPr>
          <w:rFonts w:cs="Times New Roman"/>
          <w:bCs/>
        </w:rPr>
        <w:t>during</w:t>
      </w:r>
      <w:r w:rsidR="009A1EAA">
        <w:rPr>
          <w:rFonts w:cs="Times New Roman"/>
          <w:bCs/>
        </w:rPr>
        <w:t>-COVID period</w:t>
      </w:r>
      <w:r w:rsidR="00CA27F1">
        <w:rPr>
          <w:rFonts w:cs="Times New Roman"/>
          <w:bCs/>
        </w:rPr>
        <w:t>. The latter result</w:t>
      </w:r>
      <w:r w:rsidR="00816F1F">
        <w:rPr>
          <w:rFonts w:cs="Times New Roman"/>
          <w:bCs/>
        </w:rPr>
        <w:t xml:space="preserve"> </w:t>
      </w:r>
      <w:r w:rsidR="00CA27F1">
        <w:rPr>
          <w:rFonts w:cs="Times New Roman"/>
          <w:bCs/>
        </w:rPr>
        <w:t xml:space="preserve">is </w:t>
      </w:r>
      <w:r w:rsidR="00306B9F">
        <w:rPr>
          <w:rFonts w:cs="Times New Roman"/>
          <w:bCs/>
        </w:rPr>
        <w:t xml:space="preserve">consistent with </w:t>
      </w:r>
      <w:r w:rsidR="00CA27F1">
        <w:rPr>
          <w:rFonts w:cs="Times New Roman"/>
          <w:bCs/>
        </w:rPr>
        <w:t xml:space="preserve">the notion </w:t>
      </w:r>
      <w:r w:rsidR="00306B9F">
        <w:rPr>
          <w:rFonts w:cs="Times New Roman"/>
          <w:bCs/>
        </w:rPr>
        <w:t xml:space="preserve">that those with higher incomes </w:t>
      </w:r>
      <w:r w:rsidR="00E51897">
        <w:rPr>
          <w:rFonts w:cs="Times New Roman"/>
          <w:bCs/>
        </w:rPr>
        <w:t>maximize their earnings by searching a wider area for suitable jobs, leading to longer commute distances</w:t>
      </w:r>
      <w:r w:rsidR="00EF5DE7">
        <w:rPr>
          <w:rFonts w:cs="Times New Roman"/>
          <w:bCs/>
        </w:rPr>
        <w:t xml:space="preserve"> </w:t>
      </w:r>
      <w:r w:rsidR="00D22786">
        <w:rPr>
          <w:rFonts w:cs="Times New Roman"/>
          <w:bCs/>
        </w:rPr>
        <w:fldChar w:fldCharType="begin"/>
      </w:r>
      <w:r w:rsidR="00D22786">
        <w:rPr>
          <w:rFonts w:cs="Times New Roman"/>
          <w:bCs/>
        </w:rPr>
        <w:instrText xml:space="preserve"> ADDIN ZOTERO_ITEM CSL_CITATION {"citationID":"99nxN0s4","properties":{"unsorted":true,"formattedCitation":"(Clark and Wang, 2005; Bhat, 2015; He and Hu, 2015; Xue et al., 2020)","plainCitation":"(Clark and Wang, 2005; Bhat, 2015; He and Hu, 2015; Xue et al., 2020)","noteIndex":0},"citationItems":[{"id":733,"uris":["http://zotero.org/users/12832277/items/FCEL2Q76"],"itemData":{"id":733,"type":"article-journal","abstract":"There is an ongoing debate about whether minorities and women pay a commute penalty—that is, do these groups commute farther for lower wages than White males? Research based on commuting time has suggested that minority women bear the multiple jeopardy of race and gender in their journey-to-work behavior. The present study re-examines those findings. We show that minority women who commute longer distances have higher earnings. There is a positive or in some cases neutral relationship between distance and earnings. This suggests that we treat the notion of a commute penalty with some caution. However, women still do not earn as much as men and they are relatively if not absolutely disadvantaged in the commuting process. As expected, for women as for men, skill is a major factor in earnings gains, and relying on public transportation negatively affects earnings. In the past decade it has been fashionable to focus on the negative impacts of commuting on women, but the evidence from this study suggests that the shorter commutes by women may be an expression of the way in which families balance work and residence.","container-title":"Urban Geography","DOI":"10.2747/0272-3638.26.7.610","ISSN":"0272-3638","issue":"7","note":"publisher: Routledge\n_eprint: https://doi.org/10.2747/0272-3638.26.7.610","page":"610-626","source":"Taylor and Francis+NEJM","title":"Job Access and Commute Penalties: Balancing Work and Residence in Los Angeles","title-short":"Job Access and Commute Penalties","volume":"26","author":[{"family":"Clark","given":"William A. V."},{"family":"Wang","given":"Wenfei Winnie"}],"issued":{"date-parts":[["2005",11,1]]}}},{"id":3,"uris":["http://zotero.org/users/12832277/items/8ZZCG8II"],"itemData":{"id":3,"type":"article-journal","abstract":"This study adopts a dwelling unit level of analysis and considers a probabilistic choice set generation approach for residential choice modeling. In doing so, we accommodate the fact that housing choices involve both characteristics of the dwelling unit and its location, while also mimicking the search process that underlies housing decisions. In particular, we model a complete range of dwelling unit choices that include tenure type (rent or own), housing type (single family detached, single family attached, or apartment complex), number of bedrooms, number of bathrooms, number of storeys (one or multiple), square footage of the house, lot size, housing costs, density of residential neighborhood, and commute distance. Bhat’s (2015) generalized heterogeneous data model (GHDM) system is used to accommodate the different types of dependent outcomes associated with housing choices, while capturing jointness caused by unobserved factors. The proposed analytic framework is applied to study housing choices using data derived from the 2009 American Housing Survey (AHS), sponsored by the Department of Housing and Urban Development (HUD) and conducted by the U.S. Census Bureau. The results confirm the jointness in housing choices, and indicate the superiority of a choice set formation model relative to a model that assumes the availability of all dwelling unit alternatives in the choice set.","container-title":"Transportation Research Part B: Methodological","DOI":"10.1016/j.trb.2015.05.021","ISSN":"0191-2615","language":"en","page":"161-188","source":"ScienceDirect","title":"A Comprehensive Dwelling Unit Choice Model Accommodating Psychological Constructs Within a Search Strategy for Consideration Set Formation","volume":"79","author":[{"family":"Bhat","given":"Chandra R."}],"issued":{"date-parts":[["2015",9,1]]}}},{"id":517,"uris":["http://zotero.org/users/12832277/items/SRNL8BZS"],"itemData":{"id":517,"type":"article-journal","abstract":"Telecommuting is on a rising trend as one of the most important alternative work arrangements. This paper explores whether telecommuters conduct more out-of-home activities than their non-telecommuting counterparts. More importantly, this paper investigates activity differences between low- and high-income telecommuters. This study draws a sample of approximately 7,500 workers from the 2007 Chicago Regional Household Travel Inventory. We use a Poisson model to estimate the number of out-of-home activities, and use an instrumental-variables (IV) approach to address the potential self-selection issue of telecommuting. We also identify workers who worked at home (WAH) during the survey days. Results show that telecommuting status and whether the respondents WAH on survey days affect out-of-home activities. During the survey days, low-income workers were less likely to telecommute than high-income workers, but those who actually telecommuted were similarly likely to conduct a higher number of total trips, pick-up/drop-off trips, and maintenance/discretionary trips, but fewer commute trips than the high-income telecommuters. Even on the days when telecommuters went to workplaces, telecommuting status is still associated with more trips. The behavioral difference between telecommuters and non-telecommuters on commuting days suggests that such disparity stems from unobserved differences between the two groups of workers rather than from the saved commute time through telecommuting.","container-title":"Travel Behaviour and Society","DOI":"10.1016/j.tbs.2014.12.003","ISSN":"2214-367X","issue":"3","language":"en","page":"131-147","source":"ScienceDirect","title":"Telecommuting, Income, and Out-of-Home Activities","volume":"2","author":[{"family":"He","given":"Sylvia Y."},{"family":"Hu","given":"Lingqian"}],"issued":{"date-parts":[["2015",9,1]]}}},{"id":103,"uris":["http://zotero.org/users/12832277/items/IHERG4EB"],"itemData":{"id":103,"type":"article-journal","abstract":"The effects of residential relocation on changes in travel behaviors have been studied worldwide; however, little is known about factors that influence relocation behavior in households with workers and students. This study explores the relationship between residential relocation behavior and its factors, such as the built environment, the housing price, the work commute distance, the school commute distance, and households' sociodemographic attributes, by building a structural equation model using the data collected in the Fifth Travel Survey of Beijing Inhabitants. The results show that the built environment and sociodemographic attributes have direct effects on residential relocation behavior and the housing price, work commute distance, and school commute distance have indirect effects on it. Besides, trade-offs between the housing price and the built environment and between the housing price and the home-work and home-school commute distances are found. Based on the results, a number of suggestions for the balanced development of public transportation and city land-use plans are proposed.","container-title":"Journal of Transport Geography","DOI":"10.1016/j.jtrangeo.2020.102893","ISSN":"0966-6923","language":"en","source":"ScienceDirect","title":"Exploring Residential Relocation Behavior for Families with Workers and Students; a Study from Beijing, China","URL":"https://www.sciencedirect.com/science/article/pii/S0966692320309704","volume":"89","author":[{"family":"Xue","given":"Fei"},{"family":"Yao","given":"Enjian"},{"family":"Jin","given":"Fanglei"}],"accessed":{"date-parts":[["2023",2,10]]},"issued":{"date-parts":[["2020",12,1]]}}}],"schema":"https://github.com/citation-style-language/schema/raw/master/csl-citation.json"} </w:instrText>
      </w:r>
      <w:r w:rsidR="00D22786">
        <w:rPr>
          <w:rFonts w:cs="Times New Roman"/>
          <w:bCs/>
        </w:rPr>
        <w:fldChar w:fldCharType="separate"/>
      </w:r>
      <w:r w:rsidR="00D22786" w:rsidRPr="00D22786">
        <w:rPr>
          <w:rFonts w:cs="Times New Roman"/>
        </w:rPr>
        <w:t>(Clark and Wang, 2005; Bhat, 2015; He and Hu, 2015; Xue et al., 2020)</w:t>
      </w:r>
      <w:r w:rsidR="00D22786">
        <w:rPr>
          <w:rFonts w:cs="Times New Roman"/>
          <w:bCs/>
        </w:rPr>
        <w:fldChar w:fldCharType="end"/>
      </w:r>
      <w:r w:rsidR="00E51897">
        <w:rPr>
          <w:rFonts w:cs="Times New Roman"/>
          <w:bCs/>
        </w:rPr>
        <w:t xml:space="preserve">. </w:t>
      </w:r>
    </w:p>
    <w:p w14:paraId="4F2E4E13" w14:textId="1A02C5E1" w:rsidR="001049F2" w:rsidRPr="000F785D" w:rsidRDefault="00955B78" w:rsidP="000F785D">
      <w:pPr>
        <w:autoSpaceDE w:val="0"/>
        <w:autoSpaceDN w:val="0"/>
        <w:adjustRightInd w:val="0"/>
        <w:spacing w:after="0" w:line="240" w:lineRule="auto"/>
        <w:ind w:firstLine="720"/>
        <w:jc w:val="both"/>
        <w:rPr>
          <w:rFonts w:cs="Times New Roman"/>
          <w:bCs/>
        </w:rPr>
      </w:pPr>
      <w:r>
        <w:rPr>
          <w:rFonts w:cs="Times New Roman"/>
          <w:bCs/>
        </w:rPr>
        <w:t>Al</w:t>
      </w:r>
      <w:r w:rsidR="00F65EA7">
        <w:rPr>
          <w:rFonts w:cs="Times New Roman"/>
          <w:bCs/>
        </w:rPr>
        <w:t xml:space="preserve">though race and ethnicity play </w:t>
      </w:r>
      <w:r w:rsidR="002D6BDD">
        <w:rPr>
          <w:rFonts w:cs="Times New Roman"/>
          <w:bCs/>
        </w:rPr>
        <w:t xml:space="preserve">a </w:t>
      </w:r>
      <w:r w:rsidR="00F65EA7">
        <w:rPr>
          <w:rFonts w:cs="Times New Roman"/>
          <w:bCs/>
        </w:rPr>
        <w:t xml:space="preserve">role in housing choices, the effects of the pandemic on </w:t>
      </w:r>
      <w:r w:rsidR="001E3C10">
        <w:rPr>
          <w:rFonts w:cs="Times New Roman"/>
          <w:bCs/>
        </w:rPr>
        <w:t xml:space="preserve">the different valuations of </w:t>
      </w:r>
      <w:r w:rsidR="001228D0">
        <w:rPr>
          <w:rFonts w:cs="Times New Roman"/>
          <w:bCs/>
        </w:rPr>
        <w:t xml:space="preserve">location </w:t>
      </w:r>
      <w:r w:rsidR="001E3C10">
        <w:rPr>
          <w:rFonts w:cs="Times New Roman"/>
          <w:bCs/>
        </w:rPr>
        <w:t xml:space="preserve">factors </w:t>
      </w:r>
      <w:r w:rsidR="00113FE0">
        <w:rPr>
          <w:rFonts w:cs="Times New Roman"/>
          <w:bCs/>
        </w:rPr>
        <w:t xml:space="preserve">by racial groups seem </w:t>
      </w:r>
      <w:r w:rsidR="001228D0">
        <w:rPr>
          <w:rFonts w:cs="Times New Roman"/>
          <w:bCs/>
        </w:rPr>
        <w:t>rather marginal</w:t>
      </w:r>
      <w:r w:rsidR="00113FE0">
        <w:rPr>
          <w:rFonts w:cs="Times New Roman"/>
          <w:bCs/>
        </w:rPr>
        <w:t xml:space="preserve">. </w:t>
      </w:r>
      <w:r w:rsidR="00F933C9">
        <w:rPr>
          <w:rFonts w:cs="Times New Roman"/>
          <w:bCs/>
        </w:rPr>
        <w:t>One key difference before the pandemic, which has not changed since the pandemic, is that households identifying as Black tend to prioritize</w:t>
      </w:r>
      <w:r w:rsidR="001228D0">
        <w:rPr>
          <w:rFonts w:cs="Times New Roman"/>
          <w:bCs/>
        </w:rPr>
        <w:t>, relative to their peers,</w:t>
      </w:r>
      <w:r w:rsidR="00F933C9">
        <w:rPr>
          <w:rFonts w:cs="Times New Roman"/>
          <w:bCs/>
        </w:rPr>
        <w:t xml:space="preserve"> access to public transit</w:t>
      </w:r>
      <w:r w:rsidR="001228D0">
        <w:rPr>
          <w:rFonts w:cs="Times New Roman"/>
          <w:bCs/>
        </w:rPr>
        <w:t xml:space="preserve">, both in the before- and </w:t>
      </w:r>
      <w:r w:rsidR="001956AB">
        <w:rPr>
          <w:rFonts w:cs="Times New Roman"/>
          <w:bCs/>
        </w:rPr>
        <w:t>during</w:t>
      </w:r>
      <w:r w:rsidR="001228D0">
        <w:rPr>
          <w:rFonts w:cs="Times New Roman"/>
          <w:bCs/>
        </w:rPr>
        <w:t>-COVID periods</w:t>
      </w:r>
      <w:r w:rsidR="00F14D00">
        <w:rPr>
          <w:rFonts w:cs="Times New Roman"/>
          <w:bCs/>
        </w:rPr>
        <w:t>.</w:t>
      </w:r>
      <w:r w:rsidR="00807A01">
        <w:rPr>
          <w:rFonts w:cs="Times New Roman"/>
          <w:bCs/>
        </w:rPr>
        <w:t xml:space="preserve"> This finding aligns with existing research showing that Black families tend to concentrate in neighborhoods with high levels of transit accessibility, likely compensating in part for significant racial disparities in income and vehicle ownership </w:t>
      </w:r>
      <w:r w:rsidR="00807A01">
        <w:rPr>
          <w:rFonts w:cs="Times New Roman"/>
          <w:bCs/>
        </w:rPr>
        <w:fldChar w:fldCharType="begin"/>
      </w:r>
      <w:r w:rsidR="00960373">
        <w:rPr>
          <w:rFonts w:cs="Times New Roman"/>
          <w:bCs/>
        </w:rPr>
        <w:instrText xml:space="preserve"> ADDIN ZOTERO_ITEM CSL_CITATION {"citationID":"PNoSDLgu","properties":{"formattedCitation":"(Yan et al., 2022)","plainCitation":"(Yan et al., 2022)","dontUpdate":true,"noteIndex":0},"citationItems":[{"id":2272,"uris":["http://zotero.org/users/12832277/items/SNELC7E7"],"itemData":{"id":2272,"type":"article-journal","abstract":"An essential function of public transit is to connect low-wage earners to their jobs or potential employment opportunities. Previous research has shed light on this issue by examining how transit accessibility varies across space, the temporal variations of transit accessibility, and the modal disparity between public transit and automobiles, but often in a disjointed manner. This study contributes to the literature by considering all these issues together in a unified analytical framework. Specifically, we conduct a spatiotemporal analysis of transit accessibility to low-wage jobs and of the disparities between transit accessibility and auto accessibility. Our analysis focuses on Miami-Dade County in Florida, a region defined by a low-density, auto-oriented urban form and a Hispanic-majority population. We find that residents of low-income and Black-majority neighborhoods enjoy a higher level of transit accessibility because of their concentration in high-density urban areas. Often located in suburban and rural locations, Hispanic-majority neighborhoods have a much lower level of accessibility. Not surprisingly, transit accessibility is higher in peak hours than other hours of the day. The gap between transit accessibility and auto accessibility is striking, with car users being able to access eight times more low-wage jobs than transit riders on average. The accessibility gap is smaller during peak hours and in the downtown Miami area; but still, auto accessibility is about three times that of transit accessibility. The large disparities between transit accessibility and auto accessibility provide a strong rationale for additional funding support to promote transit services, such as on-demand microtransit services, in lower-density areas and during off-peak hours.","container-title":"Journal of Transport Geography","DOI":"10.1016/j.jtrangeo.2021.103218","ISSN":"0966-6923","source":"ScienceDirect","title":"A Spatiotemporal Analysis of Transit Accessibility to Low-Wage Jobs in Miami-Dade County","URL":"https://www.sciencedirect.com/science/article/pii/S0966692321002714","volume":"98","author":[{"family":"Yan","given":"Xiang"},{"family":"Bejleri","given":"Ilir"},{"family":"Zhai","given":"Liang"}],"accessed":{"date-parts":[["2024",2,9]]},"issued":{"date-parts":[["2022",1,1]]}}}],"schema":"https://github.com/citation-style-language/schema/raw/master/csl-citation.json"} </w:instrText>
      </w:r>
      <w:r w:rsidR="00807A01">
        <w:rPr>
          <w:rFonts w:cs="Times New Roman"/>
          <w:bCs/>
        </w:rPr>
        <w:fldChar w:fldCharType="separate"/>
      </w:r>
      <w:r w:rsidR="00807A01" w:rsidRPr="00807A01">
        <w:rPr>
          <w:rFonts w:cs="Times New Roman"/>
        </w:rPr>
        <w:t>(</w:t>
      </w:r>
      <w:r w:rsidR="00807A01">
        <w:rPr>
          <w:rFonts w:cs="Times New Roman"/>
        </w:rPr>
        <w:t xml:space="preserve">see, for example, </w:t>
      </w:r>
      <w:r w:rsidR="00807A01" w:rsidRPr="00807A01">
        <w:rPr>
          <w:rFonts w:cs="Times New Roman"/>
        </w:rPr>
        <w:t>Yan et al., 2022)</w:t>
      </w:r>
      <w:r w:rsidR="00807A01">
        <w:rPr>
          <w:rFonts w:cs="Times New Roman"/>
          <w:bCs/>
        </w:rPr>
        <w:fldChar w:fldCharType="end"/>
      </w:r>
      <w:r w:rsidR="00807A01">
        <w:rPr>
          <w:rFonts w:cs="Times New Roman"/>
          <w:bCs/>
        </w:rPr>
        <w:t>.</w:t>
      </w:r>
      <w:r w:rsidR="00F933C9">
        <w:rPr>
          <w:rFonts w:cs="Times New Roman"/>
          <w:bCs/>
        </w:rPr>
        <w:t xml:space="preserve"> Since the pandemic, h</w:t>
      </w:r>
      <w:r w:rsidR="0050047E">
        <w:rPr>
          <w:rFonts w:cs="Times New Roman"/>
          <w:bCs/>
        </w:rPr>
        <w:t xml:space="preserve">ouseholds identifying as Black </w:t>
      </w:r>
      <w:r w:rsidR="00F933C9">
        <w:rPr>
          <w:rFonts w:cs="Times New Roman"/>
          <w:bCs/>
        </w:rPr>
        <w:t xml:space="preserve">also </w:t>
      </w:r>
      <w:r w:rsidR="0050047E">
        <w:rPr>
          <w:rFonts w:cs="Times New Roman"/>
          <w:bCs/>
        </w:rPr>
        <w:t>tend to place less value on space and separation from others</w:t>
      </w:r>
      <w:r w:rsidR="005777D5">
        <w:rPr>
          <w:rFonts w:cs="Times New Roman"/>
          <w:bCs/>
        </w:rPr>
        <w:t>, consistent with</w:t>
      </w:r>
      <w:r w:rsidR="0022763B">
        <w:rPr>
          <w:rFonts w:cs="Times New Roman"/>
          <w:bCs/>
        </w:rPr>
        <w:t xml:space="preserve"> </w:t>
      </w:r>
      <w:r w:rsidR="000A7811">
        <w:rPr>
          <w:rFonts w:cs="Times New Roman"/>
          <w:bCs/>
        </w:rPr>
        <w:t xml:space="preserve">evidence that Black families are less likely to have access to </w:t>
      </w:r>
      <w:r w:rsidR="009352FC">
        <w:rPr>
          <w:rFonts w:cs="Times New Roman"/>
          <w:bCs/>
        </w:rPr>
        <w:t xml:space="preserve">technology and online resources that prevent social isolation and may therefore </w:t>
      </w:r>
      <w:r w:rsidR="001C609F">
        <w:rPr>
          <w:rFonts w:cs="Times New Roman"/>
          <w:bCs/>
        </w:rPr>
        <w:t xml:space="preserve">prefer continued in-person interactions </w:t>
      </w:r>
      <w:r w:rsidR="00A868E2">
        <w:rPr>
          <w:rFonts w:cs="Times New Roman"/>
          <w:bCs/>
        </w:rPr>
        <w:fldChar w:fldCharType="begin"/>
      </w:r>
      <w:r w:rsidR="00A868E2">
        <w:rPr>
          <w:rFonts w:cs="Times New Roman"/>
          <w:bCs/>
        </w:rPr>
        <w:instrText xml:space="preserve"> ADDIN ZOTERO_ITEM CSL_CITATION {"citationID":"WSCLqXyQ","properties":{"formattedCitation":"(Finucane et al., 2022)","plainCitation":"(Finucane et al., 2022)","noteIndex":0},"citationItems":[{"id":2675,"uris":["http://zotero.org/users/12832277/items/5ZVER84G"],"itemData":{"id":2675,"type":"article-journal","abstract":"Black Americans have been disproportionately affected by the severe acute respiratory syndrome coronavirus 2 (SARS-CoV-2 or COVID-19) pandemic. Since the pandemic’s start, we have observed compounded health, social, and economic impacts for communities of color, fueled in part by profound residential segregation in the United States that, for centuries prior to the pandemic, created differences in access to opportunity and resources. Based on a longitudinal cohort of Black residents living in two racially isolated Pittsburgh neighborhoods, we sought to: 1) describe the experiences of behavioral responses to COVID-19 conditions (e.g., closures of businesses, schools, government offices) and illness experiences reported by residents within these disinvested, urban areas and 2) determine if these experiences were associated with perceptions of risk, negative mental health outcomes, and food insecurity; and 3) examine whether any of the associations were explained by social isolation or modified by neighborhood walkability. We found direct associations between residents’ experience with COVID-19-related closures and with the illness, with perceived risk, and change in psychological distress, sleep quality, and food insecurity from pre-COVID-19 levels. Social isolation was a statistically significant mediator of all of these associations, most strongly mediating the pathway to psychological distress. We found neighborhood walkability to be a significant moderator of the association between closure experiences and sleep quality. The results suggest that experiences of COVID-19 closures and illness were associated with serious threats to public health in Black, disinvested, urban neighborhoods, beyond those caused directly by the virus. Outcomes of the pandemic appear very much dependent on the extent to which social and physical resources are available to meet the demands of stress.","container-title":"Landscape and Urban Planning","DOI":"10.1016/j.landurbplan.2021.104264","ISSN":"0169-2046","page":"104264","source":"ScienceDirect","title":"Do Social Isolation and Neighborhood Walkability Influence Relationships Between COVID-19 Experiences and Wellbeing in Predominantly Black Urban Areas?","volume":"217","author":[{"family":"Finucane","given":"Melissa L."},{"family":"Beckman","given":"Robin"},{"family":"Ghosh-Dastidar","given":"Madhumita"},{"family":"Dubowitz","given":"Tamara"},{"family":"Collins","given":"Rebecca L."},{"family":"Troxel","given":"Wendy"}],"issued":{"date-parts":[["2022",1,1]]}}}],"schema":"https://github.com/citation-style-language/schema/raw/master/csl-citation.json"} </w:instrText>
      </w:r>
      <w:r w:rsidR="00A868E2">
        <w:rPr>
          <w:rFonts w:cs="Times New Roman"/>
          <w:bCs/>
        </w:rPr>
        <w:fldChar w:fldCharType="separate"/>
      </w:r>
      <w:r w:rsidR="00A868E2" w:rsidRPr="00A868E2">
        <w:rPr>
          <w:rFonts w:cs="Times New Roman"/>
        </w:rPr>
        <w:t>(Finucane et al., 2022)</w:t>
      </w:r>
      <w:r w:rsidR="00A868E2">
        <w:rPr>
          <w:rFonts w:cs="Times New Roman"/>
          <w:bCs/>
        </w:rPr>
        <w:fldChar w:fldCharType="end"/>
      </w:r>
      <w:r w:rsidR="0022763B">
        <w:rPr>
          <w:rFonts w:cs="Times New Roman"/>
          <w:bCs/>
        </w:rPr>
        <w:t xml:space="preserve">. </w:t>
      </w:r>
      <w:r w:rsidR="00236C67">
        <w:rPr>
          <w:rFonts w:cs="Times New Roman"/>
          <w:bCs/>
        </w:rPr>
        <w:t>Asian households also place less</w:t>
      </w:r>
      <w:r w:rsidR="001228D0">
        <w:rPr>
          <w:rFonts w:cs="Times New Roman"/>
          <w:bCs/>
        </w:rPr>
        <w:t xml:space="preserve"> utility</w:t>
      </w:r>
      <w:r w:rsidR="00236C67">
        <w:rPr>
          <w:rFonts w:cs="Times New Roman"/>
          <w:bCs/>
        </w:rPr>
        <w:t xml:space="preserve"> on space and separation from others in general, as well as being less likely to </w:t>
      </w:r>
      <w:r w:rsidR="00236C67">
        <w:rPr>
          <w:rFonts w:cs="Times New Roman"/>
          <w:bCs/>
        </w:rPr>
        <w:lastRenderedPageBreak/>
        <w:t xml:space="preserve">prioritize walkability and access to cultural centers. </w:t>
      </w:r>
      <w:r w:rsidR="0022763B">
        <w:rPr>
          <w:rFonts w:cs="Times New Roman"/>
          <w:bCs/>
        </w:rPr>
        <w:t xml:space="preserve">Households identifying as Hispanic tend to place less </w:t>
      </w:r>
      <w:r w:rsidR="001228D0">
        <w:rPr>
          <w:rFonts w:cs="Times New Roman"/>
          <w:bCs/>
        </w:rPr>
        <w:t xml:space="preserve">utility than non-Hispanic ethnicities </w:t>
      </w:r>
      <w:r w:rsidR="0022763B">
        <w:rPr>
          <w:rFonts w:cs="Times New Roman"/>
          <w:bCs/>
        </w:rPr>
        <w:t xml:space="preserve">on walkability </w:t>
      </w:r>
      <w:r w:rsidR="001228D0">
        <w:rPr>
          <w:rFonts w:cs="Times New Roman"/>
          <w:bCs/>
        </w:rPr>
        <w:t xml:space="preserve">in the </w:t>
      </w:r>
      <w:r w:rsidR="001956AB">
        <w:rPr>
          <w:rFonts w:cs="Times New Roman"/>
          <w:bCs/>
        </w:rPr>
        <w:t>during</w:t>
      </w:r>
      <w:r w:rsidR="001228D0">
        <w:rPr>
          <w:rFonts w:cs="Times New Roman"/>
          <w:bCs/>
        </w:rPr>
        <w:t xml:space="preserve">-COVID period, while also placing high value </w:t>
      </w:r>
      <w:r>
        <w:rPr>
          <w:rFonts w:cs="Times New Roman"/>
          <w:bCs/>
        </w:rPr>
        <w:t xml:space="preserve">on being close to friends and family </w:t>
      </w:r>
      <w:r w:rsidR="00A23925">
        <w:rPr>
          <w:rFonts w:cs="Times New Roman"/>
          <w:bCs/>
        </w:rPr>
        <w:t xml:space="preserve">compared with non-Hispanic households. </w:t>
      </w:r>
    </w:p>
    <w:p w14:paraId="6C3A74B6" w14:textId="3EE7E747" w:rsidR="0035043C" w:rsidRDefault="00D22A72" w:rsidP="00442315">
      <w:pPr>
        <w:autoSpaceDE w:val="0"/>
        <w:autoSpaceDN w:val="0"/>
        <w:adjustRightInd w:val="0"/>
        <w:spacing w:after="0" w:line="240" w:lineRule="auto"/>
        <w:jc w:val="both"/>
        <w:rPr>
          <w:rFonts w:cs="Times New Roman"/>
          <w:bCs/>
        </w:rPr>
      </w:pPr>
      <w:r>
        <w:rPr>
          <w:rFonts w:cs="Times New Roman"/>
          <w:bCs/>
        </w:rPr>
        <w:tab/>
      </w:r>
      <w:r w:rsidR="00442315">
        <w:rPr>
          <w:rFonts w:cs="Times New Roman"/>
          <w:bCs/>
        </w:rPr>
        <w:t>Finally</w:t>
      </w:r>
      <w:r w:rsidR="00D30C24">
        <w:rPr>
          <w:rFonts w:cs="Times New Roman"/>
          <w:bCs/>
        </w:rPr>
        <w:t xml:space="preserve">, households with more vehicles </w:t>
      </w:r>
      <w:r w:rsidR="00C77CEB">
        <w:rPr>
          <w:rFonts w:cs="Times New Roman"/>
          <w:bCs/>
        </w:rPr>
        <w:t xml:space="preserve">generally </w:t>
      </w:r>
      <w:r w:rsidR="00D30C24">
        <w:rPr>
          <w:rFonts w:cs="Times New Roman"/>
          <w:bCs/>
        </w:rPr>
        <w:t xml:space="preserve">place greater importance on </w:t>
      </w:r>
      <w:r w:rsidR="00014A31">
        <w:rPr>
          <w:rFonts w:cs="Times New Roman"/>
          <w:bCs/>
        </w:rPr>
        <w:t>being close to highway</w:t>
      </w:r>
      <w:r w:rsidR="004B5B16">
        <w:rPr>
          <w:rFonts w:cs="Times New Roman"/>
          <w:bCs/>
        </w:rPr>
        <w:t>s</w:t>
      </w:r>
      <w:r w:rsidR="00BC2305">
        <w:rPr>
          <w:rFonts w:cs="Times New Roman"/>
          <w:bCs/>
        </w:rPr>
        <w:t xml:space="preserve"> and</w:t>
      </w:r>
      <w:r w:rsidR="00BE2E98">
        <w:rPr>
          <w:rFonts w:cs="Times New Roman"/>
          <w:bCs/>
        </w:rPr>
        <w:t xml:space="preserve"> less on walkability and access to public transit</w:t>
      </w:r>
      <w:r w:rsidR="00D05529">
        <w:rPr>
          <w:rFonts w:cs="Times New Roman"/>
          <w:bCs/>
        </w:rPr>
        <w:t>, intuitive results since they have more vehicles available for personal travel rather than needing to use these active modes</w:t>
      </w:r>
      <w:r w:rsidR="00BE2E98">
        <w:rPr>
          <w:rFonts w:cs="Times New Roman"/>
          <w:bCs/>
        </w:rPr>
        <w:t>.</w:t>
      </w:r>
      <w:r w:rsidR="00D05529">
        <w:rPr>
          <w:rFonts w:cs="Times New Roman"/>
          <w:bCs/>
        </w:rPr>
        <w:t xml:space="preserve"> Additionally, the desire for space and separation </w:t>
      </w:r>
      <w:r w:rsidR="00AF1714">
        <w:rPr>
          <w:rFonts w:cs="Times New Roman"/>
          <w:bCs/>
        </w:rPr>
        <w:t xml:space="preserve">from others since the pandemic is </w:t>
      </w:r>
      <w:r w:rsidR="002B7704">
        <w:rPr>
          <w:rFonts w:cs="Times New Roman"/>
          <w:bCs/>
        </w:rPr>
        <w:t xml:space="preserve">heightened </w:t>
      </w:r>
      <w:r w:rsidR="00AF1714">
        <w:rPr>
          <w:rFonts w:cs="Times New Roman"/>
          <w:bCs/>
        </w:rPr>
        <w:t xml:space="preserve">among vehicle owners, </w:t>
      </w:r>
      <w:r w:rsidR="002B7704">
        <w:rPr>
          <w:rFonts w:cs="Times New Roman"/>
          <w:bCs/>
        </w:rPr>
        <w:t xml:space="preserve">perhaps because they have been </w:t>
      </w:r>
      <w:r w:rsidR="00D05529">
        <w:rPr>
          <w:rFonts w:cs="Times New Roman"/>
          <w:bCs/>
        </w:rPr>
        <w:t>better able to prioritize</w:t>
      </w:r>
      <w:r w:rsidR="00BA3613">
        <w:rPr>
          <w:rFonts w:cs="Times New Roman"/>
          <w:bCs/>
        </w:rPr>
        <w:t xml:space="preserve"> </w:t>
      </w:r>
      <w:r w:rsidR="00D05529">
        <w:rPr>
          <w:rFonts w:cs="Times New Roman"/>
          <w:bCs/>
        </w:rPr>
        <w:t>additional space</w:t>
      </w:r>
      <w:r w:rsidR="00F14D00">
        <w:rPr>
          <w:rFonts w:cs="Times New Roman"/>
          <w:bCs/>
        </w:rPr>
        <w:t xml:space="preserve"> </w:t>
      </w:r>
      <w:r w:rsidR="002B7704">
        <w:rPr>
          <w:rFonts w:cs="Times New Roman"/>
          <w:bCs/>
        </w:rPr>
        <w:t xml:space="preserve">because of being </w:t>
      </w:r>
      <w:r w:rsidR="00F14D00">
        <w:rPr>
          <w:rFonts w:cs="Times New Roman"/>
          <w:bCs/>
        </w:rPr>
        <w:t>less c</w:t>
      </w:r>
      <w:r w:rsidR="00BA3613">
        <w:rPr>
          <w:rFonts w:cs="Times New Roman"/>
          <w:bCs/>
        </w:rPr>
        <w:t xml:space="preserve">onstrained </w:t>
      </w:r>
      <w:r w:rsidR="00F14D00">
        <w:rPr>
          <w:rFonts w:cs="Times New Roman"/>
          <w:bCs/>
        </w:rPr>
        <w:t xml:space="preserve">by </w:t>
      </w:r>
      <w:r w:rsidR="00BA3613">
        <w:rPr>
          <w:rFonts w:cs="Times New Roman"/>
          <w:bCs/>
        </w:rPr>
        <w:t>mobility considerations</w:t>
      </w:r>
      <w:r w:rsidR="002B7704">
        <w:rPr>
          <w:rFonts w:cs="Times New Roman"/>
          <w:bCs/>
        </w:rPr>
        <w:t xml:space="preserve"> (this effect though is statistically significant only at the 80% confidence level). </w:t>
      </w:r>
    </w:p>
    <w:p w14:paraId="09EB91FA" w14:textId="77777777" w:rsidR="00737417" w:rsidRDefault="00737417" w:rsidP="00442315">
      <w:pPr>
        <w:autoSpaceDE w:val="0"/>
        <w:autoSpaceDN w:val="0"/>
        <w:adjustRightInd w:val="0"/>
        <w:spacing w:after="0" w:line="240" w:lineRule="auto"/>
        <w:jc w:val="both"/>
        <w:rPr>
          <w:rFonts w:cs="Times New Roman"/>
          <w:bCs/>
        </w:rPr>
      </w:pPr>
    </w:p>
    <w:p w14:paraId="23912823" w14:textId="14805AD2" w:rsidR="00737417" w:rsidRDefault="003B66CE" w:rsidP="00737417">
      <w:pPr>
        <w:autoSpaceDE w:val="0"/>
        <w:autoSpaceDN w:val="0"/>
        <w:adjustRightInd w:val="0"/>
        <w:spacing w:after="0" w:line="240" w:lineRule="auto"/>
        <w:jc w:val="both"/>
        <w:rPr>
          <w:rFonts w:cs="Times New Roman"/>
          <w:b/>
        </w:rPr>
      </w:pPr>
      <w:r>
        <w:rPr>
          <w:rFonts w:cs="Times New Roman"/>
          <w:b/>
        </w:rPr>
        <w:t>3</w:t>
      </w:r>
      <w:r w:rsidR="00737417">
        <w:rPr>
          <w:rFonts w:cs="Times New Roman"/>
          <w:b/>
        </w:rPr>
        <w:t>.2 Implied Correlations between the Housing Factors</w:t>
      </w:r>
    </w:p>
    <w:p w14:paraId="12BD8AFA" w14:textId="1C265386" w:rsidR="00737417" w:rsidRPr="00A240C8" w:rsidRDefault="00737417" w:rsidP="00737417">
      <w:pPr>
        <w:autoSpaceDE w:val="0"/>
        <w:autoSpaceDN w:val="0"/>
        <w:adjustRightInd w:val="0"/>
        <w:spacing w:after="0" w:line="240" w:lineRule="auto"/>
        <w:jc w:val="both"/>
        <w:rPr>
          <w:rFonts w:cs="Times New Roman"/>
          <w:bCs/>
        </w:rPr>
      </w:pPr>
      <w:r>
        <w:rPr>
          <w:rFonts w:cs="Times New Roman"/>
          <w:bCs/>
        </w:rPr>
        <w:t xml:space="preserve">The implied </w:t>
      </w:r>
      <w:r w:rsidR="00BE7136">
        <w:rPr>
          <w:rFonts w:cs="Times New Roman"/>
          <w:bCs/>
        </w:rPr>
        <w:t xml:space="preserve">error covariance matrix showing the estimated </w:t>
      </w:r>
      <w:r w:rsidR="00F14D00">
        <w:rPr>
          <w:rFonts w:cs="Times New Roman"/>
          <w:bCs/>
        </w:rPr>
        <w:t>variances</w:t>
      </w:r>
      <w:r w:rsidR="00BE7136">
        <w:rPr>
          <w:rFonts w:cs="Times New Roman"/>
          <w:bCs/>
        </w:rPr>
        <w:t xml:space="preserve"> and covariances</w:t>
      </w:r>
      <w:r>
        <w:rPr>
          <w:rFonts w:cs="Times New Roman"/>
          <w:bCs/>
        </w:rPr>
        <w:t xml:space="preserve"> among the different housing factors in the model </w:t>
      </w:r>
      <w:r w:rsidR="00BE7136">
        <w:rPr>
          <w:rFonts w:cs="Times New Roman"/>
          <w:bCs/>
        </w:rPr>
        <w:t>is</w:t>
      </w:r>
      <w:r>
        <w:rPr>
          <w:rFonts w:cs="Times New Roman"/>
          <w:bCs/>
        </w:rPr>
        <w:t xml:space="preserve"> shown in Table 4. In the estimation of the ROP model, only the matrix of error differences is estimable and multiple undifferenced error covariance matrices can be consistent with a single differenced covariance matrix. Therefore, the </w:t>
      </w:r>
      <w:r w:rsidR="00BE7136">
        <w:rPr>
          <w:rFonts w:cs="Times New Roman"/>
          <w:bCs/>
        </w:rPr>
        <w:t>covariances</w:t>
      </w:r>
      <w:r>
        <w:rPr>
          <w:rFonts w:cs="Times New Roman"/>
          <w:bCs/>
        </w:rPr>
        <w:t xml:space="preserve"> between the factors shown in Table 4 are for the error differenced terms with the commute distance factor. Examining these </w:t>
      </w:r>
      <w:r w:rsidR="00BE7136">
        <w:rPr>
          <w:rFonts w:cs="Times New Roman"/>
          <w:bCs/>
        </w:rPr>
        <w:t>effects</w:t>
      </w:r>
      <w:r>
        <w:rPr>
          <w:rFonts w:cs="Times New Roman"/>
          <w:bCs/>
        </w:rPr>
        <w:t xml:space="preserve"> reveals a </w:t>
      </w:r>
      <w:r w:rsidR="00935068">
        <w:rPr>
          <w:rFonts w:cs="Times New Roman"/>
          <w:bCs/>
        </w:rPr>
        <w:t xml:space="preserve">statistically significant </w:t>
      </w:r>
      <w:r>
        <w:rPr>
          <w:rFonts w:cs="Times New Roman"/>
          <w:bCs/>
        </w:rPr>
        <w:t>positive relationship between all the housing factors in the model</w:t>
      </w:r>
      <w:r w:rsidR="00B7652D">
        <w:rPr>
          <w:rFonts w:cs="Times New Roman"/>
          <w:bCs/>
        </w:rPr>
        <w:t xml:space="preserve"> (all </w:t>
      </w:r>
      <w:r w:rsidR="00CB5FA4">
        <w:rPr>
          <w:rFonts w:cs="Times New Roman"/>
          <w:bCs/>
        </w:rPr>
        <w:t>covariance terms are statistically significant at the 90% confidence level or higher)</w:t>
      </w:r>
      <w:r w:rsidR="00935068">
        <w:rPr>
          <w:rFonts w:cs="Times New Roman"/>
          <w:bCs/>
        </w:rPr>
        <w:t xml:space="preserve">, </w:t>
      </w:r>
      <w:r w:rsidR="00BA3613">
        <w:rPr>
          <w:rFonts w:cs="Times New Roman"/>
          <w:bCs/>
        </w:rPr>
        <w:t xml:space="preserve">as </w:t>
      </w:r>
      <w:r w:rsidR="00935068">
        <w:rPr>
          <w:rFonts w:cs="Times New Roman"/>
          <w:bCs/>
        </w:rPr>
        <w:t>differenced with commute dista</w:t>
      </w:r>
      <w:r w:rsidR="00935068" w:rsidRPr="00CB5FA4">
        <w:rPr>
          <w:rFonts w:cs="Times New Roman"/>
          <w:bCs/>
        </w:rPr>
        <w:t xml:space="preserve">nce. </w:t>
      </w:r>
      <w:r w:rsidR="00C30B47" w:rsidRPr="00CB5FA4">
        <w:rPr>
          <w:rFonts w:cs="Times New Roman"/>
          <w:bCs/>
        </w:rPr>
        <w:t>Ass</w:t>
      </w:r>
      <w:r w:rsidR="00C30B47">
        <w:rPr>
          <w:rFonts w:cs="Times New Roman"/>
          <w:bCs/>
        </w:rPr>
        <w:t xml:space="preserve">uming that the variance of commute distance is relatively small compared to the variances of the other factors, </w:t>
      </w:r>
      <w:r w:rsidR="00C30B47" w:rsidRPr="001875D7">
        <w:rPr>
          <w:rFonts w:cs="Times New Roman"/>
          <w:bCs/>
          <w:u w:val="single"/>
        </w:rPr>
        <w:t>and</w:t>
      </w:r>
      <w:r w:rsidR="00C30B47">
        <w:rPr>
          <w:rFonts w:cs="Times New Roman"/>
          <w:bCs/>
        </w:rPr>
        <w:t xml:space="preserve"> there is little correlation between commute distance and other location factors in the unobserved component, the differenced correlation matrix in Table 4 may be informally interpreted as the co</w:t>
      </w:r>
      <w:r w:rsidR="00934E6C">
        <w:rPr>
          <w:rFonts w:cs="Times New Roman"/>
          <w:bCs/>
        </w:rPr>
        <w:t>variation</w:t>
      </w:r>
      <w:r w:rsidR="00C30B47">
        <w:rPr>
          <w:rFonts w:cs="Times New Roman"/>
          <w:bCs/>
        </w:rPr>
        <w:t xml:space="preserve">s among the non-commute distance factors. With this assumption, </w:t>
      </w:r>
      <w:r w:rsidR="00934E6C">
        <w:rPr>
          <w:rFonts w:cs="Times New Roman"/>
          <w:bCs/>
        </w:rPr>
        <w:t xml:space="preserve">we observe relatively low variances for the first four factors in Table 4 (in the order of 1.0) and relatively high variances for the last four factors (ranging from </w:t>
      </w:r>
      <w:r w:rsidR="00A90675">
        <w:rPr>
          <w:rFonts w:cs="Times New Roman"/>
          <w:bCs/>
        </w:rPr>
        <w:t xml:space="preserve">2.18 to 6.67). This implies more uniformity in the valuation (given exogenous variables) of affordability and broad social/activity access factors (the first four factors in Table 4), and less uniformity in the valuation </w:t>
      </w:r>
      <w:r w:rsidR="007822F2">
        <w:rPr>
          <w:rFonts w:cs="Times New Roman"/>
          <w:bCs/>
        </w:rPr>
        <w:t xml:space="preserve">(again, given exogenous variables) </w:t>
      </w:r>
      <w:r w:rsidR="00A90675">
        <w:rPr>
          <w:rFonts w:cs="Times New Roman"/>
          <w:bCs/>
        </w:rPr>
        <w:t>of more specific quality of schools, public transit access, and walkable neig</w:t>
      </w:r>
      <w:r w:rsidR="007822F2">
        <w:rPr>
          <w:rFonts w:cs="Times New Roman"/>
          <w:bCs/>
        </w:rPr>
        <w:t>hb</w:t>
      </w:r>
      <w:r w:rsidR="00A90675">
        <w:rPr>
          <w:rFonts w:cs="Times New Roman"/>
          <w:bCs/>
        </w:rPr>
        <w:t xml:space="preserve">orhood </w:t>
      </w:r>
      <w:r w:rsidR="007822F2">
        <w:rPr>
          <w:rFonts w:cs="Times New Roman"/>
          <w:bCs/>
        </w:rPr>
        <w:t xml:space="preserve">factors (the last four factors in Table 4). The </w:t>
      </w:r>
      <w:r>
        <w:rPr>
          <w:rFonts w:cs="Times New Roman"/>
          <w:bCs/>
        </w:rPr>
        <w:t>co</w:t>
      </w:r>
      <w:r w:rsidR="007822F2">
        <w:rPr>
          <w:rFonts w:cs="Times New Roman"/>
          <w:bCs/>
        </w:rPr>
        <w:t xml:space="preserve">variances </w:t>
      </w:r>
      <w:r w:rsidR="00C30B47">
        <w:rPr>
          <w:rFonts w:cs="Times New Roman"/>
          <w:bCs/>
        </w:rPr>
        <w:t xml:space="preserve">among the </w:t>
      </w:r>
      <w:r>
        <w:rPr>
          <w:rFonts w:cs="Times New Roman"/>
          <w:bCs/>
        </w:rPr>
        <w:t xml:space="preserve">many </w:t>
      </w:r>
      <w:r w:rsidR="00C30B47">
        <w:rPr>
          <w:rFonts w:cs="Times New Roman"/>
          <w:bCs/>
        </w:rPr>
        <w:t xml:space="preserve">non-commute location </w:t>
      </w:r>
      <w:r>
        <w:rPr>
          <w:rFonts w:cs="Times New Roman"/>
          <w:bCs/>
        </w:rPr>
        <w:t xml:space="preserve">factors </w:t>
      </w:r>
      <w:r w:rsidR="007822F2">
        <w:rPr>
          <w:rFonts w:cs="Times New Roman"/>
          <w:bCs/>
        </w:rPr>
        <w:t xml:space="preserve">also </w:t>
      </w:r>
      <w:r w:rsidR="00C30B47">
        <w:rPr>
          <w:rFonts w:cs="Times New Roman"/>
          <w:bCs/>
        </w:rPr>
        <w:t>seem plausible</w:t>
      </w:r>
      <w:r>
        <w:rPr>
          <w:rFonts w:cs="Times New Roman"/>
          <w:bCs/>
        </w:rPr>
        <w:t xml:space="preserve">. For instance, an underlying </w:t>
      </w:r>
      <w:r w:rsidR="00C30B47">
        <w:rPr>
          <w:rFonts w:cs="Times New Roman"/>
          <w:bCs/>
        </w:rPr>
        <w:t xml:space="preserve">unobserved trait of </w:t>
      </w:r>
      <w:r>
        <w:rPr>
          <w:rFonts w:cs="Times New Roman"/>
          <w:bCs/>
        </w:rPr>
        <w:t xml:space="preserve">sociability </w:t>
      </w:r>
      <w:r w:rsidR="00C30B47">
        <w:rPr>
          <w:rFonts w:cs="Times New Roman"/>
          <w:bCs/>
        </w:rPr>
        <w:t xml:space="preserve">across all members of a household </w:t>
      </w:r>
      <w:r>
        <w:rPr>
          <w:rFonts w:cs="Times New Roman"/>
          <w:bCs/>
        </w:rPr>
        <w:t>would likely cause</w:t>
      </w:r>
      <w:r w:rsidR="00C30B47">
        <w:rPr>
          <w:rFonts w:cs="Times New Roman"/>
          <w:bCs/>
        </w:rPr>
        <w:t xml:space="preserve"> that household </w:t>
      </w:r>
      <w:r>
        <w:rPr>
          <w:rFonts w:cs="Times New Roman"/>
          <w:bCs/>
        </w:rPr>
        <w:t xml:space="preserve">to </w:t>
      </w:r>
      <w:r w:rsidR="00C30B47">
        <w:rPr>
          <w:rFonts w:cs="Times New Roman"/>
          <w:bCs/>
        </w:rPr>
        <w:t>value</w:t>
      </w:r>
      <w:r>
        <w:rPr>
          <w:rFonts w:cs="Times New Roman"/>
          <w:bCs/>
        </w:rPr>
        <w:t xml:space="preserve"> being near friends and family, being near cultural activities, and being close to families highly, as each of these </w:t>
      </w:r>
      <w:r w:rsidR="00C30B47">
        <w:rPr>
          <w:rFonts w:cs="Times New Roman"/>
          <w:bCs/>
        </w:rPr>
        <w:t>residential location</w:t>
      </w:r>
      <w:r>
        <w:rPr>
          <w:rFonts w:cs="Times New Roman"/>
          <w:bCs/>
        </w:rPr>
        <w:t xml:space="preserve"> factors facilitates opportunities for greater social interaction near the home. The strong correlations </w:t>
      </w:r>
      <w:r w:rsidR="00C30B47">
        <w:rPr>
          <w:rFonts w:cs="Times New Roman"/>
          <w:bCs/>
        </w:rPr>
        <w:t xml:space="preserve">in Table 4 </w:t>
      </w:r>
      <w:r>
        <w:rPr>
          <w:rFonts w:cs="Times New Roman"/>
          <w:bCs/>
        </w:rPr>
        <w:t>highlight the importance of</w:t>
      </w:r>
      <w:r w:rsidR="00C30B47">
        <w:rPr>
          <w:rFonts w:cs="Times New Roman"/>
          <w:bCs/>
        </w:rPr>
        <w:t xml:space="preserve"> considering all location </w:t>
      </w:r>
      <w:r>
        <w:rPr>
          <w:rFonts w:cs="Times New Roman"/>
          <w:bCs/>
        </w:rPr>
        <w:t xml:space="preserve">factors </w:t>
      </w:r>
      <w:r w:rsidR="00C30B47">
        <w:rPr>
          <w:rFonts w:cs="Times New Roman"/>
          <w:bCs/>
        </w:rPr>
        <w:t xml:space="preserve">jointly, </w:t>
      </w:r>
      <w:r>
        <w:rPr>
          <w:rFonts w:cs="Times New Roman"/>
          <w:bCs/>
        </w:rPr>
        <w:t xml:space="preserve">rather than considering the importance of each factor alone. </w:t>
      </w:r>
    </w:p>
    <w:p w14:paraId="7E9D8CC2" w14:textId="77777777" w:rsidR="00D17A9C" w:rsidRDefault="00D17A9C" w:rsidP="00727863">
      <w:pPr>
        <w:autoSpaceDE w:val="0"/>
        <w:autoSpaceDN w:val="0"/>
        <w:adjustRightInd w:val="0"/>
        <w:spacing w:after="0" w:line="240" w:lineRule="auto"/>
        <w:jc w:val="both"/>
        <w:rPr>
          <w:rFonts w:cs="Times New Roman"/>
          <w:bCs/>
        </w:rPr>
      </w:pPr>
    </w:p>
    <w:p w14:paraId="6073D6AD" w14:textId="093DE079" w:rsidR="000211E3" w:rsidRPr="008011B1" w:rsidRDefault="003B66CE" w:rsidP="00727863">
      <w:pPr>
        <w:autoSpaceDE w:val="0"/>
        <w:autoSpaceDN w:val="0"/>
        <w:adjustRightInd w:val="0"/>
        <w:spacing w:after="0" w:line="240" w:lineRule="auto"/>
        <w:jc w:val="both"/>
        <w:rPr>
          <w:rFonts w:cs="Times New Roman"/>
          <w:b/>
        </w:rPr>
      </w:pPr>
      <w:r>
        <w:rPr>
          <w:rFonts w:cs="Times New Roman"/>
          <w:b/>
        </w:rPr>
        <w:t>3</w:t>
      </w:r>
      <w:r w:rsidR="000211E3">
        <w:rPr>
          <w:rFonts w:cs="Times New Roman"/>
          <w:b/>
        </w:rPr>
        <w:t>.</w:t>
      </w:r>
      <w:r w:rsidR="00737417">
        <w:rPr>
          <w:rFonts w:cs="Times New Roman"/>
          <w:b/>
        </w:rPr>
        <w:t>3</w:t>
      </w:r>
      <w:r w:rsidR="000211E3">
        <w:rPr>
          <w:rFonts w:cs="Times New Roman"/>
          <w:b/>
        </w:rPr>
        <w:t xml:space="preserve"> Model Fit</w:t>
      </w:r>
    </w:p>
    <w:p w14:paraId="5971EF89" w14:textId="0E3D81EF" w:rsidR="00737417" w:rsidRDefault="00737417" w:rsidP="00737417">
      <w:pPr>
        <w:autoSpaceDE w:val="0"/>
        <w:autoSpaceDN w:val="0"/>
        <w:adjustRightInd w:val="0"/>
        <w:spacing w:after="0" w:line="240" w:lineRule="auto"/>
        <w:jc w:val="both"/>
      </w:pPr>
      <w:r>
        <w:rPr>
          <w:rFonts w:cs="Times New Roman"/>
          <w:bCs/>
        </w:rPr>
        <w:t xml:space="preserve">The performance of the full ROP model </w:t>
      </w:r>
      <w:r w:rsidR="00DD10B8">
        <w:rPr>
          <w:rFonts w:cs="Times New Roman"/>
          <w:bCs/>
        </w:rPr>
        <w:t>may be</w:t>
      </w:r>
      <w:r>
        <w:rPr>
          <w:rFonts w:cs="Times New Roman"/>
          <w:bCs/>
        </w:rPr>
        <w:t xml:space="preserve"> compared with that of a</w:t>
      </w:r>
      <w:r w:rsidR="00DD10B8">
        <w:rPr>
          <w:rFonts w:cs="Times New Roman"/>
          <w:bCs/>
        </w:rPr>
        <w:t>n</w:t>
      </w:r>
      <w:r>
        <w:rPr>
          <w:rFonts w:cs="Times New Roman"/>
          <w:bCs/>
        </w:rPr>
        <w:t xml:space="preserve"> IID ROP model, which assumes that the errors between the </w:t>
      </w:r>
      <w:r w:rsidR="00DD10B8">
        <w:rPr>
          <w:rFonts w:cs="Times New Roman"/>
          <w:bCs/>
        </w:rPr>
        <w:t>many location</w:t>
      </w:r>
      <w:r>
        <w:rPr>
          <w:rFonts w:cs="Times New Roman"/>
          <w:bCs/>
        </w:rPr>
        <w:t xml:space="preserve"> factors are independent and identically distributed. That is, the IID model maintains a correlation structure with zeros for all off-diagonal terms rather than estimating the correlations shown for the full model in Table 4. The highly significant </w:t>
      </w:r>
      <w:r w:rsidR="00160669">
        <w:rPr>
          <w:rFonts w:cs="Times New Roman"/>
          <w:bCs/>
        </w:rPr>
        <w:t xml:space="preserve">correlations </w:t>
      </w:r>
      <w:r w:rsidR="004749DF">
        <w:rPr>
          <w:rFonts w:cs="Times New Roman"/>
          <w:bCs/>
        </w:rPr>
        <w:t>discussed in the previous section</w:t>
      </w:r>
      <w:r>
        <w:rPr>
          <w:rFonts w:cs="Times New Roman"/>
          <w:bCs/>
        </w:rPr>
        <w:t xml:space="preserve"> already imply the superiority of the full ROP model and the need to account for these error correlations. The relative performance of the two models can also be assessed by comparing a series of goodness-of-fit metrics. These metrics </w:t>
      </w:r>
      <w:r>
        <w:rPr>
          <w:rFonts w:cs="Times New Roman"/>
          <w:bCs/>
        </w:rPr>
        <w:lastRenderedPageBreak/>
        <w:t xml:space="preserve">are computed for each of the two models and shown in Table 5. First, the adjusted likelihood ratio index for the full model is </w:t>
      </w:r>
      <w:r w:rsidR="001415CC">
        <w:rPr>
          <w:rFonts w:cs="Times New Roman"/>
          <w:bCs/>
        </w:rPr>
        <w:t>significantly larger than</w:t>
      </w:r>
      <w:r>
        <w:rPr>
          <w:rFonts w:cs="Times New Roman"/>
          <w:bCs/>
        </w:rPr>
        <w:t xml:space="preserve"> that of the independent model, suggesting that the full model offers a significantly better fit. </w:t>
      </w:r>
      <w:r w:rsidR="007822F2">
        <w:rPr>
          <w:rFonts w:cs="Times New Roman"/>
          <w:bCs/>
        </w:rPr>
        <w:t>Second</w:t>
      </w:r>
      <w:r>
        <w:rPr>
          <w:rFonts w:cs="Times New Roman"/>
          <w:bCs/>
        </w:rPr>
        <w:t xml:space="preserve">, since the independent model is a nested form of the full model, the two can be compared with a likelihood ratio test. The likelihood ratio test statistic is </w:t>
      </w:r>
      <w:r w:rsidR="00642671">
        <w:rPr>
          <w:rFonts w:cs="Times New Roman"/>
          <w:bCs/>
        </w:rPr>
        <w:t>3037.9</w:t>
      </w:r>
      <w:r w:rsidRPr="00642671">
        <w:rPr>
          <w:rFonts w:cs="Times New Roman"/>
          <w:bCs/>
        </w:rPr>
        <w:t>,</w:t>
      </w:r>
      <w:r>
        <w:rPr>
          <w:rFonts w:cs="Times New Roman"/>
          <w:bCs/>
        </w:rPr>
        <w:t xml:space="preserve"> which is much higher than the chi-squared value with </w:t>
      </w:r>
      <w:r w:rsidR="00373AFC">
        <w:rPr>
          <w:rFonts w:cs="Times New Roman"/>
          <w:bCs/>
        </w:rPr>
        <w:t>35</w:t>
      </w:r>
      <w:r>
        <w:rPr>
          <w:rFonts w:cs="Times New Roman"/>
          <w:b/>
        </w:rPr>
        <w:t xml:space="preserve"> </w:t>
      </w:r>
      <w:r>
        <w:rPr>
          <w:rFonts w:cs="Times New Roman"/>
          <w:bCs/>
        </w:rPr>
        <w:t>degrees of freedom at any reasonable level of significance, indicating a superior fit for the proposed model.</w:t>
      </w:r>
      <w:r w:rsidRPr="00BC15B2">
        <w:rPr>
          <w:rFonts w:cs="Times New Roman"/>
          <w:bCs/>
        </w:rPr>
        <w:t xml:space="preserve"> </w:t>
      </w:r>
      <w:r w:rsidR="007822F2">
        <w:rPr>
          <w:rFonts w:cs="Times New Roman"/>
          <w:bCs/>
        </w:rPr>
        <w:t>Third, t</w:t>
      </w:r>
      <w:r>
        <w:rPr>
          <w:rFonts w:cs="Times New Roman"/>
          <w:bCs/>
        </w:rPr>
        <w:t xml:space="preserve">he proposed model can be compared with the independent model using a Bayesian Information Criterion (BIC) statistic </w:t>
      </w:r>
      <w:r w:rsidRPr="009B2F97">
        <w:t>[= –</w:t>
      </w:r>
      <w:r w:rsidRPr="0082409F">
        <w:rPr>
          <w:position w:val="-10"/>
        </w:rPr>
        <w:object w:dxaOrig="600" w:dyaOrig="380" w14:anchorId="0FFFE7D1">
          <v:shape id="_x0000_i1093" type="#_x0000_t75" style="width:30pt;height:18.85pt" o:ole="">
            <v:imagedata r:id="rId137" o:title=""/>
          </v:shape>
          <o:OLEObject Type="Embed" ProgID="Equation.DSMT4" ShapeID="_x0000_i1093" DrawAspect="Content" ObjectID="_1801464606" r:id="rId138"/>
        </w:object>
      </w:r>
      <w:r w:rsidRPr="009B2F97">
        <w:t>+ 0.5 (# of model parameters) log (sample size)] (</w:t>
      </w:r>
      <w:r w:rsidRPr="0082409F">
        <w:rPr>
          <w:position w:val="-10"/>
        </w:rPr>
        <w:object w:dxaOrig="600" w:dyaOrig="380" w14:anchorId="676CF14C">
          <v:shape id="_x0000_i1094" type="#_x0000_t75" style="width:30pt;height:18.85pt" o:ole="">
            <v:imagedata r:id="rId139" o:title=""/>
          </v:shape>
          <o:OLEObject Type="Embed" ProgID="Equation.DSMT4" ShapeID="_x0000_i1094" DrawAspect="Content" ObjectID="_1801464607" r:id="rId140"/>
        </w:object>
      </w:r>
      <w:r w:rsidRPr="009B2F97">
        <w:t xml:space="preserve"> is the predictive log-likelihood at convergence)</w:t>
      </w:r>
      <w:r w:rsidRPr="009434FD">
        <w:t>. The model with a lower BIC statistic i</w:t>
      </w:r>
      <w:r>
        <w:t xml:space="preserve">s </w:t>
      </w:r>
      <w:r w:rsidRPr="009434FD">
        <w:t>the preferred model</w:t>
      </w:r>
      <w:r>
        <w:t>. The BIC for the full model</w:t>
      </w:r>
      <w:r w:rsidRPr="00902D0F">
        <w:t xml:space="preserve"> is </w:t>
      </w:r>
      <w:r w:rsidR="00D80871">
        <w:t>13562.73</w:t>
      </w:r>
      <w:r w:rsidRPr="00902D0F">
        <w:t xml:space="preserve"> wh</w:t>
      </w:r>
      <w:r>
        <w:t xml:space="preserve">ile that of the independent model is </w:t>
      </w:r>
      <w:r w:rsidR="00D80871">
        <w:t>15027.30</w:t>
      </w:r>
      <w:r w:rsidR="007822F2">
        <w:t xml:space="preserve">. </w:t>
      </w:r>
      <w:r w:rsidRPr="00902D0F">
        <w:t xml:space="preserve"> on</w:t>
      </w:r>
      <w:r>
        <w:t xml:space="preserve">ce again indicating the superiority of the full model. </w:t>
      </w:r>
      <w:r w:rsidR="00523309">
        <w:t xml:space="preserve">Finally, the two models can be compared at an aggregate level based on the predicted shares </w:t>
      </w:r>
      <w:r w:rsidR="00A270FC">
        <w:t xml:space="preserve">selecting the highest and lowest rank for each factor, compared with the observed shares. The bottom section of Table 5 shows </w:t>
      </w:r>
      <w:r w:rsidR="00FA396A">
        <w:t xml:space="preserve">observed and predicted shares selecting each factor as the highest or lowest ranked. Then, in each case, the </w:t>
      </w:r>
      <w:r w:rsidR="00FF40F5">
        <w:t>absolute percentage error is calculated based on the difference between the observed and predicted shares, and a</w:t>
      </w:r>
      <w:r w:rsidR="003804FB">
        <w:t xml:space="preserve">n </w:t>
      </w:r>
      <w:r w:rsidR="00FF40F5">
        <w:t>average</w:t>
      </w:r>
      <w:r w:rsidR="00B3440F">
        <w:t xml:space="preserve"> of the absolute percentage errors for each factor</w:t>
      </w:r>
      <w:r w:rsidR="00FF40F5">
        <w:t xml:space="preserve"> is taken</w:t>
      </w:r>
      <w:r w:rsidR="003804FB">
        <w:t xml:space="preserve">, weighted by the observed share. This weighted average percent error (WAPE) is lower for the proposed joint model for both the highest and lowest ranked factors, demonstrating the higher predictive power of the proposed model. </w:t>
      </w:r>
    </w:p>
    <w:p w14:paraId="269639B8" w14:textId="77777777" w:rsidR="00BB15E5" w:rsidRDefault="00BB15E5" w:rsidP="00727863">
      <w:pPr>
        <w:autoSpaceDE w:val="0"/>
        <w:autoSpaceDN w:val="0"/>
        <w:adjustRightInd w:val="0"/>
        <w:spacing w:after="0" w:line="240" w:lineRule="auto"/>
        <w:jc w:val="both"/>
        <w:rPr>
          <w:rFonts w:cs="Times New Roman"/>
          <w:b/>
        </w:rPr>
      </w:pPr>
    </w:p>
    <w:p w14:paraId="2FEC7607" w14:textId="1B92B617" w:rsidR="00BB15E5" w:rsidRDefault="003B66CE" w:rsidP="00727863">
      <w:pPr>
        <w:autoSpaceDE w:val="0"/>
        <w:autoSpaceDN w:val="0"/>
        <w:adjustRightInd w:val="0"/>
        <w:spacing w:after="0" w:line="240" w:lineRule="auto"/>
        <w:jc w:val="both"/>
        <w:rPr>
          <w:rFonts w:cs="Times New Roman"/>
          <w:b/>
        </w:rPr>
      </w:pPr>
      <w:r>
        <w:rPr>
          <w:rFonts w:cs="Times New Roman"/>
          <w:b/>
        </w:rPr>
        <w:t>4</w:t>
      </w:r>
      <w:r w:rsidR="00BB15E5">
        <w:rPr>
          <w:rFonts w:cs="Times New Roman"/>
          <w:b/>
        </w:rPr>
        <w:t xml:space="preserve">. </w:t>
      </w:r>
      <w:r w:rsidR="007277D7">
        <w:rPr>
          <w:rFonts w:cs="Times New Roman"/>
          <w:b/>
        </w:rPr>
        <w:t xml:space="preserve">IMPLICATIONS </w:t>
      </w:r>
    </w:p>
    <w:p w14:paraId="45C12E8C" w14:textId="44581071" w:rsidR="00EF7187" w:rsidRDefault="00EF7187" w:rsidP="00727863">
      <w:pPr>
        <w:autoSpaceDE w:val="0"/>
        <w:autoSpaceDN w:val="0"/>
        <w:adjustRightInd w:val="0"/>
        <w:spacing w:after="0" w:line="240" w:lineRule="auto"/>
        <w:jc w:val="both"/>
        <w:rPr>
          <w:rFonts w:cs="Times New Roman"/>
          <w:bCs/>
        </w:rPr>
      </w:pPr>
      <w:r>
        <w:rPr>
          <w:rFonts w:cs="Times New Roman"/>
          <w:bCs/>
        </w:rPr>
        <w:t xml:space="preserve">While the </w:t>
      </w:r>
      <w:r w:rsidR="002410DC">
        <w:rPr>
          <w:rFonts w:cs="Times New Roman"/>
          <w:bCs/>
        </w:rPr>
        <w:t xml:space="preserve">estimation results discussed in Section </w:t>
      </w:r>
      <w:r w:rsidR="0012260F">
        <w:rPr>
          <w:rFonts w:cs="Times New Roman"/>
          <w:bCs/>
        </w:rPr>
        <w:t>3</w:t>
      </w:r>
      <w:r w:rsidR="002410DC">
        <w:rPr>
          <w:rFonts w:cs="Times New Roman"/>
          <w:bCs/>
        </w:rPr>
        <w:t xml:space="preserve"> offer important insights into the effects of the exogenous variables on the</w:t>
      </w:r>
      <w:r w:rsidR="00DD10B8">
        <w:rPr>
          <w:rFonts w:cs="Times New Roman"/>
          <w:bCs/>
        </w:rPr>
        <w:t xml:space="preserve"> utilities</w:t>
      </w:r>
      <w:r w:rsidR="002410DC">
        <w:rPr>
          <w:rFonts w:cs="Times New Roman"/>
          <w:bCs/>
        </w:rPr>
        <w:t xml:space="preserve"> for each of the </w:t>
      </w:r>
      <w:r w:rsidR="00DD10B8">
        <w:rPr>
          <w:rFonts w:cs="Times New Roman"/>
          <w:bCs/>
        </w:rPr>
        <w:t>location factors</w:t>
      </w:r>
      <w:r w:rsidR="002410DC">
        <w:rPr>
          <w:rFonts w:cs="Times New Roman"/>
          <w:bCs/>
        </w:rPr>
        <w:t xml:space="preserve">, they do not provide an intuitive representation of the true magnitude of these effects or the tradeoffs that occur between these </w:t>
      </w:r>
      <w:r w:rsidR="00DD10B8">
        <w:rPr>
          <w:rFonts w:cs="Times New Roman"/>
          <w:bCs/>
        </w:rPr>
        <w:t>location factors</w:t>
      </w:r>
      <w:r w:rsidR="002410DC">
        <w:rPr>
          <w:rFonts w:cs="Times New Roman"/>
          <w:bCs/>
        </w:rPr>
        <w:t xml:space="preserve">. From a policy perspective it may be helpful to understand how the prioritization of these </w:t>
      </w:r>
      <w:r w:rsidR="00DD10B8">
        <w:rPr>
          <w:rFonts w:cs="Times New Roman"/>
          <w:bCs/>
        </w:rPr>
        <w:t xml:space="preserve">location factors </w:t>
      </w:r>
      <w:r w:rsidR="002410DC">
        <w:rPr>
          <w:rFonts w:cs="Times New Roman"/>
          <w:bCs/>
        </w:rPr>
        <w:t xml:space="preserve">changes with each of the exogenous variables, and specifically how the pandemic has impacted this prioritization differently for </w:t>
      </w:r>
      <w:r w:rsidR="00E202EB">
        <w:rPr>
          <w:rFonts w:cs="Times New Roman"/>
          <w:bCs/>
        </w:rPr>
        <w:t>distinct groups</w:t>
      </w:r>
      <w:r w:rsidR="002410DC">
        <w:rPr>
          <w:rFonts w:cs="Times New Roman"/>
          <w:bCs/>
        </w:rPr>
        <w:t xml:space="preserve">. To do so, we compute the Average Treatment Effect (ATE), which is the impact on a downstream posterior variable of interest due to a treatment that alters the state of an antecedent variable from A to B. In this case, the intent is to compute the effect of the COVID-19 pandemic on the prioritization of housing attributes. To quantify this effect, we set all individuals in the dataset to </w:t>
      </w:r>
      <w:r w:rsidR="00E202EB">
        <w:rPr>
          <w:rFonts w:cs="Times New Roman"/>
          <w:bCs/>
        </w:rPr>
        <w:t xml:space="preserve">a </w:t>
      </w:r>
      <w:r w:rsidR="002410DC">
        <w:rPr>
          <w:rFonts w:cs="Times New Roman"/>
          <w:bCs/>
        </w:rPr>
        <w:t xml:space="preserve">particular category of an exogenous variable and to the base before-COVID state. Then, using the model estimates presented in Table 3, we compute the </w:t>
      </w:r>
      <w:r w:rsidR="0075202D">
        <w:rPr>
          <w:rFonts w:cs="Times New Roman"/>
          <w:bCs/>
        </w:rPr>
        <w:t xml:space="preserve">probability </w:t>
      </w:r>
      <w:r w:rsidR="002410DC">
        <w:rPr>
          <w:rFonts w:cs="Times New Roman"/>
          <w:bCs/>
        </w:rPr>
        <w:t xml:space="preserve">of each individual ranking </w:t>
      </w:r>
      <w:r w:rsidR="008011B1">
        <w:rPr>
          <w:rFonts w:cs="Times New Roman"/>
          <w:bCs/>
        </w:rPr>
        <w:t xml:space="preserve">each outcome first (with any combinations of ordering for the other outcomes). Taking the average across individuals provides the average share that would rank each outcome first for a set level of the exogenous variable in the before-COVID period. We use the same procedure to compute the shares for the </w:t>
      </w:r>
      <w:r w:rsidR="001956AB">
        <w:rPr>
          <w:rFonts w:cs="Times New Roman"/>
          <w:bCs/>
        </w:rPr>
        <w:t>during</w:t>
      </w:r>
      <w:r w:rsidR="008011B1">
        <w:rPr>
          <w:rFonts w:cs="Times New Roman"/>
          <w:bCs/>
        </w:rPr>
        <w:t xml:space="preserve">-COVID period. Finally, the percent change in these shares between the two time periods </w:t>
      </w:r>
      <w:r w:rsidR="001773C7">
        <w:rPr>
          <w:rFonts w:cs="Times New Roman"/>
          <w:bCs/>
        </w:rPr>
        <w:t>represents</w:t>
      </w:r>
      <w:r w:rsidR="008011B1">
        <w:rPr>
          <w:rFonts w:cs="Times New Roman"/>
          <w:bCs/>
        </w:rPr>
        <w:t xml:space="preserve"> the overall </w:t>
      </w:r>
      <w:r w:rsidR="00E202EB">
        <w:rPr>
          <w:rFonts w:cs="Times New Roman"/>
          <w:bCs/>
        </w:rPr>
        <w:t>effect</w:t>
      </w:r>
      <w:r w:rsidR="008011B1">
        <w:rPr>
          <w:rFonts w:cs="Times New Roman"/>
          <w:bCs/>
        </w:rPr>
        <w:t xml:space="preserve"> of the pandemic on the prioritization of these </w:t>
      </w:r>
      <w:r w:rsidR="00E202EB">
        <w:rPr>
          <w:rFonts w:cs="Times New Roman"/>
          <w:bCs/>
        </w:rPr>
        <w:t xml:space="preserve">housing </w:t>
      </w:r>
      <w:r w:rsidR="008011B1">
        <w:rPr>
          <w:rFonts w:cs="Times New Roman"/>
          <w:bCs/>
        </w:rPr>
        <w:t>factors</w:t>
      </w:r>
      <w:r w:rsidR="001773C7">
        <w:rPr>
          <w:rFonts w:cs="Times New Roman"/>
          <w:bCs/>
        </w:rPr>
        <w:t xml:space="preserve"> for each exogenous variable group</w:t>
      </w:r>
      <w:r w:rsidR="008011B1">
        <w:rPr>
          <w:rFonts w:cs="Times New Roman"/>
          <w:bCs/>
        </w:rPr>
        <w:t xml:space="preserve">. </w:t>
      </w:r>
    </w:p>
    <w:p w14:paraId="725CC7D4" w14:textId="67BBD18A" w:rsidR="008011B1" w:rsidRDefault="008011B1" w:rsidP="00727863">
      <w:pPr>
        <w:autoSpaceDE w:val="0"/>
        <w:autoSpaceDN w:val="0"/>
        <w:adjustRightInd w:val="0"/>
        <w:spacing w:after="0" w:line="240" w:lineRule="auto"/>
        <w:jc w:val="both"/>
      </w:pPr>
      <w:r>
        <w:rPr>
          <w:rFonts w:cs="Times New Roman"/>
          <w:bCs/>
        </w:rPr>
        <w:tab/>
        <w:t xml:space="preserve">The ATE results are presented in Table </w:t>
      </w:r>
      <w:r w:rsidR="001773C7">
        <w:rPr>
          <w:rFonts w:cs="Times New Roman"/>
          <w:bCs/>
        </w:rPr>
        <w:t>6</w:t>
      </w:r>
      <w:r>
        <w:rPr>
          <w:rFonts w:cs="Times New Roman"/>
          <w:bCs/>
        </w:rPr>
        <w:t>.</w:t>
      </w:r>
      <w:r w:rsidR="00F3389B">
        <w:rPr>
          <w:rFonts w:cs="Times New Roman"/>
          <w:bCs/>
        </w:rPr>
        <w:t xml:space="preserve"> Each row in the table corresponds to a single</w:t>
      </w:r>
      <w:r w:rsidR="009E61BA">
        <w:rPr>
          <w:rFonts w:cs="Times New Roman"/>
          <w:bCs/>
        </w:rPr>
        <w:t xml:space="preserve"> </w:t>
      </w:r>
      <w:r w:rsidR="00F3389B">
        <w:rPr>
          <w:rFonts w:cs="Times New Roman"/>
          <w:bCs/>
        </w:rPr>
        <w:t xml:space="preserve">exogenous variable. Then, the values in each column show the percent change in the share of respondents ranking that housing factor first </w:t>
      </w:r>
      <w:r w:rsidR="001956AB">
        <w:rPr>
          <w:rFonts w:cs="Times New Roman"/>
          <w:bCs/>
        </w:rPr>
        <w:t>during</w:t>
      </w:r>
      <w:r w:rsidR="00F3389B">
        <w:rPr>
          <w:rFonts w:cs="Times New Roman"/>
          <w:bCs/>
        </w:rPr>
        <w:t xml:space="preserve"> the pandemic compared with the share ranking the same factor first before the pandemic. For instance, the</w:t>
      </w:r>
      <w:r w:rsidR="00702F1D">
        <w:rPr>
          <w:rFonts w:cs="Times New Roman"/>
          <w:bCs/>
        </w:rPr>
        <w:t xml:space="preserve"> third numeric</w:t>
      </w:r>
      <w:r w:rsidR="00F3389B">
        <w:rPr>
          <w:rFonts w:cs="Times New Roman"/>
          <w:bCs/>
        </w:rPr>
        <w:t xml:space="preserve"> </w:t>
      </w:r>
      <w:r w:rsidR="00867234">
        <w:rPr>
          <w:rFonts w:cs="Times New Roman"/>
          <w:bCs/>
        </w:rPr>
        <w:t xml:space="preserve">value of “-7.03” </w:t>
      </w:r>
      <w:r w:rsidR="00702F1D">
        <w:rPr>
          <w:rFonts w:cs="Times New Roman"/>
          <w:bCs/>
        </w:rPr>
        <w:t xml:space="preserve">in the “Affordability” column </w:t>
      </w:r>
      <w:r w:rsidR="00F3389B">
        <w:rPr>
          <w:rFonts w:cs="Times New Roman"/>
          <w:bCs/>
        </w:rPr>
        <w:t xml:space="preserve">indicates that households without children are </w:t>
      </w:r>
      <w:r w:rsidR="00DD10B8">
        <w:rPr>
          <w:rFonts w:cs="Times New Roman"/>
          <w:bCs/>
        </w:rPr>
        <w:t>7.03</w:t>
      </w:r>
      <w:r w:rsidR="00F3389B">
        <w:rPr>
          <w:rFonts w:cs="Times New Roman"/>
          <w:bCs/>
        </w:rPr>
        <w:t xml:space="preserve">% </w:t>
      </w:r>
      <w:r w:rsidR="00017BEB">
        <w:rPr>
          <w:rFonts w:cs="Times New Roman"/>
          <w:bCs/>
        </w:rPr>
        <w:t>less</w:t>
      </w:r>
      <w:r w:rsidR="00F3389B">
        <w:rPr>
          <w:rFonts w:cs="Times New Roman"/>
          <w:bCs/>
        </w:rPr>
        <w:t xml:space="preserve"> likely to rank </w:t>
      </w:r>
      <w:r w:rsidR="00017BEB">
        <w:rPr>
          <w:rFonts w:cs="Times New Roman"/>
          <w:bCs/>
        </w:rPr>
        <w:t>affordability</w:t>
      </w:r>
      <w:r w:rsidR="00F3389B">
        <w:rPr>
          <w:rFonts w:cs="Times New Roman"/>
          <w:bCs/>
        </w:rPr>
        <w:t xml:space="preserve"> as their most important factor </w:t>
      </w:r>
      <w:r w:rsidR="00D13AA6">
        <w:rPr>
          <w:rFonts w:cs="Times New Roman"/>
          <w:bCs/>
        </w:rPr>
        <w:t>during</w:t>
      </w:r>
      <w:r w:rsidR="00F3389B">
        <w:rPr>
          <w:rFonts w:cs="Times New Roman"/>
          <w:bCs/>
        </w:rPr>
        <w:t xml:space="preserve"> the pandemic than they were before the pandemic. </w:t>
      </w:r>
      <w:r w:rsidR="00702F1D">
        <w:rPr>
          <w:rFonts w:cs="Times New Roman"/>
          <w:bCs/>
        </w:rPr>
        <w:t xml:space="preserve">The fourth numeric value of “5.38” indicates that households with children are 5.38% </w:t>
      </w:r>
      <w:r w:rsidR="00702F1D">
        <w:rPr>
          <w:rFonts w:cs="Times New Roman"/>
          <w:bCs/>
        </w:rPr>
        <w:lastRenderedPageBreak/>
        <w:t xml:space="preserve">more likely to rank affordability as their top factor </w:t>
      </w:r>
      <w:r w:rsidR="00D13AA6">
        <w:rPr>
          <w:rFonts w:cs="Times New Roman"/>
          <w:bCs/>
        </w:rPr>
        <w:t>during</w:t>
      </w:r>
      <w:r w:rsidR="00702F1D">
        <w:rPr>
          <w:rFonts w:cs="Times New Roman"/>
          <w:bCs/>
        </w:rPr>
        <w:t xml:space="preserve"> the pandemic relative to before the pandemic. </w:t>
      </w:r>
      <w:r w:rsidR="00F3389B">
        <w:rPr>
          <w:rFonts w:cs="Times New Roman"/>
          <w:bCs/>
        </w:rPr>
        <w:t xml:space="preserve">The final row of the table shows the overall percent change in the first ranked factors over the pandemic with no other changes to exogenous variables. </w:t>
      </w:r>
      <w:r w:rsidR="00F3389B" w:rsidRPr="00F3389B">
        <w:rPr>
          <w:rFonts w:cs="Times New Roman"/>
          <w:bCs/>
        </w:rPr>
        <w:t xml:space="preserve">In the remainder of this section, we </w:t>
      </w:r>
      <w:r w:rsidR="00DD10B8">
        <w:rPr>
          <w:rFonts w:cs="Times New Roman"/>
          <w:bCs/>
        </w:rPr>
        <w:t xml:space="preserve">combine the insights from Table 3 and Table 6 to draw </w:t>
      </w:r>
      <w:r w:rsidR="00F3389B" w:rsidRPr="00F3389B">
        <w:rPr>
          <w:rFonts w:cs="Times New Roman"/>
          <w:bCs/>
        </w:rPr>
        <w:t>implications for transportation planning and urban development</w:t>
      </w:r>
      <w:r w:rsidR="009C5E12" w:rsidRPr="00F3389B">
        <w:rPr>
          <w:rFonts w:cs="Times New Roman"/>
          <w:bCs/>
        </w:rPr>
        <w:t xml:space="preserve">. </w:t>
      </w:r>
      <w:r w:rsidR="00DD10B8">
        <w:rPr>
          <w:rFonts w:cs="Times New Roman"/>
          <w:bCs/>
        </w:rPr>
        <w:t xml:space="preserve">In certain instances, it may seem that the estimates from Table 3 and Table 6 are inconsistent, but this is because Table 3 provides the effect of </w:t>
      </w:r>
      <w:r w:rsidR="00144B40">
        <w:rPr>
          <w:rFonts w:cs="Times New Roman"/>
          <w:bCs/>
        </w:rPr>
        <w:t xml:space="preserve">each exogenous </w:t>
      </w:r>
      <w:r w:rsidR="00DD10B8">
        <w:rPr>
          <w:rFonts w:cs="Times New Roman"/>
          <w:bCs/>
        </w:rPr>
        <w:t xml:space="preserve">variable on </w:t>
      </w:r>
      <w:r w:rsidR="00144B40">
        <w:rPr>
          <w:rFonts w:cs="Times New Roman"/>
          <w:bCs/>
        </w:rPr>
        <w:t xml:space="preserve">the </w:t>
      </w:r>
      <w:r w:rsidR="00DD10B8">
        <w:rPr>
          <w:rFonts w:cs="Times New Roman"/>
          <w:bCs/>
        </w:rPr>
        <w:t xml:space="preserve">before-COVID and </w:t>
      </w:r>
      <w:r w:rsidR="00D13AA6">
        <w:rPr>
          <w:rFonts w:cs="Times New Roman"/>
          <w:bCs/>
        </w:rPr>
        <w:t>during</w:t>
      </w:r>
      <w:r w:rsidR="00DD10B8">
        <w:rPr>
          <w:rFonts w:cs="Times New Roman"/>
          <w:bCs/>
        </w:rPr>
        <w:t>-COVID utilities for the different factors, while Table 6 provides the ATEs for the magnitude of the shift effects</w:t>
      </w:r>
      <w:r w:rsidR="00EF0C20">
        <w:rPr>
          <w:rFonts w:cs="Times New Roman"/>
          <w:bCs/>
        </w:rPr>
        <w:t xml:space="preserve"> </w:t>
      </w:r>
      <w:r w:rsidR="00144B40">
        <w:rPr>
          <w:rFonts w:cs="Times New Roman"/>
          <w:bCs/>
        </w:rPr>
        <w:t>corresponding to each exogenous variable on the</w:t>
      </w:r>
      <w:r w:rsidR="00EF0C20">
        <w:rPr>
          <w:rFonts w:cs="Times New Roman"/>
          <w:bCs/>
        </w:rPr>
        <w:t xml:space="preserve"> </w:t>
      </w:r>
      <w:r w:rsidR="009E61BA">
        <w:rPr>
          <w:rFonts w:cs="Times New Roman"/>
          <w:bCs/>
        </w:rPr>
        <w:t xml:space="preserve">top-rank </w:t>
      </w:r>
      <w:r w:rsidR="00EF0C20">
        <w:rPr>
          <w:rFonts w:cs="Times New Roman"/>
          <w:bCs/>
        </w:rPr>
        <w:t>share</w:t>
      </w:r>
      <w:r w:rsidR="00144B40">
        <w:rPr>
          <w:rFonts w:cs="Times New Roman"/>
          <w:bCs/>
        </w:rPr>
        <w:t xml:space="preserve"> changes</w:t>
      </w:r>
      <w:r w:rsidR="00EF0C20">
        <w:rPr>
          <w:rFonts w:cs="Times New Roman"/>
          <w:bCs/>
        </w:rPr>
        <w:t xml:space="preserve"> between the before-COVID and </w:t>
      </w:r>
      <w:r w:rsidR="00D13AA6">
        <w:rPr>
          <w:rFonts w:cs="Times New Roman"/>
          <w:bCs/>
        </w:rPr>
        <w:t>during</w:t>
      </w:r>
      <w:r w:rsidR="00EF0C20">
        <w:rPr>
          <w:rFonts w:cs="Times New Roman"/>
          <w:bCs/>
        </w:rPr>
        <w:t>-COVID periods</w:t>
      </w:r>
      <w:r w:rsidR="00DD10B8">
        <w:rPr>
          <w:rFonts w:cs="Times New Roman"/>
          <w:bCs/>
        </w:rPr>
        <w:t>.</w:t>
      </w:r>
      <w:r w:rsidR="00206CEC">
        <w:rPr>
          <w:rStyle w:val="FootnoteReference"/>
          <w:rFonts w:cs="Times New Roman"/>
          <w:bCs/>
        </w:rPr>
        <w:footnoteReference w:id="6"/>
      </w:r>
      <w:r w:rsidR="00DD10B8">
        <w:rPr>
          <w:rFonts w:cs="Times New Roman"/>
          <w:bCs/>
        </w:rPr>
        <w:t xml:space="preserve"> </w:t>
      </w:r>
    </w:p>
    <w:p w14:paraId="0C5CE43D" w14:textId="77777777" w:rsidR="008011B1" w:rsidRDefault="008011B1" w:rsidP="00727863">
      <w:pPr>
        <w:autoSpaceDE w:val="0"/>
        <w:autoSpaceDN w:val="0"/>
        <w:adjustRightInd w:val="0"/>
        <w:spacing w:after="0" w:line="240" w:lineRule="auto"/>
        <w:jc w:val="both"/>
      </w:pPr>
    </w:p>
    <w:p w14:paraId="766F5ABE" w14:textId="17E5DF3B" w:rsidR="00B07364" w:rsidRDefault="003B66CE" w:rsidP="00727863">
      <w:pPr>
        <w:autoSpaceDE w:val="0"/>
        <w:autoSpaceDN w:val="0"/>
        <w:adjustRightInd w:val="0"/>
        <w:spacing w:after="0" w:line="240" w:lineRule="auto"/>
        <w:jc w:val="both"/>
      </w:pPr>
      <w:r>
        <w:rPr>
          <w:b/>
          <w:bCs/>
        </w:rPr>
        <w:t>4</w:t>
      </w:r>
      <w:r w:rsidR="008011B1" w:rsidRPr="007C035E">
        <w:rPr>
          <w:b/>
          <w:bCs/>
        </w:rPr>
        <w:t xml:space="preserve">.1 </w:t>
      </w:r>
      <w:r w:rsidR="00800A3E">
        <w:rPr>
          <w:b/>
          <w:bCs/>
        </w:rPr>
        <w:t xml:space="preserve">Changing Valuations for Space and Access to Friends and Family </w:t>
      </w:r>
    </w:p>
    <w:p w14:paraId="41EF0AC2" w14:textId="033183C6" w:rsidR="00524495" w:rsidRDefault="00750D1A" w:rsidP="00AE6744">
      <w:pPr>
        <w:autoSpaceDE w:val="0"/>
        <w:autoSpaceDN w:val="0"/>
        <w:adjustRightInd w:val="0"/>
        <w:spacing w:after="0" w:line="240" w:lineRule="auto"/>
        <w:jc w:val="both"/>
      </w:pPr>
      <w:r>
        <w:t>The COVID-19 pandemic had broad implications for our conceptualization of space and separation. Fears of infection and lockdowns that kept people in their homes for extended periods of time, sometimes in overcrowded conditions for daily activities</w:t>
      </w:r>
      <w:r w:rsidR="00144B40">
        <w:t>, appear to</w:t>
      </w:r>
      <w:r>
        <w:t xml:space="preserve"> ha</w:t>
      </w:r>
      <w:r w:rsidR="00852F28">
        <w:t>ve</w:t>
      </w:r>
      <w:r>
        <w:t xml:space="preserve"> changed the way</w:t>
      </w:r>
      <w:r w:rsidR="00144B40">
        <w:t xml:space="preserve"> </w:t>
      </w:r>
      <w:r>
        <w:t xml:space="preserve">many people prioritize their own personal space. </w:t>
      </w:r>
      <w:r w:rsidR="00524495">
        <w:t xml:space="preserve">The results in Table 6 reveal that retired adults, White and Asian households, and households with </w:t>
      </w:r>
      <w:r w:rsidR="00C4634D">
        <w:t xml:space="preserve">three or more </w:t>
      </w:r>
      <w:r w:rsidR="00524495">
        <w:t>vehicles have all begun to place</w:t>
      </w:r>
      <w:r w:rsidR="00F6242F">
        <w:t xml:space="preserve"> a much</w:t>
      </w:r>
      <w:r w:rsidR="00524495">
        <w:t xml:space="preserve"> greater emphasis on having space and separation from other</w:t>
      </w:r>
      <w:r w:rsidR="00144B40">
        <w:t>s</w:t>
      </w:r>
      <w:r w:rsidR="00524495">
        <w:t xml:space="preserve"> since the pandemic.</w:t>
      </w:r>
      <w:r w:rsidR="00E15613">
        <w:t xml:space="preserve"> </w:t>
      </w:r>
      <w:r w:rsidR="008839AD">
        <w:t>Th</w:t>
      </w:r>
      <w:r w:rsidR="0054517C">
        <w:t>is</w:t>
      </w:r>
      <w:r w:rsidR="007A6021">
        <w:t xml:space="preserve"> </w:t>
      </w:r>
      <w:r w:rsidR="0054517C">
        <w:t>changing</w:t>
      </w:r>
      <w:r w:rsidR="00E15613">
        <w:t xml:space="preserve"> </w:t>
      </w:r>
      <w:r w:rsidR="00144B40">
        <w:t xml:space="preserve">space </w:t>
      </w:r>
      <w:r w:rsidR="008839AD">
        <w:t xml:space="preserve">prioritization </w:t>
      </w:r>
      <w:r w:rsidR="00144B40">
        <w:t xml:space="preserve">suggests </w:t>
      </w:r>
      <w:r w:rsidR="008839AD">
        <w:t>a growing preference for suburban</w:t>
      </w:r>
      <w:r w:rsidR="00144B40">
        <w:t>/rural</w:t>
      </w:r>
      <w:r w:rsidR="008839AD">
        <w:t xml:space="preserve"> </w:t>
      </w:r>
      <w:r w:rsidR="00144B40">
        <w:t xml:space="preserve">residential </w:t>
      </w:r>
      <w:r w:rsidR="009E61BA">
        <w:t xml:space="preserve">type </w:t>
      </w:r>
      <w:r w:rsidR="00144B40">
        <w:t xml:space="preserve">areas </w:t>
      </w:r>
      <w:r w:rsidR="0054517C">
        <w:t>among these population</w:t>
      </w:r>
      <w:r w:rsidR="00144B40">
        <w:t xml:space="preserve"> subgroups, which can have the result of increasing </w:t>
      </w:r>
      <w:r w:rsidR="008839AD">
        <w:t xml:space="preserve">trip distances for both work and nonwork trips and greater reliance on private vehicles. </w:t>
      </w:r>
      <w:r w:rsidR="00144B40">
        <w:t xml:space="preserve">While some of these individuals may have more options to telework and may make </w:t>
      </w:r>
      <w:r w:rsidR="0054517C">
        <w:t xml:space="preserve">fewer commute trips, they </w:t>
      </w:r>
      <w:r w:rsidR="00144B40">
        <w:t xml:space="preserve">will generally have </w:t>
      </w:r>
      <w:r w:rsidR="0054517C">
        <w:t xml:space="preserve">longer commutes as well as </w:t>
      </w:r>
      <w:r w:rsidR="00144B40">
        <w:t xml:space="preserve">generate </w:t>
      </w:r>
      <w:r w:rsidR="0054517C">
        <w:t>new travel patterns for leisure trips</w:t>
      </w:r>
      <w:r w:rsidR="00C218B2">
        <w:t xml:space="preserve"> </w:t>
      </w:r>
      <w:r w:rsidR="00F11F32">
        <w:fldChar w:fldCharType="begin"/>
      </w:r>
      <w:r w:rsidR="00A964D1">
        <w:instrText xml:space="preserve"> ADDIN ZOTERO_ITEM CSL_CITATION {"citationID":"nal4RmMq","properties":{"unsorted":true,"formattedCitation":"(Zenkteler et al., 2022; Caldarola and Sorrell, 2022; Robbennolt et al., 2024)","plainCitation":"(Zenkteler et al., 2022; Caldarola and Sorrell, 2022; Robbennolt et al., 2024)","noteIndex":0},"citationItems":[{"id":817,"uris":["http://zotero.org/users/12832277/items/ZAVAGXCH"],"itemData":{"id":817,"type":"article-journal","abstract":"Home-based work is becoming an increasingly popular form of work in cities, fuelled by technological advances, lifestyle preferences, demographical change and rapid evolution of the knowledge economy. In many cities, particularly those planned and developed with intentional separation of land uses, this return of economic activities to residential neighbourhoods brings along both lifestyle opportunities and spatial challenges. Attempts to formulate appropriate urban planning responses are hindered by the limited understanding of home-based workers’ needs and aspirations, as well as their impacts on the built environment. Responding to this knowledge gap, this paper presents the results of a survey focused on urban planning implications of home-based work within the City of Gold Coast (Queensland, Australia). The findings provide strong evidence of home-based workers’ preferences for neighbourhoods that integrate residential amenities with place-making initiatives to enhance economic performance, networking and collaboration. Several urban planning recommendations are provided in three separate scenarios to facilitate the formulation of strategies prompting a gradual evolution of residential neighbourhoods towards live/work urban environments.","container-title":"Futures","DOI":"10.1016/j.futures.2019.102494","ISSN":"0016-3287","language":"en","page":"102494","source":"ScienceDirect","title":"Home-Based Work in Cities: In Search of an Appropriate Urban Planning Response","title-short":"Home-Based Work in Cities","volume":"135","author":[{"family":"Zenkteler","given":"Matthew"},{"family":"Darchen","given":"Sebastien"},{"family":"Mateo-Babiano","given":"Iderlina"},{"family":"Baffour","given":"Bernard"}],"issued":{"date-parts":[["2022",1,1]]}}},{"id":680,"uris":["http://zotero.org/users/12832277/items/ECYSL4NQ"],"itemData":{"id":680,"type":"article-journal","abstract":"The global pandemic has revived debates about the contribution of teleworking to reducing travel, air pollution and carbon emissions. However, previous research suggests that the availability of teleworking may encourage people to move farther from their place of work, creating the risk that longer commutes will offset the benefits of fewer commutes. In addition, teleworking may encourage additional non-work travel by the teleworker, and/or influence the travel behaviour of other household members. These complex interactions make the overall impacts of teleworking difficult to predict. In this context, we use data from the English National Travel Survey to estimate the impact of teleworking on the travel patterns of English households over the period 2005–2019. We compare the number of trips and distance travelled by teleworkers each week with the number of trips and distance travelled by non-teleworkers, controlling for a range of socio-economic, demographic and regional variables. We estimate the impact of teleworking on travel by purpose (commuting, non-work and business) and by mode (car, public transport and active travel) and investigate the impact on the travel patterns of other household members. Our results provide little support for the claim that teleworking reduces travel. Indeed, after controlling for a range of variables, we find that the majority of English teleworkers travel farther each week than non-teleworkers. This results from a combination of longer commutes and additional non-work travel. There appears to be a ‘tipping point’, however. If people telework three or more times a week, their weekly private travel (commuting + non-work) is less than that of non-teleworkers. We also find that the total weekly travel of all household members is greater in households where one member is teleworking, suggesting the presence of intra-household effects that further erode the benefits of fewer commutes. We additionally find that teleworkers engage in more business travel than non-teleworkers, although the reasons for this association are unclear. We discuss the factors contributing to these results and indicate priorities for further research.","container-title":"Transportation Research Part A: Policy and Practice","DOI":"10.1016/j.tra.2022.03.026","ISSN":"0965-8564","language":"en","page":"282-303","source":"ScienceDirect","title":"Do Teleworkers Travel Less? Evidence from the English National Travel Survey","volume":"159","author":[{"family":"Caldarola","given":"Bernardo"},{"family":"Sorrell","given":"Steve"}],"issued":{"date-parts":[["2022",5,1]]}}},{"id":1977,"uris":["http://zotero.org/users/12832277/items/78JZET84"],"itemData":{"id":1977,"type":"article-journal","container-title":"Technical paper, Department of Civil, Architectural and Environmental Engineering, The University of Texas at Austin","title":"Housing Choice in an Evolving Remote Work Landscape","author":[{"family":"Robbennolt","given":"Dale"},{"family":"Haddad","given":"Angela"},{"family":"Mondal","given":"Aupal"},{"family":"Bhat","given":"Chandra R."}],"issued":{"date-parts":[["2024",5]]}}}],"schema":"https://github.com/citation-style-language/schema/raw/master/csl-citation.json"} </w:instrText>
      </w:r>
      <w:r w:rsidR="00F11F32">
        <w:fldChar w:fldCharType="separate"/>
      </w:r>
      <w:r w:rsidR="00A964D1" w:rsidRPr="00A964D1">
        <w:rPr>
          <w:rFonts w:cs="Times New Roman"/>
        </w:rPr>
        <w:t>(</w:t>
      </w:r>
      <w:r w:rsidR="00A964D1">
        <w:rPr>
          <w:rFonts w:cs="Times New Roman"/>
        </w:rPr>
        <w:t xml:space="preserve">see </w:t>
      </w:r>
      <w:r w:rsidR="00A964D1" w:rsidRPr="00A964D1">
        <w:rPr>
          <w:rFonts w:cs="Times New Roman"/>
        </w:rPr>
        <w:t>Zenkteler et al., 2022; Caldarola and Sorrell, 2022; Robbennolt et al., 2024)</w:t>
      </w:r>
      <w:r w:rsidR="00F11F32">
        <w:fldChar w:fldCharType="end"/>
      </w:r>
      <w:r w:rsidR="0054517C">
        <w:t xml:space="preserve">. </w:t>
      </w:r>
    </w:p>
    <w:p w14:paraId="418283F4" w14:textId="4E33D46D" w:rsidR="007A35DB" w:rsidRDefault="0054517C" w:rsidP="001A5FD9">
      <w:pPr>
        <w:autoSpaceDE w:val="0"/>
        <w:autoSpaceDN w:val="0"/>
        <w:adjustRightInd w:val="0"/>
        <w:spacing w:after="0" w:line="240" w:lineRule="auto"/>
        <w:ind w:firstLine="720"/>
        <w:jc w:val="both"/>
        <w:rPr>
          <w:b/>
          <w:bCs/>
        </w:rPr>
      </w:pPr>
      <w:r>
        <w:t>At the same time, lockdowns prevented many individuals from visiting friends and families for extended periods of time, particularly for those living f</w:t>
      </w:r>
      <w:r w:rsidR="00416028">
        <w:t xml:space="preserve">ar away </w:t>
      </w:r>
      <w:r>
        <w:t>from relatives. Therefore, it is unsurprising that we see an overall shift in preference toward being close to friends and family since the pandemic (</w:t>
      </w:r>
      <w:r w:rsidR="003609BA">
        <w:t>20.02</w:t>
      </w:r>
      <w:r>
        <w:t>%</w:t>
      </w:r>
      <w:r w:rsidR="00416028">
        <w:t>; see the second numeric entry in the last row of Table 6</w:t>
      </w:r>
      <w:r>
        <w:t>)</w:t>
      </w:r>
      <w:r w:rsidR="009E61BA">
        <w:t>. The</w:t>
      </w:r>
      <w:r>
        <w:t xml:space="preserve"> shift</w:t>
      </w:r>
      <w:r w:rsidR="009E61BA">
        <w:t xml:space="preserve"> </w:t>
      </w:r>
      <w:r>
        <w:t xml:space="preserve">is particularly apparent for </w:t>
      </w:r>
      <w:r w:rsidR="00416028">
        <w:t xml:space="preserve">those without children, </w:t>
      </w:r>
      <w:r>
        <w:t xml:space="preserve">retired adults, </w:t>
      </w:r>
      <w:r w:rsidR="007725B0">
        <w:t>high</w:t>
      </w:r>
      <w:r>
        <w:t xml:space="preserve">-income families, </w:t>
      </w:r>
      <w:r w:rsidR="00416028">
        <w:t xml:space="preserve">and </w:t>
      </w:r>
      <w:r w:rsidR="003F03AB">
        <w:t>Hispanic households</w:t>
      </w:r>
      <w:r>
        <w:t xml:space="preserve">. This </w:t>
      </w:r>
      <w:r w:rsidR="009E61BA">
        <w:t xml:space="preserve">bi-directional </w:t>
      </w:r>
      <w:r w:rsidR="00702F1D">
        <w:t>push-</w:t>
      </w:r>
      <w:r w:rsidR="009E61BA">
        <w:t xml:space="preserve">pull </w:t>
      </w:r>
      <w:r>
        <w:t>dichotomy for more space and separation</w:t>
      </w:r>
      <w:r w:rsidR="009E61BA">
        <w:t xml:space="preserve"> </w:t>
      </w:r>
      <w:r w:rsidR="0020715D">
        <w:t xml:space="preserve">on the one hand, and </w:t>
      </w:r>
      <w:r>
        <w:t xml:space="preserve">greater access to friends and family </w:t>
      </w:r>
      <w:r w:rsidR="0020715D">
        <w:t xml:space="preserve">on the other, </w:t>
      </w:r>
      <w:r>
        <w:t>highlights the</w:t>
      </w:r>
      <w:r w:rsidR="00416028">
        <w:t xml:space="preserve"> challenges </w:t>
      </w:r>
      <w:r>
        <w:t xml:space="preserve">families </w:t>
      </w:r>
      <w:r w:rsidR="00416028">
        <w:t xml:space="preserve">face </w:t>
      </w:r>
      <w:r>
        <w:t xml:space="preserve">to maintain social connections </w:t>
      </w:r>
      <w:r w:rsidR="00416028">
        <w:t xml:space="preserve">and also </w:t>
      </w:r>
      <w:r>
        <w:t xml:space="preserve">stay safe </w:t>
      </w:r>
      <w:r w:rsidR="00416028">
        <w:t>from sickness contagions</w:t>
      </w:r>
      <w:r>
        <w:t>.</w:t>
      </w:r>
      <w:r w:rsidR="001A5FD9">
        <w:t xml:space="preserve"> </w:t>
      </w:r>
      <w:r w:rsidR="009E61BA">
        <w:t>Especial</w:t>
      </w:r>
      <w:r w:rsidR="00761EBB">
        <w:t>l</w:t>
      </w:r>
      <w:r w:rsidR="009E61BA">
        <w:t xml:space="preserve">y in the context of </w:t>
      </w:r>
      <w:r w:rsidR="00D863DE">
        <w:t>meeting the needs of aging and retired individuals</w:t>
      </w:r>
      <w:r w:rsidR="00416028">
        <w:t>, o</w:t>
      </w:r>
      <w:r w:rsidR="00D863DE">
        <w:t xml:space="preserve">ur results </w:t>
      </w:r>
      <w:r w:rsidR="00702F1D">
        <w:t>underscore</w:t>
      </w:r>
      <w:r w:rsidR="00D863DE">
        <w:t xml:space="preserve"> the </w:t>
      </w:r>
      <w:r w:rsidR="003E1BA5">
        <w:t xml:space="preserve">significance </w:t>
      </w:r>
      <w:r w:rsidR="00D863DE">
        <w:t xml:space="preserve">of </w:t>
      </w:r>
      <w:r w:rsidR="00416028">
        <w:t xml:space="preserve">urban design and housing policies that </w:t>
      </w:r>
      <w:r w:rsidR="00D863DE">
        <w:t>keep older adults connected to activities in their local communities to prevent social isolation.</w:t>
      </w:r>
      <w:r w:rsidR="006D741D">
        <w:t xml:space="preserve"> </w:t>
      </w:r>
      <w:r w:rsidR="00761EBB">
        <w:t xml:space="preserve">Such policies </w:t>
      </w:r>
      <w:r w:rsidR="006D741D">
        <w:t xml:space="preserve">could include </w:t>
      </w:r>
      <w:r w:rsidR="00416028">
        <w:t xml:space="preserve">“aging in place” efforts that </w:t>
      </w:r>
      <w:r w:rsidR="00D863DE">
        <w:t>help keep older adults in their homes and communities where they have existing connections to the space (both their home and neighborhood) as well as close friends and family</w:t>
      </w:r>
      <w:r w:rsidR="007C035E">
        <w:t xml:space="preserve"> </w:t>
      </w:r>
      <w:r w:rsidR="007C035E">
        <w:fldChar w:fldCharType="begin"/>
      </w:r>
      <w:r w:rsidR="00960373">
        <w:instrText xml:space="preserve"> ADDIN ZOTERO_ITEM CSL_CITATION {"citationID":"WnvSYxUY","properties":{"formattedCitation":"(Pani-Harreman et al., 2021)","plainCitation":"(Pani-Harreman et al., 2021)","dontUpdate":true,"noteIndex":0},"citationItems":[{"id":3021,"uris":["http://zotero.org/users/12832277/items/3XXUNMDM"],"itemData":{"id":3021,"type":"article-journal","abstract":"The purpose is to give an overview of the extent, range and nature of existing definitions of the concept ‘ageing in place’. Providing such an overview may be helpful, for policy makers, researchers, communities and service providers, to make sense of the versatility and uses of the concept, and allow the improvement and increase the success of efforts to contribute to the quality of life of older people. The overview was created using Arksey and O'Malley's scoping review methodology. Out of 3,692 retrieved articles, 34 met the inclusion criteria. These studies concentrate on the following five key themes concerning ‘ageing in place’: ‘ageing in place’ in relation to place, to social networks, to support, to technology and to personal characteristics. Each of these key themes consists of other aspects, like physical place and attachment to place for the keyword place. This study concludes that the concept ‘ageing in place’ is broad and can be viewed from different (i.e. five) key themes. A more thorough understanding of ‘ageing in place’ provides knowledge about the existing key themes and aspects. These findings might provide practical support for professionals and governments when they develop their policies about ‘ageing in place’ integrally and to develop fit policies.","container-title":"Ageing &amp; Society","DOI":"10.1017/S0144686X20000094","ISSN":"0144-686X, 1469-1779","issue":"9","language":"en","page":"2026-2059","source":"Cambridge University Press","title":"Definitions, Key Themes and Aspects of ‘Ageing in Place’: A Scoping Review","volume":"41","author":[{"family":"Pani-Harreman","given":"Katinka E."},{"family":"Bours","given":"Gerrie J. J. W."},{"family":"Zander","given":"Inés"},{"family":"Kempen","given":"Gertrudis I. J. M."},{"family":"Duren","given":"Joop M. A.","dropping-particle":"van"}],"issued":{"date-parts":[["2021",9]]}}}],"schema":"https://github.com/citation-style-language/schema/raw/master/csl-citation.json"} </w:instrText>
      </w:r>
      <w:r w:rsidR="007C035E">
        <w:fldChar w:fldCharType="separate"/>
      </w:r>
      <w:r w:rsidR="007C035E" w:rsidRPr="007C035E">
        <w:rPr>
          <w:rFonts w:cs="Times New Roman"/>
        </w:rPr>
        <w:t>(</w:t>
      </w:r>
      <w:r w:rsidR="007C035E">
        <w:rPr>
          <w:rFonts w:cs="Times New Roman"/>
        </w:rPr>
        <w:t xml:space="preserve">see </w:t>
      </w:r>
      <w:r w:rsidR="007C035E" w:rsidRPr="007C035E">
        <w:rPr>
          <w:rFonts w:cs="Times New Roman"/>
        </w:rPr>
        <w:t>Pani-Harreman et al., 2021)</w:t>
      </w:r>
      <w:r w:rsidR="007C035E">
        <w:fldChar w:fldCharType="end"/>
      </w:r>
      <w:r w:rsidR="00D863DE">
        <w:t xml:space="preserve">. </w:t>
      </w:r>
      <w:r w:rsidR="00AD59C6">
        <w:t xml:space="preserve">A key barrier, however, is cost. Early in the pandemic, many governments implemented a wide range of policies to reduce the economic shock, including </w:t>
      </w:r>
      <w:r w:rsidR="00AD59C6">
        <w:lastRenderedPageBreak/>
        <w:t xml:space="preserve">income support, eviction bans, and support for renters and mortgage holders. However, many of these programs expired soon after lockdowns ended, and our results suggest that the importance placed on affordability increased significantly for retired individuals </w:t>
      </w:r>
      <w:r w:rsidR="00A82508">
        <w:t>during</w:t>
      </w:r>
      <w:r w:rsidR="00AD59C6">
        <w:t xml:space="preserve"> the pandemic. Therefore, additional measures to help keep retired adults in their homes and communities </w:t>
      </w:r>
      <w:r w:rsidR="00C218B2">
        <w:t>w</w:t>
      </w:r>
      <w:r>
        <w:t>ould</w:t>
      </w:r>
      <w:r w:rsidR="00EC36E0">
        <w:t xml:space="preserve"> provide security against other potential shocks to the housing market. </w:t>
      </w:r>
    </w:p>
    <w:p w14:paraId="2192A56C" w14:textId="0EA76301" w:rsidR="00F11F32" w:rsidRPr="00F11F32" w:rsidRDefault="001A5FD9" w:rsidP="0054517C">
      <w:pPr>
        <w:autoSpaceDE w:val="0"/>
        <w:autoSpaceDN w:val="0"/>
        <w:adjustRightInd w:val="0"/>
        <w:spacing w:after="0" w:line="240" w:lineRule="auto"/>
        <w:jc w:val="both"/>
        <w:rPr>
          <w:b/>
          <w:bCs/>
        </w:rPr>
      </w:pPr>
      <w:r>
        <w:tab/>
        <w:t>Finally, in contrast</w:t>
      </w:r>
      <w:r w:rsidR="00C218B2">
        <w:t xml:space="preserve"> to most other population subgroups</w:t>
      </w:r>
      <w:r>
        <w:t>,</w:t>
      </w:r>
      <w:r w:rsidR="0020715D">
        <w:t xml:space="preserve"> </w:t>
      </w:r>
      <w:r>
        <w:t xml:space="preserve">those with children </w:t>
      </w:r>
      <w:r w:rsidR="0020715D">
        <w:t xml:space="preserve">and Black families </w:t>
      </w:r>
      <w:r>
        <w:t>place less emphasis on having space and separation than they did before the pandemic.</w:t>
      </w:r>
      <w:r w:rsidR="00D80F2D">
        <w:t xml:space="preserve"> Families with children </w:t>
      </w:r>
      <w:r w:rsidR="00F11F32">
        <w:t xml:space="preserve">have </w:t>
      </w:r>
      <w:r w:rsidR="00D80F2D">
        <w:t>tended to return to in-person activities more quickly</w:t>
      </w:r>
      <w:r w:rsidR="00F11F32">
        <w:t xml:space="preserve">, prioritizing returns to in-person school and socialization for children. Black families </w:t>
      </w:r>
      <w:r w:rsidR="00C218B2">
        <w:t xml:space="preserve">were </w:t>
      </w:r>
      <w:r w:rsidR="00F11F32">
        <w:t xml:space="preserve">also </w:t>
      </w:r>
      <w:r w:rsidR="00C218B2">
        <w:t xml:space="preserve">more likely to return to in-person interactions quickly </w:t>
      </w:r>
      <w:r w:rsidR="00C218B2">
        <w:fldChar w:fldCharType="begin"/>
      </w:r>
      <w:r w:rsidR="00C218B2">
        <w:instrText xml:space="preserve"> ADDIN ZOTERO_ITEM CSL_CITATION {"citationID":"q8IuI3n5","properties":{"formattedCitation":"(Eboigbe et al., 2023; Franco et al., 2024)","plainCitation":"(Eboigbe et al., 2023; Franco et al., 2024)","noteIndex":0},"citationItems":[{"id":3091,"uris":["http://zotero.org/users/12832277/items/EZK7QHTI"],"itemData":{"id":3091,"type":"article-journal","abstract":"During the COVID-19 pandemic, U.S. youth faced various stressors that affected their schooling experiences, social relationships, family dynamics, and communities. These stressors negatively impacted youths' mental health. Compared to White youths, ethnic-racial minority youths were disproportionately affected by COVID-19-related health disparities and experienced elevated worry and stress. In particular, Black and Asian American youths faced the compounded effects of a dual pandemic due to their navigation of both COVID-19-related stressors and increased exposure to racial discrimination and racial injustice, which worsened their mental health outcomes. However, protective processes such as social support, ethnic-racial identity, and ethnic-racial socialization emerged as mechanisms that attenuated the effects of COVID-related stressors on ethnic-racial youths’ mental health and promoted their positive adaptation and psychosocial well-being.","container-title":"Current Opinion in Psychology","DOI":"10.1016/j.copsyc.2023.101626","ISSN":"2352-250X","source":"ScienceDirect","title":"The Compounded Effect of the Dual Pandemic on Ethnic-Racial Minority Adolescents' Mental Health and Psychosocial Well-Being","URL":"https://www.sciencedirect.com/science/article/pii/S2352250X23000714","volume":"52","author":[{"family":"Eboigbe","given":"Loretta I."},{"family":"Simon","given":"Carlisa B."},{"family":"Wang","given":"Yuqi S."},{"family":"Tyrell","given":"Fanita A."}],"accessed":{"date-parts":[["2024",5,5]]},"issued":{"date-parts":[["2023",8,1]]}}},{"id":3094,"uris":["http://zotero.org/users/12832277/items/TZEAAJPY"],"itemData":{"id":3094,"type":"article-journal","abstract":"We examine whether the COVID-19 pandemic was associated with changes to daily activity limitations due to poor physical or mental health and whether those changes were different within and between gendered and racialized groups. We analyze 497,302 observations across the 2019 and 2020 waves of the Centers for Disease Control and Prevention Behavioral Risk Factor Surveillance System survey. Among White men and women, the COVID-19 pandemic was associated with fewer days of health-related activity limitations and decreased frequent activity limitation (≥14 days in the past month) compared to the prepandemic period. By contrast, Latina and Black women experienced increased days of activity limitation and greater likelihood of frequent activity limitation, and these changes were significantly different than for White women. These findings are robust to the inclusion of structural inequality measures and demonstrate how systemic racism and sexism likely exacerbate a myriad of pandemic-related health problems.","container-title":"Journal of Health and Social Behavior","DOI":"10.1177/00221465231199734","ISSN":"0022-1465","issue":"1","language":"en","note":"publisher: SAGE Publications Inc","page":"60-74","source":"SAGE Journals","title":"COVID-19’s Unequal Toll: Differences in Health-Related Quality of Life by Gendered and Racialized Groups","volume":"65","author":[{"family":"Franco","given":"Konrad"},{"family":"Patler","given":"Caitlin"},{"family":"Pirtle","given":"Whitney Laster"}],"issued":{"date-parts":[["2024",3,1]]}}}],"schema":"https://github.com/citation-style-language/schema/raw/master/csl-citation.json"} </w:instrText>
      </w:r>
      <w:r w:rsidR="00C218B2">
        <w:fldChar w:fldCharType="separate"/>
      </w:r>
      <w:r w:rsidR="00C218B2" w:rsidRPr="009C5E12">
        <w:rPr>
          <w:rFonts w:cs="Times New Roman"/>
        </w:rPr>
        <w:t>(Eboigbe et al., 2023; Franco et al., 2024)</w:t>
      </w:r>
      <w:r w:rsidR="00C218B2">
        <w:fldChar w:fldCharType="end"/>
      </w:r>
      <w:r w:rsidR="00C218B2">
        <w:t xml:space="preserve">, in part due to  </w:t>
      </w:r>
      <w:r w:rsidR="00F11F32">
        <w:t xml:space="preserve">social isolation during lockdowns, less access to technology for online activity participation (particularly at the start of the pandemic), </w:t>
      </w:r>
      <w:r w:rsidR="00C218B2">
        <w:t xml:space="preserve">and </w:t>
      </w:r>
      <w:r w:rsidR="00A03E2E">
        <w:t>less access to safe public outdoor spaces for activities</w:t>
      </w:r>
      <w:r w:rsidR="00C218B2">
        <w:t xml:space="preserve">. </w:t>
      </w:r>
      <w:r w:rsidR="00F11F32">
        <w:t xml:space="preserve">Therefore, it is unsurprising that these families </w:t>
      </w:r>
      <w:r w:rsidR="00761EBB">
        <w:t xml:space="preserve">give less importance to </w:t>
      </w:r>
      <w:r w:rsidR="00F11F32">
        <w:t>space and separation from others</w:t>
      </w:r>
      <w:r w:rsidR="00761EBB">
        <w:t xml:space="preserve">, and more importance to </w:t>
      </w:r>
      <w:r w:rsidR="00F11F32">
        <w:t xml:space="preserve">neighborhood features </w:t>
      </w:r>
      <w:r w:rsidR="00C218B2">
        <w:t xml:space="preserve">such as </w:t>
      </w:r>
      <w:r w:rsidR="00F11F32">
        <w:t xml:space="preserve">walkability, </w:t>
      </w:r>
      <w:r w:rsidR="00A64507">
        <w:t xml:space="preserve">commute distance, </w:t>
      </w:r>
      <w:r w:rsidR="00F11F32">
        <w:t>access to museums and cultural activities, and access to friends and family.</w:t>
      </w:r>
      <w:r w:rsidR="005778FA">
        <w:t xml:space="preserve"> These results </w:t>
      </w:r>
      <w:r w:rsidR="003E1BA5">
        <w:t xml:space="preserve">suggest the need to </w:t>
      </w:r>
      <w:r w:rsidR="005778FA">
        <w:t xml:space="preserve">broaden access to online opportunities, so that </w:t>
      </w:r>
      <w:r w:rsidR="00761EBB">
        <w:t>Black</w:t>
      </w:r>
      <w:r w:rsidR="005778FA">
        <w:t xml:space="preserve"> communities can maintain close connections and high levels of activity participation in the event of other future disruptions. </w:t>
      </w:r>
      <w:r w:rsidR="003E1BA5">
        <w:t>T</w:t>
      </w:r>
      <w:r w:rsidR="005778FA">
        <w:t>he prioritization of investments in public infrastructure in disadvantaged communities to promote walkability and access to local opportunities</w:t>
      </w:r>
      <w:r w:rsidR="003E1BA5">
        <w:t xml:space="preserve"> should also be beneficial, as discussed next</w:t>
      </w:r>
      <w:r w:rsidR="00C218B2">
        <w:t>.</w:t>
      </w:r>
    </w:p>
    <w:p w14:paraId="547BAE48" w14:textId="77777777" w:rsidR="00B07364" w:rsidRDefault="00B07364" w:rsidP="00727863">
      <w:pPr>
        <w:autoSpaceDE w:val="0"/>
        <w:autoSpaceDN w:val="0"/>
        <w:adjustRightInd w:val="0"/>
        <w:spacing w:after="0" w:line="240" w:lineRule="auto"/>
        <w:jc w:val="both"/>
        <w:rPr>
          <w:b/>
          <w:bCs/>
        </w:rPr>
      </w:pPr>
    </w:p>
    <w:p w14:paraId="62EA9D97" w14:textId="029A6769" w:rsidR="00B07364" w:rsidRDefault="003B66CE" w:rsidP="00727863">
      <w:pPr>
        <w:autoSpaceDE w:val="0"/>
        <w:autoSpaceDN w:val="0"/>
        <w:adjustRightInd w:val="0"/>
        <w:spacing w:after="0" w:line="240" w:lineRule="auto"/>
        <w:jc w:val="both"/>
        <w:rPr>
          <w:b/>
          <w:bCs/>
        </w:rPr>
      </w:pPr>
      <w:r>
        <w:rPr>
          <w:b/>
          <w:bCs/>
        </w:rPr>
        <w:t>4</w:t>
      </w:r>
      <w:r w:rsidR="00B07364">
        <w:rPr>
          <w:b/>
          <w:bCs/>
        </w:rPr>
        <w:t xml:space="preserve">.2 Growing Preference for Walkability and </w:t>
      </w:r>
      <w:r w:rsidR="00926420">
        <w:rPr>
          <w:b/>
          <w:bCs/>
        </w:rPr>
        <w:t xml:space="preserve">Being Near </w:t>
      </w:r>
      <w:r w:rsidR="00B07364">
        <w:rPr>
          <w:b/>
          <w:bCs/>
        </w:rPr>
        <w:t>Local Activities</w:t>
      </w:r>
    </w:p>
    <w:p w14:paraId="740BA8BC" w14:textId="31B5EF01" w:rsidR="00761EBB" w:rsidRDefault="00A5634A" w:rsidP="00B91564">
      <w:pPr>
        <w:autoSpaceDE w:val="0"/>
        <w:autoSpaceDN w:val="0"/>
        <w:adjustRightInd w:val="0"/>
        <w:spacing w:after="0" w:line="240" w:lineRule="auto"/>
        <w:jc w:val="both"/>
      </w:pPr>
      <w:r>
        <w:t>Although the</w:t>
      </w:r>
      <w:r w:rsidR="004B689C">
        <w:t xml:space="preserve"> overall growth in preference for walkability </w:t>
      </w:r>
      <w:r w:rsidR="00C218B2">
        <w:t xml:space="preserve">in Table 6 </w:t>
      </w:r>
      <w:r>
        <w:t xml:space="preserve">is small </w:t>
      </w:r>
      <w:r w:rsidR="00EB53AF">
        <w:t xml:space="preserve">(a </w:t>
      </w:r>
      <w:r w:rsidR="00B96409">
        <w:t>1</w:t>
      </w:r>
      <w:r>
        <w:t>.15</w:t>
      </w:r>
      <w:r w:rsidR="00EB53AF">
        <w:t>% increase)</w:t>
      </w:r>
      <w:r>
        <w:t xml:space="preserve">, </w:t>
      </w:r>
      <w:r w:rsidR="00C218B2">
        <w:t>the</w:t>
      </w:r>
      <w:r w:rsidR="00926420">
        <w:t>re is</w:t>
      </w:r>
      <w:r w:rsidR="00C218B2">
        <w:t xml:space="preserve"> </w:t>
      </w:r>
      <w:r>
        <w:t>growin</w:t>
      </w:r>
      <w:r w:rsidR="00C218B2">
        <w:t xml:space="preserve">g </w:t>
      </w:r>
      <w:r>
        <w:t xml:space="preserve">prioritization </w:t>
      </w:r>
      <w:r w:rsidR="00926420">
        <w:t xml:space="preserve">for </w:t>
      </w:r>
      <w:r>
        <w:t xml:space="preserve">walkability </w:t>
      </w:r>
      <w:r w:rsidR="00C218B2">
        <w:t xml:space="preserve">among </w:t>
      </w:r>
      <w:r>
        <w:t xml:space="preserve">several </w:t>
      </w:r>
      <w:r w:rsidR="00C218B2">
        <w:t xml:space="preserve">population </w:t>
      </w:r>
      <w:r>
        <w:t>groups</w:t>
      </w:r>
      <w:r w:rsidR="00926420">
        <w:t xml:space="preserve">. This is evident, for example, </w:t>
      </w:r>
      <w:r w:rsidR="003710A8">
        <w:t>among</w:t>
      </w:r>
      <w:r w:rsidR="004B689C">
        <w:t xml:space="preserve"> families with children</w:t>
      </w:r>
      <w:r w:rsidR="00EB53AF">
        <w:t xml:space="preserve"> who are </w:t>
      </w:r>
      <w:r w:rsidR="006A7E4E">
        <w:t>17.87</w:t>
      </w:r>
      <w:r w:rsidR="00EB53AF">
        <w:t xml:space="preserve">% more likely to rank walkability first after the </w:t>
      </w:r>
      <w:r w:rsidR="00A82508">
        <w:t xml:space="preserve">onset of </w:t>
      </w:r>
      <w:r w:rsidR="00EB53AF">
        <w:t>pandemic</w:t>
      </w:r>
      <w:r w:rsidR="004B689C">
        <w:t xml:space="preserve">, </w:t>
      </w:r>
      <w:r w:rsidR="00926420">
        <w:t xml:space="preserve">presumably due to </w:t>
      </w:r>
      <w:r w:rsidR="004B689C">
        <w:t xml:space="preserve">a desire for outdoor spaces </w:t>
      </w:r>
      <w:r w:rsidR="005E6F7B">
        <w:t>and</w:t>
      </w:r>
      <w:r w:rsidR="004B689C">
        <w:t xml:space="preserve"> social</w:t>
      </w:r>
      <w:r w:rsidR="00926420">
        <w:t>/</w:t>
      </w:r>
      <w:r w:rsidR="004B689C">
        <w:t xml:space="preserve">recreational activities for young children. </w:t>
      </w:r>
      <w:r w:rsidR="005E6F7B">
        <w:t xml:space="preserve">Additionally, </w:t>
      </w:r>
      <w:r w:rsidR="00926420">
        <w:t xml:space="preserve">households with at least one member holding a </w:t>
      </w:r>
      <w:r w:rsidR="006371A4">
        <w:t>bachelor’s</w:t>
      </w:r>
      <w:r w:rsidR="00926420">
        <w:t xml:space="preserve"> degree o</w:t>
      </w:r>
      <w:r w:rsidR="00761EBB">
        <w:t>r</w:t>
      </w:r>
      <w:r w:rsidR="00926420">
        <w:t xml:space="preserve"> higher show </w:t>
      </w:r>
      <w:r w:rsidR="008A5D4F">
        <w:t>a</w:t>
      </w:r>
      <w:r w:rsidR="00926420">
        <w:t xml:space="preserve"> </w:t>
      </w:r>
      <w:r w:rsidR="008A5D4F">
        <w:t>stronger shift toward walkable neighborhoods</w:t>
      </w:r>
      <w:r w:rsidR="00926420">
        <w:t xml:space="preserve">, </w:t>
      </w:r>
      <w:r w:rsidR="008A5D4F">
        <w:t xml:space="preserve">while </w:t>
      </w:r>
      <w:r w:rsidR="00926420">
        <w:t>the opposite is the case f</w:t>
      </w:r>
      <w:r w:rsidR="00761EBB">
        <w:t>or</w:t>
      </w:r>
      <w:r w:rsidR="00926420">
        <w:t xml:space="preserve"> households with individuals with lower formal education.</w:t>
      </w:r>
      <w:r w:rsidR="008A5D4F">
        <w:t xml:space="preserve"> This trend may</w:t>
      </w:r>
      <w:r w:rsidR="00C87185">
        <w:t>, in part,</w:t>
      </w:r>
      <w:r w:rsidR="008A5D4F">
        <w:t xml:space="preserve"> reflect the changing preferences of teleworkers, who are </w:t>
      </w:r>
      <w:r w:rsidR="00926420">
        <w:t xml:space="preserve">known to </w:t>
      </w:r>
      <w:r w:rsidR="008A5D4F">
        <w:t>prioritize outdoor spaces and leisure activities closer to their homes to better match their new work habits and lifestyles</w:t>
      </w:r>
      <w:r w:rsidR="00C87185">
        <w:t xml:space="preserve"> </w:t>
      </w:r>
      <w:r w:rsidR="00C87185">
        <w:fldChar w:fldCharType="begin"/>
      </w:r>
      <w:r w:rsidR="00A964D1">
        <w:instrText xml:space="preserve"> ADDIN ZOTERO_ITEM CSL_CITATION {"citationID":"VMAc7gaf","properties":{"formattedCitation":"(Caldarola and Sorrell, 2022; Robbennolt et al., 2024)","plainCitation":"(Caldarola and Sorrell, 2022; Robbennolt et al., 2024)","noteIndex":0},"citationItems":[{"id":680,"uris":["http://zotero.org/users/12832277/items/ECYSL4NQ"],"itemData":{"id":680,"type":"article-journal","abstract":"The global pandemic has revived debates about the contribution of teleworking to reducing travel, air pollution and carbon emissions. However, previous research suggests that the availability of teleworking may encourage people to move farther from their place of work, creating the risk that longer commutes will offset the benefits of fewer commutes. In addition, teleworking may encourage additional non-work travel by the teleworker, and/or influence the travel behaviour of other household members. These complex interactions make the overall impacts of teleworking difficult to predict. In this context, we use data from the English National Travel Survey to estimate the impact of teleworking on the travel patterns of English households over the period 2005–2019. We compare the number of trips and distance travelled by teleworkers each week with the number of trips and distance travelled by non-teleworkers, controlling for a range of socio-economic, demographic and regional variables. We estimate the impact of teleworking on travel by purpose (commuting, non-work and business) and by mode (car, public transport and active travel) and investigate the impact on the travel patterns of other household members. Our results provide little support for the claim that teleworking reduces travel. Indeed, after controlling for a range of variables, we find that the majority of English teleworkers travel farther each week than non-teleworkers. This results from a combination of longer commutes and additional non-work travel. There appears to be a ‘tipping point’, however. If people telework three or more times a week, their weekly private travel (commuting + non-work) is less than that of non-teleworkers. We also find that the total weekly travel of all household members is greater in households where one member is teleworking, suggesting the presence of intra-household effects that further erode the benefits of fewer commutes. We additionally find that teleworkers engage in more business travel than non-teleworkers, although the reasons for this association are unclear. We discuss the factors contributing to these results and indicate priorities for further research.","container-title":"Transportation Research Part A: Policy and Practice","DOI":"10.1016/j.tra.2022.03.026","ISSN":"0965-8564","language":"en","page":"282-303","source":"ScienceDirect","title":"Do Teleworkers Travel Less? Evidence from the English National Travel Survey","volume":"159","author":[{"family":"Caldarola","given":"Bernardo"},{"family":"Sorrell","given":"Steve"}],"issued":{"date-parts":[["2022",5,1]]}}},{"id":1977,"uris":["http://zotero.org/users/12832277/items/78JZET84"],"itemData":{"id":1977,"type":"article-journal","container-title":"Technical paper, Department of Civil, Architectural and Environmental Engineering, The University of Texas at Austin","title":"Housing Choice in an Evolving Remote Work Landscape","author":[{"family":"Robbennolt","given":"Dale"},{"family":"Haddad","given":"Angela"},{"family":"Mondal","given":"Aupal"},{"family":"Bhat","given":"Chandra R."}],"issued":{"date-parts":[["2024",5]]}}}],"schema":"https://github.com/citation-style-language/schema/raw/master/csl-citation.json"} </w:instrText>
      </w:r>
      <w:r w:rsidR="00C87185">
        <w:fldChar w:fldCharType="separate"/>
      </w:r>
      <w:r w:rsidR="00A964D1" w:rsidRPr="00A964D1">
        <w:rPr>
          <w:rFonts w:cs="Times New Roman"/>
        </w:rPr>
        <w:t>(</w:t>
      </w:r>
      <w:r w:rsidR="00A964D1">
        <w:rPr>
          <w:rFonts w:cs="Times New Roman"/>
        </w:rPr>
        <w:t xml:space="preserve">see </w:t>
      </w:r>
      <w:r w:rsidR="00A964D1" w:rsidRPr="00A964D1">
        <w:rPr>
          <w:rFonts w:cs="Times New Roman"/>
        </w:rPr>
        <w:t>Caldarola and Sorrell, 2022; Robbennolt et al., 2024)</w:t>
      </w:r>
      <w:r w:rsidR="00C87185">
        <w:fldChar w:fldCharType="end"/>
      </w:r>
      <w:r w:rsidR="008A5D4F">
        <w:t xml:space="preserve">. </w:t>
      </w:r>
      <w:r w:rsidR="00926420">
        <w:t xml:space="preserve">At the same time, most population groups </w:t>
      </w:r>
      <w:r w:rsidR="00B91564">
        <w:t xml:space="preserve">continue to value closeness to the workplace too, </w:t>
      </w:r>
      <w:r w:rsidR="00B209D9">
        <w:t xml:space="preserve">particularly </w:t>
      </w:r>
      <w:r w:rsidR="00B91564">
        <w:t xml:space="preserve">non-retired individuals and individuals from low-mid income households who may </w:t>
      </w:r>
      <w:r w:rsidR="00B209D9">
        <w:t xml:space="preserve">still </w:t>
      </w:r>
      <w:r w:rsidR="00B91564">
        <w:t xml:space="preserve">be </w:t>
      </w:r>
      <w:r w:rsidR="00B209D9">
        <w:t>making daily commutes.</w:t>
      </w:r>
      <w:r w:rsidR="00761EBB">
        <w:t xml:space="preserve"> This result is consistent with the findings of Rajab</w:t>
      </w:r>
      <w:r w:rsidR="00E35D80">
        <w:t>i</w:t>
      </w:r>
      <w:r w:rsidR="00761EBB">
        <w:t xml:space="preserve"> et al. </w:t>
      </w:r>
      <w:r w:rsidR="00E35D80">
        <w:fldChar w:fldCharType="begin"/>
      </w:r>
      <w:r w:rsidR="00E35D80">
        <w:instrText xml:space="preserve"> ADDIN ZOTERO_ITEM CSL_CITATION {"citationID":"9SvboTKo","properties":{"formattedCitation":"(2024)","plainCitation":"(2024)","noteIndex":0},"citationItems":[{"id":2162,"uris":["http://zotero.org/users/12832277/items/3JYSAZZU"],"itemData":{"id":2162,"type":"article-journal","abstract":"Residential location choice is a crucial topic in transportation planning research since land use as well as residential land use can significantly affect a city's attractiveness for development and residence. Understanding the factors that influence households in their residential location choice is essential for policymakers to evaluate the effect of their decisions. In this study, the impact of transportation factors on the attractiveness of residential areas was investigated in Qazvin city, Iran, using the stated preference (SP) method and structural equation modeling (SEM). The results indicated that the type of housing and private house preference were significant factors influencing the residential location choice. Additionally, proximity to health centers, low pollution levels, and access to public transportation and taxi stations were the top priorities for residents when choosing a place to live. Notably, households with children in education had a greater emphasis on air pollution and the proximity to taxi stations, as these factors could affect their children's health and education. Overall, the findings suggested that transportation factors played a critical role in the residential location choice and that policymakers should prioritize public transportation and taxi services, as well as reduce pollution levels, to make residential areas more attractive and livable for Qazvin residents.","container-title":"Computational Urban Science","DOI":"10.1007/s43762-024-00115-3","ISSN":"2730-6852","issue":"1","language":"en","source":"Springer Link","title":"Residential Location Choice: An Investigation of Transportation, Public Facilities, and Social Factors","URL":"https://doi.org/10.1007/s43762-024-00115-3","volume":"4","author":[{"family":"Rajabi","given":"Hamed"},{"family":"Mirzahossein","given":"Hamid"},{"family":"Hosseinian","given":"Seyed Mohsen"},{"family":"Jin","given":"Xia"}],"accessed":{"date-parts":[["2024",1,25]]},"issued":{"date-parts":[["2024",1,17]]}},"label":"page","suppress-author":true}],"schema":"https://github.com/citation-style-language/schema/raw/master/csl-citation.json"} </w:instrText>
      </w:r>
      <w:r w:rsidR="00E35D80">
        <w:fldChar w:fldCharType="separate"/>
      </w:r>
      <w:r w:rsidR="00E35D80" w:rsidRPr="00E35D80">
        <w:rPr>
          <w:rFonts w:cs="Times New Roman"/>
        </w:rPr>
        <w:t>(2024)</w:t>
      </w:r>
      <w:r w:rsidR="00E35D80">
        <w:fldChar w:fldCharType="end"/>
      </w:r>
      <w:r w:rsidR="00761EBB">
        <w:t xml:space="preserve">. </w:t>
      </w:r>
      <w:r w:rsidR="008A5D4F">
        <w:t xml:space="preserve"> </w:t>
      </w:r>
    </w:p>
    <w:p w14:paraId="33C24AC3" w14:textId="5BE77F69" w:rsidR="00A5190E" w:rsidRPr="00980AB9" w:rsidRDefault="00B91564" w:rsidP="00D37B11">
      <w:pPr>
        <w:autoSpaceDE w:val="0"/>
        <w:autoSpaceDN w:val="0"/>
        <w:adjustRightInd w:val="0"/>
        <w:spacing w:after="0" w:line="240" w:lineRule="auto"/>
        <w:ind w:firstLine="720"/>
        <w:jc w:val="both"/>
        <w:rPr>
          <w:b/>
          <w:bCs/>
        </w:rPr>
      </w:pPr>
      <w:r>
        <w:t>Overall, the</w:t>
      </w:r>
      <w:r w:rsidR="00761EBB">
        <w:t xml:space="preserve"> above</w:t>
      </w:r>
      <w:r>
        <w:t xml:space="preserve"> results </w:t>
      </w:r>
      <w:r w:rsidR="008A5D4F">
        <w:t xml:space="preserve">reflect a growing preference for </w:t>
      </w:r>
      <w:r>
        <w:t xml:space="preserve">(work and nonwork) </w:t>
      </w:r>
      <w:r w:rsidR="008A5D4F">
        <w:t>activities close to the home</w:t>
      </w:r>
      <w:r>
        <w:t>.</w:t>
      </w:r>
      <w:r w:rsidR="008A5D4F">
        <w:t xml:space="preserve"> </w:t>
      </w:r>
      <w:r w:rsidR="00C87185">
        <w:t>For urban planners, these results point to a greater need for mixed-use developments that put shopping, restaurants, and recreation centers</w:t>
      </w:r>
      <w:r>
        <w:t xml:space="preserve">, as well as </w:t>
      </w:r>
      <w:r w:rsidR="00CB5FA4">
        <w:t>workplaces</w:t>
      </w:r>
      <w:r>
        <w:t>,</w:t>
      </w:r>
      <w:r w:rsidR="00C87185">
        <w:t xml:space="preserve"> closer to the homes of their end users. </w:t>
      </w:r>
      <w:r>
        <w:t xml:space="preserve">For </w:t>
      </w:r>
      <w:r w:rsidR="00A5190E">
        <w:t>transportation planners</w:t>
      </w:r>
      <w:r>
        <w:t xml:space="preserve">, the results </w:t>
      </w:r>
      <w:r w:rsidR="003E1BA5">
        <w:t xml:space="preserve">emphasize </w:t>
      </w:r>
      <w:r>
        <w:t xml:space="preserve">the </w:t>
      </w:r>
      <w:r w:rsidR="003E1BA5">
        <w:t xml:space="preserve">importance of </w:t>
      </w:r>
      <w:r>
        <w:t>pay</w:t>
      </w:r>
      <w:r w:rsidR="003E1BA5">
        <w:t>ing</w:t>
      </w:r>
      <w:r>
        <w:t xml:space="preserve"> careful attention to </w:t>
      </w:r>
      <w:r w:rsidR="007037EC">
        <w:t xml:space="preserve">the design of </w:t>
      </w:r>
      <w:r w:rsidR="00A5190E">
        <w:t xml:space="preserve">pedestrian and active transportation </w:t>
      </w:r>
      <w:r>
        <w:t>environments</w:t>
      </w:r>
      <w:r w:rsidR="007037EC">
        <w:t>, particularly at a time when pedestrian crashes and fatalities have been on the rise.</w:t>
      </w:r>
      <w:r w:rsidR="00650ECB">
        <w:t xml:space="preserve"> In particular, </w:t>
      </w:r>
      <w:r w:rsidR="001B3537">
        <w:t>adopting universal design principles when planning for walkable neighborhoods</w:t>
      </w:r>
      <w:r w:rsidR="00B82AA8">
        <w:t xml:space="preserve"> is especially important given the shift towards walkability among families with children. I</w:t>
      </w:r>
      <w:r w:rsidR="00BD46A1">
        <w:t xml:space="preserve">ncluding footpath connectivity </w:t>
      </w:r>
      <w:r w:rsidR="000E7E7D">
        <w:t>rather than street connectivity as well as</w:t>
      </w:r>
      <w:r w:rsidR="00BD46A1">
        <w:t xml:space="preserve"> the presence of playgrounds and parks in walkability measures </w:t>
      </w:r>
      <w:r w:rsidR="00B82AA8">
        <w:t>has been shown to more appropriately address the needs of families with children</w:t>
      </w:r>
      <w:r w:rsidR="00BD46A1">
        <w:t>,</w:t>
      </w:r>
      <w:r w:rsidR="000D4069">
        <w:t xml:space="preserve"> and considering the differing abilities of these populations </w:t>
      </w:r>
      <w:r w:rsidR="00A95FF6">
        <w:t xml:space="preserve">when </w:t>
      </w:r>
      <w:r w:rsidR="000E7E7D">
        <w:t>planning</w:t>
      </w:r>
      <w:r w:rsidR="00A95FF6">
        <w:t xml:space="preserve"> walking </w:t>
      </w:r>
      <w:r w:rsidR="00A95FF6">
        <w:lastRenderedPageBreak/>
        <w:t xml:space="preserve">environments is critical for addressing actual and perceived safety concerns </w:t>
      </w:r>
      <w:r w:rsidR="00830C99">
        <w:fldChar w:fldCharType="begin"/>
      </w:r>
      <w:r w:rsidR="0084799C">
        <w:instrText xml:space="preserve"> ADDIN ZOTERO_ITEM CSL_CITATION {"citationID":"QVlijuja","properties":{"formattedCitation":"(Ellis et al., 2016; Stafford and Baldwin, 2018)","plainCitation":"(Ellis et al., 2016; Stafford and Baldwin, 2018)","dontUpdate":true,"noteIndex":0},"citationItems":[{"id":3440,"uris":["http://zotero.org/users/12832277/items/Y8WVKE89"],"itemData":{"id":3440,"type":"article-journal","abstract":"There is now a strong body of research that suggests that the form of the built environment can influence levels of physical activity, leading to an increasing interest in incorporating health objectives into spatial planning and regeneration. There have been a number of strands to this research, one of which has sought to develop objective measurements of the built environment using geographic information systems involving measures of connectivity and proximity to compare the relative ‘walkability’of different neighbourhoods. The development of the ‘walkability index’ has become a popular indicator of the spatial distribution of those built environment features that are considered to have the greatest positive influence on levels of physical activity. The success of this measure is built on its ability to capture succinctly correlates of physical activity using routinely available spatial data, which includes using road centre lines to measure connectivity. In this paper we discuss two key aspects of the walkability index. First, as suggested by others, that the use of a footpath network, rather than road centre lines, may be far more effective in evaluating walkability. This may be particularly important for assessing changes in walkability arising from pedestrian-focused infrastructure projects, such as greenways. Second, we explore the implications of this for how connectivity can be measured. We take six different measures of connectivity and first analyse the relationships between them and then test their correlation with actual levels of physical activity of local residents in Belfast, Northern Ireland. We find that the best measurements appear to be intersection density and metric reach and use this finding to discuss the implications for developing tools that may better support decision-making in spatial planning.","container-title":"Environment and Planning B: Planning and Design","DOI":"10.1177/0265813515610672","ISSN":"0265-8135","issue":"1","language":"en","note":"publisher: SAGE Publications Ltd STM","page":"130-151","source":"SAGE Journals","title":"Connectivity and Physical Activity: Using Footpath Networks to Measure the Walkability of Built Environments","volume":"43","author":[{"family":"Ellis","given":"Geraint"},{"family":"Hunter","given":"Ruth"},{"family":"Tully","given":"Mark A"},{"family":"Donnelly","given":"Michael"},{"family":"Kelleher","given":"Luke"},{"family":"Kee","given":"Frank"}],"issued":{"date-parts":[["2016",1,1]]}}},{"id":3438,"uris":["http://zotero.org/users/12832277/items/WLXX9IZH"],"itemData":{"id":3438,"type":"article-journal","abstract":"Despite growing numbers of studies on planning walkable neighborhoods, few have included people with diverse abilities across the age spectrum. This article demonstrates a need for more inclusion of human diversity in walkable neighborhoods research to better inform policy, planning, and design interventions that are spatially and socially just for all ages and all abilities. Our study addresses this through a critical review of the literature, highlighting existing research practices, known person–environment influences on walkability, and limitations within current knowledge. We recommend future integrated and inclusive research directions to encapsulate diversity of abilities and ages in walkable neighborhood studies.","container-title":"Journal of Planning Literature","DOI":"10.1177/0885412217704649","ISSN":"0885-4122","issue":"1","language":"en","note":"publisher: SAGE Publications Inc","page":"17-30","source":"SAGE Journals","title":"Planning Walkable Neighborhoods: Are We Overlooking Diversity in Abilities and Ages?","volume":"33","author":[{"family":"Stafford","given":"Lisa"},{"family":"Baldwin","given":"Claudia"}],"issued":{"date-parts":[["2018",2,1]]}}}],"schema":"https://github.com/citation-style-language/schema/raw/master/csl-citation.json"} </w:instrText>
      </w:r>
      <w:r w:rsidR="00830C99">
        <w:fldChar w:fldCharType="separate"/>
      </w:r>
      <w:r w:rsidR="00830C99" w:rsidRPr="00830C99">
        <w:rPr>
          <w:rFonts w:cs="Times New Roman"/>
        </w:rPr>
        <w:t>(</w:t>
      </w:r>
      <w:r w:rsidR="00E92197">
        <w:rPr>
          <w:rFonts w:cs="Times New Roman"/>
        </w:rPr>
        <w:t xml:space="preserve">see </w:t>
      </w:r>
      <w:r w:rsidR="00830C99" w:rsidRPr="00830C99">
        <w:rPr>
          <w:rFonts w:cs="Times New Roman"/>
        </w:rPr>
        <w:t>Ellis et al., 2016; Stafford and Baldwin, 2018)</w:t>
      </w:r>
      <w:r w:rsidR="00830C99">
        <w:fldChar w:fldCharType="end"/>
      </w:r>
      <w:r w:rsidR="00A95FF6">
        <w:t xml:space="preserve">. </w:t>
      </w:r>
      <w:r w:rsidR="00BD46A1">
        <w:t xml:space="preserve"> </w:t>
      </w:r>
      <w:r w:rsidR="007037EC">
        <w:t xml:space="preserve"> </w:t>
      </w:r>
    </w:p>
    <w:p w14:paraId="34059CBE" w14:textId="77777777" w:rsidR="00AB2A82" w:rsidRDefault="00AB2A82" w:rsidP="00727863">
      <w:pPr>
        <w:autoSpaceDE w:val="0"/>
        <w:autoSpaceDN w:val="0"/>
        <w:adjustRightInd w:val="0"/>
        <w:spacing w:after="0" w:line="240" w:lineRule="auto"/>
        <w:jc w:val="both"/>
        <w:rPr>
          <w:b/>
          <w:bCs/>
        </w:rPr>
      </w:pPr>
    </w:p>
    <w:p w14:paraId="6F389C72" w14:textId="0E614124" w:rsidR="00B07364" w:rsidRDefault="003B66CE" w:rsidP="00727863">
      <w:pPr>
        <w:autoSpaceDE w:val="0"/>
        <w:autoSpaceDN w:val="0"/>
        <w:adjustRightInd w:val="0"/>
        <w:spacing w:after="0" w:line="240" w:lineRule="auto"/>
        <w:jc w:val="both"/>
        <w:rPr>
          <w:b/>
          <w:bCs/>
        </w:rPr>
      </w:pPr>
      <w:r>
        <w:rPr>
          <w:b/>
          <w:bCs/>
        </w:rPr>
        <w:t>4</w:t>
      </w:r>
      <w:r w:rsidR="00B07364" w:rsidRPr="00301D95">
        <w:rPr>
          <w:b/>
          <w:bCs/>
        </w:rPr>
        <w:t xml:space="preserve">.3 </w:t>
      </w:r>
      <w:r w:rsidR="000837EE" w:rsidRPr="00301D95">
        <w:rPr>
          <w:b/>
          <w:bCs/>
        </w:rPr>
        <w:t>Reduced Valuation of Public Transit Access</w:t>
      </w:r>
    </w:p>
    <w:p w14:paraId="328A0830" w14:textId="2F354A52" w:rsidR="000837EE" w:rsidRPr="002E4BE0" w:rsidRDefault="000B24F7" w:rsidP="00D37B11">
      <w:pPr>
        <w:autoSpaceDE w:val="0"/>
        <w:autoSpaceDN w:val="0"/>
        <w:adjustRightInd w:val="0"/>
        <w:spacing w:after="0" w:line="240" w:lineRule="auto"/>
        <w:jc w:val="both"/>
      </w:pPr>
      <w:r w:rsidRPr="000B24F7">
        <w:t xml:space="preserve">Related to the changing preference for local accessibility discussed in the previous section, we find a substantial reduction in </w:t>
      </w:r>
      <w:r>
        <w:t xml:space="preserve">the </w:t>
      </w:r>
      <w:r w:rsidRPr="000B24F7">
        <w:t>prioritization of public transit access</w:t>
      </w:r>
      <w:r>
        <w:t xml:space="preserve"> during the pandemic</w:t>
      </w:r>
      <w:r w:rsidR="003A0F2E">
        <w:t xml:space="preserve"> (a </w:t>
      </w:r>
      <w:r w:rsidR="00C56D51">
        <w:t>19.79</w:t>
      </w:r>
      <w:r w:rsidR="003A0F2E">
        <w:t xml:space="preserve">% </w:t>
      </w:r>
      <w:r w:rsidR="00C56D51">
        <w:t>decrease</w:t>
      </w:r>
      <w:r w:rsidR="007037EC">
        <w:t xml:space="preserve"> in </w:t>
      </w:r>
      <w:r w:rsidR="003A0F2E">
        <w:t xml:space="preserve">public transit </w:t>
      </w:r>
      <w:r w:rsidR="007037EC">
        <w:t xml:space="preserve">being </w:t>
      </w:r>
      <w:r w:rsidR="003A0F2E">
        <w:t xml:space="preserve">ranked </w:t>
      </w:r>
      <w:r w:rsidR="007037EC">
        <w:t xml:space="preserve">as the most important factor in residential choice decisions </w:t>
      </w:r>
      <w:r w:rsidR="00A82508">
        <w:t>during</w:t>
      </w:r>
      <w:r w:rsidR="003A0F2E">
        <w:t xml:space="preserve"> the pandemic compared with before the pandemic</w:t>
      </w:r>
      <w:r w:rsidR="0020715D">
        <w:t xml:space="preserve">; see the last row of Table </w:t>
      </w:r>
      <w:r w:rsidR="008359A3">
        <w:t>6</w:t>
      </w:r>
      <w:r w:rsidR="003A0F2E">
        <w:t>)</w:t>
      </w:r>
      <w:r w:rsidR="00137C00">
        <w:t xml:space="preserve">. </w:t>
      </w:r>
      <w:r w:rsidR="004A5DE2">
        <w:t xml:space="preserve">This </w:t>
      </w:r>
      <w:r w:rsidR="007037EC">
        <w:t xml:space="preserve">dramatic </w:t>
      </w:r>
      <w:r w:rsidR="004A5DE2">
        <w:t>shift in neighborhood preferences</w:t>
      </w:r>
      <w:r w:rsidR="007037EC">
        <w:t>,</w:t>
      </w:r>
      <w:r w:rsidR="004A5DE2">
        <w:t xml:space="preserve"> as well a</w:t>
      </w:r>
      <w:r w:rsidR="007037EC">
        <w:t xml:space="preserve">s the </w:t>
      </w:r>
      <w:r w:rsidR="004A5DE2">
        <w:t>overall shift toward more private modes (</w:t>
      </w:r>
      <w:r w:rsidR="007037EC">
        <w:t xml:space="preserve">see </w:t>
      </w:r>
      <w:r w:rsidR="004A5DE2">
        <w:t xml:space="preserve">the substantial </w:t>
      </w:r>
      <w:r w:rsidR="0023332D">
        <w:t xml:space="preserve">23.02% increase in those prioritizing being close to the highway </w:t>
      </w:r>
      <w:r w:rsidR="007037EC">
        <w:t xml:space="preserve">in the </w:t>
      </w:r>
      <w:r w:rsidR="00A82508">
        <w:t>during</w:t>
      </w:r>
      <w:r w:rsidR="007037EC">
        <w:t xml:space="preserve">-COVID period), </w:t>
      </w:r>
      <w:r w:rsidR="003E1BA5">
        <w:t xml:space="preserve">implies a need to </w:t>
      </w:r>
      <w:r w:rsidR="00FE5945">
        <w:t xml:space="preserve">prioritize transit recovery in the wake of the pandemic, </w:t>
      </w:r>
      <w:r w:rsidR="00FE5945" w:rsidRPr="00FE5945">
        <w:t>encouraging riders who left transit during the pandemic to return, and aligning transit services with the changing needs of potential riders.</w:t>
      </w:r>
      <w:r w:rsidR="007037EC">
        <w:t xml:space="preserve"> This is particularly so because, b</w:t>
      </w:r>
      <w:r w:rsidR="00813D95">
        <w:t xml:space="preserve">efore the pandemic, </w:t>
      </w:r>
      <w:r w:rsidR="0071376F">
        <w:t>being close to public transit was important for Black families</w:t>
      </w:r>
      <w:r w:rsidR="007037EC">
        <w:t xml:space="preserve"> </w:t>
      </w:r>
      <w:r w:rsidR="0071376F">
        <w:t xml:space="preserve">and those with </w:t>
      </w:r>
      <w:r w:rsidR="007037EC">
        <w:t xml:space="preserve">zero household </w:t>
      </w:r>
      <w:r w:rsidR="0071376F">
        <w:t>vehicles</w:t>
      </w:r>
      <w:r w:rsidR="00A00507">
        <w:t xml:space="preserve">, </w:t>
      </w:r>
      <w:r w:rsidR="007037EC">
        <w:t xml:space="preserve">as reflected in the results in Table 3 as well </w:t>
      </w:r>
      <w:r w:rsidR="009633F8">
        <w:t xml:space="preserve">as </w:t>
      </w:r>
      <w:r w:rsidR="00A00507">
        <w:t>in many other studies</w:t>
      </w:r>
      <w:r w:rsidR="000F0615">
        <w:t xml:space="preserve"> </w:t>
      </w:r>
      <w:r w:rsidR="000F0615">
        <w:fldChar w:fldCharType="begin"/>
      </w:r>
      <w:r w:rsidR="0084799C">
        <w:instrText xml:space="preserve"> ADDIN ZOTERO_ITEM CSL_CITATION {"citationID":"QSpbY2pv","properties":{"unsorted":true,"formattedCitation":"(Neff and Pham, 2007; Yang and Cherry, 2017; Lee and Lee, 2022)","plainCitation":"(Neff and Pham, 2007; Yang and Cherry, 2017; Lee and Lee, 2022)","dontUpdate":true,"noteIndex":0},"citationItems":[{"id":3412,"uris":["http://zotero.org/users/12832277/items/TATQL2MJ"],"itemData":{"id":3412,"type":"report","abstract":"Data from 150 on-board vehicle passenger surveys conducted by public transportation agencies from 2000 through 2005 were compiled. This is the largest ever on-board survey study about the public transportation industry. These surveys summarized the results of questionnaires completed by over 496,000 public transit riders sampled by transit systems that carry 60 percent of all transit trips in the United States. They describe the demographics and travel behavior of public transit trips and the people who take those trips sampled by on-board surveys; they do not describe the average person who may take public transportation. Each time a person takes a transit trip while their system is conducting a survey, that person has a statistical probability of being sampled. The data are therefore implicitly \"weighted\" by frequency of riding. A person who rides transit more often has a higher likelihood of being sampled, or being sampled more often, than a person who rides fewer times.","call-number":"dot:6296","language":"English","publisher":"American Public Transportation Association","source":"ROSA P","title":"A Profile of Public Transportation Passenger Demographics and Travel Characteristics Reported in On-Board Surveys","URL":"https://rosap.ntl.bts.gov/view/dot/6296","author":[{"family":"Neff","given":"John"},{"family":"Pham","given":"Larry"}],"accessed":{"date-parts":[["2024",6,3]]},"issued":{"date-parts":[["2007",5,1]]}}},{"id":3410,"uris":["http://zotero.org/users/12832277/items/D3ZPQBDR"],"itemData":{"id":3410,"type":"article-journal","abstract":"Intercity bus (ICB), deviated fixed route transit (DFRT) and demand responsive transit (DRT) are three major modes of rural public transportation. This paper focuses on the characteristics and motivations of DFRT and DRT riders, compared to non-riders, in Tennessee. A rural DFRT rider survey, a rural DRT rider survey and a rural (non-rider) resident survey were performed. It is found that DFRT and DRT riders have similar demographics to ICB riders. The most common trip purpose for DFRT and DRT passengers is medical care, which is different from ICB trips. Ninety percent of the riders have difficulty finding alternative transportation modes, suggesting they are captive riders, not choice riders. Regression results indicate that people choosing transit modes tend to have lower personal and household income, own fewer cars, to not be homeowners, and be of non-white race. Rural residents who receive more education are more likely to be open-minded to use rural transit.","container-title":"Transportation Planning and Technology","DOI":"10.1080/03081060.2016.1266168","ISSN":"0308-1060","issue":"2","note":"publisher: Routledge\n_eprint: https://doi.org/10.1080/03081060.2016.1266168","page":"213–227","source":"Taylor and Francis+NEJM","title":"Use Characteristics and Demographics of Rural Transit Riders: A Case Study in Tennessee","title-short":"Use Characteristics and Demographics of Rural Transit Riders","volume":"40","author":[{"family":"Yang","given":"Hongtai"},{"family":"Cherry","given":"Christopher R."}],"issued":{"date-parts":[["2017",2,17]]}}},{"id":3408,"uris":["http://zotero.org/users/12832277/items/3VYQMVVT"],"itemData":{"id":3408,"type":"article-journal","abstract":"Despite ever-increasing public and financial support for public transportation in recent decades, transit ridership has dropped substantially in the 2010s across the United States. While many theories that explain the reasons behind the decline in ridership have been proposed, no consensus on the primary causes has been reached. By employing gradient boosting decision tree and counterfactual simulations, we examine the complex relationships between transit ridership and key internal and external factors from 2002 to 2017 in 85 of the largest urbanized areas in the US. Among several contributing factors, the declining cost of driving, measured by the decreasing share of carless households combined with lower gasoline prices, was the salient, most influential factor behind the recent decline. Neighborhood change in high-density neighborhoods also led to a moderate net loss in ridership. The only factor that has been mitigating further decline was an increase in transit services. Had this increase not occurred, loss of ridership would have been more than double the actual loss during the study period.","container-title":"Transportation Research Part A: Policy and Practice","DOI":"10.1016/j.tra.2022.01.002","ISSN":"0965-8564","journalAbbreviation":"Transportation Research Part A: Policy and Practice","page":"126-143","source":"ScienceDirect","title":"What’s Eating Public Transit in the United States? Reasons for Declining Transit Ridership in the 2010s","title-short":"What’s Eating Public Transit in the United States?","volume":"157","author":[{"family":"Lee","given":"Yongsung"},{"family":"Lee","given":"Bumsoo"}],"issued":{"date-parts":[["2022",3,1]]}}}],"schema":"https://github.com/citation-style-language/schema/raw/master/csl-citation.json"} </w:instrText>
      </w:r>
      <w:r w:rsidR="000F0615">
        <w:fldChar w:fldCharType="separate"/>
      </w:r>
      <w:r w:rsidR="000F0615" w:rsidRPr="000F0615">
        <w:rPr>
          <w:rFonts w:cs="Times New Roman"/>
        </w:rPr>
        <w:t>(</w:t>
      </w:r>
      <w:r w:rsidR="00301D95">
        <w:rPr>
          <w:rFonts w:cs="Times New Roman"/>
        </w:rPr>
        <w:t xml:space="preserve">see </w:t>
      </w:r>
      <w:r w:rsidR="000F0615" w:rsidRPr="000F0615">
        <w:rPr>
          <w:rFonts w:cs="Times New Roman"/>
        </w:rPr>
        <w:t>Neff and Pham, 2007; Yang and Cherry, 2017; Lee and Lee, 2022)</w:t>
      </w:r>
      <w:r w:rsidR="000F0615">
        <w:fldChar w:fldCharType="end"/>
      </w:r>
      <w:r w:rsidR="0071376F">
        <w:t>.</w:t>
      </w:r>
      <w:r w:rsidR="00A00507">
        <w:t xml:space="preserve"> </w:t>
      </w:r>
      <w:r w:rsidR="007F3E28" w:rsidRPr="007F3E28">
        <w:t xml:space="preserve">For instance, Black families were </w:t>
      </w:r>
      <w:r w:rsidR="004F3CD4">
        <w:t>21.61</w:t>
      </w:r>
      <w:r w:rsidR="007F3E28" w:rsidRPr="007F3E28">
        <w:t xml:space="preserve">% more likely than white families to rank public transit </w:t>
      </w:r>
      <w:r w:rsidR="002A0091">
        <w:t xml:space="preserve">as their </w:t>
      </w:r>
      <w:r w:rsidR="007F3E28" w:rsidRPr="007F3E28">
        <w:t xml:space="preserve">first </w:t>
      </w:r>
      <w:r w:rsidR="002A0091">
        <w:t xml:space="preserve">priority in neighborhood residential selection </w:t>
      </w:r>
      <w:r w:rsidR="007F3E28" w:rsidRPr="007F3E28">
        <w:t>before the pandemic</w:t>
      </w:r>
      <w:r w:rsidR="002A0091">
        <w:t>, based on our ATE computations for the before-COVID period</w:t>
      </w:r>
      <w:r w:rsidR="008359A3">
        <w:t xml:space="preserve"> (not shown in Table 6)</w:t>
      </w:r>
      <w:r w:rsidR="007F3E28" w:rsidRPr="007F3E28">
        <w:t xml:space="preserve">. </w:t>
      </w:r>
      <w:r w:rsidR="002A0091">
        <w:t>Clearly, then, such families are likely to be more impacted by transit service changes than other families</w:t>
      </w:r>
      <w:r w:rsidR="003E1BA5">
        <w:t xml:space="preserve">; </w:t>
      </w:r>
      <w:r w:rsidR="002A0091">
        <w:t>transportation service provision</w:t>
      </w:r>
      <w:r w:rsidR="003E1BA5">
        <w:t>, therefore, should be viewed</w:t>
      </w:r>
      <w:r w:rsidR="002A0091">
        <w:t xml:space="preserve"> as much from the </w:t>
      </w:r>
      <w:r w:rsidR="003E1BA5">
        <w:t>stand</w:t>
      </w:r>
      <w:r w:rsidR="002A0091">
        <w:t>point of social justice and equit</w:t>
      </w:r>
      <w:r w:rsidR="00761EBB">
        <w:t xml:space="preserve">y </w:t>
      </w:r>
      <w:r w:rsidR="002A0091">
        <w:t xml:space="preserve">as the more traditional objectives of reducing traffic congestion and mobile-source emissions. </w:t>
      </w:r>
      <w:r w:rsidR="002E4BE0">
        <w:t>For instance</w:t>
      </w:r>
      <w:r w:rsidR="007F3E28" w:rsidRPr="007F3E28">
        <w:t xml:space="preserve">, improving connectivity </w:t>
      </w:r>
      <w:r w:rsidR="002A0091">
        <w:t>to</w:t>
      </w:r>
      <w:r w:rsidR="007F3E28" w:rsidRPr="007F3E28">
        <w:t xml:space="preserve"> grocery stores and facilitating travel for those with packages or shopping bags could help with trip chaining </w:t>
      </w:r>
      <w:r w:rsidR="002A0091">
        <w:t xml:space="preserve">patterns </w:t>
      </w:r>
      <w:r w:rsidR="007F3E28" w:rsidRPr="007F3E28">
        <w:t>that are more</w:t>
      </w:r>
      <w:r w:rsidR="002A0091">
        <w:t xml:space="preserve"> prevalent </w:t>
      </w:r>
      <w:r w:rsidR="007F3E28" w:rsidRPr="007F3E28">
        <w:t xml:space="preserve">among those </w:t>
      </w:r>
      <w:r w:rsidR="002A0091">
        <w:t xml:space="preserve">who </w:t>
      </w:r>
      <w:r w:rsidR="00761EBB">
        <w:t xml:space="preserve">are </w:t>
      </w:r>
      <w:r w:rsidR="002A0091">
        <w:t xml:space="preserve">traditionally </w:t>
      </w:r>
      <w:r w:rsidR="007F3E28" w:rsidRPr="007F3E28">
        <w:t>reliant on transit for their trips. Improving accessibility, in terms of ease of access to transit stops and boarding/alighting of vehicles, as well as maintaining safety measures</w:t>
      </w:r>
      <w:r w:rsidR="00761EBB">
        <w:t>,</w:t>
      </w:r>
      <w:r w:rsidR="007F3E28" w:rsidRPr="007F3E28">
        <w:t xml:space="preserve"> are also critical concerns for these disadvantaged groups</w:t>
      </w:r>
      <w:r w:rsidR="000153CC">
        <w:t xml:space="preserve">. </w:t>
      </w:r>
      <w:r w:rsidR="003E1BA5">
        <w:t>T</w:t>
      </w:r>
      <w:r w:rsidR="00172429">
        <w:t>he</w:t>
      </w:r>
      <w:r w:rsidR="00D00AC8">
        <w:t xml:space="preserve">se changes in prioritization of transit access may </w:t>
      </w:r>
      <w:r w:rsidR="003E1BA5">
        <w:t xml:space="preserve">also </w:t>
      </w:r>
      <w:r w:rsidR="00D00AC8">
        <w:t>reflect changing employment and remote work trends</w:t>
      </w:r>
      <w:r w:rsidR="002720B5">
        <w:t xml:space="preserve">, as </w:t>
      </w:r>
      <w:r w:rsidR="00AD5683">
        <w:t xml:space="preserve">declines in transit found in other studies have been associated with </w:t>
      </w:r>
      <w:r w:rsidR="002720B5">
        <w:t xml:space="preserve">fewer workers commuting to </w:t>
      </w:r>
      <w:r w:rsidR="006B0FF9">
        <w:t xml:space="preserve">dense downtown office locations </w:t>
      </w:r>
      <w:r w:rsidR="00AD5683">
        <w:t>during the pandemic</w:t>
      </w:r>
      <w:r w:rsidR="008359A3">
        <w:t xml:space="preserve"> and after</w:t>
      </w:r>
      <w:r w:rsidR="00546194">
        <w:t xml:space="preserve"> </w:t>
      </w:r>
      <w:r w:rsidR="00546194">
        <w:fldChar w:fldCharType="begin"/>
      </w:r>
      <w:r w:rsidR="00546194">
        <w:instrText xml:space="preserve"> ADDIN ZOTERO_ITEM CSL_CITATION {"citationID":"mML7N8IU","properties":{"formattedCitation":"(Paul and Taylor, 2024)","plainCitation":"(Paul and Taylor, 2024)","noteIndex":0},"citationItems":[{"id":3442,"uris":["http://zotero.org/users/12832277/items/VLACV5WX"],"itemData":{"id":3442,"type":"article-journal","abstract":"While the COVID-19 pandemic upended many aspects of life as we knew it, its effects on U.S. public transit were especially dramatic. Many former transit commuters began to work from home or switched to traveling via private vehicles. But for those who continued to work outside the home and could not drive—who were more likely low-income and Black or Hispanic—transit remained an important means of mobility. However, most transit agencies reduced service during the first year of the pandemic, reflecting reduced ridership demand, increasing costs, and uncertain budgets. To analyze the effects of the pandemic on transit systems and their users, we examine bus ridership changes by neighborhood in Boston, Houston, and Los Angeles from 2019 to 2020. Combining aggregated stop-level boarding data, passenger surveys, and census data, we identify associations between shifting travel patterns and neighborhoods. We find that early in the pandemic, neighborhoods with more poor and non-white households lost proportionally fewer riders; however, this gap between high- and low-ridership-loss neighborhoods shrank as the pandemic wore on. We also model ridership change controlling for multiple factors. Ridership in Houston and LA generally outperformed Boston, with built environment and demographic factors accounting for some of the observed differences. Neighborhoods with high shares of Hispanic and African American residents retained more riders in the pandemic, while those with higher levels of auto access and with more workers able to work from home lost more riders, all else equal. We conclude that transit’s social service role elevated during the pandemic, and that serving travelers in disadvantaged neighborhoods will likely remain paramount emerging from it.","container-title":"Transportation","DOI":"10.1007/s11116-022-10345-1","ISSN":"1572-9435","issue":"2","language":"en","page":"615-643","source":"Springer Link","title":"Pandemic Transit: Examining Transit Use Changes and Equity Implications in Boston, Houston, and Los Angeles","volume":"51","author":[{"family":"Paul","given":"Julene"},{"family":"Taylor","given":"Brian D."}],"issued":{"date-parts":[["2024",4,1]]}}}],"schema":"https://github.com/citation-style-language/schema/raw/master/csl-citation.json"} </w:instrText>
      </w:r>
      <w:r w:rsidR="00546194">
        <w:fldChar w:fldCharType="separate"/>
      </w:r>
      <w:r w:rsidR="00546194" w:rsidRPr="00546194">
        <w:rPr>
          <w:rFonts w:cs="Times New Roman"/>
        </w:rPr>
        <w:t>(Paul and Taylor, 2024)</w:t>
      </w:r>
      <w:r w:rsidR="00546194">
        <w:fldChar w:fldCharType="end"/>
      </w:r>
      <w:r w:rsidR="00AD5683">
        <w:t xml:space="preserve">. </w:t>
      </w:r>
      <w:r w:rsidR="00DF4619">
        <w:t xml:space="preserve">Therefore, a more detailed understanding of the future of remote work, </w:t>
      </w:r>
      <w:r w:rsidR="008359A3">
        <w:t xml:space="preserve">and the consequent emerging </w:t>
      </w:r>
      <w:r w:rsidR="00096C4F">
        <w:t xml:space="preserve">land use patterns in urban core areas </w:t>
      </w:r>
      <w:r w:rsidR="00F937A1">
        <w:t>and attitudes towards shared modes</w:t>
      </w:r>
      <w:r w:rsidR="003E1BA5">
        <w:t>,</w:t>
      </w:r>
      <w:r w:rsidR="00F937A1">
        <w:t xml:space="preserve"> is </w:t>
      </w:r>
      <w:r w:rsidR="003E1BA5">
        <w:t>warranted</w:t>
      </w:r>
      <w:r w:rsidR="00F937A1">
        <w:t xml:space="preserve"> to </w:t>
      </w:r>
      <w:r w:rsidR="001C72B7">
        <w:t>predict future transit demands</w:t>
      </w:r>
      <w:r w:rsidR="003E1BA5">
        <w:t xml:space="preserve"> more accurately</w:t>
      </w:r>
      <w:r w:rsidR="001C72B7">
        <w:t xml:space="preserve">. </w:t>
      </w:r>
      <w:r w:rsidR="00980332">
        <w:t>A reevaluati</w:t>
      </w:r>
      <w:r w:rsidR="008359A3">
        <w:t>on</w:t>
      </w:r>
      <w:r w:rsidR="00980332">
        <w:t xml:space="preserve"> of fixed transit route</w:t>
      </w:r>
      <w:r w:rsidR="00E21696">
        <w:t xml:space="preserve"> locations</w:t>
      </w:r>
      <w:r w:rsidR="00980332">
        <w:t xml:space="preserve"> and better matching between </w:t>
      </w:r>
      <w:r w:rsidR="009C6A46">
        <w:t xml:space="preserve">routes and travel patterns may be necessary to </w:t>
      </w:r>
      <w:r w:rsidR="00E21696">
        <w:t xml:space="preserve">align these services with changing travel needs. </w:t>
      </w:r>
    </w:p>
    <w:p w14:paraId="2178047E" w14:textId="3F1536BB" w:rsidR="00800A3E" w:rsidRDefault="00E250A3" w:rsidP="00F7735E">
      <w:pPr>
        <w:autoSpaceDE w:val="0"/>
        <w:autoSpaceDN w:val="0"/>
        <w:adjustRightInd w:val="0"/>
        <w:spacing w:after="0" w:line="240" w:lineRule="auto"/>
        <w:jc w:val="both"/>
      </w:pPr>
      <w:r>
        <w:tab/>
      </w:r>
    </w:p>
    <w:p w14:paraId="05CB17AF" w14:textId="3492B1CC" w:rsidR="00800A3E" w:rsidRPr="00800A3E" w:rsidRDefault="003B66CE" w:rsidP="00F7735E">
      <w:pPr>
        <w:autoSpaceDE w:val="0"/>
        <w:autoSpaceDN w:val="0"/>
        <w:adjustRightInd w:val="0"/>
        <w:spacing w:after="0" w:line="240" w:lineRule="auto"/>
        <w:jc w:val="both"/>
        <w:rPr>
          <w:b/>
          <w:bCs/>
        </w:rPr>
      </w:pPr>
      <w:r>
        <w:rPr>
          <w:b/>
          <w:bCs/>
        </w:rPr>
        <w:t>4</w:t>
      </w:r>
      <w:r w:rsidR="00800A3E" w:rsidRPr="00800A3E">
        <w:rPr>
          <w:b/>
          <w:bCs/>
        </w:rPr>
        <w:t xml:space="preserve">.4 Reduced Importance of School Quality </w:t>
      </w:r>
    </w:p>
    <w:p w14:paraId="7BAC3014" w14:textId="7BAAA105" w:rsidR="00DC3F80" w:rsidRPr="00DC3F80" w:rsidRDefault="00D80F2D" w:rsidP="00F7735E">
      <w:pPr>
        <w:autoSpaceDE w:val="0"/>
        <w:autoSpaceDN w:val="0"/>
        <w:adjustRightInd w:val="0"/>
        <w:spacing w:after="0" w:line="240" w:lineRule="auto"/>
        <w:jc w:val="both"/>
        <w:rPr>
          <w:b/>
          <w:bCs/>
        </w:rPr>
      </w:pPr>
      <w:r>
        <w:t xml:space="preserve">Finally, another notable implication regards the overall reduction in prioritization of neighborhoods with high quality schools (a </w:t>
      </w:r>
      <w:r w:rsidR="00D86891">
        <w:t>18.51</w:t>
      </w:r>
      <w:r>
        <w:t xml:space="preserve">% overall reduction in those ranking it first after the </w:t>
      </w:r>
      <w:r w:rsidR="002E343A">
        <w:t xml:space="preserve">onset of </w:t>
      </w:r>
      <w:r>
        <w:t xml:space="preserve">pandemic compared to before the pandemic). </w:t>
      </w:r>
      <w:r w:rsidR="00DC3F80">
        <w:t xml:space="preserve">While school quality is ranked relatively low overall, parents before the pandemic were </w:t>
      </w:r>
      <w:r w:rsidR="009928C4">
        <w:t>102.84</w:t>
      </w:r>
      <w:r w:rsidR="00DC3F80">
        <w:t xml:space="preserve">% more likely to rank school quality first than those without children and this gap has only grown during the pandemic. However, the reduced valuation of school quality during the pandemic is </w:t>
      </w:r>
      <w:r w:rsidR="00633861">
        <w:t>present</w:t>
      </w:r>
      <w:r w:rsidR="00DC3F80">
        <w:t xml:space="preserve"> even for parents, who experienced a </w:t>
      </w:r>
      <w:r w:rsidR="00633861">
        <w:t>6.56</w:t>
      </w:r>
      <w:r w:rsidR="0047074A">
        <w:t>% reductio</w:t>
      </w:r>
      <w:r w:rsidR="00DC3F80">
        <w:t xml:space="preserve">n in the likelihood of ranking school quality first. </w:t>
      </w:r>
      <w:r w:rsidR="00B126D7">
        <w:t xml:space="preserve">This reduction in the </w:t>
      </w:r>
      <w:r w:rsidR="00DC3F80">
        <w:t>prioritization</w:t>
      </w:r>
      <w:r w:rsidR="00B126D7">
        <w:t xml:space="preserve"> of school quality likely relates to the disruptions in schools and remote learning that took place during the pandemic</w:t>
      </w:r>
      <w:r w:rsidR="00123375">
        <w:t xml:space="preserve"> as well as growing opportunities for online learning. Other </w:t>
      </w:r>
      <w:r w:rsidR="00DC3F80">
        <w:t xml:space="preserve">recent </w:t>
      </w:r>
      <w:r w:rsidR="00123375">
        <w:t xml:space="preserve">studies </w:t>
      </w:r>
      <w:r w:rsidR="00960373">
        <w:fldChar w:fldCharType="begin"/>
      </w:r>
      <w:r w:rsidR="00C12493">
        <w:instrText xml:space="preserve"> ADDIN ZOTERO_ITEM CSL_CITATION {"citationID":"bNWoxOgI","properties":{"formattedCitation":"(Jabbari et al., 2022)","plainCitation":"(Jabbari et al., 2022)","dontUpdate":true,"noteIndex":0},"citationItems":[{"id":3089,"uris":["http://zotero.org/users/12832277/items/T7EVSFNN"],"itemData":{"id":3089,"type":"article-journal","abstract":"Given the inequitable distribution of resources across school, neighborhood, and home contexts in the United States, lower resourced students may have had fewer opportunities to learn during the coronavirus disease 2019 pandemic, which may have caused previous disadvantages to accumulate during the pandemic. Nevertheless, research has yet to comprehensively explore how school, neighborhood, and home contexts—together—relate to perceptions of school quality and, ultimately, learning outcomes during the pandemic. To fill this gap, the authors leverage a unique multiwave survey of households across 47 states. Using multinomial modeling, the authors find that previous disadvantages were not always accumulated during the pandemic and that in some cases, perceptions of school quality and student learning improved for students who had struggled before the pandemic. The results also suggest stratification across race/ethnicity, parental education levels, school types, learning modes, and a range of learning resources.","container-title":"Socius","DOI":"10.1177/23780231221142955","ISSN":"2378-0231","language":"en","note":"publisher: SAGE Publications","page":"23780231221142955","source":"SAGE Journals","title":"Perceptions of School Quality and Student Learning During the Pandemic: Exploring the Role of Students, Families, Schools, and Neighborhoods","title-short":"Perceptions of School Quality and Student Learning During the Pandemic","volume":"8","author":[{"family":"Jabbari","given":"Jason"},{"family":"Chun","given":"Yung"},{"family":"Johnson","given":"Odis"},{"family":"Grinstein-Weiss","given":"Michal"},{"family":"McDermott","given":"Laura"}],"issued":{"date-parts":[["2022",1,1]]}}}],"schema":"https://github.com/citation-style-language/schema/raw/master/csl-citation.json"} </w:instrText>
      </w:r>
      <w:r w:rsidR="00960373">
        <w:fldChar w:fldCharType="separate"/>
      </w:r>
      <w:r w:rsidR="00960373" w:rsidRPr="00960373">
        <w:rPr>
          <w:rFonts w:cs="Times New Roman"/>
        </w:rPr>
        <w:t>(</w:t>
      </w:r>
      <w:r w:rsidR="00960373">
        <w:rPr>
          <w:rFonts w:cs="Times New Roman"/>
        </w:rPr>
        <w:t xml:space="preserve">see </w:t>
      </w:r>
      <w:r w:rsidR="00960373" w:rsidRPr="00960373">
        <w:rPr>
          <w:rFonts w:cs="Times New Roman"/>
        </w:rPr>
        <w:t>Jabbari et al., 2022)</w:t>
      </w:r>
      <w:r w:rsidR="00960373">
        <w:fldChar w:fldCharType="end"/>
      </w:r>
      <w:r w:rsidR="00123375">
        <w:t xml:space="preserve"> have found that families with access to online learning </w:t>
      </w:r>
      <w:r w:rsidR="00123375">
        <w:lastRenderedPageBreak/>
        <w:t>tools generally have lower perceptions of the quality of their local schools, indicating that these online tools may be substituting for the perceived quality of physical learn</w:t>
      </w:r>
      <w:r w:rsidR="00123375" w:rsidRPr="00960373">
        <w:t>ing opportunities.</w:t>
      </w:r>
      <w:r w:rsidR="00AD2010" w:rsidRPr="00960373">
        <w:t xml:space="preserve"> This reduction in the valuation of proximity </w:t>
      </w:r>
      <w:r w:rsidR="000153CC">
        <w:t xml:space="preserve">to quality </w:t>
      </w:r>
      <w:r w:rsidR="00AD2010" w:rsidRPr="00960373">
        <w:t xml:space="preserve">physical schools </w:t>
      </w:r>
      <w:r w:rsidR="00960373" w:rsidRPr="00960373">
        <w:t>underscores</w:t>
      </w:r>
      <w:r w:rsidR="00AD2010" w:rsidRPr="00AD2010">
        <w:rPr>
          <w:color w:val="FF0000"/>
        </w:rPr>
        <w:t xml:space="preserve"> </w:t>
      </w:r>
      <w:r w:rsidR="00AD2010">
        <w:t xml:space="preserve">the need to better understand </w:t>
      </w:r>
      <w:r w:rsidR="000153CC">
        <w:t xml:space="preserve">the efficacy of </w:t>
      </w:r>
      <w:r w:rsidR="00AD2010">
        <w:t xml:space="preserve">online and remote learning options, the perceived value of schools and learning opportunities, and the broader impacts of the pandemic on educational outcomes. </w:t>
      </w:r>
    </w:p>
    <w:p w14:paraId="10CA50BB" w14:textId="132AC6B9" w:rsidR="00DB78E1" w:rsidRDefault="003462A5" w:rsidP="00DC3F80">
      <w:pPr>
        <w:autoSpaceDE w:val="0"/>
        <w:autoSpaceDN w:val="0"/>
        <w:adjustRightInd w:val="0"/>
        <w:spacing w:after="0" w:line="240" w:lineRule="auto"/>
        <w:ind w:firstLine="720"/>
        <w:jc w:val="both"/>
      </w:pPr>
      <w:r>
        <w:t>T</w:t>
      </w:r>
      <w:r w:rsidR="00AD2010">
        <w:t xml:space="preserve">he changing valuation of school quality </w:t>
      </w:r>
      <w:r w:rsidR="000153CC">
        <w:t xml:space="preserve">also </w:t>
      </w:r>
      <w:r w:rsidR="00AD2010">
        <w:t>has important implications for land use and transportation patterns. T</w:t>
      </w:r>
      <w:r w:rsidR="00DB78E1">
        <w:t>here is evidence that</w:t>
      </w:r>
      <w:r w:rsidR="000153CC">
        <w:t>, consistent with our results,</w:t>
      </w:r>
      <w:r w:rsidR="00DB78E1">
        <w:t xml:space="preserve"> parents are generally becoming more willing to </w:t>
      </w:r>
      <w:r w:rsidR="00AD2010">
        <w:t>have their children travel longer</w:t>
      </w:r>
      <w:r w:rsidR="00DB78E1">
        <w:t xml:space="preserve"> distances to </w:t>
      </w:r>
      <w:r w:rsidR="00AD2010">
        <w:t>get</w:t>
      </w:r>
      <w:r w:rsidR="00DB78E1">
        <w:t xml:space="preserve"> to school</w:t>
      </w:r>
      <w:r w:rsidR="00896C00">
        <w:t xml:space="preserve"> and are more willing to explore private schooling or homeschooling</w:t>
      </w:r>
      <w:r w:rsidR="00DB78E1">
        <w:t>, reducing the need to prioritize school quality in the housing decision</w:t>
      </w:r>
      <w:r w:rsidR="00DC3F80">
        <w:t xml:space="preserve"> </w:t>
      </w:r>
      <w:r w:rsidR="00960373">
        <w:fldChar w:fldCharType="begin"/>
      </w:r>
      <w:r w:rsidR="005778FA">
        <w:instrText xml:space="preserve"> ADDIN ZOTERO_ITEM CSL_CITATION {"citationID":"YI7WG27b","properties":{"formattedCitation":"(Cuddy et al., 2020; Musaddiq et al., 2022)","plainCitation":"(Cuddy et al., 2020; Musaddiq et al., 2022)","noteIndex":0},"citationItems":[{"id":143,"uris":["http://zotero.org/users/12832277/items/25WFHCDL"],"itemData":{"id":143,"type":"article-journal","abstract":"While many assume that families engaged in a housing search decide where to live at least in part based on the schools, there is surprisingly little research on how schools actually matter in the residential decision-making process. Drawing on interviews with a socioeconomically diverse sample of 110 parents in Chicago, we explore the connection between housing and schools. For the vast majority of our sample, schools did not loom large during their housing search. Instead, working families are faced with a range of competing demands and constraints making the housing search so challenging that even families who factor in schooling do so in ways that are neither direct nor straightforward. We conclude that while some past research suggests that urban school choice facilitates the decoupling of housing and school decisions, our data show that the “freedom” that derives from school choice can be more imaginary than real for many families.","container-title":"Journal of Urban Affairs","DOI":"10.1080/07352166.2020.1739537","ISSN":"0735-2166","issue":"8","note":"publisher: Routledge\n_eprint: https://doi.org/10.1080/07352166.2020.1739537","page":"1180-1201","source":"Taylor and Francis+NEJM","title":"Choosing Homes Without Choosing Schools? How Urban Parents Navigate Decisions About Neighborhoods and School Choice","title-short":"Choosing Homes Without Choosing Schools?","volume":"42","author":[{"family":"Cuddy","given":"Maximilian"},{"family":"Krysan","given":"Maria"},{"family":"Lewis","given":"Amanda"}],"issued":{"date-parts":[["2020",11,16]]}}},{"id":2663,"uris":["http://zotero.org/users/12832277/items/F7EHH7DA"],"itemData":{"id":2663,"type":"article-journal","abstract":"The Covid-19 pandemic drastically disrupted the functioning of U.S. public schools, potentially changing the relative appeal of alternatives such as homeschooling and private schools. We study changes in families’ choices of school sector using longitudinal student-level administrative data from Michigan and nationally representative data from the Census Household Pulse Survey. Public school enrollment declined noticeably in fall 2020, with 3 percent of Michigan students and 10 percent of kindergartners using other options. Most of this came from homeschooling rates jumping substantially among families with children in elementary school. Consistent with heterogeneous parental preferences for instructional mode, homeschooling increased more where schools provided in-person instruction while private schooling increased more where instruction was remote. Kindergarten declines were highest among low income and Black families while declines in other grades were highest among higher income and White families, highlighting important heterogeneity by students’ existing attachment to public schools. Our results shed light on how families make schooling decisions and imply potential longer-run disruptions to public schools in the form of decreased enrollment and changed composition of the student body.","container-title":"Journal of Public Economics","DOI":"10.1016/j.jpubeco.2022.104710","ISSN":"0047-2727","source":"ScienceDirect","title":"The Pandemic’s Effect on Demand for Public Schools, Homeschooling, and Private Schools","URL":"https://www.sciencedirect.com/science/article/pii/S0047272722001128","volume":"212","author":[{"family":"Musaddiq","given":"Tareena"},{"family":"Stange","given":"Kevin"},{"family":"Bacher-Hicks","given":"Andrew"},{"family":"Goodman","given":"Joshua"}],"accessed":{"date-parts":[["2024",2,27]]},"issued":{"date-parts":[["2022",8,1]]}}}],"schema":"https://github.com/citation-style-language/schema/raw/master/csl-citation.json"} </w:instrText>
      </w:r>
      <w:r w:rsidR="00960373">
        <w:fldChar w:fldCharType="separate"/>
      </w:r>
      <w:r w:rsidR="005778FA" w:rsidRPr="005778FA">
        <w:rPr>
          <w:rFonts w:cs="Times New Roman"/>
        </w:rPr>
        <w:t>(Cuddy et al., 2020; Musaddiq et al., 2022)</w:t>
      </w:r>
      <w:r w:rsidR="00960373">
        <w:fldChar w:fldCharType="end"/>
      </w:r>
      <w:r w:rsidR="00DB78E1">
        <w:t xml:space="preserve">. </w:t>
      </w:r>
      <w:r w:rsidR="00896C00">
        <w:t xml:space="preserve">Instead, other neighborhood attributes </w:t>
      </w:r>
      <w:r w:rsidR="000153CC">
        <w:t>such as</w:t>
      </w:r>
      <w:r w:rsidR="00896C00">
        <w:t xml:space="preserve"> walkability and access to museums and cultural centers seem to be important draws for families with children</w:t>
      </w:r>
      <w:r w:rsidR="000153CC">
        <w:t>.</w:t>
      </w:r>
      <w:r w:rsidR="00960373">
        <w:t xml:space="preserve"> </w:t>
      </w:r>
      <w:r w:rsidR="00896C00">
        <w:t xml:space="preserve">Beyond this shift toward preferences for different neighborhood features, </w:t>
      </w:r>
      <w:r w:rsidR="00FE748D">
        <w:t>the reduced</w:t>
      </w:r>
      <w:r w:rsidR="00896C00">
        <w:t xml:space="preserve"> emphasis on school quality has implications for transportation outcomes. </w:t>
      </w:r>
      <w:r w:rsidR="00AD2010">
        <w:t>Existing results show that mode choice is significantly impacted by the distance of the trip to school, with children living f</w:t>
      </w:r>
      <w:r w:rsidR="000153CC">
        <w:t>a</w:t>
      </w:r>
      <w:r w:rsidR="00AD2010">
        <w:t xml:space="preserve">rther from school being more likely to take the bus than being dropped off by a parent and being much less likely to use active modes </w:t>
      </w:r>
      <w:r w:rsidR="00960373">
        <w:fldChar w:fldCharType="begin"/>
      </w:r>
      <w:r w:rsidR="00960373">
        <w:instrText xml:space="preserve"> ADDIN ZOTERO_ITEM CSL_CITATION {"citationID":"ydpwwG29","properties":{"formattedCitation":"(He, 2011)","plainCitation":"(He, 2011)","noteIndex":0},"citationItems":[{"id":3087,"uris":["http://zotero.org/users/12832277/items/ATVIF6BK"],"itemData":{"id":3087,"type":"article-journal","abstract":"Trips to school are increasingly taken in automobiles. Smart growth and health advocates suggest that a better-designed built environment in a neighborhood can promote walking and biking to school and that children's walking and biking improve the environment, lower obesity, and increase physical activity. The effects of school variables on travel behavior, however, have rarely been documented. The objective of this research is to examine the impact of school location and characteristics on students’ choice of travel mode. The argument is that if the local school is good, then a child is more likely to attend it. The chance increases that the child will commute actively to a school within a short distance, all else equal. School trips from the 2001 Post Census Regional Household Travel Survey of the Los Angeles, California, region were analyzed in relation to school quality in the area of the traveler's origin (residence) and destination. Results revealed that for young travelers who attended kindergarten to sixth grade, school quality and residential environment had no significant effect on nonmotorized modes. In addition, school quality had little impact on mode choice. Nonetheless, the distance from home to the nearest high school significantly increased the probability that students who attended seventh to 12th grades would choose the bus over a private vehicle. A 10% increase in the distance from home to the nearest high school raised the probability of taking the bus by 2.86%, while an identical increase in residential density increased the probability of walking or biking by 1.09%.","container-title":"Transportation Research Record","DOI":"10.3141/2213-13","ISSN":"0361-1981","issue":"1","language":"en","note":"publisher: SAGE Publications Inc","page":"96-104","source":"SAGE Journals","title":"Effect of School Quality and Residential Environment on Mode Choice of School Trips","volume":"2213","author":[{"family":"He","given":"Sylvia"}],"issued":{"date-parts":[["2011",1,1]]}}}],"schema":"https://github.com/citation-style-language/schema/raw/master/csl-citation.json"} </w:instrText>
      </w:r>
      <w:r w:rsidR="00960373">
        <w:fldChar w:fldCharType="separate"/>
      </w:r>
      <w:r w:rsidR="00960373" w:rsidRPr="00960373">
        <w:rPr>
          <w:rFonts w:cs="Times New Roman"/>
        </w:rPr>
        <w:t>(He, 2011)</w:t>
      </w:r>
      <w:r w:rsidR="00960373">
        <w:fldChar w:fldCharType="end"/>
      </w:r>
      <w:r w:rsidR="00AD2010">
        <w:t xml:space="preserve">. </w:t>
      </w:r>
      <w:r w:rsidR="00896C00">
        <w:t xml:space="preserve">This could indicate a growing reliance on school buses </w:t>
      </w:r>
      <w:r w:rsidR="00960373">
        <w:t>for longer-distance trips to and from school</w:t>
      </w:r>
      <w:r w:rsidR="000153CC">
        <w:t>, and</w:t>
      </w:r>
      <w:r w:rsidR="00960373">
        <w:t xml:space="preserve"> a greater reliance on local activity participation for other activities outside of school hours. </w:t>
      </w:r>
    </w:p>
    <w:p w14:paraId="57969048" w14:textId="77777777" w:rsidR="00BB15E5" w:rsidRDefault="00BB15E5" w:rsidP="00727863">
      <w:pPr>
        <w:autoSpaceDE w:val="0"/>
        <w:autoSpaceDN w:val="0"/>
        <w:adjustRightInd w:val="0"/>
        <w:spacing w:after="0" w:line="240" w:lineRule="auto"/>
        <w:jc w:val="both"/>
        <w:rPr>
          <w:rFonts w:cs="Times New Roman"/>
          <w:b/>
        </w:rPr>
      </w:pPr>
    </w:p>
    <w:p w14:paraId="6E4FF8A6" w14:textId="0C0CB279" w:rsidR="007277D7" w:rsidRDefault="003B66CE" w:rsidP="00727863">
      <w:pPr>
        <w:autoSpaceDE w:val="0"/>
        <w:autoSpaceDN w:val="0"/>
        <w:adjustRightInd w:val="0"/>
        <w:spacing w:after="0" w:line="240" w:lineRule="auto"/>
        <w:jc w:val="both"/>
        <w:rPr>
          <w:rFonts w:cs="Times New Roman"/>
          <w:b/>
        </w:rPr>
      </w:pPr>
      <w:r>
        <w:rPr>
          <w:rFonts w:cs="Times New Roman"/>
          <w:b/>
        </w:rPr>
        <w:t>5</w:t>
      </w:r>
      <w:r w:rsidR="00BB15E5" w:rsidRPr="005C713B">
        <w:rPr>
          <w:rFonts w:cs="Times New Roman"/>
          <w:b/>
        </w:rPr>
        <w:t xml:space="preserve">. </w:t>
      </w:r>
      <w:r w:rsidR="007277D7" w:rsidRPr="005C713B">
        <w:rPr>
          <w:rFonts w:cs="Times New Roman"/>
          <w:b/>
        </w:rPr>
        <w:t>CONCLUSIONS</w:t>
      </w:r>
    </w:p>
    <w:p w14:paraId="5948EF83" w14:textId="3B98E316" w:rsidR="00D340BD" w:rsidRPr="00D340BD" w:rsidRDefault="00017199" w:rsidP="0098401E">
      <w:pPr>
        <w:autoSpaceDE w:val="0"/>
        <w:autoSpaceDN w:val="0"/>
        <w:adjustRightInd w:val="0"/>
        <w:spacing w:after="0" w:line="240" w:lineRule="auto"/>
        <w:jc w:val="both"/>
        <w:rPr>
          <w:rFonts w:cs="Times New Roman"/>
          <w:bCs/>
        </w:rPr>
      </w:pPr>
      <w:r>
        <w:rPr>
          <w:rFonts w:cs="Times New Roman"/>
          <w:bCs/>
        </w:rPr>
        <w:t xml:space="preserve">Residential </w:t>
      </w:r>
      <w:r w:rsidR="00CA7D53">
        <w:rPr>
          <w:rFonts w:cs="Times New Roman"/>
          <w:bCs/>
        </w:rPr>
        <w:t>location decisions</w:t>
      </w:r>
      <w:r w:rsidR="0014648A">
        <w:rPr>
          <w:rFonts w:cs="Times New Roman"/>
          <w:bCs/>
        </w:rPr>
        <w:t xml:space="preserve"> involve </w:t>
      </w:r>
      <w:r>
        <w:rPr>
          <w:rFonts w:cs="Times New Roman"/>
          <w:bCs/>
        </w:rPr>
        <w:t>the</w:t>
      </w:r>
      <w:r w:rsidR="0014648A">
        <w:rPr>
          <w:rFonts w:cs="Times New Roman"/>
          <w:bCs/>
        </w:rPr>
        <w:t xml:space="preserve"> careful consideration of tradeoffs between a wide range </w:t>
      </w:r>
      <w:r w:rsidR="00087321">
        <w:rPr>
          <w:rFonts w:cs="Times New Roman"/>
          <w:bCs/>
        </w:rPr>
        <w:t>of location</w:t>
      </w:r>
      <w:r>
        <w:rPr>
          <w:rFonts w:cs="Times New Roman"/>
          <w:bCs/>
        </w:rPr>
        <w:t xml:space="preserve"> factors</w:t>
      </w:r>
      <w:r w:rsidR="0014648A">
        <w:rPr>
          <w:rFonts w:cs="Times New Roman"/>
          <w:bCs/>
        </w:rPr>
        <w:t xml:space="preserve">. </w:t>
      </w:r>
      <w:r>
        <w:rPr>
          <w:rFonts w:cs="Times New Roman"/>
          <w:bCs/>
        </w:rPr>
        <w:t xml:space="preserve">In the current study, using data from the 2021 Puget Sound Household Travel </w:t>
      </w:r>
      <w:r w:rsidR="00087321">
        <w:rPr>
          <w:rFonts w:cs="Times New Roman"/>
          <w:bCs/>
        </w:rPr>
        <w:t>Survey and</w:t>
      </w:r>
      <w:r>
        <w:rPr>
          <w:rFonts w:cs="Times New Roman"/>
          <w:bCs/>
        </w:rPr>
        <w:t xml:space="preserve"> </w:t>
      </w:r>
      <w:r w:rsidR="00D340BD">
        <w:rPr>
          <w:rFonts w:cs="Times New Roman"/>
          <w:bCs/>
        </w:rPr>
        <w:t>a rank-based modeling approach</w:t>
      </w:r>
      <w:r>
        <w:rPr>
          <w:rFonts w:cs="Times New Roman"/>
          <w:bCs/>
        </w:rPr>
        <w:t>, we investigate</w:t>
      </w:r>
      <w:r w:rsidR="00D340BD">
        <w:rPr>
          <w:rFonts w:cs="Times New Roman"/>
          <w:bCs/>
        </w:rPr>
        <w:t xml:space="preserve"> </w:t>
      </w:r>
      <w:r>
        <w:rPr>
          <w:rFonts w:cs="Times New Roman"/>
          <w:bCs/>
        </w:rPr>
        <w:t xml:space="preserve">how households value different location factors and how this valuation has </w:t>
      </w:r>
      <w:r w:rsidR="00345F87">
        <w:rPr>
          <w:rFonts w:cs="Times New Roman"/>
          <w:bCs/>
        </w:rPr>
        <w:t xml:space="preserve">changed due to the </w:t>
      </w:r>
      <w:r w:rsidR="005C6C09">
        <w:rPr>
          <w:rFonts w:cs="Times New Roman"/>
          <w:bCs/>
        </w:rPr>
        <w:t>pandemic</w:t>
      </w:r>
      <w:r w:rsidR="00345F87">
        <w:rPr>
          <w:rFonts w:cs="Times New Roman"/>
          <w:bCs/>
        </w:rPr>
        <w:t xml:space="preserve">. </w:t>
      </w:r>
      <w:r w:rsidR="00D340BD">
        <w:rPr>
          <w:rFonts w:cs="Times New Roman"/>
          <w:bCs/>
        </w:rPr>
        <w:t xml:space="preserve">Our results reveal significant heterogeneity </w:t>
      </w:r>
      <w:r w:rsidR="009D7E41">
        <w:rPr>
          <w:rFonts w:cs="Times New Roman"/>
          <w:bCs/>
        </w:rPr>
        <w:t xml:space="preserve">across households </w:t>
      </w:r>
      <w:r w:rsidR="00D340BD">
        <w:rPr>
          <w:rFonts w:cs="Times New Roman"/>
          <w:bCs/>
        </w:rPr>
        <w:t>in</w:t>
      </w:r>
      <w:r w:rsidR="009D7E41">
        <w:rPr>
          <w:rFonts w:cs="Times New Roman"/>
          <w:bCs/>
        </w:rPr>
        <w:t xml:space="preserve"> residential location </w:t>
      </w:r>
      <w:r w:rsidR="00D340BD">
        <w:rPr>
          <w:rFonts w:cs="Times New Roman"/>
          <w:bCs/>
        </w:rPr>
        <w:t xml:space="preserve">preferences as well as important changes in these preferences between the before-COVID and </w:t>
      </w:r>
      <w:r w:rsidR="002E343A">
        <w:rPr>
          <w:rFonts w:cs="Times New Roman"/>
          <w:bCs/>
        </w:rPr>
        <w:t>during</w:t>
      </w:r>
      <w:r w:rsidR="00D340BD">
        <w:rPr>
          <w:rFonts w:cs="Times New Roman"/>
          <w:bCs/>
        </w:rPr>
        <w:t xml:space="preserve">-COVID periods. </w:t>
      </w:r>
      <w:r w:rsidR="009D7E41">
        <w:rPr>
          <w:rFonts w:cs="Times New Roman"/>
          <w:bCs/>
        </w:rPr>
        <w:t>Overall, our results indicate higher priority placed on “</w:t>
      </w:r>
      <w:r w:rsidR="00D340BD">
        <w:rPr>
          <w:rFonts w:cs="Times New Roman"/>
          <w:bCs/>
        </w:rPr>
        <w:t>living near friends and family</w:t>
      </w:r>
      <w:r w:rsidR="009D7E41">
        <w:rPr>
          <w:rFonts w:cs="Times New Roman"/>
          <w:bCs/>
        </w:rPr>
        <w:t xml:space="preserve">” </w:t>
      </w:r>
      <w:r w:rsidR="002E343A">
        <w:rPr>
          <w:rFonts w:cs="Times New Roman"/>
          <w:bCs/>
        </w:rPr>
        <w:t>during</w:t>
      </w:r>
      <w:r w:rsidR="009D7E41">
        <w:rPr>
          <w:rFonts w:cs="Times New Roman"/>
          <w:bCs/>
        </w:rPr>
        <w:t xml:space="preserve"> the pandemic, particularly for retired adults, high income groups, and Hispanic individuals. Having space and separation from others is simultaneously important for retired adults. Walkable environments appear to be particularly important in the </w:t>
      </w:r>
      <w:r w:rsidR="002E343A">
        <w:rPr>
          <w:rFonts w:cs="Times New Roman"/>
          <w:bCs/>
        </w:rPr>
        <w:t>during</w:t>
      </w:r>
      <w:r w:rsidR="00655077">
        <w:rPr>
          <w:rFonts w:cs="Times New Roman"/>
          <w:bCs/>
        </w:rPr>
        <w:t xml:space="preserve">-COVID </w:t>
      </w:r>
      <w:r w:rsidR="009D7E41">
        <w:rPr>
          <w:rFonts w:cs="Times New Roman"/>
          <w:bCs/>
        </w:rPr>
        <w:t>residential location choice</w:t>
      </w:r>
      <w:r w:rsidR="00655077">
        <w:rPr>
          <w:rFonts w:cs="Times New Roman"/>
          <w:bCs/>
        </w:rPr>
        <w:t>s</w:t>
      </w:r>
      <w:r w:rsidR="009D7E41">
        <w:rPr>
          <w:rFonts w:cs="Times New Roman"/>
          <w:bCs/>
        </w:rPr>
        <w:t xml:space="preserve"> </w:t>
      </w:r>
      <w:r w:rsidR="00655077">
        <w:rPr>
          <w:rFonts w:cs="Times New Roman"/>
          <w:bCs/>
        </w:rPr>
        <w:t>of</w:t>
      </w:r>
      <w:r w:rsidR="009D7E41">
        <w:rPr>
          <w:rFonts w:cs="Times New Roman"/>
          <w:bCs/>
        </w:rPr>
        <w:t xml:space="preserve"> families with children</w:t>
      </w:r>
      <w:r w:rsidR="00655077">
        <w:rPr>
          <w:rFonts w:cs="Times New Roman"/>
          <w:bCs/>
        </w:rPr>
        <w:t>, while access to highways has become more important for almost all population subgroups and quality of schools has come down in priority even for households with children.</w:t>
      </w:r>
      <w:r w:rsidR="009D7E41">
        <w:rPr>
          <w:rFonts w:cs="Times New Roman"/>
          <w:bCs/>
        </w:rPr>
        <w:t xml:space="preserve"> </w:t>
      </w:r>
      <w:r w:rsidR="00655077">
        <w:rPr>
          <w:rFonts w:cs="Times New Roman"/>
          <w:bCs/>
        </w:rPr>
        <w:t xml:space="preserve">These evolving preferences for </w:t>
      </w:r>
      <w:r w:rsidR="00C27FF4">
        <w:rPr>
          <w:rFonts w:cs="Times New Roman"/>
          <w:bCs/>
        </w:rPr>
        <w:t>(</w:t>
      </w:r>
      <w:r w:rsidR="00655077">
        <w:rPr>
          <w:rFonts w:cs="Times New Roman"/>
          <w:bCs/>
        </w:rPr>
        <w:t>residential location</w:t>
      </w:r>
      <w:r w:rsidR="00C27FF4">
        <w:rPr>
          <w:rFonts w:cs="Times New Roman"/>
          <w:bCs/>
        </w:rPr>
        <w:t>)</w:t>
      </w:r>
      <w:r w:rsidR="00655077">
        <w:rPr>
          <w:rFonts w:cs="Times New Roman"/>
          <w:bCs/>
        </w:rPr>
        <w:t xml:space="preserve"> factors </w:t>
      </w:r>
      <w:r w:rsidR="00D340BD">
        <w:rPr>
          <w:rFonts w:cs="Times New Roman"/>
          <w:bCs/>
        </w:rPr>
        <w:t xml:space="preserve">have important implications for urban planning and transportation </w:t>
      </w:r>
      <w:r w:rsidR="00655077">
        <w:rPr>
          <w:rFonts w:cs="Times New Roman"/>
          <w:bCs/>
        </w:rPr>
        <w:t>service provision, as well as in forecasting future land-use patterns and travel demand.</w:t>
      </w:r>
      <w:r w:rsidR="00B90BED">
        <w:rPr>
          <w:rFonts w:cs="Times New Roman"/>
          <w:bCs/>
        </w:rPr>
        <w:t xml:space="preserve"> </w:t>
      </w:r>
      <w:r w:rsidR="0072098E" w:rsidRPr="008025D1">
        <w:rPr>
          <w:rFonts w:cs="Times New Roman"/>
          <w:bCs/>
          <w:u w:val="single"/>
        </w:rPr>
        <w:t>First</w:t>
      </w:r>
      <w:r w:rsidR="0072098E">
        <w:rPr>
          <w:rFonts w:cs="Times New Roman"/>
          <w:bCs/>
        </w:rPr>
        <w:t>, given the slow</w:t>
      </w:r>
      <w:r w:rsidR="00FD233F">
        <w:rPr>
          <w:rFonts w:cs="Times New Roman"/>
          <w:bCs/>
        </w:rPr>
        <w:t xml:space="preserve">ly changing nature of the housing market, it is likely that rapidly changing preferences, such as those brought about by the COVID-19 pandemic, will lead to mismatches between housing supply and demand for specific location types. </w:t>
      </w:r>
      <w:r w:rsidR="00837478">
        <w:rPr>
          <w:rFonts w:cs="Times New Roman"/>
          <w:bCs/>
        </w:rPr>
        <w:t xml:space="preserve">Given, the </w:t>
      </w:r>
      <w:r w:rsidR="007F5EB1">
        <w:rPr>
          <w:rFonts w:cs="Times New Roman"/>
          <w:bCs/>
        </w:rPr>
        <w:t>supply</w:t>
      </w:r>
      <w:r w:rsidR="00837478">
        <w:rPr>
          <w:rFonts w:cs="Times New Roman"/>
          <w:bCs/>
        </w:rPr>
        <w:t xml:space="preserve"> constraints and high costs of relocation, these changing preferences will not necessarily be revealed in home purchase data for many years, </w:t>
      </w:r>
      <w:r w:rsidR="007F5EB1">
        <w:rPr>
          <w:rFonts w:cs="Times New Roman"/>
          <w:bCs/>
        </w:rPr>
        <w:t xml:space="preserve">but </w:t>
      </w:r>
      <w:r w:rsidR="001522CD">
        <w:rPr>
          <w:rFonts w:cs="Times New Roman"/>
          <w:bCs/>
        </w:rPr>
        <w:t xml:space="preserve">understanding these changing preferences in advance is critical to </w:t>
      </w:r>
      <w:r w:rsidR="00E9649B">
        <w:rPr>
          <w:rFonts w:cs="Times New Roman"/>
          <w:bCs/>
        </w:rPr>
        <w:t xml:space="preserve">proactively </w:t>
      </w:r>
      <w:r w:rsidR="00C27FF4">
        <w:rPr>
          <w:rFonts w:cs="Times New Roman"/>
          <w:bCs/>
        </w:rPr>
        <w:t xml:space="preserve">planning </w:t>
      </w:r>
      <w:r w:rsidR="001522CD">
        <w:rPr>
          <w:rFonts w:cs="Times New Roman"/>
          <w:bCs/>
        </w:rPr>
        <w:t>future neighborhoods</w:t>
      </w:r>
      <w:r w:rsidR="00ED79D4">
        <w:rPr>
          <w:rFonts w:cs="Times New Roman"/>
          <w:bCs/>
        </w:rPr>
        <w:t xml:space="preserve"> and</w:t>
      </w:r>
      <w:r w:rsidR="00CE3AA2">
        <w:rPr>
          <w:rFonts w:cs="Times New Roman"/>
          <w:bCs/>
        </w:rPr>
        <w:t xml:space="preserve"> residential areas. </w:t>
      </w:r>
      <w:r w:rsidR="00BB2EB6" w:rsidRPr="008025D1">
        <w:rPr>
          <w:rFonts w:cs="Times New Roman"/>
          <w:bCs/>
          <w:u w:val="single"/>
        </w:rPr>
        <w:t>Second</w:t>
      </w:r>
      <w:r w:rsidR="00BB2EB6">
        <w:rPr>
          <w:rFonts w:cs="Times New Roman"/>
          <w:bCs/>
        </w:rPr>
        <w:t>,</w:t>
      </w:r>
      <w:r w:rsidR="006B631F">
        <w:rPr>
          <w:rFonts w:cs="Times New Roman"/>
          <w:bCs/>
        </w:rPr>
        <w:t xml:space="preserve"> these </w:t>
      </w:r>
      <w:r w:rsidR="00C27FF4">
        <w:rPr>
          <w:rFonts w:cs="Times New Roman"/>
          <w:bCs/>
        </w:rPr>
        <w:t xml:space="preserve">residential location </w:t>
      </w:r>
      <w:r w:rsidR="006B631F">
        <w:rPr>
          <w:rFonts w:cs="Times New Roman"/>
          <w:bCs/>
        </w:rPr>
        <w:t>preferences demonstrate a strong connection between residential location decisions and downstream transportation outcomes</w:t>
      </w:r>
      <w:r w:rsidR="00ED79D4">
        <w:rPr>
          <w:rFonts w:cs="Times New Roman"/>
          <w:bCs/>
        </w:rPr>
        <w:t>, providing insights</w:t>
      </w:r>
      <w:r w:rsidR="009D0868">
        <w:rPr>
          <w:rFonts w:cs="Times New Roman"/>
          <w:bCs/>
        </w:rPr>
        <w:t xml:space="preserve"> into</w:t>
      </w:r>
      <w:r w:rsidR="000A2E15">
        <w:rPr>
          <w:rFonts w:cs="Times New Roman"/>
          <w:bCs/>
        </w:rPr>
        <w:t xml:space="preserve"> self-selection effects </w:t>
      </w:r>
      <w:r w:rsidR="009D0868">
        <w:rPr>
          <w:rFonts w:cs="Times New Roman"/>
          <w:bCs/>
        </w:rPr>
        <w:t xml:space="preserve">that </w:t>
      </w:r>
      <w:r w:rsidR="000A2E15">
        <w:rPr>
          <w:rFonts w:cs="Times New Roman"/>
          <w:bCs/>
        </w:rPr>
        <w:t>are critical for transportation planning</w:t>
      </w:r>
      <w:r w:rsidR="006B631F">
        <w:rPr>
          <w:rFonts w:cs="Times New Roman"/>
          <w:bCs/>
        </w:rPr>
        <w:t xml:space="preserve">. </w:t>
      </w:r>
      <w:r w:rsidR="000A2E15">
        <w:rPr>
          <w:rFonts w:cs="Times New Roman"/>
          <w:bCs/>
        </w:rPr>
        <w:t xml:space="preserve">The model reveals ways in which </w:t>
      </w:r>
      <w:r w:rsidR="000824D5">
        <w:rPr>
          <w:rFonts w:cs="Times New Roman"/>
          <w:bCs/>
        </w:rPr>
        <w:t>priorities</w:t>
      </w:r>
      <w:r w:rsidR="000A2E15">
        <w:rPr>
          <w:rFonts w:cs="Times New Roman"/>
          <w:bCs/>
        </w:rPr>
        <w:t xml:space="preserve"> are </w:t>
      </w:r>
      <w:r w:rsidR="001B048C">
        <w:rPr>
          <w:rFonts w:cs="Times New Roman"/>
          <w:bCs/>
        </w:rPr>
        <w:t>established in the</w:t>
      </w:r>
      <w:r w:rsidR="00DF1506">
        <w:rPr>
          <w:rFonts w:cs="Times New Roman"/>
          <w:bCs/>
        </w:rPr>
        <w:t xml:space="preserve"> residential location decision process</w:t>
      </w:r>
      <w:r w:rsidR="000A2E15">
        <w:rPr>
          <w:rFonts w:cs="Times New Roman"/>
          <w:bCs/>
        </w:rPr>
        <w:t xml:space="preserve"> </w:t>
      </w:r>
      <w:r w:rsidR="00C27FF4">
        <w:rPr>
          <w:rFonts w:cs="Times New Roman"/>
          <w:bCs/>
        </w:rPr>
        <w:t>among</w:t>
      </w:r>
      <w:r w:rsidR="000A2E15">
        <w:rPr>
          <w:rFonts w:cs="Times New Roman"/>
          <w:bCs/>
        </w:rPr>
        <w:t xml:space="preserve"> </w:t>
      </w:r>
      <w:r w:rsidR="00BB3FD7">
        <w:rPr>
          <w:rFonts w:cs="Times New Roman"/>
          <w:bCs/>
        </w:rPr>
        <w:t>transportation factors (including walkability, public transit access, and access to highways)</w:t>
      </w:r>
      <w:r w:rsidR="008D6C59">
        <w:rPr>
          <w:rFonts w:cs="Times New Roman"/>
          <w:bCs/>
        </w:rPr>
        <w:t>,</w:t>
      </w:r>
      <w:r w:rsidR="00BB3FD7">
        <w:rPr>
          <w:rFonts w:cs="Times New Roman"/>
          <w:bCs/>
        </w:rPr>
        <w:t xml:space="preserve"> </w:t>
      </w:r>
      <w:r w:rsidR="000A2E15">
        <w:rPr>
          <w:rFonts w:cs="Times New Roman"/>
          <w:bCs/>
        </w:rPr>
        <w:t xml:space="preserve">economic factors (such as affordability), </w:t>
      </w:r>
      <w:r w:rsidR="00FE48AC">
        <w:rPr>
          <w:rFonts w:cs="Times New Roman"/>
          <w:bCs/>
        </w:rPr>
        <w:t xml:space="preserve">and </w:t>
      </w:r>
      <w:r w:rsidR="000A2E15">
        <w:rPr>
          <w:rFonts w:cs="Times New Roman"/>
          <w:bCs/>
        </w:rPr>
        <w:t>social factors (such as being close to friends and family)</w:t>
      </w:r>
      <w:r w:rsidR="009D27BC">
        <w:rPr>
          <w:rFonts w:cs="Times New Roman"/>
          <w:bCs/>
        </w:rPr>
        <w:t xml:space="preserve">, demonstrating the </w:t>
      </w:r>
      <w:r w:rsidR="009D27BC">
        <w:rPr>
          <w:rFonts w:cs="Times New Roman"/>
          <w:bCs/>
        </w:rPr>
        <w:lastRenderedPageBreak/>
        <w:t xml:space="preserve">need to understand these dynamics when modeling downstream transportation decisions. </w:t>
      </w:r>
      <w:r w:rsidR="001C7A48">
        <w:rPr>
          <w:rFonts w:cs="Times New Roman"/>
          <w:bCs/>
        </w:rPr>
        <w:t xml:space="preserve">Therefore, integrated transportation-land use models </w:t>
      </w:r>
      <w:r w:rsidR="00200C41">
        <w:rPr>
          <w:rFonts w:cs="Times New Roman"/>
          <w:bCs/>
        </w:rPr>
        <w:t xml:space="preserve">must continue to </w:t>
      </w:r>
      <w:r w:rsidR="00C27FF4">
        <w:rPr>
          <w:rFonts w:cs="Times New Roman"/>
          <w:bCs/>
        </w:rPr>
        <w:t xml:space="preserve">recognize and accommodate the </w:t>
      </w:r>
      <w:r w:rsidR="00200C41">
        <w:rPr>
          <w:rFonts w:cs="Times New Roman"/>
          <w:bCs/>
        </w:rPr>
        <w:t>evolv</w:t>
      </w:r>
      <w:r w:rsidR="00C27FF4">
        <w:rPr>
          <w:rFonts w:cs="Times New Roman"/>
          <w:bCs/>
        </w:rPr>
        <w:t>ing valuations for different residential location factors</w:t>
      </w:r>
      <w:r w:rsidR="0098401E">
        <w:rPr>
          <w:rFonts w:cs="Times New Roman"/>
          <w:bCs/>
        </w:rPr>
        <w:t xml:space="preserve">. </w:t>
      </w:r>
    </w:p>
    <w:p w14:paraId="33729E3B" w14:textId="250429DA" w:rsidR="004C0A9E" w:rsidRDefault="005C713B" w:rsidP="00727863">
      <w:pPr>
        <w:autoSpaceDE w:val="0"/>
        <w:autoSpaceDN w:val="0"/>
        <w:adjustRightInd w:val="0"/>
        <w:spacing w:after="0" w:line="240" w:lineRule="auto"/>
        <w:jc w:val="both"/>
        <w:rPr>
          <w:rFonts w:cs="Times New Roman"/>
          <w:bCs/>
        </w:rPr>
      </w:pPr>
      <w:r>
        <w:rPr>
          <w:rFonts w:cs="Times New Roman"/>
          <w:b/>
        </w:rPr>
        <w:tab/>
      </w:r>
      <w:r w:rsidR="008A7ACB" w:rsidRPr="00BB7B29">
        <w:rPr>
          <w:rFonts w:cs="Times New Roman"/>
          <w:bCs/>
        </w:rPr>
        <w:t>Future research studies should examine the evolving patterns of preferences for residential locations in other metropolitan areas and over a broader geographic scale, given</w:t>
      </w:r>
      <w:r w:rsidR="008A7ACB">
        <w:rPr>
          <w:rFonts w:cs="Times New Roman"/>
          <w:b/>
        </w:rPr>
        <w:t xml:space="preserve"> </w:t>
      </w:r>
      <w:r>
        <w:rPr>
          <w:rFonts w:cs="Times New Roman"/>
          <w:bCs/>
        </w:rPr>
        <w:t xml:space="preserve">evidence of significant differences in housing preferences and outcomes across </w:t>
      </w:r>
      <w:r w:rsidR="008A7ACB">
        <w:rPr>
          <w:rFonts w:cs="Times New Roman"/>
          <w:bCs/>
        </w:rPr>
        <w:t xml:space="preserve">regions of </w:t>
      </w:r>
      <w:r>
        <w:rPr>
          <w:rFonts w:cs="Times New Roman"/>
          <w:bCs/>
        </w:rPr>
        <w:t xml:space="preserve">the </w:t>
      </w:r>
      <w:r w:rsidR="008A7ACB">
        <w:rPr>
          <w:rFonts w:cs="Times New Roman"/>
          <w:bCs/>
        </w:rPr>
        <w:t xml:space="preserve">U.S. </w:t>
      </w:r>
      <w:r>
        <w:rPr>
          <w:rFonts w:cs="Times New Roman"/>
          <w:bCs/>
        </w:rPr>
        <w:fldChar w:fldCharType="begin"/>
      </w:r>
      <w:r w:rsidR="00A964D1">
        <w:rPr>
          <w:rFonts w:cs="Times New Roman"/>
          <w:bCs/>
        </w:rPr>
        <w:instrText xml:space="preserve"> ADDIN ZOTERO_ITEM CSL_CITATION {"citationID":"xjM13LJE","properties":{"unsorted":true,"formattedCitation":"(Yan, 2020; Robbennolt et al., 2024)","plainCitation":"(Yan, 2020; Robbennolt et al., 2024)","noteIndex":0},"citationItems":[{"id":3025,"uris":["http://zotero.org/users/12832277/items/IGJ8M953"],"itemData":{"id":3025,"type":"article-journal","abstract":"Accessibility has been established as a major planning goal in recent years. However, little knowledge exists regarding how individuals value walkability, transit accessibility, and auto accessibility differently when deciding where to live. To fill this knowledge gap, this study conducts residential location choice modeling across three U.S. regions—Atlanta, Puget Sound, and Southeast Michigan. I find that, overall, all three types of accessibility are important determinants of residential location choice. Transit accessibility has a statistically significant positive influence on residential location choice across all three regions. On auto accessibility, results show that commute time by auto has the greatest influence on residential location choice among all independent variables, but auto accessibility to nonwork destinations appears to be inconsequential. Moreover, walkability is found to be a key determinant of residential location choice in the Puget Sound region but not the other two regions. I argue that these regional differences result from a lack of choice among Atlanta and Southeast Michigan residents, that is, a undersupply of walkable neighborhoods inhibits households in the two regions from living in such neighborhoods. This finding suggests the need for cities and regions to promote pedestrian-oriented development in order to broaden residential choice. The results further imply that, due to housing-supply constraints, households often have to live in a neighborhood with a level of accessibility lower than what they prefer. Transportation and land-use planners should address this “residential dissonance” when applying residential location choice models to predict land-use growth patterns.","container-title":"Transportation Research Part D: Transport and Environment","DOI":"10.1016/j.trd.2020.102255","ISSN":"1361-9209","source":"ScienceDirect","title":"Evaluating Household Residential Preferences for Walkability and Accessibility Across Three U.S. Regions","URL":"https://www.sciencedirect.com/science/article/pii/S1361920919313963","volume":"80","author":[{"family":"Yan","given":"Xiang"}],"accessed":{"date-parts":[["2024",4,25]]},"issued":{"date-parts":[["2020",3,1]]}}},{"id":1977,"uris":["http://zotero.org/users/12832277/items/78JZET84"],"itemData":{"id":1977,"type":"article-journal","container-title":"Technical paper, Department of Civil, Architectural and Environmental Engineering, The University of Texas at Austin","title":"Housing Choice in an Evolving Remote Work Landscape","author":[{"family":"Robbennolt","given":"Dale"},{"family":"Haddad","given":"Angela"},{"family":"Mondal","given":"Aupal"},{"family":"Bhat","given":"Chandra R."}],"issued":{"date-parts":[["2024",5]]}}}],"schema":"https://github.com/citation-style-language/schema/raw/master/csl-citation.json"} </w:instrText>
      </w:r>
      <w:r>
        <w:rPr>
          <w:rFonts w:cs="Times New Roman"/>
          <w:bCs/>
        </w:rPr>
        <w:fldChar w:fldCharType="separate"/>
      </w:r>
      <w:r w:rsidR="00A964D1" w:rsidRPr="00A964D1">
        <w:rPr>
          <w:rFonts w:cs="Times New Roman"/>
        </w:rPr>
        <w:t>(</w:t>
      </w:r>
      <w:r w:rsidR="00D24CAA">
        <w:rPr>
          <w:rFonts w:cs="Times New Roman"/>
        </w:rPr>
        <w:t xml:space="preserve">see </w:t>
      </w:r>
      <w:r w:rsidR="00A964D1" w:rsidRPr="00A964D1">
        <w:rPr>
          <w:rFonts w:cs="Times New Roman"/>
        </w:rPr>
        <w:t>Yan, 2020; Robbennolt et al., 2024)</w:t>
      </w:r>
      <w:r>
        <w:rPr>
          <w:rFonts w:cs="Times New Roman"/>
          <w:bCs/>
        </w:rPr>
        <w:fldChar w:fldCharType="end"/>
      </w:r>
      <w:r>
        <w:rPr>
          <w:rFonts w:cs="Times New Roman"/>
          <w:bCs/>
        </w:rPr>
        <w:t xml:space="preserve">. </w:t>
      </w:r>
      <w:r w:rsidR="008A7ACB">
        <w:rPr>
          <w:rFonts w:cs="Times New Roman"/>
          <w:bCs/>
        </w:rPr>
        <w:t xml:space="preserve">Additionally, jointly analyzing residential location choices with dwelling unit attributes and other household decisions (such as </w:t>
      </w:r>
      <w:r w:rsidR="004C0A9E">
        <w:rPr>
          <w:rFonts w:cs="Times New Roman"/>
          <w:bCs/>
        </w:rPr>
        <w:t>vehicle ownership, employment, and telework decisions</w:t>
      </w:r>
      <w:r w:rsidR="008A7ACB">
        <w:rPr>
          <w:rFonts w:cs="Times New Roman"/>
          <w:bCs/>
        </w:rPr>
        <w:t>) would be a fruitful avenue to extend the current study</w:t>
      </w:r>
      <w:r w:rsidR="001F3032">
        <w:rPr>
          <w:rFonts w:cs="Times New Roman"/>
          <w:bCs/>
        </w:rPr>
        <w:t>.</w:t>
      </w:r>
    </w:p>
    <w:p w14:paraId="7B7B30A9" w14:textId="77777777" w:rsidR="007277D7" w:rsidRDefault="007277D7" w:rsidP="00727863">
      <w:pPr>
        <w:autoSpaceDE w:val="0"/>
        <w:autoSpaceDN w:val="0"/>
        <w:adjustRightInd w:val="0"/>
        <w:spacing w:after="0" w:line="240" w:lineRule="auto"/>
        <w:jc w:val="both"/>
        <w:rPr>
          <w:rFonts w:cs="Times New Roman"/>
          <w:b/>
        </w:rPr>
      </w:pPr>
    </w:p>
    <w:p w14:paraId="56B83ECF" w14:textId="67CB8DCB" w:rsidR="00BB15E5" w:rsidRPr="006807BB" w:rsidRDefault="007277D7" w:rsidP="00727863">
      <w:pPr>
        <w:autoSpaceDE w:val="0"/>
        <w:autoSpaceDN w:val="0"/>
        <w:adjustRightInd w:val="0"/>
        <w:spacing w:after="0" w:line="240" w:lineRule="auto"/>
        <w:jc w:val="both"/>
        <w:rPr>
          <w:rFonts w:cs="Times New Roman"/>
          <w:b/>
        </w:rPr>
      </w:pPr>
      <w:r>
        <w:rPr>
          <w:rFonts w:cs="Times New Roman"/>
          <w:b/>
        </w:rPr>
        <w:t>ACKNOWLEDGEMENTS</w:t>
      </w:r>
      <w:r w:rsidR="00BB15E5">
        <w:rPr>
          <w:rFonts w:cs="Times New Roman"/>
          <w:b/>
        </w:rPr>
        <w:t xml:space="preserve"> </w:t>
      </w:r>
    </w:p>
    <w:p w14:paraId="6C588266" w14:textId="11EB55FF" w:rsidR="00EB5693" w:rsidRPr="006807BB" w:rsidRDefault="003F65A3" w:rsidP="00727863">
      <w:pPr>
        <w:spacing w:after="0" w:line="240" w:lineRule="auto"/>
        <w:jc w:val="both"/>
        <w:rPr>
          <w:rFonts w:cs="Times New Roman"/>
        </w:rPr>
      </w:pPr>
      <w:r w:rsidRPr="00351D1D">
        <w:t>This research was partially supported by the U.S. Department of Transportation through the Center for Understanding Future Travel Behavior and Demand (TBD) (Grant No. 69A3552344815 and No. 69A3552348320).</w:t>
      </w:r>
      <w:r>
        <w:t xml:space="preserve"> </w:t>
      </w:r>
      <w:r w:rsidR="009B7733" w:rsidRPr="009B7733">
        <w:rPr>
          <w:rFonts w:cs="Times New Roman"/>
        </w:rPr>
        <w:t>The authors are grateful to Lisa Macias for her help in formatting this document.</w:t>
      </w:r>
    </w:p>
    <w:p w14:paraId="1381D240" w14:textId="77777777" w:rsidR="00177081" w:rsidRPr="006807BB" w:rsidRDefault="00177081" w:rsidP="00727863">
      <w:pPr>
        <w:spacing w:after="0" w:line="240" w:lineRule="auto"/>
        <w:jc w:val="both"/>
        <w:rPr>
          <w:rFonts w:cs="Times New Roman"/>
        </w:rPr>
      </w:pPr>
    </w:p>
    <w:p w14:paraId="3ED25CE6" w14:textId="5E6B2BE2" w:rsidR="00365A6E" w:rsidRPr="006807BB" w:rsidRDefault="007277D7" w:rsidP="00727863">
      <w:pPr>
        <w:spacing w:after="0" w:line="240" w:lineRule="auto"/>
        <w:jc w:val="both"/>
        <w:rPr>
          <w:rFonts w:cs="Times New Roman"/>
          <w:b/>
          <w:bCs/>
        </w:rPr>
      </w:pPr>
      <w:r>
        <w:rPr>
          <w:rFonts w:cs="Times New Roman"/>
          <w:b/>
          <w:bCs/>
        </w:rPr>
        <w:t xml:space="preserve">REFERENCES </w:t>
      </w:r>
    </w:p>
    <w:p w14:paraId="72375A21" w14:textId="50773F26" w:rsidR="00A964D1" w:rsidRDefault="00B424C4" w:rsidP="00A964D1">
      <w:pPr>
        <w:pStyle w:val="Bibliography"/>
      </w:pPr>
      <w:r w:rsidRPr="006807BB">
        <w:rPr>
          <w:b/>
          <w:bCs/>
        </w:rPr>
        <w:fldChar w:fldCharType="begin"/>
      </w:r>
      <w:r w:rsidR="0084799C">
        <w:rPr>
          <w:b/>
          <w:bCs/>
        </w:rPr>
        <w:instrText xml:space="preserve"> ADDIN ZOTERO_BIBL {"uncited":[],"omitted":[],"custom":[]} CSL_BIBLIOGRAPHY </w:instrText>
      </w:r>
      <w:r w:rsidRPr="006807BB">
        <w:rPr>
          <w:b/>
          <w:bCs/>
        </w:rPr>
        <w:fldChar w:fldCharType="separate"/>
      </w:r>
      <w:r w:rsidR="00A964D1">
        <w:t xml:space="preserve">Abrudan, I.-N., Pop, C.-M., Lazăr, P.-S., 2020. Using a General Ordered Logit Model to Explain the Influence of Hotel Facilities, General and Sustainability-Related, on Customer Ratings. </w:t>
      </w:r>
      <w:r w:rsidR="00A964D1" w:rsidRPr="000B75C1">
        <w:rPr>
          <w:i/>
          <w:iCs/>
        </w:rPr>
        <w:t>Sustainability</w:t>
      </w:r>
      <w:r w:rsidR="00A964D1">
        <w:t xml:space="preserve"> 12</w:t>
      </w:r>
      <w:r w:rsidR="000B75C1">
        <w:t>(21)</w:t>
      </w:r>
      <w:r w:rsidR="00A964D1">
        <w:t>, 9302. https://doi.org/10.3390/su12219302</w:t>
      </w:r>
    </w:p>
    <w:p w14:paraId="50899F3F" w14:textId="26905D9E" w:rsidR="00A964D1" w:rsidRDefault="00A964D1" w:rsidP="00A964D1">
      <w:pPr>
        <w:pStyle w:val="Bibliography"/>
      </w:pPr>
      <w:r>
        <w:t xml:space="preserve">Alipour, D., Dia, H., 2023. A Systematic Review of the Role of Land Use, Transport, and Energy-Environment Integration in Shaping Sustainable Cities. </w:t>
      </w:r>
      <w:r w:rsidRPr="000B75C1">
        <w:rPr>
          <w:i/>
          <w:iCs/>
        </w:rPr>
        <w:t>Sustainability</w:t>
      </w:r>
      <w:r>
        <w:t xml:space="preserve"> 15</w:t>
      </w:r>
      <w:r w:rsidR="000B75C1">
        <w:t>(8), 6447</w:t>
      </w:r>
      <w:r>
        <w:t>. https://doi.org/10.3390/su15086447</w:t>
      </w:r>
    </w:p>
    <w:p w14:paraId="4AAF0615" w14:textId="77777777" w:rsidR="00A964D1" w:rsidRDefault="00A964D1" w:rsidP="00A964D1">
      <w:pPr>
        <w:pStyle w:val="Bibliography"/>
      </w:pPr>
      <w:r>
        <w:t xml:space="preserve">Allison, P.D., Christakis, N.A., 1994. Logit Models for Sets of Ranked Items. </w:t>
      </w:r>
      <w:r w:rsidRPr="000B75C1">
        <w:rPr>
          <w:i/>
          <w:iCs/>
        </w:rPr>
        <w:t>Sociological Methodology</w:t>
      </w:r>
      <w:r>
        <w:t xml:space="preserve"> 24, 199–228. https://doi.org/10.2307/270983</w:t>
      </w:r>
    </w:p>
    <w:p w14:paraId="3789376F" w14:textId="77777777" w:rsidR="00A964D1" w:rsidRDefault="00A964D1" w:rsidP="00A964D1">
      <w:pPr>
        <w:pStyle w:val="Bibliography"/>
      </w:pPr>
      <w:r>
        <w:t xml:space="preserve">Alonso, W., 1960. A Theory of the Urban Land Market. </w:t>
      </w:r>
      <w:r w:rsidRPr="000B75C1">
        <w:rPr>
          <w:i/>
          <w:iCs/>
        </w:rPr>
        <w:t>Papers in Regional Science</w:t>
      </w:r>
      <w:r>
        <w:t xml:space="preserve"> 6, 149–157.</w:t>
      </w:r>
    </w:p>
    <w:p w14:paraId="26207511" w14:textId="5B2D91A0" w:rsidR="00A964D1" w:rsidRDefault="00A964D1" w:rsidP="00A964D1">
      <w:pPr>
        <w:pStyle w:val="Bibliography"/>
      </w:pPr>
      <w:r>
        <w:t>Alvo, M., Yu, P.L.H., 2014. Probit Models for Ranking Data</w:t>
      </w:r>
      <w:r w:rsidR="00AC6BE4">
        <w:t>.</w:t>
      </w:r>
      <w:r>
        <w:t xml:space="preserve"> </w:t>
      </w:r>
      <w:bookmarkStart w:id="3" w:name="_Hlk190848767"/>
      <w:r w:rsidR="00AC6BE4">
        <w:t>I</w:t>
      </w:r>
      <w:r>
        <w:t xml:space="preserve">n </w:t>
      </w:r>
      <w:proofErr w:type="spellStart"/>
      <w:r>
        <w:t>Alvo</w:t>
      </w:r>
      <w:proofErr w:type="spellEnd"/>
      <w:r>
        <w:t xml:space="preserve">, M., Yu, P.L.H. (Eds.), </w:t>
      </w:r>
      <w:r w:rsidRPr="000B75C1">
        <w:rPr>
          <w:i/>
          <w:iCs/>
        </w:rPr>
        <w:t>Statistical Methods for Ranking Data</w:t>
      </w:r>
      <w:r w:rsidRPr="000B75C1">
        <w:t>, Frontiers in Probability and the Statistical Sciences</w:t>
      </w:r>
      <w:r>
        <w:t>. Springer, New York, NY, pp. 171–198. https://doi.org/10.1007/978-1-4939-1471-5_9</w:t>
      </w:r>
      <w:bookmarkEnd w:id="3"/>
    </w:p>
    <w:p w14:paraId="4637DB8D" w14:textId="352355CA" w:rsidR="00A964D1" w:rsidRPr="00A2772D" w:rsidRDefault="00A964D1" w:rsidP="00A964D1">
      <w:pPr>
        <w:pStyle w:val="Bibliography"/>
      </w:pPr>
      <w:r>
        <w:t>Asmussen, K., Mondal, A., Bhat, C.R., 202</w:t>
      </w:r>
      <w:r w:rsidR="00A2772D">
        <w:t>4</w:t>
      </w:r>
      <w:r>
        <w:t xml:space="preserve">. The Interplay Between Teleworking Choice and Commute Distance. </w:t>
      </w:r>
      <w:r w:rsidR="00A2772D" w:rsidRPr="0092172A">
        <w:rPr>
          <w:i/>
          <w:iCs/>
        </w:rPr>
        <w:t>Transportation Research Part C</w:t>
      </w:r>
      <w:r w:rsidR="00A2772D" w:rsidRPr="0092172A">
        <w:t xml:space="preserve"> 165, 104690</w:t>
      </w:r>
      <w:r>
        <w:t>.</w:t>
      </w:r>
      <w:r w:rsidR="00A2772D">
        <w:t xml:space="preserve"> </w:t>
      </w:r>
      <w:r w:rsidR="00A2772D" w:rsidRPr="00A2772D">
        <w:t>https://doi.org/10.1016/j.trc.2024.104690</w:t>
      </w:r>
    </w:p>
    <w:p w14:paraId="67EE89E9" w14:textId="3E3F2D2D" w:rsidR="00A964D1" w:rsidRDefault="00A964D1" w:rsidP="00A964D1">
      <w:pPr>
        <w:pStyle w:val="Bibliography"/>
      </w:pPr>
      <w:r>
        <w:t xml:space="preserve">Asmussen, K.E., Mondal, A., Bhat, C.R., 2020. A Socio-Technical Model of Autonomous Vehicle Adoption Using Ranked Choice Stated Preference Data. </w:t>
      </w:r>
      <w:r w:rsidRPr="00A2772D">
        <w:rPr>
          <w:i/>
          <w:iCs/>
        </w:rPr>
        <w:t>Transportation Research Part C</w:t>
      </w:r>
      <w:r w:rsidR="00A2772D">
        <w:t xml:space="preserve"> </w:t>
      </w:r>
      <w:r>
        <w:t>121</w:t>
      </w:r>
      <w:r w:rsidR="00A2772D">
        <w:t>, 102835</w:t>
      </w:r>
      <w:r>
        <w:t>. https://doi.org/10.1016/j.trc.2020.102835</w:t>
      </w:r>
    </w:p>
    <w:p w14:paraId="452D99BE" w14:textId="77777777" w:rsidR="00A964D1" w:rsidRDefault="00A964D1" w:rsidP="00A964D1">
      <w:pPr>
        <w:pStyle w:val="Bibliography"/>
      </w:pPr>
      <w:r>
        <w:t xml:space="preserve">Beegle, K., Carletto, C., Himelein, K., 2012. Reliability of Recall in Agricultural Data. </w:t>
      </w:r>
      <w:r w:rsidRPr="00A2772D">
        <w:rPr>
          <w:i/>
          <w:iCs/>
        </w:rPr>
        <w:t>Journal of Development Economics, Symposium on Measurement and Survey Design</w:t>
      </w:r>
      <w:r>
        <w:t xml:space="preserve"> 98, 34–41. https://doi.org/10.1016/j.jdeveco.2011.09.005</w:t>
      </w:r>
    </w:p>
    <w:p w14:paraId="016FEFA9" w14:textId="77777777" w:rsidR="00A964D1" w:rsidRDefault="00A964D1" w:rsidP="00A964D1">
      <w:pPr>
        <w:pStyle w:val="Bibliography"/>
      </w:pPr>
      <w:r>
        <w:t xml:space="preserve">Bell, A., Ward, P., Tamal, Md.E.H., Killilea, M., 2019. Assessing Recall Bias and Measurement Error in High-Frequency Social Data Collection for Human-Environment Research. </w:t>
      </w:r>
      <w:r w:rsidRPr="00A2772D">
        <w:rPr>
          <w:i/>
          <w:iCs/>
        </w:rPr>
        <w:t>Population and Environment</w:t>
      </w:r>
      <w:r>
        <w:t xml:space="preserve"> 40, 325–345. https://doi.org/10.1007/s11111-019-0314-1</w:t>
      </w:r>
    </w:p>
    <w:p w14:paraId="3E49CD82" w14:textId="77777777" w:rsidR="00A964D1" w:rsidRDefault="00A964D1" w:rsidP="00A964D1">
      <w:pPr>
        <w:pStyle w:val="Bibliography"/>
      </w:pPr>
      <w:r>
        <w:t xml:space="preserve">Ben-Akiva, M., de Palma, A., 1986. Analysis of a Dynamic Residential Location Choice Model with Transaction Costs. </w:t>
      </w:r>
      <w:r w:rsidRPr="00A2772D">
        <w:rPr>
          <w:i/>
          <w:iCs/>
        </w:rPr>
        <w:t>Journal of Regional Science</w:t>
      </w:r>
      <w:r>
        <w:t xml:space="preserve"> 26, 321–341. https://doi.org/10.1111/j.1467-9787.1986.tb00823.x</w:t>
      </w:r>
    </w:p>
    <w:p w14:paraId="305DC706" w14:textId="77777777" w:rsidR="00A964D1" w:rsidRDefault="00A964D1" w:rsidP="00A964D1">
      <w:pPr>
        <w:pStyle w:val="Bibliography"/>
      </w:pPr>
      <w:r>
        <w:lastRenderedPageBreak/>
        <w:t xml:space="preserve">Bhat, C.R., 2022. Data Collection Methods and Activity-Travel Behavior Analysis in a Fast Evolving Technological Future. </w:t>
      </w:r>
      <w:r w:rsidRPr="00A2772D">
        <w:rPr>
          <w:i/>
          <w:iCs/>
        </w:rPr>
        <w:t>ITE Journal</w:t>
      </w:r>
      <w:r>
        <w:t xml:space="preserve"> 92, 29–33.</w:t>
      </w:r>
    </w:p>
    <w:p w14:paraId="18A90B79" w14:textId="34915D0F" w:rsidR="00A964D1" w:rsidRDefault="00A964D1" w:rsidP="00A964D1">
      <w:pPr>
        <w:pStyle w:val="Bibliography"/>
      </w:pPr>
      <w:r>
        <w:t xml:space="preserve">Bhat, C.R., 2018. New Matrix-Based Methods for the Analytic Evaluation of the Multivariate Cumulative Normal Distribution Function. </w:t>
      </w:r>
      <w:r w:rsidRPr="00A2772D">
        <w:rPr>
          <w:i/>
          <w:iCs/>
        </w:rPr>
        <w:t>Transportation Research Part B</w:t>
      </w:r>
      <w:r w:rsidR="00A2772D">
        <w:t xml:space="preserve"> </w:t>
      </w:r>
      <w:r>
        <w:t>109, 238–256. https://doi.org/10.1016/j.trb.2018.01.011</w:t>
      </w:r>
    </w:p>
    <w:p w14:paraId="2829CFB7" w14:textId="0D0CB89E" w:rsidR="00A964D1" w:rsidRDefault="00A964D1" w:rsidP="00A964D1">
      <w:pPr>
        <w:pStyle w:val="Bibliography"/>
      </w:pPr>
      <w:r>
        <w:t xml:space="preserve">Bhat, C.R., 2015. A Comprehensive Dwelling Unit Choice Model Accommodating Psychological Constructs Within a Search Strategy for Consideration Set Formation. </w:t>
      </w:r>
      <w:r w:rsidRPr="00A2772D">
        <w:rPr>
          <w:i/>
          <w:iCs/>
        </w:rPr>
        <w:t>Transportation Research Part B</w:t>
      </w:r>
      <w:r w:rsidR="00A2772D">
        <w:t xml:space="preserve"> </w:t>
      </w:r>
      <w:r>
        <w:t>79, 161–188. https://doi.org/10.1016/j.trb.2015.05.021</w:t>
      </w:r>
    </w:p>
    <w:p w14:paraId="67126024" w14:textId="1FD8E416" w:rsidR="00A964D1" w:rsidRDefault="00A964D1" w:rsidP="00A964D1">
      <w:pPr>
        <w:pStyle w:val="Bibliography"/>
      </w:pPr>
      <w:r>
        <w:t xml:space="preserve">Bhat, C.R., 2011. The Maximum Approximate Composite Marginal Likelihood (MACML) Estimation of Multinomial Probit-Based Unordered Response Choice Models. </w:t>
      </w:r>
      <w:r w:rsidRPr="00A2772D">
        <w:rPr>
          <w:i/>
          <w:iCs/>
        </w:rPr>
        <w:t>Transportation Research Part B</w:t>
      </w:r>
      <w:r w:rsidR="00A2772D">
        <w:t xml:space="preserve"> </w:t>
      </w:r>
      <w:r>
        <w:t>45, 923–939. https://doi.org/10.1016/j.trb.2011.04.005</w:t>
      </w:r>
    </w:p>
    <w:p w14:paraId="46FF3BEA" w14:textId="203A6865" w:rsidR="00A964D1" w:rsidRDefault="00A964D1" w:rsidP="00A964D1">
      <w:pPr>
        <w:pStyle w:val="Bibliography"/>
      </w:pPr>
      <w:r>
        <w:t xml:space="preserve">Bhat, C.R., Guo, J.Y., 2007. A Comprehensive Analysis of Built Environment Characteristics on Household Residential Choice and Auto Ownership Levels. </w:t>
      </w:r>
      <w:r w:rsidRPr="00A2772D">
        <w:rPr>
          <w:i/>
          <w:iCs/>
        </w:rPr>
        <w:t>Transportation Research Part B</w:t>
      </w:r>
      <w:r w:rsidR="00A2772D">
        <w:t xml:space="preserve"> </w:t>
      </w:r>
      <w:r>
        <w:t>41, 506–526. https://doi.org/10.1016/j.trb.2005.12.005</w:t>
      </w:r>
    </w:p>
    <w:p w14:paraId="48AA5CFE" w14:textId="77777777" w:rsidR="00A964D1" w:rsidRDefault="00A964D1" w:rsidP="00A964D1">
      <w:pPr>
        <w:pStyle w:val="Bibliography"/>
      </w:pPr>
      <w:r>
        <w:t xml:space="preserve">Brown, A.E., Blumenberg, E., Taylor, B.D., Ralph, K., Voulgaris, C.T., 2016. A Taste for Transit? Analyzing Public Transit Use Trends among Youth. </w:t>
      </w:r>
      <w:r w:rsidRPr="00A2772D">
        <w:rPr>
          <w:i/>
          <w:iCs/>
        </w:rPr>
        <w:t>Journal of Public Transportation</w:t>
      </w:r>
      <w:r>
        <w:t xml:space="preserve"> 19, 49–67. https://doi.org/10.5038/2375-0901.19.1.4</w:t>
      </w:r>
    </w:p>
    <w:p w14:paraId="4ABE6612" w14:textId="7E7E1270" w:rsidR="00A964D1" w:rsidRDefault="00A964D1" w:rsidP="00A964D1">
      <w:pPr>
        <w:pStyle w:val="Bibliography"/>
      </w:pPr>
      <w:r>
        <w:t xml:space="preserve">Caldarola, B., Sorrell, S., 2022. Do Teleworkers Travel Less? Evidence from the English National Travel Survey. </w:t>
      </w:r>
      <w:r w:rsidRPr="00A2772D">
        <w:rPr>
          <w:i/>
          <w:iCs/>
        </w:rPr>
        <w:t>Transportation Research Part A</w:t>
      </w:r>
      <w:r w:rsidR="00A2772D">
        <w:t xml:space="preserve"> </w:t>
      </w:r>
      <w:r>
        <w:t>159, 282–303. https://doi.org/10.1016/j.tra.2022.03.026</w:t>
      </w:r>
    </w:p>
    <w:p w14:paraId="055EACAA" w14:textId="77777777" w:rsidR="00A964D1" w:rsidRDefault="00A964D1" w:rsidP="00A964D1">
      <w:pPr>
        <w:pStyle w:val="Bibliography"/>
      </w:pPr>
      <w:r>
        <w:t xml:space="preserve">Chen, J., Chen, C., Timmermans, H.J.P., 2008. Accessibility Trade-Offs in Household Residential Location Decisions. </w:t>
      </w:r>
      <w:r w:rsidRPr="00A2772D">
        <w:rPr>
          <w:i/>
          <w:iCs/>
        </w:rPr>
        <w:t>Transportation Research Record</w:t>
      </w:r>
      <w:r>
        <w:t xml:space="preserve"> 2077, 71–79. https://doi.org/10.3141/2077-10</w:t>
      </w:r>
    </w:p>
    <w:p w14:paraId="1C12AD5B" w14:textId="77777777" w:rsidR="00A964D1" w:rsidRDefault="00A964D1" w:rsidP="00A964D1">
      <w:pPr>
        <w:pStyle w:val="Bibliography"/>
      </w:pPr>
      <w:r>
        <w:t xml:space="preserve">Clark, W.A.V., Wang, W.W., 2005. Job Access and Commute Penalties: Balancing Work and Residence in Los Angeles. </w:t>
      </w:r>
      <w:r w:rsidRPr="00A2772D">
        <w:rPr>
          <w:i/>
          <w:iCs/>
        </w:rPr>
        <w:t>Urban Geography</w:t>
      </w:r>
      <w:r>
        <w:t xml:space="preserve"> 26, 610–626. https://doi.org/10.2747/0272-3638.26.7.610</w:t>
      </w:r>
    </w:p>
    <w:p w14:paraId="13914D5C" w14:textId="77777777" w:rsidR="00A964D1" w:rsidRDefault="00A964D1" w:rsidP="00A964D1">
      <w:pPr>
        <w:pStyle w:val="Bibliography"/>
      </w:pPr>
      <w:r>
        <w:t>Cohn, D., 2020. About a Fifth of U.S. Adults Moved Due to COVID-19 or Know Someone Who Did. Pew Research Center. URL https://www.pewresearch.org/fact-tank/2020/07/06/about-a-fifth-of-u-s-adults-moved-due-to-covid-19-or-know-someone-who-did/ (accessed 3.22.23).</w:t>
      </w:r>
    </w:p>
    <w:p w14:paraId="485178F8" w14:textId="77777777" w:rsidR="00A964D1" w:rsidRDefault="00A964D1" w:rsidP="00A964D1">
      <w:pPr>
        <w:pStyle w:val="Bibliography"/>
      </w:pPr>
      <w:r>
        <w:t xml:space="preserve">Cuddy, M., Krysan, M., Lewis, A., 2020. Choosing Homes Without Choosing Schools? How Urban Parents Navigate Decisions About Neighborhoods and School Choice. </w:t>
      </w:r>
      <w:r w:rsidRPr="00A2772D">
        <w:rPr>
          <w:i/>
          <w:iCs/>
        </w:rPr>
        <w:t>Journal of Urban Affairs</w:t>
      </w:r>
      <w:r>
        <w:t xml:space="preserve"> 42, 1180–1201. https://doi.org/10.1080/07352166.2020.1739537</w:t>
      </w:r>
    </w:p>
    <w:p w14:paraId="789AA4EC" w14:textId="77777777" w:rsidR="00A964D1" w:rsidRDefault="00A964D1" w:rsidP="00A964D1">
      <w:pPr>
        <w:pStyle w:val="Bibliography"/>
      </w:pPr>
      <w:r>
        <w:t xml:space="preserve">De Vos, J., Ettema, D., Witlox, F., 2018. Changing Travel Behaviour and Attitudes Following a Residential Relocation. </w:t>
      </w:r>
      <w:r w:rsidRPr="00A2772D">
        <w:rPr>
          <w:i/>
          <w:iCs/>
        </w:rPr>
        <w:t>Journal of Transport Geography</w:t>
      </w:r>
      <w:r>
        <w:t xml:space="preserve"> 73, 131–147. https://doi.org/10.1016/j.jtrangeo.2018.10.013</w:t>
      </w:r>
    </w:p>
    <w:p w14:paraId="5FB5E1FA" w14:textId="77777777" w:rsidR="00A964D1" w:rsidRDefault="00A964D1" w:rsidP="00A964D1">
      <w:pPr>
        <w:pStyle w:val="Bibliography"/>
      </w:pPr>
      <w:r>
        <w:t>D’Lima, W., Lopez, L.A., Pradhan, A., 2022. COVID-19 and Housing Market Effects: Evidence from U.S. Shutdown Orders.</w:t>
      </w:r>
      <w:r w:rsidRPr="00A2772D">
        <w:rPr>
          <w:i/>
          <w:iCs/>
        </w:rPr>
        <w:t xml:space="preserve"> Real Estate Economics</w:t>
      </w:r>
      <w:r>
        <w:t xml:space="preserve"> 50, 303–339. https://doi.org/10.1111/1540-6229.12368</w:t>
      </w:r>
    </w:p>
    <w:p w14:paraId="5FAB118E" w14:textId="77777777" w:rsidR="00A964D1" w:rsidRDefault="00A964D1" w:rsidP="00A964D1">
      <w:pPr>
        <w:pStyle w:val="Bibliography"/>
      </w:pPr>
      <w:r>
        <w:t xml:space="preserve">Doling, J., Arundel, R., 2022. The Home as Workplace: A Challenge for Housing Research. </w:t>
      </w:r>
      <w:r w:rsidRPr="00A2772D">
        <w:rPr>
          <w:i/>
          <w:iCs/>
        </w:rPr>
        <w:t>Housing, Theory and Society</w:t>
      </w:r>
      <w:r>
        <w:t xml:space="preserve"> 39, 1–20. https://doi.org/10.1080/14036096.2020.1846611</w:t>
      </w:r>
    </w:p>
    <w:p w14:paraId="40CD5757" w14:textId="6DBE22D1" w:rsidR="00A964D1" w:rsidRDefault="00A964D1" w:rsidP="00A964D1">
      <w:pPr>
        <w:pStyle w:val="Bibliography"/>
      </w:pPr>
      <w:r>
        <w:t xml:space="preserve">Eboigbe, L.I., Simon, C.B., Wang, Y.S., Tyrell, F.A., 2023. The Compounded Effect of the Dual Pandemic on Ethnic-Racial Minority Adolescents’ Mental Health and Psychosocial Well-Being. </w:t>
      </w:r>
      <w:r w:rsidRPr="00A2772D">
        <w:rPr>
          <w:i/>
          <w:iCs/>
        </w:rPr>
        <w:t>Current Opinion in Psychology</w:t>
      </w:r>
      <w:r>
        <w:t xml:space="preserve"> 52</w:t>
      </w:r>
      <w:r w:rsidR="00A2772D">
        <w:t>, 101626</w:t>
      </w:r>
      <w:r>
        <w:t>. https://doi.org/10.1016/j.copsyc.2023.101626</w:t>
      </w:r>
    </w:p>
    <w:p w14:paraId="209C8DE2" w14:textId="77777777" w:rsidR="00A964D1" w:rsidRDefault="00A964D1" w:rsidP="00A964D1">
      <w:pPr>
        <w:pStyle w:val="Bibliography"/>
      </w:pPr>
      <w:r>
        <w:lastRenderedPageBreak/>
        <w:t xml:space="preserve">Ellis, G., Hunter, R., Tully, M.A., Donnelly, M., Kelleher, L., Kee, F., 2016. Connectivity and Physical Activity: Using Footpath Networks to Measure the Walkability of Built Environments. </w:t>
      </w:r>
      <w:r w:rsidRPr="00A2772D">
        <w:rPr>
          <w:i/>
          <w:iCs/>
        </w:rPr>
        <w:t>Environment and Planning B: Planning and Design</w:t>
      </w:r>
      <w:r>
        <w:t xml:space="preserve"> 43, 130–151. https://doi.org/10.1177/0265813515610672</w:t>
      </w:r>
    </w:p>
    <w:p w14:paraId="30FBD272" w14:textId="77777777" w:rsidR="00A964D1" w:rsidRDefault="00A964D1" w:rsidP="00A964D1">
      <w:pPr>
        <w:pStyle w:val="Bibliography"/>
      </w:pPr>
      <w:r>
        <w:t xml:space="preserve">Emami, A., Sadeghlou, S., 2021. Residential Satisfaction: A Narrative Literature Review Towards Identification of Core Determinants and Indicators. </w:t>
      </w:r>
      <w:r w:rsidRPr="00A2772D">
        <w:rPr>
          <w:i/>
          <w:iCs/>
        </w:rPr>
        <w:t>Housing, Theory and Society</w:t>
      </w:r>
      <w:r>
        <w:t xml:space="preserve"> 38, 512–540. https://doi.org/10.1080/14036096.2020.1844795</w:t>
      </w:r>
    </w:p>
    <w:p w14:paraId="47C533DC" w14:textId="77777777" w:rsidR="00A964D1" w:rsidRDefault="00A964D1" w:rsidP="00A964D1">
      <w:pPr>
        <w:pStyle w:val="Bibliography"/>
      </w:pPr>
      <w:r>
        <w:t xml:space="preserve">Ewing, R., Cervero, R., 2010. Travel and the Built Environment: A Meta-Analysis. </w:t>
      </w:r>
      <w:r w:rsidRPr="00A2772D">
        <w:rPr>
          <w:i/>
          <w:iCs/>
        </w:rPr>
        <w:t>Journal of the American Planning Association</w:t>
      </w:r>
      <w:r>
        <w:t xml:space="preserve"> 76, 265–294. https://doi.org/10.1080/01944361003766766</w:t>
      </w:r>
    </w:p>
    <w:p w14:paraId="73634D98" w14:textId="77777777" w:rsidR="00A964D1" w:rsidRDefault="00A964D1" w:rsidP="00A964D1">
      <w:pPr>
        <w:pStyle w:val="Bibliography"/>
      </w:pPr>
      <w:r>
        <w:t xml:space="preserve">Finucane, M.L., Beckman, R., Ghosh-Dastidar, M., Dubowitz, T., Collins, R.L., Troxel, W., 2022. Do Social Isolation and Neighborhood Walkability Influence Relationships Between COVID-19 Experiences and Wellbeing in Predominantly Black Urban Areas? </w:t>
      </w:r>
      <w:r w:rsidRPr="00A2772D">
        <w:rPr>
          <w:i/>
          <w:iCs/>
        </w:rPr>
        <w:t>Landscape and Urban Planning</w:t>
      </w:r>
      <w:r>
        <w:t xml:space="preserve"> 217, 104264. https://doi.org/10.1016/j.landurbplan.2021.104264</w:t>
      </w:r>
    </w:p>
    <w:p w14:paraId="43A4B5C8" w14:textId="77777777" w:rsidR="00A964D1" w:rsidRDefault="00A964D1" w:rsidP="00A964D1">
      <w:pPr>
        <w:pStyle w:val="Bibliography"/>
      </w:pPr>
      <w:r>
        <w:t xml:space="preserve">Franco, K., Patler, C., Pirtle, W.L., 2024. COVID-19’s Unequal Toll: Differences in Health-Related Quality of Life by Gendered and Racialized Groups. </w:t>
      </w:r>
      <w:r w:rsidRPr="00A2772D">
        <w:rPr>
          <w:i/>
          <w:iCs/>
        </w:rPr>
        <w:t>Journal of Health and Social Behavior</w:t>
      </w:r>
      <w:r>
        <w:t xml:space="preserve"> 65, 60–74. https://doi.org/10.1177/00221465231199734</w:t>
      </w:r>
    </w:p>
    <w:p w14:paraId="20DE9359" w14:textId="77777777" w:rsidR="00A964D1" w:rsidRDefault="00A964D1" w:rsidP="00A964D1">
      <w:pPr>
        <w:pStyle w:val="Bibliography"/>
      </w:pPr>
      <w:r>
        <w:t xml:space="preserve">González-Leonardo, M., López-Gay, A., Newsham, N., Recaño, J., Rowe, F., 2022. Understanding Patterns of Internal Migration During the COVID-19 Pandemic in Spain. </w:t>
      </w:r>
      <w:r w:rsidRPr="00A2772D">
        <w:rPr>
          <w:i/>
          <w:iCs/>
        </w:rPr>
        <w:t>Population, Space and Place</w:t>
      </w:r>
      <w:r>
        <w:t xml:space="preserve"> 28, e2578. https://doi.org/10.1002/psp.2578</w:t>
      </w:r>
    </w:p>
    <w:p w14:paraId="15C78112" w14:textId="77777777" w:rsidR="00A964D1" w:rsidRDefault="00A964D1" w:rsidP="00A964D1">
      <w:pPr>
        <w:pStyle w:val="Bibliography"/>
      </w:pPr>
      <w:r>
        <w:t xml:space="preserve">Gür, M., 2022. Post-Pandemic Lifestyle Changes and Their Interaction with Resident Behavior in Housing and Neighborhoods: Bursa, Turkey. </w:t>
      </w:r>
      <w:r w:rsidRPr="00A2772D">
        <w:rPr>
          <w:i/>
          <w:iCs/>
        </w:rPr>
        <w:t>Journal of Housing and the Built Environment</w:t>
      </w:r>
      <w:r>
        <w:t xml:space="preserve"> 37, 823–862. https://doi.org/10.1007/s10901-021-09897-y</w:t>
      </w:r>
    </w:p>
    <w:p w14:paraId="21AF4ACF" w14:textId="77777777" w:rsidR="00A964D1" w:rsidRDefault="00A964D1" w:rsidP="00A964D1">
      <w:pPr>
        <w:pStyle w:val="Bibliography"/>
      </w:pPr>
      <w:r>
        <w:t>Haslag, P.H., Weagley, D., 2022. From L.A. to Boise: How Migration Has Changed During the COVID-19 Pandemic. https://doi.org/10.2139/ssrn.3808326</w:t>
      </w:r>
    </w:p>
    <w:p w14:paraId="5CD5B4AC" w14:textId="77777777" w:rsidR="00A964D1" w:rsidRDefault="00A964D1" w:rsidP="00A964D1">
      <w:pPr>
        <w:pStyle w:val="Bibliography"/>
      </w:pPr>
      <w:r>
        <w:t xml:space="preserve">He, S., 2011. Effect of School Quality and Residential Environment on Mode Choice of School Trips. </w:t>
      </w:r>
      <w:r w:rsidRPr="00A2772D">
        <w:rPr>
          <w:i/>
          <w:iCs/>
        </w:rPr>
        <w:t>Transportation Research Record</w:t>
      </w:r>
      <w:r>
        <w:t xml:space="preserve"> 2213, 96–104. https://doi.org/10.3141/2213-13</w:t>
      </w:r>
    </w:p>
    <w:p w14:paraId="0D8123A6" w14:textId="77777777" w:rsidR="00A964D1" w:rsidRDefault="00A964D1" w:rsidP="00A964D1">
      <w:pPr>
        <w:pStyle w:val="Bibliography"/>
      </w:pPr>
      <w:r>
        <w:t xml:space="preserve">He, S.Y., Hu, L., 2015. Telecommuting, Income, and Out-of-Home Activities. </w:t>
      </w:r>
      <w:r w:rsidRPr="00A2772D">
        <w:rPr>
          <w:i/>
          <w:iCs/>
        </w:rPr>
        <w:t>Travel Behaviour and Society</w:t>
      </w:r>
      <w:r>
        <w:t xml:space="preserve"> 2, 131–147. https://doi.org/10.1016/j.tbs.2014.12.003</w:t>
      </w:r>
    </w:p>
    <w:p w14:paraId="2E413FC4" w14:textId="77777777" w:rsidR="00A964D1" w:rsidRDefault="00A964D1" w:rsidP="00A964D1">
      <w:pPr>
        <w:pStyle w:val="Bibliography"/>
      </w:pPr>
      <w:r>
        <w:t xml:space="preserve">Hollingworth, B.J., Miller, E.J., 1996. Retrospective Interviewing and Its Application in Study of Residential Mobility. </w:t>
      </w:r>
      <w:r w:rsidRPr="00A2772D">
        <w:rPr>
          <w:i/>
          <w:iCs/>
        </w:rPr>
        <w:t>Transportation Research Record</w:t>
      </w:r>
      <w:r>
        <w:t xml:space="preserve"> 1551, 74–81. https://doi.org/10.1177/0361198196155100110</w:t>
      </w:r>
    </w:p>
    <w:p w14:paraId="18381F57" w14:textId="77777777" w:rsidR="00A964D1" w:rsidRDefault="00A964D1" w:rsidP="00A964D1">
      <w:pPr>
        <w:pStyle w:val="Bibliography"/>
      </w:pPr>
      <w:r>
        <w:t>Hwang, H., Haddad, A., Batur, I., Saxena, S., Pendyala, R.M., Bhat, C.R., 2023. An Analysis of Walking Frequency Before and After the Pandemic. Technical paper, Department of Civil, Architectural and Environmental Engineering, The University of Texas at Austin.</w:t>
      </w:r>
    </w:p>
    <w:p w14:paraId="3C171DFA" w14:textId="77777777" w:rsidR="00A964D1" w:rsidRDefault="00A964D1" w:rsidP="00A964D1">
      <w:pPr>
        <w:pStyle w:val="Bibliography"/>
      </w:pPr>
      <w:r>
        <w:t xml:space="preserve">Jabbari, J., Chun, Y., Johnson, O., Grinstein-Weiss, M., McDermott, L., 2022. Perceptions of School Quality and Student Learning During the Pandemic: Exploring the Role of Students, Families, Schools, and Neighborhoods. </w:t>
      </w:r>
      <w:r w:rsidRPr="00AC6BE4">
        <w:rPr>
          <w:i/>
          <w:iCs/>
        </w:rPr>
        <w:t>Socius</w:t>
      </w:r>
      <w:r>
        <w:t xml:space="preserve"> 8, 23780231221142955. https://doi.org/10.1177/23780231221142955</w:t>
      </w:r>
    </w:p>
    <w:p w14:paraId="5DE5E3B3" w14:textId="20AB584F" w:rsidR="00A964D1" w:rsidRDefault="00A964D1" w:rsidP="00A964D1">
      <w:pPr>
        <w:pStyle w:val="Bibliography"/>
      </w:pPr>
      <w:r>
        <w:t xml:space="preserve">Keane, M.P., 1992. A Note on Identification in the Multinomial Probit Model. </w:t>
      </w:r>
      <w:r w:rsidRPr="00AC6BE4">
        <w:rPr>
          <w:i/>
          <w:iCs/>
        </w:rPr>
        <w:t>Journal of Business &amp; Economic Statistics</w:t>
      </w:r>
      <w:r>
        <w:t xml:space="preserve"> 10, 193–200.</w:t>
      </w:r>
      <w:r w:rsidR="00AC6BE4">
        <w:t xml:space="preserve"> </w:t>
      </w:r>
      <w:r>
        <w:t>https://doi.org/10.1080/07350015.1992.10509898</w:t>
      </w:r>
    </w:p>
    <w:p w14:paraId="575D28BC" w14:textId="77777777" w:rsidR="00A964D1" w:rsidRDefault="00A964D1" w:rsidP="00A964D1">
      <w:pPr>
        <w:pStyle w:val="Bibliography"/>
      </w:pPr>
      <w:r>
        <w:t xml:space="preserve">Kersting, M., Matthies, E., Lahner, J., Schlüter, J., 2021. A Socioeconomic Analysis of Commuting Professionals. </w:t>
      </w:r>
      <w:r w:rsidRPr="00AC6BE4">
        <w:rPr>
          <w:i/>
          <w:iCs/>
        </w:rPr>
        <w:t>Transportation</w:t>
      </w:r>
      <w:r>
        <w:t xml:space="preserve"> 48, 2127–2158. https://doi.org/10.1007/s11116-020-10124-w</w:t>
      </w:r>
    </w:p>
    <w:p w14:paraId="2BF0A4EA" w14:textId="52EE4E3A" w:rsidR="00A964D1" w:rsidRDefault="00A964D1" w:rsidP="00A964D1">
      <w:pPr>
        <w:pStyle w:val="Bibliography"/>
      </w:pPr>
      <w:r>
        <w:lastRenderedPageBreak/>
        <w:t xml:space="preserve">Komaki, M., Kato, H., Matsushita, D., 2023. Why Did Urban Exodus Occur during the COVID-19 Pandemic from the Perspective of Residential Preference of Each Type of Household? Case of Japanese Metropolitan Areas. </w:t>
      </w:r>
      <w:r w:rsidRPr="00AC6BE4">
        <w:rPr>
          <w:i/>
          <w:iCs/>
        </w:rPr>
        <w:t>Sustainability</w:t>
      </w:r>
      <w:r>
        <w:t xml:space="preserve"> 15</w:t>
      </w:r>
      <w:r w:rsidR="00AC6BE4">
        <w:t>(4), 3315</w:t>
      </w:r>
      <w:r>
        <w:t>. https://doi.org/10.3390/su15043315</w:t>
      </w:r>
    </w:p>
    <w:p w14:paraId="49F37F12" w14:textId="77777777" w:rsidR="00A964D1" w:rsidRDefault="00A964D1" w:rsidP="00A964D1">
      <w:pPr>
        <w:pStyle w:val="Bibliography"/>
      </w:pPr>
      <w:r>
        <w:t xml:space="preserve">Kortum, K., Paleti, R., Bhat, C.R., Pendyala, R.M., 2012. Joint Model of Residential Relocation Choice and Underlying Causal Factors. </w:t>
      </w:r>
      <w:r w:rsidRPr="00AC6BE4">
        <w:rPr>
          <w:i/>
          <w:iCs/>
        </w:rPr>
        <w:t>Transportation Research Record</w:t>
      </w:r>
      <w:r>
        <w:t xml:space="preserve"> 2303, 28–37. https://doi.org/10.3141/2303-04</w:t>
      </w:r>
    </w:p>
    <w:p w14:paraId="1D5EBC1E" w14:textId="159EE25A" w:rsidR="00A964D1" w:rsidRDefault="00A964D1" w:rsidP="00A964D1">
      <w:pPr>
        <w:pStyle w:val="Bibliography"/>
      </w:pPr>
      <w:r>
        <w:t xml:space="preserve">Layton, D.F., Lee, S.T., 2006. From Ratings to Rankings: The Econometric Analysis of Stated Preference Ratings Data. </w:t>
      </w:r>
      <w:r w:rsidR="00AC6BE4" w:rsidRPr="00017FD6">
        <w:t xml:space="preserve">In Halvorsen, R., Layton, D.F. (Eds.), </w:t>
      </w:r>
      <w:r w:rsidR="00AC6BE4" w:rsidRPr="00017FD6">
        <w:rPr>
          <w:i/>
          <w:iCs/>
        </w:rPr>
        <w:t>Explorations in Environmental and Natural Resource Economics</w:t>
      </w:r>
      <w:r w:rsidR="00AC6BE4" w:rsidRPr="00017FD6">
        <w:t>. Edward Elgar Publishing Limited, Cheltenham, UK, pp. 224–244. https://doi.org/10.4337/9781847202963.00021</w:t>
      </w:r>
    </w:p>
    <w:p w14:paraId="566397EC" w14:textId="64BD2EAD" w:rsidR="00A964D1" w:rsidRDefault="00A964D1" w:rsidP="00A964D1">
      <w:pPr>
        <w:pStyle w:val="Bibliography"/>
      </w:pPr>
      <w:r>
        <w:t xml:space="preserve">Lee, Y., Circella, G., Mokhtarian, P.L., Guhathakurta, S., 2019. Heterogeneous Residential Preferences Among Millennials and Members of Generation X in California: A Latent-Class Approach. </w:t>
      </w:r>
      <w:r w:rsidRPr="00AC6BE4">
        <w:rPr>
          <w:i/>
          <w:iCs/>
        </w:rPr>
        <w:t>Transportation Research Part D</w:t>
      </w:r>
      <w:r w:rsidR="00AC6BE4">
        <w:t xml:space="preserve"> </w:t>
      </w:r>
      <w:r>
        <w:t>76, 289–304. https://doi.org/10.1016/j.trd.2019.08.001</w:t>
      </w:r>
    </w:p>
    <w:p w14:paraId="45C82E72" w14:textId="0B63DEEA" w:rsidR="00A964D1" w:rsidRDefault="00A964D1" w:rsidP="00A964D1">
      <w:pPr>
        <w:pStyle w:val="Bibliography"/>
      </w:pPr>
      <w:r>
        <w:t xml:space="preserve">Lee, Y., Lee, B., 2022. What’s Eating Public Transit in the United States? Reasons for Declining Transit Ridership in the 2010s. </w:t>
      </w:r>
      <w:r w:rsidRPr="00AC6BE4">
        <w:rPr>
          <w:i/>
          <w:iCs/>
        </w:rPr>
        <w:t>Transportation Research Part A</w:t>
      </w:r>
      <w:r w:rsidR="00AC6BE4">
        <w:t xml:space="preserve"> </w:t>
      </w:r>
      <w:r>
        <w:t>157, 126–143. https://doi.org/10.1016/j.tra.2022.01.002</w:t>
      </w:r>
    </w:p>
    <w:p w14:paraId="2BAAB2F7" w14:textId="447EAA5B" w:rsidR="00A964D1" w:rsidRDefault="00A964D1" w:rsidP="00A964D1">
      <w:pPr>
        <w:pStyle w:val="Bibliography"/>
      </w:pPr>
      <w:r>
        <w:t xml:space="preserve">Lei, L., Liu, X., 2022. The COVID-19 Pandemic and Residential Mobility Intentions in the United States: Evidence from Google Trends Data. </w:t>
      </w:r>
      <w:r w:rsidRPr="00AC6BE4">
        <w:rPr>
          <w:i/>
          <w:iCs/>
        </w:rPr>
        <w:t>Population, Space and Place</w:t>
      </w:r>
      <w:r>
        <w:t xml:space="preserve"> 28</w:t>
      </w:r>
      <w:r w:rsidR="00AC6BE4">
        <w:t>(6), e2581</w:t>
      </w:r>
      <w:r>
        <w:t>. https://doi.org/10.1002/psp.2581</w:t>
      </w:r>
    </w:p>
    <w:p w14:paraId="4EA0889E" w14:textId="77777777" w:rsidR="00A964D1" w:rsidRDefault="00A964D1" w:rsidP="00A964D1">
      <w:pPr>
        <w:pStyle w:val="Bibliography"/>
      </w:pPr>
      <w:r>
        <w:t xml:space="preserve">Li, H., Wei, Y.D., Yu, Z., Tian, G., 2016. Amenity, Accessibility and Housing Values in Metropolitan USA: A Study of Salt Lake County, Utah. </w:t>
      </w:r>
      <w:r w:rsidRPr="00AC6BE4">
        <w:rPr>
          <w:i/>
          <w:iCs/>
        </w:rPr>
        <w:t>Cities</w:t>
      </w:r>
      <w:r>
        <w:t xml:space="preserve"> 59, 113–125. https://doi.org/10.1016/j.cities.2016.07.001</w:t>
      </w:r>
    </w:p>
    <w:p w14:paraId="7FA5FBE6" w14:textId="193A0805" w:rsidR="00A964D1" w:rsidRDefault="00A964D1" w:rsidP="00A964D1">
      <w:pPr>
        <w:pStyle w:val="Bibliography"/>
      </w:pPr>
      <w:r>
        <w:t xml:space="preserve">Liu, S., Su, Y., 2021. The Impact of the COVID-19 Pandemic on the Demand for Density: Evidence from the U.S. Housing Market. </w:t>
      </w:r>
      <w:r w:rsidRPr="00AC6BE4">
        <w:rPr>
          <w:i/>
          <w:iCs/>
        </w:rPr>
        <w:t>Economics Letters</w:t>
      </w:r>
      <w:r>
        <w:t xml:space="preserve"> 207</w:t>
      </w:r>
      <w:r w:rsidR="00AC6BE4">
        <w:t>, 110010</w:t>
      </w:r>
      <w:r>
        <w:t>. https://doi.org/10.1016/j.econlet.2021.110010</w:t>
      </w:r>
    </w:p>
    <w:p w14:paraId="1DBD92FA" w14:textId="77777777" w:rsidR="00A964D1" w:rsidRDefault="00A964D1" w:rsidP="00A964D1">
      <w:pPr>
        <w:pStyle w:val="Bibliography"/>
      </w:pPr>
      <w:r>
        <w:t xml:space="preserve">Marois, G., Lord, S., Morency, C., 2019. A Mixed Logit Model Analysis of Residential Choices of the Young-Elderly in the Montreal Metropolitan Area. </w:t>
      </w:r>
      <w:r w:rsidRPr="0039577C">
        <w:rPr>
          <w:i/>
          <w:iCs/>
        </w:rPr>
        <w:t>Journal of Housing Economics</w:t>
      </w:r>
      <w:r>
        <w:t xml:space="preserve"> 44, 141–149. https://doi.org/10.1016/j.jhe.2018.08.004</w:t>
      </w:r>
    </w:p>
    <w:p w14:paraId="0CBC545E" w14:textId="77777777" w:rsidR="00A964D1" w:rsidRDefault="00A964D1" w:rsidP="00A964D1">
      <w:pPr>
        <w:pStyle w:val="Bibliography"/>
      </w:pPr>
      <w:r>
        <w:t xml:space="preserve">McIlhatton, D., McGreal, W., Taltavul de la Paz, P., Adair, A., 2016. Impact of Crime on Spatial Analysis of House Prices: Evidence from a UK City. </w:t>
      </w:r>
      <w:r w:rsidRPr="0039577C">
        <w:rPr>
          <w:i/>
          <w:iCs/>
        </w:rPr>
        <w:t>International Journal of Housing Markets and Analysis</w:t>
      </w:r>
      <w:r>
        <w:t xml:space="preserve"> 9, 627–647. https://doi.org/10.1108/IJHMA-10-2015-0065</w:t>
      </w:r>
    </w:p>
    <w:p w14:paraId="2FFD61EE" w14:textId="77777777" w:rsidR="00A964D1" w:rsidRDefault="00A964D1" w:rsidP="00A964D1">
      <w:pPr>
        <w:pStyle w:val="Bibliography"/>
      </w:pPr>
      <w:r>
        <w:t xml:space="preserve">Moeckel, R., Garcia, C.L., Chou, A.T.M., Okrah, M.B., 2018. Trends in Integrated Land-Use/Transport Modeling: An Evaluation of the State of the Art. </w:t>
      </w:r>
      <w:r w:rsidRPr="0039577C">
        <w:rPr>
          <w:i/>
          <w:iCs/>
        </w:rPr>
        <w:t>Journal of Transport and Land Use</w:t>
      </w:r>
      <w:r>
        <w:t xml:space="preserve"> 11, 463–476.</w:t>
      </w:r>
    </w:p>
    <w:p w14:paraId="26A2C1C0" w14:textId="3589277A" w:rsidR="00A964D1" w:rsidRDefault="00A964D1" w:rsidP="00A964D1">
      <w:pPr>
        <w:pStyle w:val="Bibliography"/>
      </w:pPr>
      <w:r>
        <w:t xml:space="preserve">Mondal, A., Bhat, C.R., 2022. A Spatial Rank-Ordered Probit Model with an Application to Travel Mode Choice. </w:t>
      </w:r>
      <w:r w:rsidRPr="0039577C">
        <w:rPr>
          <w:i/>
          <w:iCs/>
        </w:rPr>
        <w:t>Transportation Research Part B</w:t>
      </w:r>
      <w:r w:rsidR="0039577C">
        <w:t xml:space="preserve"> </w:t>
      </w:r>
      <w:r>
        <w:t>155, 374–393. https://doi.org/10.1016/j.trb.2021.12.008</w:t>
      </w:r>
    </w:p>
    <w:p w14:paraId="4CEFB7DE" w14:textId="68898497" w:rsidR="00A964D1" w:rsidRDefault="00A964D1" w:rsidP="00A964D1">
      <w:pPr>
        <w:pStyle w:val="Bibliography"/>
      </w:pPr>
      <w:r>
        <w:t xml:space="preserve">Monterde-i-Bort, H., Sucha, M., Risser, R., Honzickova, K., 2022. A European-Wide Study on the Effects of the COVID-19 Threat on Active Transport Modes. </w:t>
      </w:r>
      <w:r w:rsidRPr="0039577C">
        <w:rPr>
          <w:i/>
          <w:iCs/>
        </w:rPr>
        <w:t>Sustainability</w:t>
      </w:r>
      <w:r>
        <w:t xml:space="preserve"> 14</w:t>
      </w:r>
      <w:r w:rsidR="0039577C">
        <w:t>(6)</w:t>
      </w:r>
      <w:r>
        <w:t>, 3482. https://doi.org/10.3390/su14063482</w:t>
      </w:r>
    </w:p>
    <w:p w14:paraId="236DA6AD" w14:textId="7ABDB89D" w:rsidR="00A964D1" w:rsidRDefault="00A964D1" w:rsidP="00A964D1">
      <w:pPr>
        <w:pStyle w:val="Bibliography"/>
      </w:pPr>
      <w:r>
        <w:t xml:space="preserve">Müggenburg, H., 2021. Beyond the Limits of Memory? The Reliability of Retrospective Data in Travel Research. </w:t>
      </w:r>
      <w:r w:rsidRPr="0039577C">
        <w:rPr>
          <w:i/>
          <w:iCs/>
        </w:rPr>
        <w:t>Transportation Research Part A</w:t>
      </w:r>
      <w:r w:rsidR="0039577C">
        <w:t xml:space="preserve"> </w:t>
      </w:r>
      <w:r>
        <w:t>145, 302–318. https://doi.org/10.1016/j.tra.2021.01.010</w:t>
      </w:r>
    </w:p>
    <w:p w14:paraId="40A00B52" w14:textId="77777777" w:rsidR="00A964D1" w:rsidRDefault="00A964D1" w:rsidP="00A964D1">
      <w:pPr>
        <w:pStyle w:val="Bibliography"/>
      </w:pPr>
      <w:r>
        <w:lastRenderedPageBreak/>
        <w:t xml:space="preserve">Munkin, M.K., Trivedi, P.K., 2008. Bayesian Analysis of the Ordered Probit Model with Endogenous Selection. </w:t>
      </w:r>
      <w:r w:rsidRPr="0039577C">
        <w:rPr>
          <w:i/>
          <w:iCs/>
        </w:rPr>
        <w:t>Journal of Econometrics</w:t>
      </w:r>
      <w:r>
        <w:t xml:space="preserve"> 143, 334–348. https://doi.org/10.1016/j.jeconom.2007.11.001</w:t>
      </w:r>
    </w:p>
    <w:p w14:paraId="56DF25C6" w14:textId="09E0AA03" w:rsidR="00A964D1" w:rsidRDefault="00A964D1" w:rsidP="00A964D1">
      <w:pPr>
        <w:pStyle w:val="Bibliography"/>
      </w:pPr>
      <w:r>
        <w:t xml:space="preserve">Musaddiq, T., Stange, K., Bacher-Hicks, A., Goodman, J., 2022. The Pandemic’s Effect on Demand for Public Schools, Homeschooling, and Private Schools. </w:t>
      </w:r>
      <w:r w:rsidRPr="0039577C">
        <w:rPr>
          <w:i/>
          <w:iCs/>
        </w:rPr>
        <w:t>Journal of Public Economics</w:t>
      </w:r>
      <w:r>
        <w:t xml:space="preserve"> 212</w:t>
      </w:r>
      <w:r w:rsidR="0039577C">
        <w:t>, 104710</w:t>
      </w:r>
      <w:r>
        <w:t>. https://doi.org/10.1016/j.jpubeco.2022.104710</w:t>
      </w:r>
    </w:p>
    <w:p w14:paraId="49B906BA" w14:textId="77777777" w:rsidR="00A964D1" w:rsidRDefault="00A964D1" w:rsidP="00A964D1">
      <w:pPr>
        <w:pStyle w:val="Bibliography"/>
      </w:pPr>
      <w:r>
        <w:t xml:space="preserve">Nair, G.S., Astroza, S., Bhat, C.R., Khoeini, S., Pendyala, R.M., 2018. An Application of a Rank Ordered Probit Modeling Approach to Understanding Level of Interest in Autonomous Vehicles. </w:t>
      </w:r>
      <w:r w:rsidRPr="0039577C">
        <w:rPr>
          <w:i/>
          <w:iCs/>
        </w:rPr>
        <w:t>Transportation</w:t>
      </w:r>
      <w:r>
        <w:t xml:space="preserve"> 45, 1623–1637. https://doi.org/10.1007/s11116-018-9945-9</w:t>
      </w:r>
    </w:p>
    <w:p w14:paraId="5A43F9B1" w14:textId="77777777" w:rsidR="00A964D1" w:rsidRDefault="00A964D1" w:rsidP="00A964D1">
      <w:pPr>
        <w:pStyle w:val="Bibliography"/>
      </w:pPr>
      <w:r>
        <w:t xml:space="preserve">Nair, G.S., Bhat, C.R., Pendyala, R.M., Loo, B.P.Y., Lam, W.H.K., 2019. On the Use of Probit-Based Models for Ranking Data Analysis. </w:t>
      </w:r>
      <w:r w:rsidRPr="0039577C">
        <w:rPr>
          <w:i/>
          <w:iCs/>
        </w:rPr>
        <w:t>Transportation Research Record</w:t>
      </w:r>
      <w:r>
        <w:t xml:space="preserve"> 2673, 229–240. https://doi.org/10.1177/0361198119838987</w:t>
      </w:r>
    </w:p>
    <w:p w14:paraId="7CCED942" w14:textId="0E57150B" w:rsidR="00A964D1" w:rsidRDefault="00A964D1" w:rsidP="00A964D1">
      <w:pPr>
        <w:pStyle w:val="Bibliography"/>
      </w:pPr>
      <w:r>
        <w:t>Neff, J., Pham, L., 2007. A Profile of Public Transportation Passenger Demographics and Travel Characteristics Reported in On-Board Surveys. American Public Transportation Association</w:t>
      </w:r>
      <w:r w:rsidR="0039577C">
        <w:t>, Washington DC</w:t>
      </w:r>
      <w:r>
        <w:t>.</w:t>
      </w:r>
    </w:p>
    <w:p w14:paraId="2671B0A4" w14:textId="77777777" w:rsidR="00A964D1" w:rsidRDefault="00A964D1" w:rsidP="00A964D1">
      <w:pPr>
        <w:pStyle w:val="Bibliography"/>
      </w:pPr>
      <w:r>
        <w:t xml:space="preserve">Olanrewaju, A., Wong, Hw.C., 2020. Evaluation of the Requirements of First Time Buyers in the Purchase of Affordable Housing in Malaysia. </w:t>
      </w:r>
      <w:r w:rsidRPr="0039577C">
        <w:rPr>
          <w:i/>
          <w:iCs/>
        </w:rPr>
        <w:t>Journal of Housing and the Built Environment</w:t>
      </w:r>
      <w:r>
        <w:t xml:space="preserve"> 35, 309–333. https://doi.org/10.1007/s10901-019-09681-z</w:t>
      </w:r>
    </w:p>
    <w:p w14:paraId="72923A33" w14:textId="77777777" w:rsidR="00A964D1" w:rsidRDefault="00A964D1" w:rsidP="00A964D1">
      <w:pPr>
        <w:pStyle w:val="Bibliography"/>
      </w:pPr>
      <w:r>
        <w:t xml:space="preserve">Pani-Harreman, K.E., Bours, G.J.J.W., Zander, I., Kempen, G.I.J.M., Duren, J.M.A. van, 2021. Definitions, Key Themes and Aspects of ‘Ageing in Place’: A Scoping Review. </w:t>
      </w:r>
      <w:r w:rsidRPr="0039577C">
        <w:rPr>
          <w:i/>
          <w:iCs/>
        </w:rPr>
        <w:t>Ageing &amp; Society</w:t>
      </w:r>
      <w:r>
        <w:t xml:space="preserve"> 41, 2026–2059. https://doi.org/10.1017/S0144686X20000094</w:t>
      </w:r>
    </w:p>
    <w:p w14:paraId="6ECFA053" w14:textId="77777777" w:rsidR="00A964D1" w:rsidRDefault="00A964D1" w:rsidP="00A964D1">
      <w:pPr>
        <w:pStyle w:val="Bibliography"/>
      </w:pPr>
      <w:r>
        <w:t xml:space="preserve">Paul, J., Taylor, B.D., 2024. Pandemic Transit: Examining Transit Use Changes and Equity Implications in Boston, Houston, and Los Angeles. </w:t>
      </w:r>
      <w:r w:rsidRPr="0039577C">
        <w:rPr>
          <w:i/>
          <w:iCs/>
        </w:rPr>
        <w:t>Transportation</w:t>
      </w:r>
      <w:r>
        <w:t xml:space="preserve"> 51, 615–643. https://doi.org/10.1007/s11116-022-10345-1</w:t>
      </w:r>
    </w:p>
    <w:p w14:paraId="2E467C46" w14:textId="77777777" w:rsidR="00A964D1" w:rsidRDefault="00A964D1" w:rsidP="00A964D1">
      <w:pPr>
        <w:pStyle w:val="Bibliography"/>
      </w:pPr>
      <w:r>
        <w:t xml:space="preserve">Pinjari, A.R., Pendyala, R.M., Bhat, C.R., Waddell, P.A., 2011. Modeling the Choice Continuum: An Integrated Model of Residential Location, Auto Ownership, Bicycle Ownership, and Commute Tour Mode Choice Decisions. </w:t>
      </w:r>
      <w:r w:rsidRPr="0039577C">
        <w:rPr>
          <w:i/>
          <w:iCs/>
        </w:rPr>
        <w:t>Transportation</w:t>
      </w:r>
      <w:r>
        <w:t xml:space="preserve"> 38, 933–958. https://doi.org/10.1007/s11116-011-9360-y</w:t>
      </w:r>
    </w:p>
    <w:p w14:paraId="611A6777" w14:textId="2E9B32EA" w:rsidR="00A964D1" w:rsidRDefault="00A964D1" w:rsidP="00A964D1">
      <w:pPr>
        <w:pStyle w:val="Bibliography"/>
      </w:pPr>
      <w:r>
        <w:t xml:space="preserve">Presley, B., Groot, W., Pavlova, M., 2021. Pharmacists’ and Patients’ Perceptions About the Importance of Pharmacist Services Types to Improve Medication Adherence Among Patients with Diabetes in Indonesia. </w:t>
      </w:r>
      <w:r w:rsidRPr="0039577C">
        <w:rPr>
          <w:i/>
          <w:iCs/>
        </w:rPr>
        <w:t>BMC Health Services Research</w:t>
      </w:r>
      <w:r>
        <w:t xml:space="preserve"> 21</w:t>
      </w:r>
      <w:r w:rsidR="0039577C">
        <w:t>, 1227</w:t>
      </w:r>
      <w:r>
        <w:t>. https://doi.org/10.1186/s12913-021-07242-1</w:t>
      </w:r>
    </w:p>
    <w:p w14:paraId="4D00187F" w14:textId="77777777" w:rsidR="00A964D1" w:rsidRDefault="00A964D1" w:rsidP="00A964D1">
      <w:pPr>
        <w:pStyle w:val="Bibliography"/>
      </w:pPr>
      <w:r>
        <w:t>Puget Sound Regional Council, 2022. 2021 Puget Sound Regional Travel Study.</w:t>
      </w:r>
    </w:p>
    <w:p w14:paraId="17B898EE" w14:textId="3F8C7DE5" w:rsidR="00A964D1" w:rsidRDefault="00A964D1" w:rsidP="00A964D1">
      <w:pPr>
        <w:pStyle w:val="Bibliography"/>
      </w:pPr>
      <w:r>
        <w:t xml:space="preserve">Putman, S.H., 1975. Urban Land Use and Transportation Models: A State-of-the-Art Summary. </w:t>
      </w:r>
      <w:r w:rsidRPr="0039577C">
        <w:rPr>
          <w:i/>
          <w:iCs/>
        </w:rPr>
        <w:t>Transportation Research</w:t>
      </w:r>
      <w:r>
        <w:t xml:space="preserve"> 9</w:t>
      </w:r>
      <w:r w:rsidR="0039577C">
        <w:t xml:space="preserve"> (2-3)</w:t>
      </w:r>
      <w:r>
        <w:t>, 187–202. https://doi.org/10.1016/0041-1647(75)90056-8</w:t>
      </w:r>
    </w:p>
    <w:p w14:paraId="1FCF9F4E" w14:textId="3B1ED2BE" w:rsidR="00A964D1" w:rsidRDefault="00A964D1" w:rsidP="00A964D1">
      <w:pPr>
        <w:pStyle w:val="Bibliography"/>
      </w:pPr>
      <w:r>
        <w:t xml:space="preserve">Rajabi, H., Mirzahossein, H., Hosseinian, S.M., Jin, X., 2024. Residential Location Choice: An Investigation of Transportation, Public Facilities, and Social Factors. </w:t>
      </w:r>
      <w:r w:rsidRPr="0039577C">
        <w:rPr>
          <w:i/>
          <w:iCs/>
        </w:rPr>
        <w:t>Computational Urban Science</w:t>
      </w:r>
      <w:r>
        <w:t xml:space="preserve"> 4</w:t>
      </w:r>
      <w:r w:rsidR="0039577C">
        <w:t>, 2</w:t>
      </w:r>
      <w:r>
        <w:t>. https://doi.org/10.1007/s43762-024-00115-3</w:t>
      </w:r>
    </w:p>
    <w:p w14:paraId="7B1F39B1" w14:textId="62A8AA1A" w:rsidR="00A964D1" w:rsidRPr="0039577C" w:rsidRDefault="00A964D1" w:rsidP="00A964D1">
      <w:pPr>
        <w:pStyle w:val="Bibliography"/>
      </w:pPr>
      <w:r>
        <w:t>Robbennolt, D., Haddad, A., Mondal, A., Bhat, C.R., 2024. Housing Choice in an Evolving Remote Work Landscape.</w:t>
      </w:r>
      <w:r w:rsidR="0039577C" w:rsidRPr="0039577C">
        <w:rPr>
          <w:i/>
          <w:iCs/>
        </w:rPr>
        <w:t xml:space="preserve"> </w:t>
      </w:r>
      <w:r w:rsidR="0039577C" w:rsidRPr="00132259">
        <w:rPr>
          <w:i/>
          <w:iCs/>
        </w:rPr>
        <w:t>Transportation Research Part A</w:t>
      </w:r>
      <w:r w:rsidR="0039577C" w:rsidRPr="00132259">
        <w:t xml:space="preserve"> </w:t>
      </w:r>
      <w:r w:rsidR="0039577C">
        <w:t>190, 104285</w:t>
      </w:r>
      <w:r>
        <w:t>.</w:t>
      </w:r>
      <w:r w:rsidR="0039577C">
        <w:t xml:space="preserve"> </w:t>
      </w:r>
      <w:r w:rsidR="0039577C" w:rsidRPr="0039577C">
        <w:t>https://doi.org/10.1016/j.tra.2024.104285</w:t>
      </w:r>
    </w:p>
    <w:p w14:paraId="77F52AA4" w14:textId="77777777" w:rsidR="00A964D1" w:rsidRDefault="00A964D1" w:rsidP="00A964D1">
      <w:pPr>
        <w:pStyle w:val="Bibliography"/>
      </w:pPr>
      <w:r>
        <w:t>RSG, 2022. 2021 Puget Sound Regional Travel Survey (No. Final Report). Puget Sound Regional Council.</w:t>
      </w:r>
    </w:p>
    <w:p w14:paraId="1371D2C9" w14:textId="086BB218" w:rsidR="00A964D1" w:rsidRDefault="00A964D1" w:rsidP="00A964D1">
      <w:pPr>
        <w:pStyle w:val="Bibliography"/>
      </w:pPr>
      <w:r>
        <w:lastRenderedPageBreak/>
        <w:t xml:space="preserve">Schouten, A., Kawano, Y., 2024. COVID-19 and the Demand for Transit Access: Residential Real Estate Prices in the Tokyo Metropolitan Area. </w:t>
      </w:r>
      <w:r w:rsidRPr="00642331">
        <w:rPr>
          <w:i/>
          <w:iCs/>
        </w:rPr>
        <w:t>Journal of Transport Geography</w:t>
      </w:r>
      <w:r>
        <w:t xml:space="preserve"> 114</w:t>
      </w:r>
      <w:r w:rsidR="00642331">
        <w:t>, 103742</w:t>
      </w:r>
      <w:r>
        <w:t>. https://doi.org/10.1016/j.jtrangeo.2023.103742</w:t>
      </w:r>
    </w:p>
    <w:p w14:paraId="10B03094" w14:textId="77777777" w:rsidR="00A964D1" w:rsidRDefault="00A964D1" w:rsidP="00A964D1">
      <w:pPr>
        <w:pStyle w:val="Bibliography"/>
      </w:pPr>
      <w:r>
        <w:t xml:space="preserve">Sermons, M.W., Koppelman, F.S., 2001. Representing the Differences Between Female and Male Commute Behavior in Residential Location Choice Models. </w:t>
      </w:r>
      <w:r w:rsidRPr="00642331">
        <w:rPr>
          <w:i/>
          <w:iCs/>
        </w:rPr>
        <w:t>Journal of Transport Geography</w:t>
      </w:r>
      <w:r>
        <w:t xml:space="preserve"> 9, 101–110. https://doi.org/10.1016/S0966-6923(00)00047-8</w:t>
      </w:r>
    </w:p>
    <w:p w14:paraId="52446326" w14:textId="77777777" w:rsidR="00A964D1" w:rsidRDefault="00A964D1" w:rsidP="00A964D1">
      <w:pPr>
        <w:pStyle w:val="Bibliography"/>
      </w:pPr>
      <w:r>
        <w:t>Setiowati, R., Koestoer, R.H., Mizuno, K., Hasibuan, H.S., 2023. Urban Green Space During the Coronavirus Disease Pandemic with Regard to the Socioeconomic Characteristics. G</w:t>
      </w:r>
      <w:r w:rsidRPr="00642331">
        <w:rPr>
          <w:i/>
          <w:iCs/>
        </w:rPr>
        <w:t>lobal Journal of Environmental Science and Management</w:t>
      </w:r>
      <w:r>
        <w:t xml:space="preserve"> 9, 589–606. https://doi.org/10.22034/gjesm.2023.03.15</w:t>
      </w:r>
    </w:p>
    <w:p w14:paraId="249C8A4A" w14:textId="77777777" w:rsidR="00A964D1" w:rsidRDefault="00A964D1" w:rsidP="00A964D1">
      <w:pPr>
        <w:pStyle w:val="Bibliography"/>
      </w:pPr>
      <w:r>
        <w:t xml:space="preserve">Sharma, I., Mishra, S., 2023. Ranking Preferences Towards Adopting Autonomous Vehicles Based on Peer Inputs and Advertisements. </w:t>
      </w:r>
      <w:r w:rsidRPr="00642331">
        <w:rPr>
          <w:i/>
          <w:iCs/>
        </w:rPr>
        <w:t>Transportation</w:t>
      </w:r>
      <w:r>
        <w:t xml:space="preserve"> 50, 2139–2192. https://doi.org/10.1007/s11116-022-10304-w</w:t>
      </w:r>
    </w:p>
    <w:p w14:paraId="2471F86D" w14:textId="77777777" w:rsidR="00A964D1" w:rsidRDefault="00A964D1" w:rsidP="00A964D1">
      <w:pPr>
        <w:pStyle w:val="Bibliography"/>
      </w:pPr>
      <w:r>
        <w:t xml:space="preserve">Simionescu, M., 2022. The Insertion of Economic Cybernetics Students on the Romanian Labor Market in the Context of Digital Economy and COVID-19 Pandemic. </w:t>
      </w:r>
      <w:r w:rsidRPr="00642331">
        <w:rPr>
          <w:i/>
          <w:iCs/>
        </w:rPr>
        <w:t>Mathematics</w:t>
      </w:r>
      <w:r>
        <w:t xml:space="preserve"> 10, 222. https://doi.org/10.3390/math10020222</w:t>
      </w:r>
    </w:p>
    <w:p w14:paraId="43542246" w14:textId="77777777" w:rsidR="00A964D1" w:rsidRDefault="00A964D1" w:rsidP="00A964D1">
      <w:pPr>
        <w:pStyle w:val="Bibliography"/>
      </w:pPr>
      <w:r>
        <w:t xml:space="preserve">Solon, G., Haider, S.J., Wooldridge, J.M., 2015. What Are We Weighting For? </w:t>
      </w:r>
      <w:r w:rsidRPr="00642331">
        <w:rPr>
          <w:i/>
          <w:iCs/>
        </w:rPr>
        <w:t>Journal of Human Resources</w:t>
      </w:r>
      <w:r>
        <w:t xml:space="preserve"> 50, 301–316. https://doi.org/10.3368/jhr.50.2.301</w:t>
      </w:r>
    </w:p>
    <w:p w14:paraId="0DB3A582" w14:textId="77777777" w:rsidR="00A964D1" w:rsidRDefault="00A964D1" w:rsidP="00A964D1">
      <w:pPr>
        <w:pStyle w:val="Bibliography"/>
      </w:pPr>
      <w:r>
        <w:t xml:space="preserve">Stafford, L., Baldwin, C., 2018. Planning Walkable Neighborhoods: Are We Overlooking Diversity in Abilities and Ages? </w:t>
      </w:r>
      <w:r w:rsidRPr="00642331">
        <w:rPr>
          <w:i/>
          <w:iCs/>
        </w:rPr>
        <w:t>Journal of Planning Literature</w:t>
      </w:r>
      <w:r>
        <w:t xml:space="preserve"> 33, 17–30. https://doi.org/10.1177/0885412217704649</w:t>
      </w:r>
    </w:p>
    <w:p w14:paraId="3FE12A0B" w14:textId="6689CC7D" w:rsidR="00A964D1" w:rsidRDefault="00A964D1" w:rsidP="00A964D1">
      <w:pPr>
        <w:pStyle w:val="Bibliography"/>
      </w:pPr>
      <w:r>
        <w:t xml:space="preserve">Szpunar, M., Vanderloo, L.M., Bruijns, B.A., Truelove, S., Burke, S.M., Gilliland, J., Irwin, J.D., Tucker, P., 2021. Children and Parents’ Perspectives of the Impact of the COVID-19 Pandemic on Ontario Children’s Physical Activity, Play, and Sport Behaviours. </w:t>
      </w:r>
      <w:r w:rsidRPr="00642331">
        <w:rPr>
          <w:i/>
          <w:iCs/>
        </w:rPr>
        <w:t>BMC Public Health</w:t>
      </w:r>
      <w:r>
        <w:t xml:space="preserve"> 21</w:t>
      </w:r>
      <w:r w:rsidR="00642331">
        <w:t>, 2271</w:t>
      </w:r>
      <w:r>
        <w:t>. https://doi.org/10.1186/s12889-021-12344-w</w:t>
      </w:r>
    </w:p>
    <w:p w14:paraId="3C16BC37" w14:textId="77777777" w:rsidR="00A964D1" w:rsidRDefault="00A964D1" w:rsidP="00A964D1">
      <w:pPr>
        <w:pStyle w:val="Bibliography"/>
      </w:pPr>
      <w:r>
        <w:t>United States Postal Service, 2023. Change of Address Stats on USPS FOIA. https://about.usps.com/who/legal/foia/library.htm</w:t>
      </w:r>
    </w:p>
    <w:p w14:paraId="4F3F6A1D" w14:textId="4F76C0D5" w:rsidR="00A964D1" w:rsidRDefault="00A964D1" w:rsidP="00A964D1">
      <w:pPr>
        <w:pStyle w:val="Bibliography"/>
      </w:pPr>
      <w:r>
        <w:t>U.S. Census Bureau, 2020. Profile of General Population and Housing Characteristics. Decennial Census, DEC Demographic Profile, Table DP1.</w:t>
      </w:r>
    </w:p>
    <w:p w14:paraId="4ED6B619" w14:textId="29A169E3" w:rsidR="00A964D1" w:rsidRDefault="00A964D1" w:rsidP="00A964D1">
      <w:pPr>
        <w:pStyle w:val="Bibliography"/>
      </w:pPr>
      <w:r>
        <w:t xml:space="preserve">Van Acker, V., Ho, L., Mulley, C., 2024. “Home Sweet Home”. How Staying More at Home Impacted Residential Satisfaction and Residential Attachment During the COVID-19 Pandemic in Sydney, Australia. </w:t>
      </w:r>
      <w:r w:rsidRPr="00642331">
        <w:rPr>
          <w:i/>
          <w:iCs/>
        </w:rPr>
        <w:t>Travel Behaviour and Society</w:t>
      </w:r>
      <w:r>
        <w:t xml:space="preserve"> 34</w:t>
      </w:r>
      <w:r w:rsidR="00642331">
        <w:t>, 100671</w:t>
      </w:r>
      <w:r>
        <w:t>. https://doi.org/10.1016/j.tbs.2023.100671</w:t>
      </w:r>
    </w:p>
    <w:p w14:paraId="1E14B593" w14:textId="6512A3F1" w:rsidR="00A964D1" w:rsidRDefault="00A964D1" w:rsidP="00A964D1">
      <w:pPr>
        <w:pStyle w:val="Bibliography"/>
      </w:pPr>
      <w:r>
        <w:t>van Wee, B., Cao, X.J., 2022. Chapter Four - Residential Self-Selection in the Relationship Between the Built Environment and Travel Behavior: A Literature Review and Research Agenda</w:t>
      </w:r>
      <w:r w:rsidR="00642331">
        <w:t>.</w:t>
      </w:r>
      <w:r>
        <w:t xml:space="preserve"> </w:t>
      </w:r>
      <w:r w:rsidR="00642331">
        <w:t>I</w:t>
      </w:r>
      <w:r>
        <w:t xml:space="preserve">n Cao, X.J., Ding, C., Yang, J. (Eds.), </w:t>
      </w:r>
      <w:r w:rsidRPr="00642331">
        <w:rPr>
          <w:i/>
          <w:iCs/>
        </w:rPr>
        <w:t>Advances in Transport Policy and Planning, Urban Transport and Land Use Planning: A Synthesis of Global Knowledge</w:t>
      </w:r>
      <w:r>
        <w:t>. Academic Press, pp. 75–94. https://doi.org/10.1016/bs.atpp.2020.08.004</w:t>
      </w:r>
    </w:p>
    <w:p w14:paraId="1B868FBD" w14:textId="77777777" w:rsidR="00A964D1" w:rsidRDefault="00A964D1" w:rsidP="00A964D1">
      <w:pPr>
        <w:pStyle w:val="Bibliography"/>
      </w:pPr>
      <w:r>
        <w:t xml:space="preserve">Waddell, P., 2011. Integrated Land Use and Transportation Planning and Modelling: Addressing Challenges in Research and Practice. </w:t>
      </w:r>
      <w:r w:rsidRPr="00642331">
        <w:rPr>
          <w:i/>
          <w:iCs/>
        </w:rPr>
        <w:t>Transport Reviews</w:t>
      </w:r>
      <w:r>
        <w:t xml:space="preserve"> 31, 209–229. https://doi.org/10.1080/01441647.2010.525671</w:t>
      </w:r>
    </w:p>
    <w:p w14:paraId="1444F624" w14:textId="77777777" w:rsidR="00A964D1" w:rsidRDefault="00A964D1" w:rsidP="00A964D1">
      <w:pPr>
        <w:pStyle w:val="Bibliography"/>
      </w:pPr>
      <w:r>
        <w:t xml:space="preserve">Wang, B., Feng, X., Loo, B.P.Y., Xue, D., Liu, J., Tong, S., 2024. Hedonic Price Effects of Homeworking Under the COVID-19: Evidence from Housing Markets in Guangzhou, China. </w:t>
      </w:r>
      <w:r w:rsidRPr="00642331">
        <w:rPr>
          <w:i/>
          <w:iCs/>
        </w:rPr>
        <w:t>Journal of Housing and the Built Environment</w:t>
      </w:r>
      <w:r>
        <w:t>. https://doi.org/10.1007/s10901-023-10102-5</w:t>
      </w:r>
    </w:p>
    <w:p w14:paraId="34A38A90" w14:textId="246293EF" w:rsidR="00A964D1" w:rsidRDefault="00A964D1" w:rsidP="00A964D1">
      <w:pPr>
        <w:pStyle w:val="Bibliography"/>
      </w:pPr>
      <w:r>
        <w:lastRenderedPageBreak/>
        <w:t xml:space="preserve">Wang, D., Li, S., 2006. Socio-Economic Differentials and Stated Housing Preferences in Guangzhou, China. </w:t>
      </w:r>
      <w:r w:rsidRPr="00642331">
        <w:rPr>
          <w:i/>
          <w:iCs/>
        </w:rPr>
        <w:t>Habitat International</w:t>
      </w:r>
      <w:r>
        <w:t xml:space="preserve"> 30</w:t>
      </w:r>
      <w:r w:rsidR="00642331">
        <w:t>(2)</w:t>
      </w:r>
      <w:r>
        <w:t>, 305–326. https://doi.org/10.1016/j.habitatint.2004.02.009</w:t>
      </w:r>
    </w:p>
    <w:p w14:paraId="010774BB" w14:textId="40AF09A5" w:rsidR="00A964D1" w:rsidRDefault="00A964D1" w:rsidP="00A964D1">
      <w:pPr>
        <w:pStyle w:val="Bibliography"/>
      </w:pPr>
      <w:r>
        <w:t>Whitaker, S.D., 2021. Did the COVID-19 Pandemic Cause an Urban Exodus? Cleveland Fed District Data Brief</w:t>
      </w:r>
      <w:r w:rsidR="00642331">
        <w:t xml:space="preserve">, </w:t>
      </w:r>
      <w:r w:rsidR="00642331" w:rsidRPr="00642331">
        <w:t>Federal Reserve Bank of Cleveland</w:t>
      </w:r>
      <w:r w:rsidR="00642331" w:rsidRPr="00642331">
        <w:t>.</w:t>
      </w:r>
      <w:r w:rsidRPr="00642331">
        <w:t xml:space="preserve"> </w:t>
      </w:r>
      <w:r>
        <w:t>https://doi.org/10.26509/frbc-ddb-20210205</w:t>
      </w:r>
    </w:p>
    <w:p w14:paraId="1615E92D" w14:textId="77777777" w:rsidR="00A964D1" w:rsidRDefault="00A964D1" w:rsidP="00A964D1">
      <w:pPr>
        <w:pStyle w:val="Bibliography"/>
      </w:pPr>
      <w:r>
        <w:t xml:space="preserve">Wilson, A.G., 1970. Disaggregating Elementary Residential Location Models. </w:t>
      </w:r>
      <w:r w:rsidRPr="00642331">
        <w:rPr>
          <w:i/>
          <w:iCs/>
        </w:rPr>
        <w:t>Papers of the Regional Science Association</w:t>
      </w:r>
      <w:r>
        <w:t xml:space="preserve"> 24, 103–125. https://doi.org/10.1007/BF01936877</w:t>
      </w:r>
    </w:p>
    <w:p w14:paraId="619F2283" w14:textId="77777777" w:rsidR="00A964D1" w:rsidRDefault="00A964D1" w:rsidP="00A964D1">
      <w:pPr>
        <w:pStyle w:val="Bibliography"/>
      </w:pPr>
      <w:r>
        <w:t xml:space="preserve">Wolday, F., Böcker, L., 2023. Exploring Changes in Residential Preference During COVID-19: Implications to Contemporary Urban Planning. </w:t>
      </w:r>
      <w:r w:rsidRPr="00642331">
        <w:rPr>
          <w:i/>
          <w:iCs/>
        </w:rPr>
        <w:t>Environment and Planning B: Urban Analytics and City Science</w:t>
      </w:r>
      <w:r>
        <w:t xml:space="preserve"> 50, 1280–1297. https://doi.org/10.1177/23998083231164398</w:t>
      </w:r>
    </w:p>
    <w:p w14:paraId="30FBE5A7" w14:textId="2233542C" w:rsidR="00A964D1" w:rsidRDefault="00A964D1" w:rsidP="00A964D1">
      <w:pPr>
        <w:pStyle w:val="Bibliography"/>
      </w:pPr>
      <w:r>
        <w:t xml:space="preserve">Xue, F., Yao, E., Jin, F., 2020. Exploring Residential Relocation Behavior for Families with Workers and Students; a Study from Beijing, China. </w:t>
      </w:r>
      <w:r w:rsidRPr="00642331">
        <w:rPr>
          <w:i/>
          <w:iCs/>
        </w:rPr>
        <w:t>Journal of Transport Geography</w:t>
      </w:r>
      <w:r>
        <w:t xml:space="preserve"> 89</w:t>
      </w:r>
      <w:r w:rsidR="00642331">
        <w:t>, 102893</w:t>
      </w:r>
      <w:r>
        <w:t>. https://doi.org/10.1016/j.jtrangeo.2020.102893</w:t>
      </w:r>
    </w:p>
    <w:p w14:paraId="4AA60299" w14:textId="6836997C" w:rsidR="00A964D1" w:rsidRDefault="00A964D1" w:rsidP="00A964D1">
      <w:pPr>
        <w:pStyle w:val="Bibliography"/>
      </w:pPr>
      <w:r>
        <w:t xml:space="preserve">Yan, X., 2020. Evaluating Household Residential Preferences for Walkability and Accessibility Across Three U.S. Regions. </w:t>
      </w:r>
      <w:r w:rsidRPr="00642331">
        <w:rPr>
          <w:i/>
          <w:iCs/>
        </w:rPr>
        <w:t>Transportation Research Part D</w:t>
      </w:r>
      <w:r w:rsidR="00642331">
        <w:t xml:space="preserve"> </w:t>
      </w:r>
      <w:r>
        <w:t>80</w:t>
      </w:r>
      <w:r w:rsidR="00642331">
        <w:t>, 102255</w:t>
      </w:r>
      <w:r>
        <w:t>. https://doi.org/10.1016/j.trd.2020.102255</w:t>
      </w:r>
    </w:p>
    <w:p w14:paraId="5DBE73A2" w14:textId="7EBF9109" w:rsidR="00A964D1" w:rsidRDefault="00A964D1" w:rsidP="00A964D1">
      <w:pPr>
        <w:pStyle w:val="Bibliography"/>
      </w:pPr>
      <w:r>
        <w:t xml:space="preserve">Yan, X., Bejleri, I., Zhai, L., 2022. A Spatiotemporal Analysis of Transit Accessibility to Low-Wage Jobs in Miami-Dade County. </w:t>
      </w:r>
      <w:r w:rsidRPr="00642331">
        <w:rPr>
          <w:i/>
          <w:iCs/>
        </w:rPr>
        <w:t>Journal of Transport Geography</w:t>
      </w:r>
      <w:r>
        <w:t xml:space="preserve"> 98</w:t>
      </w:r>
      <w:r w:rsidR="00642331">
        <w:t>, 103218</w:t>
      </w:r>
      <w:r>
        <w:t>. https://doi.org/10.1016/j.jtrangeo.2021.103218</w:t>
      </w:r>
    </w:p>
    <w:p w14:paraId="6E66F5B3" w14:textId="77777777" w:rsidR="00A964D1" w:rsidRDefault="00A964D1" w:rsidP="00A964D1">
      <w:pPr>
        <w:pStyle w:val="Bibliography"/>
      </w:pPr>
      <w:r>
        <w:t xml:space="preserve">Yang, H., Cherry, C.R., 2017. Use Characteristics and Demographics of Rural Transit Riders: A Case Study in Tennessee. </w:t>
      </w:r>
      <w:r w:rsidRPr="00642331">
        <w:rPr>
          <w:i/>
          <w:iCs/>
        </w:rPr>
        <w:t>Transportation Planning and Technology</w:t>
      </w:r>
      <w:r>
        <w:t xml:space="preserve"> 40, 213–227. https://doi.org/10.1080/03081060.2016.1266168</w:t>
      </w:r>
    </w:p>
    <w:p w14:paraId="7EECCAC9" w14:textId="2C98928A" w:rsidR="00A964D1" w:rsidRDefault="00A964D1" w:rsidP="00A964D1">
      <w:pPr>
        <w:pStyle w:val="Bibliography"/>
      </w:pPr>
      <w:r>
        <w:t xml:space="preserve">Yang, L., Liang, Y., He, B., Yang, H., Lin, D., 2023. COVID-19 Moderates the Association Between to-Metro and by-Metro Accessibility and House Prices. </w:t>
      </w:r>
      <w:r w:rsidRPr="00642331">
        <w:rPr>
          <w:i/>
          <w:iCs/>
        </w:rPr>
        <w:t>Transportation Research Part D</w:t>
      </w:r>
      <w:r w:rsidR="00642331">
        <w:t xml:space="preserve"> </w:t>
      </w:r>
      <w:r>
        <w:t>114</w:t>
      </w:r>
      <w:r w:rsidR="00642331">
        <w:t>, 103571</w:t>
      </w:r>
      <w:r>
        <w:t>. https://doi.org/10.1016/j.trd.2022.103571</w:t>
      </w:r>
    </w:p>
    <w:p w14:paraId="5D2C7D79" w14:textId="77777777" w:rsidR="00A964D1" w:rsidRDefault="00A964D1" w:rsidP="00A964D1">
      <w:pPr>
        <w:pStyle w:val="Bibliography"/>
      </w:pPr>
      <w:r>
        <w:t xml:space="preserve">Zenkteler, M., Darchen, S., Mateo-Babiano, I., Baffour, B., 2022. Home-Based Work in Cities: In Search of an Appropriate Urban Planning Response. </w:t>
      </w:r>
      <w:r w:rsidRPr="00102B23">
        <w:rPr>
          <w:i/>
          <w:iCs/>
        </w:rPr>
        <w:t>Futures</w:t>
      </w:r>
      <w:r>
        <w:t xml:space="preserve"> 135, 102494. https://doi.org/10.1016/j.futures.2019.102494</w:t>
      </w:r>
    </w:p>
    <w:p w14:paraId="0ED67FEC" w14:textId="77777777" w:rsidR="00A964D1" w:rsidRDefault="00A964D1" w:rsidP="00A964D1">
      <w:pPr>
        <w:pStyle w:val="Bibliography"/>
      </w:pPr>
      <w:r>
        <w:t xml:space="preserve">Zhan, C., 2015. School and Neighborhood: Residential Location Choice of Immigrant Parents in the Los Angeles Metropolitan Area. </w:t>
      </w:r>
      <w:r w:rsidRPr="00102B23">
        <w:rPr>
          <w:i/>
          <w:iCs/>
        </w:rPr>
        <w:t>Journal of Population Economics</w:t>
      </w:r>
      <w:r>
        <w:t xml:space="preserve"> 28, 737–783. https://doi.org/10.1007/s00148-015-0545-0</w:t>
      </w:r>
    </w:p>
    <w:p w14:paraId="322322E0" w14:textId="645A0977" w:rsidR="0089069F" w:rsidRPr="006807BB" w:rsidRDefault="00B424C4" w:rsidP="00727863">
      <w:pPr>
        <w:spacing w:after="0" w:line="240" w:lineRule="auto"/>
        <w:jc w:val="both"/>
        <w:rPr>
          <w:rFonts w:cs="Times New Roman"/>
          <w:b/>
          <w:bCs/>
        </w:rPr>
        <w:sectPr w:rsidR="0089069F" w:rsidRPr="006807BB" w:rsidSect="00956D9D">
          <w:footerReference w:type="default" r:id="rId141"/>
          <w:pgSz w:w="12240" w:h="15840"/>
          <w:pgMar w:top="1440" w:right="1440" w:bottom="1440" w:left="1440" w:header="720" w:footer="720" w:gutter="0"/>
          <w:pgNumType w:start="1"/>
          <w:cols w:space="720"/>
          <w:docGrid w:linePitch="360"/>
        </w:sectPr>
      </w:pPr>
      <w:r w:rsidRPr="006807BB">
        <w:rPr>
          <w:rFonts w:cs="Times New Roman"/>
          <w:b/>
          <w:bCs/>
        </w:rPr>
        <w:fldChar w:fldCharType="end"/>
      </w:r>
    </w:p>
    <w:p w14:paraId="0F100711" w14:textId="3D77D10B" w:rsidR="00177081" w:rsidRPr="006807BB" w:rsidRDefault="00177081" w:rsidP="00727863">
      <w:pPr>
        <w:spacing w:after="0" w:line="240" w:lineRule="auto"/>
        <w:jc w:val="both"/>
        <w:rPr>
          <w:rFonts w:cs="Times New Roman"/>
          <w:b/>
          <w:bCs/>
        </w:rPr>
      </w:pPr>
    </w:p>
    <w:p w14:paraId="69B50C63" w14:textId="5FCBC4CD" w:rsidR="004071CA" w:rsidRPr="006807BB" w:rsidRDefault="002D2FB3" w:rsidP="00727863">
      <w:pPr>
        <w:spacing w:after="0" w:line="240" w:lineRule="auto"/>
        <w:jc w:val="both"/>
        <w:rPr>
          <w:rFonts w:cs="Times New Roman"/>
          <w:b/>
          <w:bCs/>
        </w:rPr>
      </w:pPr>
      <w:bookmarkStart w:id="4" w:name="_Hlk166230997"/>
      <w:r w:rsidRPr="006807BB">
        <w:rPr>
          <w:rFonts w:cs="Times New Roman"/>
          <w:b/>
          <w:bCs/>
        </w:rPr>
        <w:t xml:space="preserve">Table 1: </w:t>
      </w:r>
      <w:r w:rsidR="00F575DB">
        <w:rPr>
          <w:rFonts w:cs="Times New Roman"/>
          <w:b/>
          <w:bCs/>
        </w:rPr>
        <w:t xml:space="preserve">Ranked Importance of Housing Factors </w:t>
      </w:r>
      <w:r w:rsidR="00D17DD4" w:rsidRPr="006807BB">
        <w:rPr>
          <w:rFonts w:cs="Times New Roman"/>
          <w:b/>
          <w:bCs/>
        </w:rPr>
        <w:t xml:space="preserve"> </w:t>
      </w:r>
    </w:p>
    <w:p w14:paraId="3D9E8967" w14:textId="77777777" w:rsidR="00D17DD4" w:rsidRPr="006807BB" w:rsidRDefault="00D17DD4" w:rsidP="00727863">
      <w:pPr>
        <w:spacing w:after="0" w:line="240" w:lineRule="auto"/>
        <w:jc w:val="both"/>
        <w:rPr>
          <w:rFonts w:cs="Times New Roman"/>
          <w:b/>
          <w:bCs/>
        </w:rPr>
      </w:pPr>
    </w:p>
    <w:tbl>
      <w:tblPr>
        <w:tblW w:w="12929"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125"/>
        <w:gridCol w:w="761"/>
        <w:gridCol w:w="720"/>
        <w:gridCol w:w="720"/>
        <w:gridCol w:w="720"/>
        <w:gridCol w:w="720"/>
        <w:gridCol w:w="761"/>
        <w:gridCol w:w="761"/>
        <w:gridCol w:w="720"/>
        <w:gridCol w:w="720"/>
        <w:gridCol w:w="720"/>
        <w:gridCol w:w="720"/>
        <w:gridCol w:w="761"/>
      </w:tblGrid>
      <w:tr w:rsidR="005D2409" w:rsidRPr="005D2409" w14:paraId="261EBE4A" w14:textId="77777777" w:rsidTr="004A258E">
        <w:trPr>
          <w:trHeight w:val="310"/>
          <w:jc w:val="center"/>
        </w:trPr>
        <w:tc>
          <w:tcPr>
            <w:tcW w:w="4125" w:type="dxa"/>
            <w:vMerge w:val="restart"/>
            <w:tcBorders>
              <w:top w:val="single" w:sz="12" w:space="0" w:color="auto"/>
              <w:bottom w:val="nil"/>
              <w:right w:val="single" w:sz="12" w:space="0" w:color="auto"/>
            </w:tcBorders>
            <w:shd w:val="clear" w:color="auto" w:fill="auto"/>
            <w:noWrap/>
            <w:tcMar>
              <w:left w:w="58" w:type="dxa"/>
              <w:right w:w="58" w:type="dxa"/>
            </w:tcMar>
            <w:vAlign w:val="center"/>
            <w:hideMark/>
          </w:tcPr>
          <w:p w14:paraId="4C01EB54" w14:textId="77777777" w:rsidR="005D2409" w:rsidRPr="00DC4880" w:rsidRDefault="005D2409" w:rsidP="005D2409">
            <w:pPr>
              <w:spacing w:after="0" w:line="240" w:lineRule="auto"/>
              <w:jc w:val="center"/>
              <w:rPr>
                <w:rFonts w:eastAsia="Times New Roman" w:cs="Times New Roman"/>
                <w:color w:val="000000"/>
                <w:kern w:val="0"/>
                <w:sz w:val="20"/>
                <w:szCs w:val="20"/>
                <w14:ligatures w14:val="none"/>
              </w:rPr>
            </w:pPr>
            <w:bookmarkStart w:id="5" w:name="_Hlk165376697"/>
            <w:r w:rsidRPr="00DC4880">
              <w:rPr>
                <w:rFonts w:eastAsia="Times New Roman" w:cs="Times New Roman"/>
                <w:color w:val="000000"/>
                <w:kern w:val="0"/>
                <w:sz w:val="20"/>
                <w:szCs w:val="20"/>
                <w14:ligatures w14:val="none"/>
              </w:rPr>
              <w:t>Factor in choosing current home</w:t>
            </w:r>
          </w:p>
        </w:tc>
        <w:tc>
          <w:tcPr>
            <w:tcW w:w="4402" w:type="dxa"/>
            <w:gridSpan w:val="6"/>
            <w:tcBorders>
              <w:top w:val="single" w:sz="12" w:space="0" w:color="auto"/>
              <w:left w:val="single" w:sz="12" w:space="0" w:color="auto"/>
              <w:bottom w:val="single" w:sz="12" w:space="0" w:color="auto"/>
              <w:right w:val="single" w:sz="12" w:space="0" w:color="auto"/>
            </w:tcBorders>
            <w:shd w:val="clear" w:color="auto" w:fill="auto"/>
            <w:noWrap/>
            <w:tcMar>
              <w:left w:w="58" w:type="dxa"/>
              <w:right w:w="58" w:type="dxa"/>
            </w:tcMar>
            <w:vAlign w:val="center"/>
            <w:hideMark/>
          </w:tcPr>
          <w:p w14:paraId="00ADCB50" w14:textId="27B0853B" w:rsidR="005D2409" w:rsidRPr="00DC4880" w:rsidRDefault="005D2409" w:rsidP="005D2409">
            <w:pPr>
              <w:spacing w:after="0" w:line="240" w:lineRule="auto"/>
              <w:jc w:val="center"/>
              <w:rPr>
                <w:rFonts w:eastAsia="Times New Roman" w:cs="Times New Roman"/>
                <w:color w:val="000000"/>
                <w:kern w:val="0"/>
                <w:sz w:val="20"/>
                <w:szCs w:val="20"/>
                <w14:ligatures w14:val="none"/>
              </w:rPr>
            </w:pPr>
            <w:r w:rsidRPr="00DC4880">
              <w:rPr>
                <w:rFonts w:eastAsia="Times New Roman" w:cs="Times New Roman"/>
                <w:color w:val="000000"/>
                <w:kern w:val="0"/>
                <w:sz w:val="20"/>
                <w:szCs w:val="20"/>
                <w14:ligatures w14:val="none"/>
              </w:rPr>
              <w:t>Rankings before COVID (</w:t>
            </w:r>
            <w:r w:rsidR="00DC2DFF">
              <w:rPr>
                <w:rFonts w:eastAsia="Times New Roman" w:cs="Times New Roman"/>
                <w:color w:val="000000"/>
                <w:kern w:val="0"/>
                <w:sz w:val="20"/>
                <w:szCs w:val="20"/>
                <w14:ligatures w14:val="none"/>
              </w:rPr>
              <w:t>617</w:t>
            </w:r>
            <w:r w:rsidRPr="00DC4880">
              <w:rPr>
                <w:rFonts w:eastAsia="Times New Roman" w:cs="Times New Roman"/>
                <w:color w:val="000000"/>
                <w:kern w:val="0"/>
                <w:sz w:val="20"/>
                <w:szCs w:val="20"/>
                <w14:ligatures w14:val="none"/>
              </w:rPr>
              <w:t xml:space="preserve"> participants)</w:t>
            </w:r>
          </w:p>
        </w:tc>
        <w:tc>
          <w:tcPr>
            <w:tcW w:w="4402" w:type="dxa"/>
            <w:gridSpan w:val="6"/>
            <w:tcBorders>
              <w:top w:val="single" w:sz="12" w:space="0" w:color="auto"/>
              <w:left w:val="single" w:sz="12" w:space="0" w:color="auto"/>
              <w:bottom w:val="single" w:sz="12" w:space="0" w:color="auto"/>
            </w:tcBorders>
            <w:shd w:val="clear" w:color="auto" w:fill="auto"/>
            <w:noWrap/>
            <w:tcMar>
              <w:left w:w="58" w:type="dxa"/>
              <w:right w:w="58" w:type="dxa"/>
            </w:tcMar>
            <w:vAlign w:val="center"/>
            <w:hideMark/>
          </w:tcPr>
          <w:p w14:paraId="265D6EB7" w14:textId="1C7E678B" w:rsidR="005D2409" w:rsidRPr="00DC4880" w:rsidRDefault="005D2409" w:rsidP="005D2409">
            <w:pPr>
              <w:spacing w:after="0" w:line="240" w:lineRule="auto"/>
              <w:jc w:val="center"/>
              <w:rPr>
                <w:rFonts w:eastAsia="Times New Roman" w:cs="Times New Roman"/>
                <w:color w:val="000000"/>
                <w:kern w:val="0"/>
                <w:sz w:val="20"/>
                <w:szCs w:val="20"/>
                <w14:ligatures w14:val="none"/>
              </w:rPr>
            </w:pPr>
            <w:r w:rsidRPr="00DC4880">
              <w:rPr>
                <w:rFonts w:eastAsia="Times New Roman" w:cs="Times New Roman"/>
                <w:color w:val="000000"/>
                <w:kern w:val="0"/>
                <w:sz w:val="20"/>
                <w:szCs w:val="20"/>
                <w14:ligatures w14:val="none"/>
              </w:rPr>
              <w:t xml:space="preserve">Rankings </w:t>
            </w:r>
            <w:r w:rsidR="002E343A">
              <w:rPr>
                <w:rFonts w:eastAsia="Times New Roman" w:cs="Times New Roman"/>
                <w:color w:val="000000"/>
                <w:kern w:val="0"/>
                <w:sz w:val="20"/>
                <w:szCs w:val="20"/>
                <w14:ligatures w14:val="none"/>
              </w:rPr>
              <w:t>during</w:t>
            </w:r>
            <w:r w:rsidRPr="00DC4880">
              <w:rPr>
                <w:rFonts w:eastAsia="Times New Roman" w:cs="Times New Roman"/>
                <w:color w:val="000000"/>
                <w:kern w:val="0"/>
                <w:sz w:val="20"/>
                <w:szCs w:val="20"/>
                <w14:ligatures w14:val="none"/>
              </w:rPr>
              <w:t xml:space="preserve"> COVID (667 participants)</w:t>
            </w:r>
          </w:p>
        </w:tc>
      </w:tr>
      <w:tr w:rsidR="00DC4880" w:rsidRPr="005D2409" w14:paraId="43C33DF8" w14:textId="77777777" w:rsidTr="004A258E">
        <w:trPr>
          <w:trHeight w:val="302"/>
          <w:jc w:val="center"/>
        </w:trPr>
        <w:tc>
          <w:tcPr>
            <w:tcW w:w="4125" w:type="dxa"/>
            <w:vMerge/>
            <w:tcBorders>
              <w:top w:val="nil"/>
              <w:bottom w:val="single" w:sz="12" w:space="0" w:color="auto"/>
              <w:right w:val="single" w:sz="12" w:space="0" w:color="auto"/>
            </w:tcBorders>
            <w:tcMar>
              <w:left w:w="58" w:type="dxa"/>
              <w:right w:w="58" w:type="dxa"/>
            </w:tcMar>
            <w:vAlign w:val="center"/>
            <w:hideMark/>
          </w:tcPr>
          <w:p w14:paraId="1D7980EF" w14:textId="77777777" w:rsidR="005D2409" w:rsidRPr="00DC4880" w:rsidRDefault="005D2409" w:rsidP="005D2409">
            <w:pPr>
              <w:spacing w:after="0" w:line="240" w:lineRule="auto"/>
              <w:rPr>
                <w:rFonts w:eastAsia="Times New Roman" w:cs="Times New Roman"/>
                <w:color w:val="000000"/>
                <w:kern w:val="0"/>
                <w:sz w:val="20"/>
                <w:szCs w:val="20"/>
                <w14:ligatures w14:val="none"/>
              </w:rPr>
            </w:pPr>
          </w:p>
        </w:tc>
        <w:tc>
          <w:tcPr>
            <w:tcW w:w="761" w:type="dxa"/>
            <w:tcBorders>
              <w:top w:val="single" w:sz="12" w:space="0" w:color="auto"/>
              <w:left w:val="single" w:sz="12" w:space="0" w:color="auto"/>
              <w:bottom w:val="single" w:sz="12" w:space="0" w:color="auto"/>
            </w:tcBorders>
            <w:shd w:val="clear" w:color="auto" w:fill="auto"/>
            <w:noWrap/>
            <w:tcMar>
              <w:left w:w="58" w:type="dxa"/>
              <w:right w:w="58" w:type="dxa"/>
            </w:tcMar>
            <w:vAlign w:val="center"/>
            <w:hideMark/>
          </w:tcPr>
          <w:p w14:paraId="5954032D" w14:textId="77777777" w:rsidR="005D2409" w:rsidRPr="00DC4880" w:rsidRDefault="005D2409" w:rsidP="005D2409">
            <w:pPr>
              <w:spacing w:after="0" w:line="240" w:lineRule="auto"/>
              <w:jc w:val="center"/>
              <w:rPr>
                <w:rFonts w:eastAsia="Times New Roman" w:cs="Times New Roman"/>
                <w:color w:val="000000"/>
                <w:kern w:val="0"/>
                <w:sz w:val="20"/>
                <w:szCs w:val="20"/>
                <w14:ligatures w14:val="none"/>
              </w:rPr>
            </w:pPr>
            <w:r w:rsidRPr="00DC4880">
              <w:rPr>
                <w:rFonts w:eastAsia="Times New Roman" w:cs="Times New Roman"/>
                <w:color w:val="000000"/>
                <w:kern w:val="0"/>
                <w:sz w:val="20"/>
                <w:szCs w:val="20"/>
                <w14:ligatures w14:val="none"/>
              </w:rPr>
              <w:t>Top-ranked</w:t>
            </w:r>
          </w:p>
        </w:tc>
        <w:tc>
          <w:tcPr>
            <w:tcW w:w="720" w:type="dxa"/>
            <w:tcBorders>
              <w:top w:val="single" w:sz="12" w:space="0" w:color="auto"/>
              <w:bottom w:val="single" w:sz="12" w:space="0" w:color="auto"/>
            </w:tcBorders>
            <w:shd w:val="clear" w:color="auto" w:fill="auto"/>
            <w:noWrap/>
            <w:tcMar>
              <w:left w:w="58" w:type="dxa"/>
              <w:right w:w="58" w:type="dxa"/>
            </w:tcMar>
            <w:vAlign w:val="center"/>
            <w:hideMark/>
          </w:tcPr>
          <w:p w14:paraId="070AB197" w14:textId="77777777" w:rsidR="005D2409" w:rsidRPr="00DC4880" w:rsidRDefault="005D2409" w:rsidP="005D2409">
            <w:pPr>
              <w:spacing w:after="0" w:line="240" w:lineRule="auto"/>
              <w:jc w:val="center"/>
              <w:rPr>
                <w:rFonts w:eastAsia="Times New Roman" w:cs="Times New Roman"/>
                <w:color w:val="000000"/>
                <w:kern w:val="0"/>
                <w:sz w:val="20"/>
                <w:szCs w:val="20"/>
                <w14:ligatures w14:val="none"/>
              </w:rPr>
            </w:pPr>
            <w:r w:rsidRPr="00DC4880">
              <w:rPr>
                <w:rFonts w:eastAsia="Times New Roman" w:cs="Times New Roman"/>
                <w:color w:val="000000"/>
                <w:kern w:val="0"/>
                <w:sz w:val="20"/>
                <w:szCs w:val="20"/>
                <w14:ligatures w14:val="none"/>
              </w:rPr>
              <w:t>Top 2 ranks</w:t>
            </w:r>
          </w:p>
        </w:tc>
        <w:tc>
          <w:tcPr>
            <w:tcW w:w="720" w:type="dxa"/>
            <w:tcBorders>
              <w:top w:val="single" w:sz="12" w:space="0" w:color="auto"/>
              <w:bottom w:val="single" w:sz="12" w:space="0" w:color="auto"/>
            </w:tcBorders>
            <w:shd w:val="clear" w:color="auto" w:fill="auto"/>
            <w:noWrap/>
            <w:tcMar>
              <w:left w:w="58" w:type="dxa"/>
              <w:right w:w="58" w:type="dxa"/>
            </w:tcMar>
            <w:vAlign w:val="center"/>
            <w:hideMark/>
          </w:tcPr>
          <w:p w14:paraId="404B91F9" w14:textId="77777777" w:rsidR="005D2409" w:rsidRPr="00DC4880" w:rsidRDefault="005D2409" w:rsidP="005D2409">
            <w:pPr>
              <w:spacing w:after="0" w:line="240" w:lineRule="auto"/>
              <w:jc w:val="center"/>
              <w:rPr>
                <w:rFonts w:eastAsia="Times New Roman" w:cs="Times New Roman"/>
                <w:color w:val="000000"/>
                <w:kern w:val="0"/>
                <w:sz w:val="20"/>
                <w:szCs w:val="20"/>
                <w14:ligatures w14:val="none"/>
              </w:rPr>
            </w:pPr>
            <w:r w:rsidRPr="00DC4880">
              <w:rPr>
                <w:rFonts w:eastAsia="Times New Roman" w:cs="Times New Roman"/>
                <w:color w:val="000000"/>
                <w:kern w:val="0"/>
                <w:sz w:val="20"/>
                <w:szCs w:val="20"/>
                <w14:ligatures w14:val="none"/>
              </w:rPr>
              <w:t>Top 3 ranks</w:t>
            </w:r>
          </w:p>
        </w:tc>
        <w:tc>
          <w:tcPr>
            <w:tcW w:w="720" w:type="dxa"/>
            <w:tcBorders>
              <w:top w:val="single" w:sz="12" w:space="0" w:color="auto"/>
              <w:bottom w:val="single" w:sz="12" w:space="0" w:color="auto"/>
            </w:tcBorders>
            <w:shd w:val="clear" w:color="auto" w:fill="auto"/>
            <w:noWrap/>
            <w:tcMar>
              <w:left w:w="58" w:type="dxa"/>
              <w:right w:w="58" w:type="dxa"/>
            </w:tcMar>
            <w:vAlign w:val="center"/>
            <w:hideMark/>
          </w:tcPr>
          <w:p w14:paraId="2E2BC610" w14:textId="77777777" w:rsidR="005D2409" w:rsidRPr="00DC4880" w:rsidRDefault="005D2409" w:rsidP="005D2409">
            <w:pPr>
              <w:spacing w:after="0" w:line="240" w:lineRule="auto"/>
              <w:jc w:val="center"/>
              <w:rPr>
                <w:rFonts w:eastAsia="Times New Roman" w:cs="Times New Roman"/>
                <w:color w:val="000000"/>
                <w:kern w:val="0"/>
                <w:sz w:val="20"/>
                <w:szCs w:val="20"/>
                <w14:ligatures w14:val="none"/>
              </w:rPr>
            </w:pPr>
            <w:r w:rsidRPr="00DC4880">
              <w:rPr>
                <w:rFonts w:eastAsia="Times New Roman" w:cs="Times New Roman"/>
                <w:color w:val="000000"/>
                <w:kern w:val="0"/>
                <w:sz w:val="20"/>
                <w:szCs w:val="20"/>
                <w14:ligatures w14:val="none"/>
              </w:rPr>
              <w:t>Last 3 ranks</w:t>
            </w:r>
          </w:p>
        </w:tc>
        <w:tc>
          <w:tcPr>
            <w:tcW w:w="720" w:type="dxa"/>
            <w:tcBorders>
              <w:top w:val="single" w:sz="12" w:space="0" w:color="auto"/>
              <w:bottom w:val="single" w:sz="12" w:space="0" w:color="auto"/>
            </w:tcBorders>
            <w:shd w:val="clear" w:color="auto" w:fill="auto"/>
            <w:noWrap/>
            <w:tcMar>
              <w:left w:w="58" w:type="dxa"/>
              <w:right w:w="58" w:type="dxa"/>
            </w:tcMar>
            <w:vAlign w:val="center"/>
            <w:hideMark/>
          </w:tcPr>
          <w:p w14:paraId="605A2E06" w14:textId="77777777" w:rsidR="005D2409" w:rsidRPr="00DC4880" w:rsidRDefault="005D2409" w:rsidP="005D2409">
            <w:pPr>
              <w:spacing w:after="0" w:line="240" w:lineRule="auto"/>
              <w:jc w:val="center"/>
              <w:rPr>
                <w:rFonts w:eastAsia="Times New Roman" w:cs="Times New Roman"/>
                <w:color w:val="000000"/>
                <w:kern w:val="0"/>
                <w:sz w:val="20"/>
                <w:szCs w:val="20"/>
                <w14:ligatures w14:val="none"/>
              </w:rPr>
            </w:pPr>
            <w:r w:rsidRPr="00DC4880">
              <w:rPr>
                <w:rFonts w:eastAsia="Times New Roman" w:cs="Times New Roman"/>
                <w:color w:val="000000"/>
                <w:kern w:val="0"/>
                <w:sz w:val="20"/>
                <w:szCs w:val="20"/>
                <w14:ligatures w14:val="none"/>
              </w:rPr>
              <w:t>Last 2 ranks</w:t>
            </w:r>
          </w:p>
        </w:tc>
        <w:tc>
          <w:tcPr>
            <w:tcW w:w="761" w:type="dxa"/>
            <w:tcBorders>
              <w:top w:val="single" w:sz="12" w:space="0" w:color="auto"/>
              <w:bottom w:val="single" w:sz="12" w:space="0" w:color="auto"/>
              <w:right w:val="single" w:sz="12" w:space="0" w:color="auto"/>
            </w:tcBorders>
            <w:shd w:val="clear" w:color="auto" w:fill="auto"/>
            <w:noWrap/>
            <w:tcMar>
              <w:left w:w="58" w:type="dxa"/>
              <w:right w:w="58" w:type="dxa"/>
            </w:tcMar>
            <w:vAlign w:val="center"/>
            <w:hideMark/>
          </w:tcPr>
          <w:p w14:paraId="7EA490B1" w14:textId="77777777" w:rsidR="005D2409" w:rsidRPr="00DC4880" w:rsidRDefault="005D2409" w:rsidP="005D2409">
            <w:pPr>
              <w:spacing w:after="0" w:line="240" w:lineRule="auto"/>
              <w:jc w:val="center"/>
              <w:rPr>
                <w:rFonts w:eastAsia="Times New Roman" w:cs="Times New Roman"/>
                <w:color w:val="000000"/>
                <w:kern w:val="0"/>
                <w:sz w:val="20"/>
                <w:szCs w:val="20"/>
                <w14:ligatures w14:val="none"/>
              </w:rPr>
            </w:pPr>
            <w:r w:rsidRPr="00DC4880">
              <w:rPr>
                <w:rFonts w:eastAsia="Times New Roman" w:cs="Times New Roman"/>
                <w:color w:val="000000"/>
                <w:kern w:val="0"/>
                <w:sz w:val="20"/>
                <w:szCs w:val="20"/>
                <w14:ligatures w14:val="none"/>
              </w:rPr>
              <w:t>Last-ranked</w:t>
            </w:r>
          </w:p>
        </w:tc>
        <w:tc>
          <w:tcPr>
            <w:tcW w:w="761" w:type="dxa"/>
            <w:tcBorders>
              <w:top w:val="single" w:sz="12" w:space="0" w:color="auto"/>
              <w:left w:val="single" w:sz="12" w:space="0" w:color="auto"/>
              <w:bottom w:val="single" w:sz="12" w:space="0" w:color="auto"/>
            </w:tcBorders>
            <w:shd w:val="clear" w:color="auto" w:fill="auto"/>
            <w:noWrap/>
            <w:tcMar>
              <w:left w:w="58" w:type="dxa"/>
              <w:right w:w="58" w:type="dxa"/>
            </w:tcMar>
            <w:vAlign w:val="center"/>
            <w:hideMark/>
          </w:tcPr>
          <w:p w14:paraId="0A4FC174" w14:textId="77777777" w:rsidR="005D2409" w:rsidRPr="00DC4880" w:rsidRDefault="005D2409" w:rsidP="005D2409">
            <w:pPr>
              <w:spacing w:after="0" w:line="240" w:lineRule="auto"/>
              <w:jc w:val="center"/>
              <w:rPr>
                <w:rFonts w:eastAsia="Times New Roman" w:cs="Times New Roman"/>
                <w:color w:val="000000"/>
                <w:kern w:val="0"/>
                <w:sz w:val="20"/>
                <w:szCs w:val="20"/>
                <w14:ligatures w14:val="none"/>
              </w:rPr>
            </w:pPr>
            <w:r w:rsidRPr="00DC4880">
              <w:rPr>
                <w:rFonts w:eastAsia="Times New Roman" w:cs="Times New Roman"/>
                <w:color w:val="000000"/>
                <w:kern w:val="0"/>
                <w:sz w:val="20"/>
                <w:szCs w:val="20"/>
                <w14:ligatures w14:val="none"/>
              </w:rPr>
              <w:t>Top-ranked</w:t>
            </w:r>
          </w:p>
        </w:tc>
        <w:tc>
          <w:tcPr>
            <w:tcW w:w="720" w:type="dxa"/>
            <w:tcBorders>
              <w:top w:val="single" w:sz="12" w:space="0" w:color="auto"/>
              <w:bottom w:val="single" w:sz="12" w:space="0" w:color="auto"/>
            </w:tcBorders>
            <w:shd w:val="clear" w:color="auto" w:fill="auto"/>
            <w:noWrap/>
            <w:tcMar>
              <w:left w:w="58" w:type="dxa"/>
              <w:right w:w="58" w:type="dxa"/>
            </w:tcMar>
            <w:vAlign w:val="center"/>
            <w:hideMark/>
          </w:tcPr>
          <w:p w14:paraId="30BD2907" w14:textId="77777777" w:rsidR="005D2409" w:rsidRPr="00DC4880" w:rsidRDefault="005D2409" w:rsidP="005D2409">
            <w:pPr>
              <w:spacing w:after="0" w:line="240" w:lineRule="auto"/>
              <w:jc w:val="center"/>
              <w:rPr>
                <w:rFonts w:eastAsia="Times New Roman" w:cs="Times New Roman"/>
                <w:color w:val="000000"/>
                <w:kern w:val="0"/>
                <w:sz w:val="20"/>
                <w:szCs w:val="20"/>
                <w14:ligatures w14:val="none"/>
              </w:rPr>
            </w:pPr>
            <w:r w:rsidRPr="00DC4880">
              <w:rPr>
                <w:rFonts w:eastAsia="Times New Roman" w:cs="Times New Roman"/>
                <w:color w:val="000000"/>
                <w:kern w:val="0"/>
                <w:sz w:val="20"/>
                <w:szCs w:val="20"/>
                <w14:ligatures w14:val="none"/>
              </w:rPr>
              <w:t>Top 2 ranks</w:t>
            </w:r>
          </w:p>
        </w:tc>
        <w:tc>
          <w:tcPr>
            <w:tcW w:w="720" w:type="dxa"/>
            <w:tcBorders>
              <w:top w:val="single" w:sz="12" w:space="0" w:color="auto"/>
              <w:bottom w:val="single" w:sz="12" w:space="0" w:color="auto"/>
            </w:tcBorders>
            <w:shd w:val="clear" w:color="auto" w:fill="auto"/>
            <w:noWrap/>
            <w:tcMar>
              <w:left w:w="58" w:type="dxa"/>
              <w:right w:w="58" w:type="dxa"/>
            </w:tcMar>
            <w:vAlign w:val="center"/>
            <w:hideMark/>
          </w:tcPr>
          <w:p w14:paraId="63DBB99F" w14:textId="77777777" w:rsidR="005D2409" w:rsidRPr="00DC4880" w:rsidRDefault="005D2409" w:rsidP="005D2409">
            <w:pPr>
              <w:spacing w:after="0" w:line="240" w:lineRule="auto"/>
              <w:jc w:val="center"/>
              <w:rPr>
                <w:rFonts w:eastAsia="Times New Roman" w:cs="Times New Roman"/>
                <w:color w:val="000000"/>
                <w:kern w:val="0"/>
                <w:sz w:val="20"/>
                <w:szCs w:val="20"/>
                <w14:ligatures w14:val="none"/>
              </w:rPr>
            </w:pPr>
            <w:r w:rsidRPr="00DC4880">
              <w:rPr>
                <w:rFonts w:eastAsia="Times New Roman" w:cs="Times New Roman"/>
                <w:color w:val="000000"/>
                <w:kern w:val="0"/>
                <w:sz w:val="20"/>
                <w:szCs w:val="20"/>
                <w14:ligatures w14:val="none"/>
              </w:rPr>
              <w:t>Top 3 ranks</w:t>
            </w:r>
          </w:p>
        </w:tc>
        <w:tc>
          <w:tcPr>
            <w:tcW w:w="720" w:type="dxa"/>
            <w:tcBorders>
              <w:top w:val="single" w:sz="12" w:space="0" w:color="auto"/>
              <w:bottom w:val="single" w:sz="12" w:space="0" w:color="auto"/>
            </w:tcBorders>
            <w:shd w:val="clear" w:color="auto" w:fill="auto"/>
            <w:noWrap/>
            <w:tcMar>
              <w:left w:w="58" w:type="dxa"/>
              <w:right w:w="58" w:type="dxa"/>
            </w:tcMar>
            <w:vAlign w:val="center"/>
            <w:hideMark/>
          </w:tcPr>
          <w:p w14:paraId="7F6CFEEC" w14:textId="77777777" w:rsidR="005D2409" w:rsidRPr="00DC4880" w:rsidRDefault="005D2409" w:rsidP="005D2409">
            <w:pPr>
              <w:spacing w:after="0" w:line="240" w:lineRule="auto"/>
              <w:jc w:val="center"/>
              <w:rPr>
                <w:rFonts w:eastAsia="Times New Roman" w:cs="Times New Roman"/>
                <w:color w:val="000000"/>
                <w:kern w:val="0"/>
                <w:sz w:val="20"/>
                <w:szCs w:val="20"/>
                <w14:ligatures w14:val="none"/>
              </w:rPr>
            </w:pPr>
            <w:r w:rsidRPr="00DC4880">
              <w:rPr>
                <w:rFonts w:eastAsia="Times New Roman" w:cs="Times New Roman"/>
                <w:color w:val="000000"/>
                <w:kern w:val="0"/>
                <w:sz w:val="20"/>
                <w:szCs w:val="20"/>
                <w14:ligatures w14:val="none"/>
              </w:rPr>
              <w:t>Last 3 ranks</w:t>
            </w:r>
          </w:p>
        </w:tc>
        <w:tc>
          <w:tcPr>
            <w:tcW w:w="720" w:type="dxa"/>
            <w:tcBorders>
              <w:top w:val="single" w:sz="12" w:space="0" w:color="auto"/>
              <w:bottom w:val="single" w:sz="12" w:space="0" w:color="auto"/>
            </w:tcBorders>
            <w:shd w:val="clear" w:color="auto" w:fill="auto"/>
            <w:noWrap/>
            <w:tcMar>
              <w:left w:w="58" w:type="dxa"/>
              <w:right w:w="58" w:type="dxa"/>
            </w:tcMar>
            <w:vAlign w:val="center"/>
            <w:hideMark/>
          </w:tcPr>
          <w:p w14:paraId="137C8EBC" w14:textId="77777777" w:rsidR="005D2409" w:rsidRPr="00DC4880" w:rsidRDefault="005D2409" w:rsidP="005D2409">
            <w:pPr>
              <w:spacing w:after="0" w:line="240" w:lineRule="auto"/>
              <w:jc w:val="center"/>
              <w:rPr>
                <w:rFonts w:eastAsia="Times New Roman" w:cs="Times New Roman"/>
                <w:color w:val="000000"/>
                <w:kern w:val="0"/>
                <w:sz w:val="20"/>
                <w:szCs w:val="20"/>
                <w14:ligatures w14:val="none"/>
              </w:rPr>
            </w:pPr>
            <w:r w:rsidRPr="00DC4880">
              <w:rPr>
                <w:rFonts w:eastAsia="Times New Roman" w:cs="Times New Roman"/>
                <w:color w:val="000000"/>
                <w:kern w:val="0"/>
                <w:sz w:val="20"/>
                <w:szCs w:val="20"/>
                <w14:ligatures w14:val="none"/>
              </w:rPr>
              <w:t>Last 2 ranks</w:t>
            </w:r>
          </w:p>
        </w:tc>
        <w:tc>
          <w:tcPr>
            <w:tcW w:w="761" w:type="dxa"/>
            <w:tcBorders>
              <w:top w:val="single" w:sz="12" w:space="0" w:color="auto"/>
              <w:bottom w:val="single" w:sz="12" w:space="0" w:color="auto"/>
            </w:tcBorders>
            <w:shd w:val="clear" w:color="auto" w:fill="auto"/>
            <w:noWrap/>
            <w:tcMar>
              <w:left w:w="58" w:type="dxa"/>
              <w:right w:w="58" w:type="dxa"/>
            </w:tcMar>
            <w:vAlign w:val="center"/>
            <w:hideMark/>
          </w:tcPr>
          <w:p w14:paraId="2C7C8476" w14:textId="77777777" w:rsidR="005D2409" w:rsidRPr="00DC4880" w:rsidRDefault="005D2409" w:rsidP="005D2409">
            <w:pPr>
              <w:spacing w:after="0" w:line="240" w:lineRule="auto"/>
              <w:jc w:val="center"/>
              <w:rPr>
                <w:rFonts w:eastAsia="Times New Roman" w:cs="Times New Roman"/>
                <w:color w:val="000000"/>
                <w:kern w:val="0"/>
                <w:sz w:val="20"/>
                <w:szCs w:val="20"/>
                <w14:ligatures w14:val="none"/>
              </w:rPr>
            </w:pPr>
            <w:r w:rsidRPr="00DC4880">
              <w:rPr>
                <w:rFonts w:eastAsia="Times New Roman" w:cs="Times New Roman"/>
                <w:color w:val="000000"/>
                <w:kern w:val="0"/>
                <w:sz w:val="20"/>
                <w:szCs w:val="20"/>
                <w14:ligatures w14:val="none"/>
              </w:rPr>
              <w:t>Last-ranked</w:t>
            </w:r>
          </w:p>
        </w:tc>
      </w:tr>
      <w:tr w:rsidR="006164B2" w:rsidRPr="005D2409" w14:paraId="4A969811" w14:textId="77777777" w:rsidTr="004A258E">
        <w:trPr>
          <w:trHeight w:val="432"/>
          <w:jc w:val="center"/>
        </w:trPr>
        <w:tc>
          <w:tcPr>
            <w:tcW w:w="4125" w:type="dxa"/>
            <w:tcBorders>
              <w:top w:val="single" w:sz="12" w:space="0" w:color="auto"/>
              <w:bottom w:val="nil"/>
              <w:right w:val="single" w:sz="12" w:space="0" w:color="auto"/>
            </w:tcBorders>
            <w:shd w:val="clear" w:color="auto" w:fill="auto"/>
            <w:noWrap/>
            <w:tcMar>
              <w:left w:w="58" w:type="dxa"/>
              <w:right w:w="58" w:type="dxa"/>
            </w:tcMar>
            <w:vAlign w:val="center"/>
            <w:hideMark/>
          </w:tcPr>
          <w:p w14:paraId="512345E7" w14:textId="77777777" w:rsidR="006164B2" w:rsidRPr="00DC4880" w:rsidRDefault="006164B2" w:rsidP="006164B2">
            <w:pPr>
              <w:spacing w:after="0" w:line="240" w:lineRule="auto"/>
              <w:rPr>
                <w:rFonts w:eastAsia="Times New Roman" w:cs="Times New Roman"/>
                <w:color w:val="000000"/>
                <w:kern w:val="0"/>
                <w:sz w:val="20"/>
                <w:szCs w:val="20"/>
                <w14:ligatures w14:val="none"/>
              </w:rPr>
            </w:pPr>
            <w:r w:rsidRPr="00DC4880">
              <w:rPr>
                <w:rFonts w:eastAsia="Times New Roman" w:cs="Times New Roman"/>
                <w:color w:val="000000"/>
                <w:kern w:val="0"/>
                <w:sz w:val="20"/>
                <w:szCs w:val="20"/>
                <w14:ligatures w14:val="none"/>
              </w:rPr>
              <w:t>Affordability</w:t>
            </w:r>
          </w:p>
        </w:tc>
        <w:tc>
          <w:tcPr>
            <w:tcW w:w="761" w:type="dxa"/>
            <w:tcBorders>
              <w:top w:val="single" w:sz="12" w:space="0" w:color="auto"/>
              <w:left w:val="single" w:sz="12" w:space="0" w:color="auto"/>
            </w:tcBorders>
            <w:shd w:val="clear" w:color="auto" w:fill="auto"/>
            <w:noWrap/>
            <w:tcMar>
              <w:left w:w="58" w:type="dxa"/>
              <w:right w:w="58" w:type="dxa"/>
            </w:tcMar>
            <w:vAlign w:val="center"/>
            <w:hideMark/>
          </w:tcPr>
          <w:p w14:paraId="513DA035" w14:textId="67CD7192"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27.8</w:t>
            </w:r>
          </w:p>
        </w:tc>
        <w:tc>
          <w:tcPr>
            <w:tcW w:w="720" w:type="dxa"/>
            <w:tcBorders>
              <w:top w:val="single" w:sz="12" w:space="0" w:color="auto"/>
            </w:tcBorders>
            <w:shd w:val="clear" w:color="auto" w:fill="auto"/>
            <w:noWrap/>
            <w:tcMar>
              <w:left w:w="58" w:type="dxa"/>
              <w:right w:w="58" w:type="dxa"/>
            </w:tcMar>
            <w:vAlign w:val="center"/>
            <w:hideMark/>
          </w:tcPr>
          <w:p w14:paraId="443803AB" w14:textId="1D6FEE64"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47.4</w:t>
            </w:r>
          </w:p>
        </w:tc>
        <w:tc>
          <w:tcPr>
            <w:tcW w:w="720" w:type="dxa"/>
            <w:tcBorders>
              <w:top w:val="single" w:sz="12" w:space="0" w:color="auto"/>
            </w:tcBorders>
            <w:shd w:val="clear" w:color="auto" w:fill="auto"/>
            <w:noWrap/>
            <w:tcMar>
              <w:left w:w="58" w:type="dxa"/>
              <w:right w:w="58" w:type="dxa"/>
            </w:tcMar>
            <w:vAlign w:val="center"/>
            <w:hideMark/>
          </w:tcPr>
          <w:p w14:paraId="33F19EF9" w14:textId="6422069B"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61.0</w:t>
            </w:r>
          </w:p>
        </w:tc>
        <w:tc>
          <w:tcPr>
            <w:tcW w:w="720" w:type="dxa"/>
            <w:tcBorders>
              <w:top w:val="single" w:sz="12" w:space="0" w:color="auto"/>
            </w:tcBorders>
            <w:shd w:val="clear" w:color="auto" w:fill="auto"/>
            <w:noWrap/>
            <w:tcMar>
              <w:left w:w="58" w:type="dxa"/>
              <w:right w:w="58" w:type="dxa"/>
            </w:tcMar>
            <w:vAlign w:val="center"/>
            <w:hideMark/>
          </w:tcPr>
          <w:p w14:paraId="576C86DB" w14:textId="0CFF12CD"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13.3</w:t>
            </w:r>
          </w:p>
        </w:tc>
        <w:tc>
          <w:tcPr>
            <w:tcW w:w="720" w:type="dxa"/>
            <w:tcBorders>
              <w:top w:val="single" w:sz="12" w:space="0" w:color="auto"/>
            </w:tcBorders>
            <w:shd w:val="clear" w:color="auto" w:fill="auto"/>
            <w:noWrap/>
            <w:tcMar>
              <w:left w:w="58" w:type="dxa"/>
              <w:right w:w="58" w:type="dxa"/>
            </w:tcMar>
            <w:vAlign w:val="center"/>
            <w:hideMark/>
          </w:tcPr>
          <w:p w14:paraId="797E5593" w14:textId="61819941"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8.4</w:t>
            </w:r>
          </w:p>
        </w:tc>
        <w:tc>
          <w:tcPr>
            <w:tcW w:w="761" w:type="dxa"/>
            <w:tcBorders>
              <w:top w:val="single" w:sz="12" w:space="0" w:color="auto"/>
              <w:right w:val="single" w:sz="12" w:space="0" w:color="auto"/>
            </w:tcBorders>
            <w:shd w:val="clear" w:color="auto" w:fill="auto"/>
            <w:noWrap/>
            <w:tcMar>
              <w:left w:w="58" w:type="dxa"/>
              <w:right w:w="58" w:type="dxa"/>
            </w:tcMar>
            <w:vAlign w:val="center"/>
            <w:hideMark/>
          </w:tcPr>
          <w:p w14:paraId="7EA5D652" w14:textId="32675950"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4.2</w:t>
            </w:r>
          </w:p>
        </w:tc>
        <w:tc>
          <w:tcPr>
            <w:tcW w:w="761" w:type="dxa"/>
            <w:tcBorders>
              <w:top w:val="single" w:sz="12" w:space="0" w:color="auto"/>
              <w:left w:val="single" w:sz="12" w:space="0" w:color="auto"/>
            </w:tcBorders>
            <w:shd w:val="clear" w:color="auto" w:fill="auto"/>
            <w:noWrap/>
            <w:tcMar>
              <w:left w:w="58" w:type="dxa"/>
              <w:right w:w="58" w:type="dxa"/>
            </w:tcMar>
            <w:vAlign w:val="center"/>
            <w:hideMark/>
          </w:tcPr>
          <w:p w14:paraId="3B1BF39D" w14:textId="65C83D25"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27.2</w:t>
            </w:r>
          </w:p>
        </w:tc>
        <w:tc>
          <w:tcPr>
            <w:tcW w:w="720" w:type="dxa"/>
            <w:tcBorders>
              <w:top w:val="single" w:sz="12" w:space="0" w:color="auto"/>
            </w:tcBorders>
            <w:shd w:val="clear" w:color="auto" w:fill="auto"/>
            <w:noWrap/>
            <w:tcMar>
              <w:left w:w="58" w:type="dxa"/>
              <w:right w:w="58" w:type="dxa"/>
            </w:tcMar>
            <w:vAlign w:val="center"/>
            <w:hideMark/>
          </w:tcPr>
          <w:p w14:paraId="3A5D9033" w14:textId="71D0C61D"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47.8</w:t>
            </w:r>
          </w:p>
        </w:tc>
        <w:tc>
          <w:tcPr>
            <w:tcW w:w="720" w:type="dxa"/>
            <w:tcBorders>
              <w:top w:val="single" w:sz="12" w:space="0" w:color="auto"/>
            </w:tcBorders>
            <w:shd w:val="clear" w:color="auto" w:fill="auto"/>
            <w:noWrap/>
            <w:tcMar>
              <w:left w:w="58" w:type="dxa"/>
              <w:right w:w="58" w:type="dxa"/>
            </w:tcMar>
            <w:vAlign w:val="center"/>
            <w:hideMark/>
          </w:tcPr>
          <w:p w14:paraId="3271B6EA" w14:textId="3AC8279E"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62.1</w:t>
            </w:r>
          </w:p>
        </w:tc>
        <w:tc>
          <w:tcPr>
            <w:tcW w:w="720" w:type="dxa"/>
            <w:tcBorders>
              <w:top w:val="single" w:sz="12" w:space="0" w:color="auto"/>
            </w:tcBorders>
            <w:shd w:val="clear" w:color="auto" w:fill="auto"/>
            <w:noWrap/>
            <w:tcMar>
              <w:left w:w="58" w:type="dxa"/>
              <w:right w:w="58" w:type="dxa"/>
            </w:tcMar>
            <w:vAlign w:val="center"/>
            <w:hideMark/>
          </w:tcPr>
          <w:p w14:paraId="4F83064C" w14:textId="67202DCC"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10.9</w:t>
            </w:r>
          </w:p>
        </w:tc>
        <w:tc>
          <w:tcPr>
            <w:tcW w:w="720" w:type="dxa"/>
            <w:tcBorders>
              <w:top w:val="single" w:sz="12" w:space="0" w:color="auto"/>
            </w:tcBorders>
            <w:shd w:val="clear" w:color="auto" w:fill="auto"/>
            <w:noWrap/>
            <w:tcMar>
              <w:left w:w="58" w:type="dxa"/>
              <w:right w:w="58" w:type="dxa"/>
            </w:tcMar>
            <w:vAlign w:val="center"/>
            <w:hideMark/>
          </w:tcPr>
          <w:p w14:paraId="709582E6" w14:textId="3BB988E5"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6.3</w:t>
            </w:r>
          </w:p>
        </w:tc>
        <w:tc>
          <w:tcPr>
            <w:tcW w:w="761" w:type="dxa"/>
            <w:tcBorders>
              <w:top w:val="single" w:sz="12" w:space="0" w:color="auto"/>
            </w:tcBorders>
            <w:shd w:val="clear" w:color="auto" w:fill="auto"/>
            <w:noWrap/>
            <w:tcMar>
              <w:left w:w="58" w:type="dxa"/>
              <w:right w:w="58" w:type="dxa"/>
            </w:tcMar>
            <w:vAlign w:val="center"/>
            <w:hideMark/>
          </w:tcPr>
          <w:p w14:paraId="32CBA3F9" w14:textId="4F0B8995"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3.0</w:t>
            </w:r>
          </w:p>
        </w:tc>
      </w:tr>
      <w:tr w:rsidR="006164B2" w:rsidRPr="005D2409" w14:paraId="7A4335A8" w14:textId="77777777" w:rsidTr="004A258E">
        <w:trPr>
          <w:trHeight w:val="432"/>
          <w:jc w:val="center"/>
        </w:trPr>
        <w:tc>
          <w:tcPr>
            <w:tcW w:w="4125" w:type="dxa"/>
            <w:tcBorders>
              <w:top w:val="nil"/>
              <w:bottom w:val="nil"/>
              <w:right w:val="single" w:sz="12" w:space="0" w:color="auto"/>
            </w:tcBorders>
            <w:shd w:val="clear" w:color="auto" w:fill="auto"/>
            <w:noWrap/>
            <w:tcMar>
              <w:left w:w="58" w:type="dxa"/>
              <w:right w:w="58" w:type="dxa"/>
            </w:tcMar>
            <w:vAlign w:val="center"/>
            <w:hideMark/>
          </w:tcPr>
          <w:p w14:paraId="41241C2F" w14:textId="243DC769" w:rsidR="006164B2" w:rsidRPr="00DC4880" w:rsidRDefault="006164B2" w:rsidP="006164B2">
            <w:pPr>
              <w:spacing w:after="0" w:line="240" w:lineRule="auto"/>
              <w:rPr>
                <w:rFonts w:eastAsia="Times New Roman" w:cs="Times New Roman"/>
                <w:color w:val="000000"/>
                <w:kern w:val="0"/>
                <w:sz w:val="20"/>
                <w:szCs w:val="20"/>
                <w14:ligatures w14:val="none"/>
              </w:rPr>
            </w:pPr>
            <w:r w:rsidRPr="00DC4880">
              <w:rPr>
                <w:rFonts w:eastAsia="Times New Roman" w:cs="Times New Roman"/>
                <w:color w:val="000000"/>
                <w:kern w:val="0"/>
                <w:sz w:val="20"/>
                <w:szCs w:val="20"/>
                <w14:ligatures w14:val="none"/>
              </w:rPr>
              <w:t xml:space="preserve">Being close to </w:t>
            </w:r>
            <w:r w:rsidR="004A258E">
              <w:rPr>
                <w:rFonts w:eastAsia="Times New Roman" w:cs="Times New Roman"/>
                <w:color w:val="000000"/>
                <w:kern w:val="0"/>
                <w:sz w:val="20"/>
                <w:szCs w:val="20"/>
                <w14:ligatures w14:val="none"/>
              </w:rPr>
              <w:t>f</w:t>
            </w:r>
            <w:r w:rsidRPr="00DC4880">
              <w:rPr>
                <w:rFonts w:eastAsia="Times New Roman" w:cs="Times New Roman"/>
                <w:color w:val="000000"/>
                <w:kern w:val="0"/>
                <w:sz w:val="20"/>
                <w:szCs w:val="20"/>
                <w14:ligatures w14:val="none"/>
              </w:rPr>
              <w:t xml:space="preserve">amily and </w:t>
            </w:r>
            <w:r w:rsidR="004A258E">
              <w:rPr>
                <w:rFonts w:eastAsia="Times New Roman" w:cs="Times New Roman"/>
                <w:color w:val="000000"/>
                <w:kern w:val="0"/>
                <w:sz w:val="20"/>
                <w:szCs w:val="20"/>
                <w14:ligatures w14:val="none"/>
              </w:rPr>
              <w:t>f</w:t>
            </w:r>
            <w:r w:rsidRPr="00DC4880">
              <w:rPr>
                <w:rFonts w:eastAsia="Times New Roman" w:cs="Times New Roman"/>
                <w:color w:val="000000"/>
                <w:kern w:val="0"/>
                <w:sz w:val="20"/>
                <w:szCs w:val="20"/>
                <w14:ligatures w14:val="none"/>
              </w:rPr>
              <w:t>riends</w:t>
            </w:r>
          </w:p>
        </w:tc>
        <w:tc>
          <w:tcPr>
            <w:tcW w:w="761" w:type="dxa"/>
            <w:tcBorders>
              <w:left w:val="single" w:sz="12" w:space="0" w:color="auto"/>
            </w:tcBorders>
            <w:shd w:val="clear" w:color="auto" w:fill="auto"/>
            <w:noWrap/>
            <w:tcMar>
              <w:left w:w="58" w:type="dxa"/>
              <w:right w:w="58" w:type="dxa"/>
            </w:tcMar>
            <w:vAlign w:val="center"/>
            <w:hideMark/>
          </w:tcPr>
          <w:p w14:paraId="215A08F9" w14:textId="7A56ABB6"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8.3</w:t>
            </w:r>
          </w:p>
        </w:tc>
        <w:tc>
          <w:tcPr>
            <w:tcW w:w="720" w:type="dxa"/>
            <w:shd w:val="clear" w:color="auto" w:fill="auto"/>
            <w:noWrap/>
            <w:tcMar>
              <w:left w:w="58" w:type="dxa"/>
              <w:right w:w="58" w:type="dxa"/>
            </w:tcMar>
            <w:vAlign w:val="center"/>
            <w:hideMark/>
          </w:tcPr>
          <w:p w14:paraId="16170064" w14:textId="12025132"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17.4</w:t>
            </w:r>
          </w:p>
        </w:tc>
        <w:tc>
          <w:tcPr>
            <w:tcW w:w="720" w:type="dxa"/>
            <w:shd w:val="clear" w:color="auto" w:fill="auto"/>
            <w:noWrap/>
            <w:tcMar>
              <w:left w:w="58" w:type="dxa"/>
              <w:right w:w="58" w:type="dxa"/>
            </w:tcMar>
            <w:vAlign w:val="center"/>
            <w:hideMark/>
          </w:tcPr>
          <w:p w14:paraId="0B76BE32" w14:textId="399668CB"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27.1</w:t>
            </w:r>
          </w:p>
        </w:tc>
        <w:tc>
          <w:tcPr>
            <w:tcW w:w="720" w:type="dxa"/>
            <w:shd w:val="clear" w:color="auto" w:fill="auto"/>
            <w:noWrap/>
            <w:tcMar>
              <w:left w:w="58" w:type="dxa"/>
              <w:right w:w="58" w:type="dxa"/>
            </w:tcMar>
            <w:vAlign w:val="center"/>
            <w:hideMark/>
          </w:tcPr>
          <w:p w14:paraId="656B2AAD" w14:textId="3FAE4887"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38.2</w:t>
            </w:r>
          </w:p>
        </w:tc>
        <w:tc>
          <w:tcPr>
            <w:tcW w:w="720" w:type="dxa"/>
            <w:shd w:val="clear" w:color="auto" w:fill="auto"/>
            <w:noWrap/>
            <w:tcMar>
              <w:left w:w="58" w:type="dxa"/>
              <w:right w:w="58" w:type="dxa"/>
            </w:tcMar>
            <w:vAlign w:val="center"/>
            <w:hideMark/>
          </w:tcPr>
          <w:p w14:paraId="5B51169F" w14:textId="40E78A42"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24.8</w:t>
            </w:r>
          </w:p>
        </w:tc>
        <w:tc>
          <w:tcPr>
            <w:tcW w:w="761" w:type="dxa"/>
            <w:tcBorders>
              <w:right w:val="single" w:sz="12" w:space="0" w:color="auto"/>
            </w:tcBorders>
            <w:shd w:val="clear" w:color="auto" w:fill="auto"/>
            <w:noWrap/>
            <w:tcMar>
              <w:left w:w="58" w:type="dxa"/>
              <w:right w:w="58" w:type="dxa"/>
            </w:tcMar>
            <w:vAlign w:val="center"/>
            <w:hideMark/>
          </w:tcPr>
          <w:p w14:paraId="50DDC18E" w14:textId="2F46E54E"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11.0</w:t>
            </w:r>
          </w:p>
        </w:tc>
        <w:tc>
          <w:tcPr>
            <w:tcW w:w="761" w:type="dxa"/>
            <w:tcBorders>
              <w:left w:val="single" w:sz="12" w:space="0" w:color="auto"/>
            </w:tcBorders>
            <w:shd w:val="clear" w:color="auto" w:fill="auto"/>
            <w:noWrap/>
            <w:tcMar>
              <w:left w:w="58" w:type="dxa"/>
              <w:right w:w="58" w:type="dxa"/>
            </w:tcMar>
            <w:vAlign w:val="center"/>
            <w:hideMark/>
          </w:tcPr>
          <w:p w14:paraId="66573EB9" w14:textId="67B604B5"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10.1</w:t>
            </w:r>
          </w:p>
        </w:tc>
        <w:tc>
          <w:tcPr>
            <w:tcW w:w="720" w:type="dxa"/>
            <w:shd w:val="clear" w:color="auto" w:fill="auto"/>
            <w:noWrap/>
            <w:tcMar>
              <w:left w:w="58" w:type="dxa"/>
              <w:right w:w="58" w:type="dxa"/>
            </w:tcMar>
            <w:vAlign w:val="center"/>
            <w:hideMark/>
          </w:tcPr>
          <w:p w14:paraId="3C0E2CC1" w14:textId="3698428F"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19.8</w:t>
            </w:r>
          </w:p>
        </w:tc>
        <w:tc>
          <w:tcPr>
            <w:tcW w:w="720" w:type="dxa"/>
            <w:shd w:val="clear" w:color="auto" w:fill="auto"/>
            <w:noWrap/>
            <w:tcMar>
              <w:left w:w="58" w:type="dxa"/>
              <w:right w:w="58" w:type="dxa"/>
            </w:tcMar>
            <w:vAlign w:val="center"/>
            <w:hideMark/>
          </w:tcPr>
          <w:p w14:paraId="06D7B106" w14:textId="0F8BC9C9"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29.4</w:t>
            </w:r>
          </w:p>
        </w:tc>
        <w:tc>
          <w:tcPr>
            <w:tcW w:w="720" w:type="dxa"/>
            <w:shd w:val="clear" w:color="auto" w:fill="auto"/>
            <w:noWrap/>
            <w:tcMar>
              <w:left w:w="58" w:type="dxa"/>
              <w:right w:w="58" w:type="dxa"/>
            </w:tcMar>
            <w:vAlign w:val="center"/>
            <w:hideMark/>
          </w:tcPr>
          <w:p w14:paraId="1BAEDC8B" w14:textId="3433B27B"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34.4</w:t>
            </w:r>
          </w:p>
        </w:tc>
        <w:tc>
          <w:tcPr>
            <w:tcW w:w="720" w:type="dxa"/>
            <w:shd w:val="clear" w:color="auto" w:fill="auto"/>
            <w:noWrap/>
            <w:tcMar>
              <w:left w:w="58" w:type="dxa"/>
              <w:right w:w="58" w:type="dxa"/>
            </w:tcMar>
            <w:vAlign w:val="center"/>
            <w:hideMark/>
          </w:tcPr>
          <w:p w14:paraId="1E4F7E2A" w14:textId="0F7F583C"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21.6</w:t>
            </w:r>
          </w:p>
        </w:tc>
        <w:tc>
          <w:tcPr>
            <w:tcW w:w="761" w:type="dxa"/>
            <w:shd w:val="clear" w:color="auto" w:fill="auto"/>
            <w:noWrap/>
            <w:tcMar>
              <w:left w:w="58" w:type="dxa"/>
              <w:right w:w="58" w:type="dxa"/>
            </w:tcMar>
            <w:vAlign w:val="center"/>
            <w:hideMark/>
          </w:tcPr>
          <w:p w14:paraId="6AA7D78A" w14:textId="03467C2E"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9.8</w:t>
            </w:r>
          </w:p>
        </w:tc>
      </w:tr>
      <w:tr w:rsidR="006164B2" w:rsidRPr="005D2409" w14:paraId="64B30A24" w14:textId="77777777" w:rsidTr="004A258E">
        <w:trPr>
          <w:trHeight w:val="432"/>
          <w:jc w:val="center"/>
        </w:trPr>
        <w:tc>
          <w:tcPr>
            <w:tcW w:w="4125" w:type="dxa"/>
            <w:tcBorders>
              <w:top w:val="nil"/>
              <w:bottom w:val="nil"/>
              <w:right w:val="single" w:sz="12" w:space="0" w:color="auto"/>
            </w:tcBorders>
            <w:shd w:val="clear" w:color="auto" w:fill="auto"/>
            <w:noWrap/>
            <w:tcMar>
              <w:left w:w="58" w:type="dxa"/>
              <w:right w:w="58" w:type="dxa"/>
            </w:tcMar>
            <w:vAlign w:val="center"/>
            <w:hideMark/>
          </w:tcPr>
          <w:p w14:paraId="031AA30B" w14:textId="54152480" w:rsidR="006164B2" w:rsidRPr="00DC4880" w:rsidRDefault="006164B2" w:rsidP="006164B2">
            <w:pPr>
              <w:spacing w:after="0" w:line="240" w:lineRule="auto"/>
              <w:rPr>
                <w:rFonts w:eastAsia="Times New Roman" w:cs="Times New Roman"/>
                <w:color w:val="000000"/>
                <w:kern w:val="0"/>
                <w:sz w:val="20"/>
                <w:szCs w:val="20"/>
                <w14:ligatures w14:val="none"/>
              </w:rPr>
            </w:pPr>
            <w:r w:rsidRPr="00DC4880">
              <w:rPr>
                <w:rFonts w:eastAsia="Times New Roman" w:cs="Times New Roman"/>
                <w:color w:val="000000"/>
                <w:kern w:val="0"/>
                <w:sz w:val="20"/>
                <w:szCs w:val="20"/>
                <w14:ligatures w14:val="none"/>
              </w:rPr>
              <w:t xml:space="preserve">Access to </w:t>
            </w:r>
            <w:r w:rsidR="004A258E">
              <w:rPr>
                <w:rFonts w:eastAsia="Times New Roman" w:cs="Times New Roman"/>
                <w:color w:val="000000"/>
                <w:kern w:val="0"/>
                <w:sz w:val="20"/>
                <w:szCs w:val="20"/>
                <w14:ligatures w14:val="none"/>
              </w:rPr>
              <w:t>c</w:t>
            </w:r>
            <w:r w:rsidRPr="00DC4880">
              <w:rPr>
                <w:rFonts w:eastAsia="Times New Roman" w:cs="Times New Roman"/>
                <w:color w:val="000000"/>
                <w:kern w:val="0"/>
                <w:sz w:val="20"/>
                <w:szCs w:val="20"/>
                <w14:ligatures w14:val="none"/>
              </w:rPr>
              <w:t xml:space="preserve">ultural </w:t>
            </w:r>
            <w:r w:rsidR="004A258E">
              <w:rPr>
                <w:rFonts w:eastAsia="Times New Roman" w:cs="Times New Roman"/>
                <w:color w:val="000000"/>
                <w:kern w:val="0"/>
                <w:sz w:val="20"/>
                <w:szCs w:val="20"/>
                <w14:ligatures w14:val="none"/>
              </w:rPr>
              <w:t>c</w:t>
            </w:r>
            <w:r w:rsidRPr="00DC4880">
              <w:rPr>
                <w:rFonts w:eastAsia="Times New Roman" w:cs="Times New Roman"/>
                <w:color w:val="000000"/>
                <w:kern w:val="0"/>
                <w:sz w:val="20"/>
                <w:szCs w:val="20"/>
                <w14:ligatures w14:val="none"/>
              </w:rPr>
              <w:t xml:space="preserve">enters and </w:t>
            </w:r>
            <w:r w:rsidR="004A258E">
              <w:rPr>
                <w:rFonts w:eastAsia="Times New Roman" w:cs="Times New Roman"/>
                <w:color w:val="000000"/>
                <w:kern w:val="0"/>
                <w:sz w:val="20"/>
                <w:szCs w:val="20"/>
                <w14:ligatures w14:val="none"/>
              </w:rPr>
              <w:t>a</w:t>
            </w:r>
            <w:r w:rsidRPr="00DC4880">
              <w:rPr>
                <w:rFonts w:eastAsia="Times New Roman" w:cs="Times New Roman"/>
                <w:color w:val="000000"/>
                <w:kern w:val="0"/>
                <w:sz w:val="20"/>
                <w:szCs w:val="20"/>
                <w14:ligatures w14:val="none"/>
              </w:rPr>
              <w:t>ctivities</w:t>
            </w:r>
          </w:p>
        </w:tc>
        <w:tc>
          <w:tcPr>
            <w:tcW w:w="761" w:type="dxa"/>
            <w:tcBorders>
              <w:left w:val="single" w:sz="12" w:space="0" w:color="auto"/>
            </w:tcBorders>
            <w:shd w:val="clear" w:color="auto" w:fill="auto"/>
            <w:noWrap/>
            <w:tcMar>
              <w:left w:w="58" w:type="dxa"/>
              <w:right w:w="58" w:type="dxa"/>
            </w:tcMar>
            <w:vAlign w:val="center"/>
            <w:hideMark/>
          </w:tcPr>
          <w:p w14:paraId="2FED962B" w14:textId="7A4F2F7A"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5.9</w:t>
            </w:r>
          </w:p>
        </w:tc>
        <w:tc>
          <w:tcPr>
            <w:tcW w:w="720" w:type="dxa"/>
            <w:shd w:val="clear" w:color="auto" w:fill="auto"/>
            <w:noWrap/>
            <w:tcMar>
              <w:left w:w="58" w:type="dxa"/>
              <w:right w:w="58" w:type="dxa"/>
            </w:tcMar>
            <w:vAlign w:val="center"/>
            <w:hideMark/>
          </w:tcPr>
          <w:p w14:paraId="48A6B9CD" w14:textId="2A7CE4E0"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13.8</w:t>
            </w:r>
          </w:p>
        </w:tc>
        <w:tc>
          <w:tcPr>
            <w:tcW w:w="720" w:type="dxa"/>
            <w:shd w:val="clear" w:color="auto" w:fill="auto"/>
            <w:noWrap/>
            <w:tcMar>
              <w:left w:w="58" w:type="dxa"/>
              <w:right w:w="58" w:type="dxa"/>
            </w:tcMar>
            <w:vAlign w:val="center"/>
            <w:hideMark/>
          </w:tcPr>
          <w:p w14:paraId="3F32D792" w14:textId="07E13911"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23.1</w:t>
            </w:r>
          </w:p>
        </w:tc>
        <w:tc>
          <w:tcPr>
            <w:tcW w:w="720" w:type="dxa"/>
            <w:shd w:val="clear" w:color="auto" w:fill="auto"/>
            <w:noWrap/>
            <w:tcMar>
              <w:left w:w="58" w:type="dxa"/>
              <w:right w:w="58" w:type="dxa"/>
            </w:tcMar>
            <w:vAlign w:val="center"/>
            <w:hideMark/>
          </w:tcPr>
          <w:p w14:paraId="1C84DDAC" w14:textId="30566374"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36.5</w:t>
            </w:r>
          </w:p>
        </w:tc>
        <w:tc>
          <w:tcPr>
            <w:tcW w:w="720" w:type="dxa"/>
            <w:shd w:val="clear" w:color="auto" w:fill="auto"/>
            <w:noWrap/>
            <w:tcMar>
              <w:left w:w="58" w:type="dxa"/>
              <w:right w:w="58" w:type="dxa"/>
            </w:tcMar>
            <w:vAlign w:val="center"/>
            <w:hideMark/>
          </w:tcPr>
          <w:p w14:paraId="3038DCF6" w14:textId="09423FB7"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22.5</w:t>
            </w:r>
          </w:p>
        </w:tc>
        <w:tc>
          <w:tcPr>
            <w:tcW w:w="761" w:type="dxa"/>
            <w:tcBorders>
              <w:right w:val="single" w:sz="12" w:space="0" w:color="auto"/>
            </w:tcBorders>
            <w:shd w:val="clear" w:color="auto" w:fill="auto"/>
            <w:noWrap/>
            <w:tcMar>
              <w:left w:w="58" w:type="dxa"/>
              <w:right w:w="58" w:type="dxa"/>
            </w:tcMar>
            <w:vAlign w:val="center"/>
            <w:hideMark/>
          </w:tcPr>
          <w:p w14:paraId="10819C2B" w14:textId="1A1397A1"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10.0</w:t>
            </w:r>
          </w:p>
        </w:tc>
        <w:tc>
          <w:tcPr>
            <w:tcW w:w="761" w:type="dxa"/>
            <w:tcBorders>
              <w:left w:val="single" w:sz="12" w:space="0" w:color="auto"/>
            </w:tcBorders>
            <w:shd w:val="clear" w:color="auto" w:fill="auto"/>
            <w:noWrap/>
            <w:tcMar>
              <w:left w:w="58" w:type="dxa"/>
              <w:right w:w="58" w:type="dxa"/>
            </w:tcMar>
            <w:vAlign w:val="center"/>
            <w:hideMark/>
          </w:tcPr>
          <w:p w14:paraId="5750C615" w14:textId="09FFF18A"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5.7</w:t>
            </w:r>
          </w:p>
        </w:tc>
        <w:tc>
          <w:tcPr>
            <w:tcW w:w="720" w:type="dxa"/>
            <w:shd w:val="clear" w:color="auto" w:fill="auto"/>
            <w:noWrap/>
            <w:tcMar>
              <w:left w:w="58" w:type="dxa"/>
              <w:right w:w="58" w:type="dxa"/>
            </w:tcMar>
            <w:vAlign w:val="center"/>
            <w:hideMark/>
          </w:tcPr>
          <w:p w14:paraId="50CBF0C4" w14:textId="0B7706B9"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13.1</w:t>
            </w:r>
          </w:p>
        </w:tc>
        <w:tc>
          <w:tcPr>
            <w:tcW w:w="720" w:type="dxa"/>
            <w:shd w:val="clear" w:color="auto" w:fill="auto"/>
            <w:noWrap/>
            <w:tcMar>
              <w:left w:w="58" w:type="dxa"/>
              <w:right w:w="58" w:type="dxa"/>
            </w:tcMar>
            <w:vAlign w:val="center"/>
            <w:hideMark/>
          </w:tcPr>
          <w:p w14:paraId="3AE06093" w14:textId="5316395E"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22.7</w:t>
            </w:r>
          </w:p>
        </w:tc>
        <w:tc>
          <w:tcPr>
            <w:tcW w:w="720" w:type="dxa"/>
            <w:shd w:val="clear" w:color="auto" w:fill="auto"/>
            <w:noWrap/>
            <w:tcMar>
              <w:left w:w="58" w:type="dxa"/>
              <w:right w:w="58" w:type="dxa"/>
            </w:tcMar>
            <w:vAlign w:val="center"/>
            <w:hideMark/>
          </w:tcPr>
          <w:p w14:paraId="4CE5CB48" w14:textId="1DA45F1B"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37.8</w:t>
            </w:r>
          </w:p>
        </w:tc>
        <w:tc>
          <w:tcPr>
            <w:tcW w:w="720" w:type="dxa"/>
            <w:shd w:val="clear" w:color="auto" w:fill="auto"/>
            <w:noWrap/>
            <w:tcMar>
              <w:left w:w="58" w:type="dxa"/>
              <w:right w:w="58" w:type="dxa"/>
            </w:tcMar>
            <w:vAlign w:val="center"/>
            <w:hideMark/>
          </w:tcPr>
          <w:p w14:paraId="26B467DE" w14:textId="6D068435"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21.9</w:t>
            </w:r>
          </w:p>
        </w:tc>
        <w:tc>
          <w:tcPr>
            <w:tcW w:w="761" w:type="dxa"/>
            <w:shd w:val="clear" w:color="auto" w:fill="auto"/>
            <w:noWrap/>
            <w:tcMar>
              <w:left w:w="58" w:type="dxa"/>
              <w:right w:w="58" w:type="dxa"/>
            </w:tcMar>
            <w:vAlign w:val="center"/>
            <w:hideMark/>
          </w:tcPr>
          <w:p w14:paraId="720179E6" w14:textId="710C2287"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8.5</w:t>
            </w:r>
          </w:p>
        </w:tc>
      </w:tr>
      <w:tr w:rsidR="006164B2" w:rsidRPr="005D2409" w14:paraId="6B4611AB" w14:textId="77777777" w:rsidTr="004A258E">
        <w:trPr>
          <w:trHeight w:val="432"/>
          <w:jc w:val="center"/>
        </w:trPr>
        <w:tc>
          <w:tcPr>
            <w:tcW w:w="4125" w:type="dxa"/>
            <w:tcBorders>
              <w:top w:val="nil"/>
              <w:bottom w:val="nil"/>
              <w:right w:val="single" w:sz="12" w:space="0" w:color="auto"/>
            </w:tcBorders>
            <w:shd w:val="clear" w:color="auto" w:fill="auto"/>
            <w:noWrap/>
            <w:tcMar>
              <w:left w:w="58" w:type="dxa"/>
              <w:right w:w="58" w:type="dxa"/>
            </w:tcMar>
            <w:vAlign w:val="center"/>
            <w:hideMark/>
          </w:tcPr>
          <w:p w14:paraId="6797BFE8" w14:textId="77777777" w:rsidR="006164B2" w:rsidRPr="00DC4880" w:rsidRDefault="006164B2" w:rsidP="006164B2">
            <w:pPr>
              <w:spacing w:after="0" w:line="240" w:lineRule="auto"/>
              <w:rPr>
                <w:rFonts w:eastAsia="Times New Roman" w:cs="Times New Roman"/>
                <w:color w:val="000000"/>
                <w:kern w:val="0"/>
                <w:sz w:val="20"/>
                <w:szCs w:val="20"/>
                <w14:ligatures w14:val="none"/>
              </w:rPr>
            </w:pPr>
            <w:r w:rsidRPr="00DC4880">
              <w:rPr>
                <w:rFonts w:eastAsia="Times New Roman" w:cs="Times New Roman"/>
                <w:color w:val="000000"/>
                <w:kern w:val="0"/>
                <w:sz w:val="20"/>
                <w:szCs w:val="20"/>
                <w14:ligatures w14:val="none"/>
              </w:rPr>
              <w:t>Being close to the highway</w:t>
            </w:r>
          </w:p>
        </w:tc>
        <w:tc>
          <w:tcPr>
            <w:tcW w:w="761" w:type="dxa"/>
            <w:tcBorders>
              <w:left w:val="single" w:sz="12" w:space="0" w:color="auto"/>
            </w:tcBorders>
            <w:shd w:val="clear" w:color="auto" w:fill="auto"/>
            <w:noWrap/>
            <w:tcMar>
              <w:left w:w="58" w:type="dxa"/>
              <w:right w:w="58" w:type="dxa"/>
            </w:tcMar>
            <w:vAlign w:val="center"/>
            <w:hideMark/>
          </w:tcPr>
          <w:p w14:paraId="43AA289C" w14:textId="77B4246D"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4.3</w:t>
            </w:r>
          </w:p>
        </w:tc>
        <w:tc>
          <w:tcPr>
            <w:tcW w:w="720" w:type="dxa"/>
            <w:shd w:val="clear" w:color="auto" w:fill="auto"/>
            <w:noWrap/>
            <w:tcMar>
              <w:left w:w="58" w:type="dxa"/>
              <w:right w:w="58" w:type="dxa"/>
            </w:tcMar>
            <w:vAlign w:val="center"/>
            <w:hideMark/>
          </w:tcPr>
          <w:p w14:paraId="71E4AFC7" w14:textId="23C3CE42"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9.8</w:t>
            </w:r>
          </w:p>
        </w:tc>
        <w:tc>
          <w:tcPr>
            <w:tcW w:w="720" w:type="dxa"/>
            <w:shd w:val="clear" w:color="auto" w:fill="auto"/>
            <w:noWrap/>
            <w:tcMar>
              <w:left w:w="58" w:type="dxa"/>
              <w:right w:w="58" w:type="dxa"/>
            </w:tcMar>
            <w:vAlign w:val="center"/>
            <w:hideMark/>
          </w:tcPr>
          <w:p w14:paraId="6D384D97" w14:textId="2807ADD5"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17.5</w:t>
            </w:r>
          </w:p>
        </w:tc>
        <w:tc>
          <w:tcPr>
            <w:tcW w:w="720" w:type="dxa"/>
            <w:shd w:val="clear" w:color="auto" w:fill="auto"/>
            <w:noWrap/>
            <w:tcMar>
              <w:left w:w="58" w:type="dxa"/>
              <w:right w:w="58" w:type="dxa"/>
            </w:tcMar>
            <w:vAlign w:val="center"/>
            <w:hideMark/>
          </w:tcPr>
          <w:p w14:paraId="24059411" w14:textId="4976919D"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46.7</w:t>
            </w:r>
          </w:p>
        </w:tc>
        <w:tc>
          <w:tcPr>
            <w:tcW w:w="720" w:type="dxa"/>
            <w:shd w:val="clear" w:color="auto" w:fill="auto"/>
            <w:noWrap/>
            <w:tcMar>
              <w:left w:w="58" w:type="dxa"/>
              <w:right w:w="58" w:type="dxa"/>
            </w:tcMar>
            <w:vAlign w:val="center"/>
            <w:hideMark/>
          </w:tcPr>
          <w:p w14:paraId="050E0D8C" w14:textId="435FC0D5"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31.2</w:t>
            </w:r>
          </w:p>
        </w:tc>
        <w:tc>
          <w:tcPr>
            <w:tcW w:w="761" w:type="dxa"/>
            <w:tcBorders>
              <w:right w:val="single" w:sz="12" w:space="0" w:color="auto"/>
            </w:tcBorders>
            <w:shd w:val="clear" w:color="auto" w:fill="auto"/>
            <w:noWrap/>
            <w:tcMar>
              <w:left w:w="58" w:type="dxa"/>
              <w:right w:w="58" w:type="dxa"/>
            </w:tcMar>
            <w:vAlign w:val="center"/>
            <w:hideMark/>
          </w:tcPr>
          <w:p w14:paraId="072A5E46" w14:textId="764DE978"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15.7</w:t>
            </w:r>
          </w:p>
        </w:tc>
        <w:tc>
          <w:tcPr>
            <w:tcW w:w="761" w:type="dxa"/>
            <w:tcBorders>
              <w:left w:val="single" w:sz="12" w:space="0" w:color="auto"/>
            </w:tcBorders>
            <w:shd w:val="clear" w:color="auto" w:fill="auto"/>
            <w:noWrap/>
            <w:tcMar>
              <w:left w:w="58" w:type="dxa"/>
              <w:right w:w="58" w:type="dxa"/>
            </w:tcMar>
            <w:vAlign w:val="center"/>
            <w:hideMark/>
          </w:tcPr>
          <w:p w14:paraId="7F6F4F8F" w14:textId="4E0AA1FE"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4.9</w:t>
            </w:r>
          </w:p>
        </w:tc>
        <w:tc>
          <w:tcPr>
            <w:tcW w:w="720" w:type="dxa"/>
            <w:shd w:val="clear" w:color="auto" w:fill="auto"/>
            <w:noWrap/>
            <w:tcMar>
              <w:left w:w="58" w:type="dxa"/>
              <w:right w:w="58" w:type="dxa"/>
            </w:tcMar>
            <w:vAlign w:val="center"/>
            <w:hideMark/>
          </w:tcPr>
          <w:p w14:paraId="6C4C20A0" w14:textId="48034668"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11.1</w:t>
            </w:r>
          </w:p>
        </w:tc>
        <w:tc>
          <w:tcPr>
            <w:tcW w:w="720" w:type="dxa"/>
            <w:shd w:val="clear" w:color="auto" w:fill="auto"/>
            <w:noWrap/>
            <w:tcMar>
              <w:left w:w="58" w:type="dxa"/>
              <w:right w:w="58" w:type="dxa"/>
            </w:tcMar>
            <w:vAlign w:val="center"/>
            <w:hideMark/>
          </w:tcPr>
          <w:p w14:paraId="3F8C87BF" w14:textId="5DC83C32"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19.5</w:t>
            </w:r>
          </w:p>
        </w:tc>
        <w:tc>
          <w:tcPr>
            <w:tcW w:w="720" w:type="dxa"/>
            <w:shd w:val="clear" w:color="auto" w:fill="auto"/>
            <w:noWrap/>
            <w:tcMar>
              <w:left w:w="58" w:type="dxa"/>
              <w:right w:w="58" w:type="dxa"/>
            </w:tcMar>
            <w:vAlign w:val="center"/>
            <w:hideMark/>
          </w:tcPr>
          <w:p w14:paraId="0D407A57" w14:textId="35DAF44C"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44.5</w:t>
            </w:r>
          </w:p>
        </w:tc>
        <w:tc>
          <w:tcPr>
            <w:tcW w:w="720" w:type="dxa"/>
            <w:shd w:val="clear" w:color="auto" w:fill="auto"/>
            <w:noWrap/>
            <w:tcMar>
              <w:left w:w="58" w:type="dxa"/>
              <w:right w:w="58" w:type="dxa"/>
            </w:tcMar>
            <w:vAlign w:val="center"/>
            <w:hideMark/>
          </w:tcPr>
          <w:p w14:paraId="7DA207CF" w14:textId="053EBF04"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29.5</w:t>
            </w:r>
          </w:p>
        </w:tc>
        <w:tc>
          <w:tcPr>
            <w:tcW w:w="761" w:type="dxa"/>
            <w:shd w:val="clear" w:color="auto" w:fill="auto"/>
            <w:noWrap/>
            <w:tcMar>
              <w:left w:w="58" w:type="dxa"/>
              <w:right w:w="58" w:type="dxa"/>
            </w:tcMar>
            <w:vAlign w:val="center"/>
            <w:hideMark/>
          </w:tcPr>
          <w:p w14:paraId="4C1296D8" w14:textId="5AF8AA9B"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13.3</w:t>
            </w:r>
          </w:p>
        </w:tc>
      </w:tr>
      <w:tr w:rsidR="006164B2" w:rsidRPr="005D2409" w14:paraId="6CB0CAE0" w14:textId="77777777" w:rsidTr="004A258E">
        <w:trPr>
          <w:trHeight w:val="432"/>
          <w:jc w:val="center"/>
        </w:trPr>
        <w:tc>
          <w:tcPr>
            <w:tcW w:w="4125" w:type="dxa"/>
            <w:tcBorders>
              <w:top w:val="nil"/>
              <w:bottom w:val="nil"/>
              <w:right w:val="single" w:sz="12" w:space="0" w:color="auto"/>
            </w:tcBorders>
            <w:shd w:val="clear" w:color="auto" w:fill="auto"/>
            <w:noWrap/>
            <w:tcMar>
              <w:left w:w="58" w:type="dxa"/>
              <w:right w:w="58" w:type="dxa"/>
            </w:tcMar>
            <w:vAlign w:val="center"/>
            <w:hideMark/>
          </w:tcPr>
          <w:p w14:paraId="10876B37" w14:textId="67CAE2E5" w:rsidR="006164B2" w:rsidRPr="00DC4880" w:rsidRDefault="006164B2" w:rsidP="006164B2">
            <w:pPr>
              <w:spacing w:after="0" w:line="240" w:lineRule="auto"/>
              <w:rPr>
                <w:rFonts w:eastAsia="Times New Roman" w:cs="Times New Roman"/>
                <w:color w:val="000000"/>
                <w:kern w:val="0"/>
                <w:sz w:val="20"/>
                <w:szCs w:val="20"/>
                <w14:ligatures w14:val="none"/>
              </w:rPr>
            </w:pPr>
            <w:r w:rsidRPr="00DC4880">
              <w:rPr>
                <w:rFonts w:eastAsia="Times New Roman" w:cs="Times New Roman"/>
                <w:color w:val="000000"/>
                <w:kern w:val="0"/>
                <w:sz w:val="20"/>
                <w:szCs w:val="20"/>
                <w14:ligatures w14:val="none"/>
              </w:rPr>
              <w:t>Quality of schools (</w:t>
            </w:r>
            <w:r w:rsidR="003F65A3">
              <w:rPr>
                <w:rFonts w:eastAsia="Times New Roman" w:cs="Times New Roman"/>
                <w:color w:val="000000"/>
                <w:kern w:val="0"/>
                <w:sz w:val="20"/>
                <w:szCs w:val="20"/>
                <w14:ligatures w14:val="none"/>
              </w:rPr>
              <w:t>K</w:t>
            </w:r>
            <w:r w:rsidRPr="00DC4880">
              <w:rPr>
                <w:rFonts w:eastAsia="Times New Roman" w:cs="Times New Roman"/>
                <w:color w:val="000000"/>
                <w:kern w:val="0"/>
                <w:sz w:val="20"/>
                <w:szCs w:val="20"/>
                <w14:ligatures w14:val="none"/>
              </w:rPr>
              <w:t>-12)</w:t>
            </w:r>
          </w:p>
        </w:tc>
        <w:tc>
          <w:tcPr>
            <w:tcW w:w="761" w:type="dxa"/>
            <w:tcBorders>
              <w:left w:val="single" w:sz="12" w:space="0" w:color="auto"/>
            </w:tcBorders>
            <w:shd w:val="clear" w:color="auto" w:fill="auto"/>
            <w:noWrap/>
            <w:tcMar>
              <w:left w:w="58" w:type="dxa"/>
              <w:right w:w="58" w:type="dxa"/>
            </w:tcMar>
            <w:vAlign w:val="center"/>
            <w:hideMark/>
          </w:tcPr>
          <w:p w14:paraId="3628E0F1" w14:textId="2C359259"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9.0</w:t>
            </w:r>
          </w:p>
        </w:tc>
        <w:tc>
          <w:tcPr>
            <w:tcW w:w="720" w:type="dxa"/>
            <w:shd w:val="clear" w:color="auto" w:fill="auto"/>
            <w:noWrap/>
            <w:tcMar>
              <w:left w:w="58" w:type="dxa"/>
              <w:right w:w="58" w:type="dxa"/>
            </w:tcMar>
            <w:vAlign w:val="center"/>
            <w:hideMark/>
          </w:tcPr>
          <w:p w14:paraId="594A5C17" w14:textId="043AC212"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16.0</w:t>
            </w:r>
          </w:p>
        </w:tc>
        <w:tc>
          <w:tcPr>
            <w:tcW w:w="720" w:type="dxa"/>
            <w:shd w:val="clear" w:color="auto" w:fill="auto"/>
            <w:noWrap/>
            <w:tcMar>
              <w:left w:w="58" w:type="dxa"/>
              <w:right w:w="58" w:type="dxa"/>
            </w:tcMar>
            <w:vAlign w:val="center"/>
            <w:hideMark/>
          </w:tcPr>
          <w:p w14:paraId="14BBC8E8" w14:textId="2987B23D"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23.0</w:t>
            </w:r>
          </w:p>
        </w:tc>
        <w:tc>
          <w:tcPr>
            <w:tcW w:w="720" w:type="dxa"/>
            <w:shd w:val="clear" w:color="auto" w:fill="auto"/>
            <w:noWrap/>
            <w:tcMar>
              <w:left w:w="58" w:type="dxa"/>
              <w:right w:w="58" w:type="dxa"/>
            </w:tcMar>
            <w:vAlign w:val="center"/>
            <w:hideMark/>
          </w:tcPr>
          <w:p w14:paraId="03172B00" w14:textId="4D1A8087"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53.6</w:t>
            </w:r>
          </w:p>
        </w:tc>
        <w:tc>
          <w:tcPr>
            <w:tcW w:w="720" w:type="dxa"/>
            <w:shd w:val="clear" w:color="auto" w:fill="auto"/>
            <w:noWrap/>
            <w:tcMar>
              <w:left w:w="58" w:type="dxa"/>
              <w:right w:w="58" w:type="dxa"/>
            </w:tcMar>
            <w:vAlign w:val="center"/>
            <w:hideMark/>
          </w:tcPr>
          <w:p w14:paraId="2AD953C0" w14:textId="77A4E8DA"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42.2</w:t>
            </w:r>
          </w:p>
        </w:tc>
        <w:tc>
          <w:tcPr>
            <w:tcW w:w="761" w:type="dxa"/>
            <w:tcBorders>
              <w:right w:val="single" w:sz="12" w:space="0" w:color="auto"/>
            </w:tcBorders>
            <w:shd w:val="clear" w:color="auto" w:fill="auto"/>
            <w:noWrap/>
            <w:tcMar>
              <w:left w:w="58" w:type="dxa"/>
              <w:right w:w="58" w:type="dxa"/>
            </w:tcMar>
            <w:vAlign w:val="center"/>
            <w:hideMark/>
          </w:tcPr>
          <w:p w14:paraId="6E6EC1CB" w14:textId="06F4A31E"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25.2</w:t>
            </w:r>
          </w:p>
        </w:tc>
        <w:tc>
          <w:tcPr>
            <w:tcW w:w="761" w:type="dxa"/>
            <w:tcBorders>
              <w:left w:val="single" w:sz="12" w:space="0" w:color="auto"/>
            </w:tcBorders>
            <w:shd w:val="clear" w:color="auto" w:fill="auto"/>
            <w:noWrap/>
            <w:tcMar>
              <w:left w:w="58" w:type="dxa"/>
              <w:right w:w="58" w:type="dxa"/>
            </w:tcMar>
            <w:vAlign w:val="center"/>
            <w:hideMark/>
          </w:tcPr>
          <w:p w14:paraId="2A0D7FCF" w14:textId="2CF4FC44"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7.1</w:t>
            </w:r>
          </w:p>
        </w:tc>
        <w:tc>
          <w:tcPr>
            <w:tcW w:w="720" w:type="dxa"/>
            <w:shd w:val="clear" w:color="auto" w:fill="auto"/>
            <w:noWrap/>
            <w:tcMar>
              <w:left w:w="58" w:type="dxa"/>
              <w:right w:w="58" w:type="dxa"/>
            </w:tcMar>
            <w:vAlign w:val="center"/>
            <w:hideMark/>
          </w:tcPr>
          <w:p w14:paraId="62ECF3CD" w14:textId="080C9617"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12.9</w:t>
            </w:r>
          </w:p>
        </w:tc>
        <w:tc>
          <w:tcPr>
            <w:tcW w:w="720" w:type="dxa"/>
            <w:shd w:val="clear" w:color="auto" w:fill="auto"/>
            <w:noWrap/>
            <w:tcMar>
              <w:left w:w="58" w:type="dxa"/>
              <w:right w:w="58" w:type="dxa"/>
            </w:tcMar>
            <w:vAlign w:val="center"/>
            <w:hideMark/>
          </w:tcPr>
          <w:p w14:paraId="3751E3E1" w14:textId="5EC2D60C"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18.5</w:t>
            </w:r>
          </w:p>
        </w:tc>
        <w:tc>
          <w:tcPr>
            <w:tcW w:w="720" w:type="dxa"/>
            <w:shd w:val="clear" w:color="auto" w:fill="auto"/>
            <w:noWrap/>
            <w:tcMar>
              <w:left w:w="58" w:type="dxa"/>
              <w:right w:w="58" w:type="dxa"/>
            </w:tcMar>
            <w:vAlign w:val="center"/>
            <w:hideMark/>
          </w:tcPr>
          <w:p w14:paraId="5B9FF17F" w14:textId="056485CE"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61.3</w:t>
            </w:r>
          </w:p>
        </w:tc>
        <w:tc>
          <w:tcPr>
            <w:tcW w:w="720" w:type="dxa"/>
            <w:shd w:val="clear" w:color="auto" w:fill="auto"/>
            <w:noWrap/>
            <w:tcMar>
              <w:left w:w="58" w:type="dxa"/>
              <w:right w:w="58" w:type="dxa"/>
            </w:tcMar>
            <w:vAlign w:val="center"/>
            <w:hideMark/>
          </w:tcPr>
          <w:p w14:paraId="22008F46" w14:textId="20A4AF7E"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49.4</w:t>
            </w:r>
          </w:p>
        </w:tc>
        <w:tc>
          <w:tcPr>
            <w:tcW w:w="761" w:type="dxa"/>
            <w:shd w:val="clear" w:color="auto" w:fill="auto"/>
            <w:noWrap/>
            <w:tcMar>
              <w:left w:w="58" w:type="dxa"/>
              <w:right w:w="58" w:type="dxa"/>
            </w:tcMar>
            <w:vAlign w:val="center"/>
            <w:hideMark/>
          </w:tcPr>
          <w:p w14:paraId="0A8526C2" w14:textId="7024CEC7"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31.4</w:t>
            </w:r>
          </w:p>
        </w:tc>
      </w:tr>
      <w:tr w:rsidR="006164B2" w:rsidRPr="005D2409" w14:paraId="037D59D2" w14:textId="77777777" w:rsidTr="004A258E">
        <w:trPr>
          <w:trHeight w:val="432"/>
          <w:jc w:val="center"/>
        </w:trPr>
        <w:tc>
          <w:tcPr>
            <w:tcW w:w="4125" w:type="dxa"/>
            <w:tcBorders>
              <w:top w:val="nil"/>
              <w:bottom w:val="nil"/>
              <w:right w:val="single" w:sz="12" w:space="0" w:color="auto"/>
            </w:tcBorders>
            <w:shd w:val="clear" w:color="auto" w:fill="auto"/>
            <w:noWrap/>
            <w:tcMar>
              <w:left w:w="58" w:type="dxa"/>
              <w:right w:w="58" w:type="dxa"/>
            </w:tcMar>
            <w:vAlign w:val="center"/>
            <w:hideMark/>
          </w:tcPr>
          <w:p w14:paraId="146BBDE1" w14:textId="77777777" w:rsidR="006164B2" w:rsidRPr="00DC4880" w:rsidRDefault="006164B2" w:rsidP="006164B2">
            <w:pPr>
              <w:spacing w:after="0" w:line="240" w:lineRule="auto"/>
              <w:rPr>
                <w:rFonts w:eastAsia="Times New Roman" w:cs="Times New Roman"/>
                <w:color w:val="000000"/>
                <w:kern w:val="0"/>
                <w:sz w:val="20"/>
                <w:szCs w:val="20"/>
                <w14:ligatures w14:val="none"/>
              </w:rPr>
            </w:pPr>
            <w:r w:rsidRPr="00DC4880">
              <w:rPr>
                <w:rFonts w:eastAsia="Times New Roman" w:cs="Times New Roman"/>
                <w:color w:val="000000"/>
                <w:kern w:val="0"/>
                <w:sz w:val="20"/>
                <w:szCs w:val="20"/>
                <w14:ligatures w14:val="none"/>
              </w:rPr>
              <w:t>Having space and separation from others</w:t>
            </w:r>
          </w:p>
        </w:tc>
        <w:tc>
          <w:tcPr>
            <w:tcW w:w="761" w:type="dxa"/>
            <w:tcBorders>
              <w:left w:val="single" w:sz="12" w:space="0" w:color="auto"/>
            </w:tcBorders>
            <w:shd w:val="clear" w:color="auto" w:fill="auto"/>
            <w:noWrap/>
            <w:tcMar>
              <w:left w:w="58" w:type="dxa"/>
              <w:right w:w="58" w:type="dxa"/>
            </w:tcMar>
            <w:vAlign w:val="center"/>
            <w:hideMark/>
          </w:tcPr>
          <w:p w14:paraId="046016D7" w14:textId="3DB3BA75"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9.4</w:t>
            </w:r>
          </w:p>
        </w:tc>
        <w:tc>
          <w:tcPr>
            <w:tcW w:w="720" w:type="dxa"/>
            <w:shd w:val="clear" w:color="auto" w:fill="auto"/>
            <w:noWrap/>
            <w:tcMar>
              <w:left w:w="58" w:type="dxa"/>
              <w:right w:w="58" w:type="dxa"/>
            </w:tcMar>
            <w:vAlign w:val="center"/>
            <w:hideMark/>
          </w:tcPr>
          <w:p w14:paraId="7558EF1F" w14:textId="5DB4A172"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20.5</w:t>
            </w:r>
          </w:p>
        </w:tc>
        <w:tc>
          <w:tcPr>
            <w:tcW w:w="720" w:type="dxa"/>
            <w:shd w:val="clear" w:color="auto" w:fill="auto"/>
            <w:noWrap/>
            <w:tcMar>
              <w:left w:w="58" w:type="dxa"/>
              <w:right w:w="58" w:type="dxa"/>
            </w:tcMar>
            <w:vAlign w:val="center"/>
            <w:hideMark/>
          </w:tcPr>
          <w:p w14:paraId="6FDA813A" w14:textId="739B65B9"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33.4</w:t>
            </w:r>
          </w:p>
        </w:tc>
        <w:tc>
          <w:tcPr>
            <w:tcW w:w="720" w:type="dxa"/>
            <w:shd w:val="clear" w:color="auto" w:fill="auto"/>
            <w:noWrap/>
            <w:tcMar>
              <w:left w:w="58" w:type="dxa"/>
              <w:right w:w="58" w:type="dxa"/>
            </w:tcMar>
            <w:vAlign w:val="center"/>
            <w:hideMark/>
          </w:tcPr>
          <w:p w14:paraId="2C9C8FC6" w14:textId="5A537988"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28.7</w:t>
            </w:r>
          </w:p>
        </w:tc>
        <w:tc>
          <w:tcPr>
            <w:tcW w:w="720" w:type="dxa"/>
            <w:shd w:val="clear" w:color="auto" w:fill="auto"/>
            <w:noWrap/>
            <w:tcMar>
              <w:left w:w="58" w:type="dxa"/>
              <w:right w:w="58" w:type="dxa"/>
            </w:tcMar>
            <w:vAlign w:val="center"/>
            <w:hideMark/>
          </w:tcPr>
          <w:p w14:paraId="0D446298" w14:textId="3C27E040"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17.5</w:t>
            </w:r>
          </w:p>
        </w:tc>
        <w:tc>
          <w:tcPr>
            <w:tcW w:w="761" w:type="dxa"/>
            <w:tcBorders>
              <w:right w:val="single" w:sz="12" w:space="0" w:color="auto"/>
            </w:tcBorders>
            <w:shd w:val="clear" w:color="auto" w:fill="auto"/>
            <w:noWrap/>
            <w:tcMar>
              <w:left w:w="58" w:type="dxa"/>
              <w:right w:w="58" w:type="dxa"/>
            </w:tcMar>
            <w:vAlign w:val="center"/>
            <w:hideMark/>
          </w:tcPr>
          <w:p w14:paraId="13871586" w14:textId="13D443B6"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8.0</w:t>
            </w:r>
          </w:p>
        </w:tc>
        <w:tc>
          <w:tcPr>
            <w:tcW w:w="761" w:type="dxa"/>
            <w:tcBorders>
              <w:left w:val="single" w:sz="12" w:space="0" w:color="auto"/>
            </w:tcBorders>
            <w:shd w:val="clear" w:color="auto" w:fill="auto"/>
            <w:noWrap/>
            <w:tcMar>
              <w:left w:w="58" w:type="dxa"/>
              <w:right w:w="58" w:type="dxa"/>
            </w:tcMar>
            <w:vAlign w:val="center"/>
            <w:hideMark/>
          </w:tcPr>
          <w:p w14:paraId="405160EA" w14:textId="2B4E8DF0"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10.3</w:t>
            </w:r>
          </w:p>
        </w:tc>
        <w:tc>
          <w:tcPr>
            <w:tcW w:w="720" w:type="dxa"/>
            <w:shd w:val="clear" w:color="auto" w:fill="auto"/>
            <w:noWrap/>
            <w:tcMar>
              <w:left w:w="58" w:type="dxa"/>
              <w:right w:w="58" w:type="dxa"/>
            </w:tcMar>
            <w:vAlign w:val="center"/>
            <w:hideMark/>
          </w:tcPr>
          <w:p w14:paraId="0CFFC36F" w14:textId="67DB56A9"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21.7</w:t>
            </w:r>
          </w:p>
        </w:tc>
        <w:tc>
          <w:tcPr>
            <w:tcW w:w="720" w:type="dxa"/>
            <w:shd w:val="clear" w:color="auto" w:fill="auto"/>
            <w:noWrap/>
            <w:tcMar>
              <w:left w:w="58" w:type="dxa"/>
              <w:right w:w="58" w:type="dxa"/>
            </w:tcMar>
            <w:vAlign w:val="center"/>
            <w:hideMark/>
          </w:tcPr>
          <w:p w14:paraId="4AF9254F" w14:textId="4792E03E"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33.4</w:t>
            </w:r>
          </w:p>
        </w:tc>
        <w:tc>
          <w:tcPr>
            <w:tcW w:w="720" w:type="dxa"/>
            <w:shd w:val="clear" w:color="auto" w:fill="auto"/>
            <w:noWrap/>
            <w:tcMar>
              <w:left w:w="58" w:type="dxa"/>
              <w:right w:w="58" w:type="dxa"/>
            </w:tcMar>
            <w:vAlign w:val="center"/>
            <w:hideMark/>
          </w:tcPr>
          <w:p w14:paraId="53191314" w14:textId="7E2CAA13"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29.3</w:t>
            </w:r>
          </w:p>
        </w:tc>
        <w:tc>
          <w:tcPr>
            <w:tcW w:w="720" w:type="dxa"/>
            <w:shd w:val="clear" w:color="auto" w:fill="auto"/>
            <w:noWrap/>
            <w:tcMar>
              <w:left w:w="58" w:type="dxa"/>
              <w:right w:w="58" w:type="dxa"/>
            </w:tcMar>
            <w:vAlign w:val="center"/>
            <w:hideMark/>
          </w:tcPr>
          <w:p w14:paraId="03FDB5C5" w14:textId="27F00B56"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18.1</w:t>
            </w:r>
          </w:p>
        </w:tc>
        <w:tc>
          <w:tcPr>
            <w:tcW w:w="761" w:type="dxa"/>
            <w:shd w:val="clear" w:color="auto" w:fill="auto"/>
            <w:noWrap/>
            <w:tcMar>
              <w:left w:w="58" w:type="dxa"/>
              <w:right w:w="58" w:type="dxa"/>
            </w:tcMar>
            <w:vAlign w:val="center"/>
            <w:hideMark/>
          </w:tcPr>
          <w:p w14:paraId="3732EF54" w14:textId="0C8B34C3"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8.7</w:t>
            </w:r>
          </w:p>
        </w:tc>
      </w:tr>
      <w:tr w:rsidR="006164B2" w:rsidRPr="005D2409" w14:paraId="43665091" w14:textId="77777777" w:rsidTr="004A258E">
        <w:trPr>
          <w:trHeight w:val="432"/>
          <w:jc w:val="center"/>
        </w:trPr>
        <w:tc>
          <w:tcPr>
            <w:tcW w:w="4125" w:type="dxa"/>
            <w:tcBorders>
              <w:top w:val="nil"/>
              <w:bottom w:val="nil"/>
              <w:right w:val="single" w:sz="12" w:space="0" w:color="auto"/>
            </w:tcBorders>
            <w:shd w:val="clear" w:color="auto" w:fill="auto"/>
            <w:noWrap/>
            <w:tcMar>
              <w:left w:w="58" w:type="dxa"/>
              <w:right w:w="58" w:type="dxa"/>
            </w:tcMar>
            <w:vAlign w:val="center"/>
            <w:hideMark/>
          </w:tcPr>
          <w:p w14:paraId="7B54D824" w14:textId="77777777" w:rsidR="006164B2" w:rsidRPr="00DC4880" w:rsidRDefault="006164B2" w:rsidP="006164B2">
            <w:pPr>
              <w:spacing w:after="0" w:line="240" w:lineRule="auto"/>
              <w:rPr>
                <w:rFonts w:eastAsia="Times New Roman" w:cs="Times New Roman"/>
                <w:color w:val="000000"/>
                <w:kern w:val="0"/>
                <w:sz w:val="20"/>
                <w:szCs w:val="20"/>
                <w14:ligatures w14:val="none"/>
              </w:rPr>
            </w:pPr>
            <w:r w:rsidRPr="00DC4880">
              <w:rPr>
                <w:rFonts w:eastAsia="Times New Roman" w:cs="Times New Roman"/>
                <w:color w:val="000000"/>
                <w:kern w:val="0"/>
                <w:sz w:val="20"/>
                <w:szCs w:val="20"/>
                <w14:ligatures w14:val="none"/>
              </w:rPr>
              <w:t>Being close to public transit</w:t>
            </w:r>
          </w:p>
        </w:tc>
        <w:tc>
          <w:tcPr>
            <w:tcW w:w="761" w:type="dxa"/>
            <w:tcBorders>
              <w:left w:val="single" w:sz="12" w:space="0" w:color="auto"/>
            </w:tcBorders>
            <w:shd w:val="clear" w:color="auto" w:fill="auto"/>
            <w:noWrap/>
            <w:tcMar>
              <w:left w:w="58" w:type="dxa"/>
              <w:right w:w="58" w:type="dxa"/>
            </w:tcMar>
            <w:vAlign w:val="center"/>
            <w:hideMark/>
          </w:tcPr>
          <w:p w14:paraId="00F4E8D3" w14:textId="1FDD04A4"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10.2</w:t>
            </w:r>
          </w:p>
        </w:tc>
        <w:tc>
          <w:tcPr>
            <w:tcW w:w="720" w:type="dxa"/>
            <w:shd w:val="clear" w:color="auto" w:fill="auto"/>
            <w:noWrap/>
            <w:tcMar>
              <w:left w:w="58" w:type="dxa"/>
              <w:right w:w="58" w:type="dxa"/>
            </w:tcMar>
            <w:vAlign w:val="center"/>
            <w:hideMark/>
          </w:tcPr>
          <w:p w14:paraId="4E9490FC" w14:textId="2CC53814"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21.1</w:t>
            </w:r>
          </w:p>
        </w:tc>
        <w:tc>
          <w:tcPr>
            <w:tcW w:w="720" w:type="dxa"/>
            <w:shd w:val="clear" w:color="auto" w:fill="auto"/>
            <w:noWrap/>
            <w:tcMar>
              <w:left w:w="58" w:type="dxa"/>
              <w:right w:w="58" w:type="dxa"/>
            </w:tcMar>
            <w:vAlign w:val="center"/>
            <w:hideMark/>
          </w:tcPr>
          <w:p w14:paraId="348B0571" w14:textId="50E3C561"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31.8</w:t>
            </w:r>
          </w:p>
        </w:tc>
        <w:tc>
          <w:tcPr>
            <w:tcW w:w="720" w:type="dxa"/>
            <w:shd w:val="clear" w:color="auto" w:fill="auto"/>
            <w:noWrap/>
            <w:tcMar>
              <w:left w:w="58" w:type="dxa"/>
              <w:right w:w="58" w:type="dxa"/>
            </w:tcMar>
            <w:vAlign w:val="center"/>
            <w:hideMark/>
          </w:tcPr>
          <w:p w14:paraId="545C8296" w14:textId="2CE41EF4"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39.2</w:t>
            </w:r>
          </w:p>
        </w:tc>
        <w:tc>
          <w:tcPr>
            <w:tcW w:w="720" w:type="dxa"/>
            <w:shd w:val="clear" w:color="auto" w:fill="auto"/>
            <w:noWrap/>
            <w:tcMar>
              <w:left w:w="58" w:type="dxa"/>
              <w:right w:w="58" w:type="dxa"/>
            </w:tcMar>
            <w:vAlign w:val="center"/>
            <w:hideMark/>
          </w:tcPr>
          <w:p w14:paraId="7C0A99B8" w14:textId="5B7DE276"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28.1</w:t>
            </w:r>
          </w:p>
        </w:tc>
        <w:tc>
          <w:tcPr>
            <w:tcW w:w="761" w:type="dxa"/>
            <w:tcBorders>
              <w:right w:val="single" w:sz="12" w:space="0" w:color="auto"/>
            </w:tcBorders>
            <w:shd w:val="clear" w:color="auto" w:fill="auto"/>
            <w:noWrap/>
            <w:tcMar>
              <w:left w:w="58" w:type="dxa"/>
              <w:right w:w="58" w:type="dxa"/>
            </w:tcMar>
            <w:vAlign w:val="center"/>
            <w:hideMark/>
          </w:tcPr>
          <w:p w14:paraId="3DB810E5" w14:textId="6148099D"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15.4</w:t>
            </w:r>
          </w:p>
        </w:tc>
        <w:tc>
          <w:tcPr>
            <w:tcW w:w="761" w:type="dxa"/>
            <w:tcBorders>
              <w:left w:val="single" w:sz="12" w:space="0" w:color="auto"/>
            </w:tcBorders>
            <w:shd w:val="clear" w:color="auto" w:fill="auto"/>
            <w:noWrap/>
            <w:tcMar>
              <w:left w:w="58" w:type="dxa"/>
              <w:right w:w="58" w:type="dxa"/>
            </w:tcMar>
            <w:vAlign w:val="center"/>
            <w:hideMark/>
          </w:tcPr>
          <w:p w14:paraId="596CEE24" w14:textId="27A233FA"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9.1</w:t>
            </w:r>
          </w:p>
        </w:tc>
        <w:tc>
          <w:tcPr>
            <w:tcW w:w="720" w:type="dxa"/>
            <w:shd w:val="clear" w:color="auto" w:fill="auto"/>
            <w:noWrap/>
            <w:tcMar>
              <w:left w:w="58" w:type="dxa"/>
              <w:right w:w="58" w:type="dxa"/>
            </w:tcMar>
            <w:vAlign w:val="center"/>
            <w:hideMark/>
          </w:tcPr>
          <w:p w14:paraId="42F8C9D3" w14:textId="5B8E2B43"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18.4</w:t>
            </w:r>
          </w:p>
        </w:tc>
        <w:tc>
          <w:tcPr>
            <w:tcW w:w="720" w:type="dxa"/>
            <w:shd w:val="clear" w:color="auto" w:fill="auto"/>
            <w:noWrap/>
            <w:tcMar>
              <w:left w:w="58" w:type="dxa"/>
              <w:right w:w="58" w:type="dxa"/>
            </w:tcMar>
            <w:vAlign w:val="center"/>
            <w:hideMark/>
          </w:tcPr>
          <w:p w14:paraId="5D6368F6" w14:textId="44D7D62D"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28.5</w:t>
            </w:r>
          </w:p>
        </w:tc>
        <w:tc>
          <w:tcPr>
            <w:tcW w:w="720" w:type="dxa"/>
            <w:shd w:val="clear" w:color="auto" w:fill="auto"/>
            <w:noWrap/>
            <w:tcMar>
              <w:left w:w="58" w:type="dxa"/>
              <w:right w:w="58" w:type="dxa"/>
            </w:tcMar>
            <w:vAlign w:val="center"/>
            <w:hideMark/>
          </w:tcPr>
          <w:p w14:paraId="49BE7FE1" w14:textId="6BEC2D73"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40.2</w:t>
            </w:r>
          </w:p>
        </w:tc>
        <w:tc>
          <w:tcPr>
            <w:tcW w:w="720" w:type="dxa"/>
            <w:shd w:val="clear" w:color="auto" w:fill="auto"/>
            <w:noWrap/>
            <w:tcMar>
              <w:left w:w="58" w:type="dxa"/>
              <w:right w:w="58" w:type="dxa"/>
            </w:tcMar>
            <w:vAlign w:val="center"/>
            <w:hideMark/>
          </w:tcPr>
          <w:p w14:paraId="2C3CC4C3" w14:textId="1CA4096F"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28.7</w:t>
            </w:r>
          </w:p>
        </w:tc>
        <w:tc>
          <w:tcPr>
            <w:tcW w:w="761" w:type="dxa"/>
            <w:shd w:val="clear" w:color="auto" w:fill="auto"/>
            <w:noWrap/>
            <w:tcMar>
              <w:left w:w="58" w:type="dxa"/>
              <w:right w:w="58" w:type="dxa"/>
            </w:tcMar>
            <w:vAlign w:val="center"/>
            <w:hideMark/>
          </w:tcPr>
          <w:p w14:paraId="32554781" w14:textId="22D5231D"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14.4</w:t>
            </w:r>
          </w:p>
        </w:tc>
      </w:tr>
      <w:tr w:rsidR="006164B2" w:rsidRPr="005D2409" w14:paraId="43162B7E" w14:textId="77777777" w:rsidTr="004A258E">
        <w:trPr>
          <w:trHeight w:val="432"/>
          <w:jc w:val="center"/>
        </w:trPr>
        <w:tc>
          <w:tcPr>
            <w:tcW w:w="4125" w:type="dxa"/>
            <w:tcBorders>
              <w:top w:val="nil"/>
              <w:bottom w:val="nil"/>
              <w:right w:val="single" w:sz="12" w:space="0" w:color="auto"/>
            </w:tcBorders>
            <w:shd w:val="clear" w:color="auto" w:fill="auto"/>
            <w:noWrap/>
            <w:tcMar>
              <w:left w:w="58" w:type="dxa"/>
              <w:right w:w="58" w:type="dxa"/>
            </w:tcMar>
            <w:vAlign w:val="center"/>
            <w:hideMark/>
          </w:tcPr>
          <w:p w14:paraId="2ED00E4A" w14:textId="77777777" w:rsidR="006164B2" w:rsidRPr="00DC4880" w:rsidRDefault="006164B2" w:rsidP="006164B2">
            <w:pPr>
              <w:spacing w:after="0" w:line="240" w:lineRule="auto"/>
              <w:rPr>
                <w:rFonts w:eastAsia="Times New Roman" w:cs="Times New Roman"/>
                <w:color w:val="000000"/>
                <w:kern w:val="0"/>
                <w:sz w:val="20"/>
                <w:szCs w:val="20"/>
                <w14:ligatures w14:val="none"/>
              </w:rPr>
            </w:pPr>
            <w:r w:rsidRPr="00DC4880">
              <w:rPr>
                <w:rFonts w:eastAsia="Times New Roman" w:cs="Times New Roman"/>
                <w:color w:val="000000"/>
                <w:kern w:val="0"/>
                <w:sz w:val="20"/>
                <w:szCs w:val="20"/>
                <w14:ligatures w14:val="none"/>
              </w:rPr>
              <w:t>Having a walkable neighborhood and being near local activities</w:t>
            </w:r>
          </w:p>
        </w:tc>
        <w:tc>
          <w:tcPr>
            <w:tcW w:w="761" w:type="dxa"/>
            <w:tcBorders>
              <w:left w:val="single" w:sz="12" w:space="0" w:color="auto"/>
            </w:tcBorders>
            <w:shd w:val="clear" w:color="auto" w:fill="auto"/>
            <w:noWrap/>
            <w:tcMar>
              <w:left w:w="58" w:type="dxa"/>
              <w:right w:w="58" w:type="dxa"/>
            </w:tcMar>
            <w:vAlign w:val="center"/>
            <w:hideMark/>
          </w:tcPr>
          <w:p w14:paraId="7EC0FF3A" w14:textId="4CBF9306"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12.1</w:t>
            </w:r>
          </w:p>
        </w:tc>
        <w:tc>
          <w:tcPr>
            <w:tcW w:w="720" w:type="dxa"/>
            <w:shd w:val="clear" w:color="auto" w:fill="auto"/>
            <w:noWrap/>
            <w:tcMar>
              <w:left w:w="58" w:type="dxa"/>
              <w:right w:w="58" w:type="dxa"/>
            </w:tcMar>
            <w:vAlign w:val="center"/>
            <w:hideMark/>
          </w:tcPr>
          <w:p w14:paraId="4D0C45D0" w14:textId="595B1287"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25.4</w:t>
            </w:r>
          </w:p>
        </w:tc>
        <w:tc>
          <w:tcPr>
            <w:tcW w:w="720" w:type="dxa"/>
            <w:shd w:val="clear" w:color="auto" w:fill="auto"/>
            <w:noWrap/>
            <w:tcMar>
              <w:left w:w="58" w:type="dxa"/>
              <w:right w:w="58" w:type="dxa"/>
            </w:tcMar>
            <w:vAlign w:val="center"/>
            <w:hideMark/>
          </w:tcPr>
          <w:p w14:paraId="6ADF0C36" w14:textId="3617E62F"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40.7</w:t>
            </w:r>
          </w:p>
        </w:tc>
        <w:tc>
          <w:tcPr>
            <w:tcW w:w="720" w:type="dxa"/>
            <w:shd w:val="clear" w:color="auto" w:fill="auto"/>
            <w:noWrap/>
            <w:tcMar>
              <w:left w:w="58" w:type="dxa"/>
              <w:right w:w="58" w:type="dxa"/>
            </w:tcMar>
            <w:vAlign w:val="center"/>
            <w:hideMark/>
          </w:tcPr>
          <w:p w14:paraId="09E450AF" w14:textId="19B430A3"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20.2</w:t>
            </w:r>
          </w:p>
        </w:tc>
        <w:tc>
          <w:tcPr>
            <w:tcW w:w="720" w:type="dxa"/>
            <w:shd w:val="clear" w:color="auto" w:fill="auto"/>
            <w:noWrap/>
            <w:tcMar>
              <w:left w:w="58" w:type="dxa"/>
              <w:right w:w="58" w:type="dxa"/>
            </w:tcMar>
            <w:vAlign w:val="center"/>
            <w:hideMark/>
          </w:tcPr>
          <w:p w14:paraId="16F7EDC4" w14:textId="7F7331CC"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11.2</w:t>
            </w:r>
          </w:p>
        </w:tc>
        <w:tc>
          <w:tcPr>
            <w:tcW w:w="761" w:type="dxa"/>
            <w:tcBorders>
              <w:right w:val="single" w:sz="12" w:space="0" w:color="auto"/>
            </w:tcBorders>
            <w:shd w:val="clear" w:color="auto" w:fill="auto"/>
            <w:noWrap/>
            <w:tcMar>
              <w:left w:w="58" w:type="dxa"/>
              <w:right w:w="58" w:type="dxa"/>
            </w:tcMar>
            <w:vAlign w:val="center"/>
            <w:hideMark/>
          </w:tcPr>
          <w:p w14:paraId="406947C7" w14:textId="1E1787B9"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4.4</w:t>
            </w:r>
          </w:p>
        </w:tc>
        <w:tc>
          <w:tcPr>
            <w:tcW w:w="761" w:type="dxa"/>
            <w:tcBorders>
              <w:left w:val="single" w:sz="12" w:space="0" w:color="auto"/>
            </w:tcBorders>
            <w:shd w:val="clear" w:color="auto" w:fill="auto"/>
            <w:noWrap/>
            <w:tcMar>
              <w:left w:w="58" w:type="dxa"/>
              <w:right w:w="58" w:type="dxa"/>
            </w:tcMar>
            <w:vAlign w:val="center"/>
            <w:hideMark/>
          </w:tcPr>
          <w:p w14:paraId="21F37363" w14:textId="358E7D5F"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12.0</w:t>
            </w:r>
          </w:p>
        </w:tc>
        <w:tc>
          <w:tcPr>
            <w:tcW w:w="720" w:type="dxa"/>
            <w:shd w:val="clear" w:color="auto" w:fill="auto"/>
            <w:noWrap/>
            <w:tcMar>
              <w:left w:w="58" w:type="dxa"/>
              <w:right w:w="58" w:type="dxa"/>
            </w:tcMar>
            <w:vAlign w:val="center"/>
            <w:hideMark/>
          </w:tcPr>
          <w:p w14:paraId="139E6B7E" w14:textId="7A96AA51"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26.7</w:t>
            </w:r>
          </w:p>
        </w:tc>
        <w:tc>
          <w:tcPr>
            <w:tcW w:w="720" w:type="dxa"/>
            <w:shd w:val="clear" w:color="auto" w:fill="auto"/>
            <w:noWrap/>
            <w:tcMar>
              <w:left w:w="58" w:type="dxa"/>
              <w:right w:w="58" w:type="dxa"/>
            </w:tcMar>
            <w:vAlign w:val="center"/>
            <w:hideMark/>
          </w:tcPr>
          <w:p w14:paraId="3F8E8209" w14:textId="7C9D0D64"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42.9</w:t>
            </w:r>
          </w:p>
        </w:tc>
        <w:tc>
          <w:tcPr>
            <w:tcW w:w="720" w:type="dxa"/>
            <w:shd w:val="clear" w:color="auto" w:fill="auto"/>
            <w:noWrap/>
            <w:tcMar>
              <w:left w:w="58" w:type="dxa"/>
              <w:right w:w="58" w:type="dxa"/>
            </w:tcMar>
            <w:vAlign w:val="center"/>
            <w:hideMark/>
          </w:tcPr>
          <w:p w14:paraId="591F7520" w14:textId="19B2D313"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18.1</w:t>
            </w:r>
          </w:p>
        </w:tc>
        <w:tc>
          <w:tcPr>
            <w:tcW w:w="720" w:type="dxa"/>
            <w:shd w:val="clear" w:color="auto" w:fill="auto"/>
            <w:noWrap/>
            <w:tcMar>
              <w:left w:w="58" w:type="dxa"/>
              <w:right w:w="58" w:type="dxa"/>
            </w:tcMar>
            <w:vAlign w:val="center"/>
            <w:hideMark/>
          </w:tcPr>
          <w:p w14:paraId="26DD2F02" w14:textId="61D41E16"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10.0</w:t>
            </w:r>
          </w:p>
        </w:tc>
        <w:tc>
          <w:tcPr>
            <w:tcW w:w="761" w:type="dxa"/>
            <w:shd w:val="clear" w:color="auto" w:fill="auto"/>
            <w:noWrap/>
            <w:tcMar>
              <w:left w:w="58" w:type="dxa"/>
              <w:right w:w="58" w:type="dxa"/>
            </w:tcMar>
            <w:vAlign w:val="center"/>
            <w:hideMark/>
          </w:tcPr>
          <w:p w14:paraId="0E61262A" w14:textId="2292AC89"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4.1</w:t>
            </w:r>
          </w:p>
        </w:tc>
      </w:tr>
      <w:tr w:rsidR="006164B2" w:rsidRPr="005D2409" w14:paraId="4B3E6F16" w14:textId="77777777" w:rsidTr="004A258E">
        <w:trPr>
          <w:trHeight w:val="432"/>
          <w:jc w:val="center"/>
        </w:trPr>
        <w:tc>
          <w:tcPr>
            <w:tcW w:w="4125" w:type="dxa"/>
            <w:tcBorders>
              <w:top w:val="nil"/>
              <w:bottom w:val="single" w:sz="12" w:space="0" w:color="auto"/>
              <w:right w:val="single" w:sz="12" w:space="0" w:color="auto"/>
            </w:tcBorders>
            <w:shd w:val="clear" w:color="auto" w:fill="auto"/>
            <w:noWrap/>
            <w:tcMar>
              <w:left w:w="58" w:type="dxa"/>
              <w:right w:w="58" w:type="dxa"/>
            </w:tcMar>
            <w:vAlign w:val="center"/>
            <w:hideMark/>
          </w:tcPr>
          <w:p w14:paraId="1E9CAB0B" w14:textId="77777777" w:rsidR="006164B2" w:rsidRPr="00DC4880" w:rsidRDefault="006164B2" w:rsidP="006164B2">
            <w:pPr>
              <w:spacing w:after="0" w:line="240" w:lineRule="auto"/>
              <w:rPr>
                <w:rFonts w:eastAsia="Times New Roman" w:cs="Times New Roman"/>
                <w:color w:val="000000"/>
                <w:kern w:val="0"/>
                <w:sz w:val="20"/>
                <w:szCs w:val="20"/>
                <w14:ligatures w14:val="none"/>
              </w:rPr>
            </w:pPr>
            <w:r w:rsidRPr="00DC4880">
              <w:rPr>
                <w:rFonts w:eastAsia="Times New Roman" w:cs="Times New Roman"/>
                <w:color w:val="000000"/>
                <w:kern w:val="0"/>
                <w:sz w:val="20"/>
                <w:szCs w:val="20"/>
                <w14:ligatures w14:val="none"/>
              </w:rPr>
              <w:t>Being within a reasonably short commute to work</w:t>
            </w:r>
          </w:p>
        </w:tc>
        <w:tc>
          <w:tcPr>
            <w:tcW w:w="761" w:type="dxa"/>
            <w:tcBorders>
              <w:left w:val="single" w:sz="12" w:space="0" w:color="auto"/>
            </w:tcBorders>
            <w:shd w:val="clear" w:color="auto" w:fill="auto"/>
            <w:noWrap/>
            <w:tcMar>
              <w:left w:w="58" w:type="dxa"/>
              <w:right w:w="58" w:type="dxa"/>
            </w:tcMar>
            <w:vAlign w:val="center"/>
            <w:hideMark/>
          </w:tcPr>
          <w:p w14:paraId="7B5A7EEA" w14:textId="279F7718"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13.0</w:t>
            </w:r>
          </w:p>
        </w:tc>
        <w:tc>
          <w:tcPr>
            <w:tcW w:w="720" w:type="dxa"/>
            <w:shd w:val="clear" w:color="auto" w:fill="auto"/>
            <w:noWrap/>
            <w:tcMar>
              <w:left w:w="58" w:type="dxa"/>
              <w:right w:w="58" w:type="dxa"/>
            </w:tcMar>
            <w:vAlign w:val="center"/>
            <w:hideMark/>
          </w:tcPr>
          <w:p w14:paraId="59C3C081" w14:textId="7EE3B1F7"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28.6</w:t>
            </w:r>
          </w:p>
        </w:tc>
        <w:tc>
          <w:tcPr>
            <w:tcW w:w="720" w:type="dxa"/>
            <w:shd w:val="clear" w:color="auto" w:fill="auto"/>
            <w:noWrap/>
            <w:tcMar>
              <w:left w:w="58" w:type="dxa"/>
              <w:right w:w="58" w:type="dxa"/>
            </w:tcMar>
            <w:vAlign w:val="center"/>
            <w:hideMark/>
          </w:tcPr>
          <w:p w14:paraId="45BD0B7A" w14:textId="327FEFBA"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42.4</w:t>
            </w:r>
          </w:p>
        </w:tc>
        <w:tc>
          <w:tcPr>
            <w:tcW w:w="720" w:type="dxa"/>
            <w:shd w:val="clear" w:color="auto" w:fill="auto"/>
            <w:noWrap/>
            <w:tcMar>
              <w:left w:w="58" w:type="dxa"/>
              <w:right w:w="58" w:type="dxa"/>
            </w:tcMar>
            <w:vAlign w:val="center"/>
            <w:hideMark/>
          </w:tcPr>
          <w:p w14:paraId="006E0F68" w14:textId="6E26E501"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23.6</w:t>
            </w:r>
          </w:p>
        </w:tc>
        <w:tc>
          <w:tcPr>
            <w:tcW w:w="720" w:type="dxa"/>
            <w:shd w:val="clear" w:color="auto" w:fill="auto"/>
            <w:noWrap/>
            <w:tcMar>
              <w:left w:w="58" w:type="dxa"/>
              <w:right w:w="58" w:type="dxa"/>
            </w:tcMar>
            <w:vAlign w:val="center"/>
            <w:hideMark/>
          </w:tcPr>
          <w:p w14:paraId="1951B238" w14:textId="6E484887"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14.1</w:t>
            </w:r>
          </w:p>
        </w:tc>
        <w:tc>
          <w:tcPr>
            <w:tcW w:w="761" w:type="dxa"/>
            <w:tcBorders>
              <w:right w:val="single" w:sz="12" w:space="0" w:color="auto"/>
            </w:tcBorders>
            <w:shd w:val="clear" w:color="auto" w:fill="auto"/>
            <w:noWrap/>
            <w:tcMar>
              <w:left w:w="58" w:type="dxa"/>
              <w:right w:w="58" w:type="dxa"/>
            </w:tcMar>
            <w:vAlign w:val="center"/>
            <w:hideMark/>
          </w:tcPr>
          <w:p w14:paraId="6E2ED2FA" w14:textId="0EED6F91"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6.1</w:t>
            </w:r>
          </w:p>
        </w:tc>
        <w:tc>
          <w:tcPr>
            <w:tcW w:w="761" w:type="dxa"/>
            <w:tcBorders>
              <w:left w:val="single" w:sz="12" w:space="0" w:color="auto"/>
              <w:bottom w:val="single" w:sz="12" w:space="0" w:color="auto"/>
            </w:tcBorders>
            <w:shd w:val="clear" w:color="auto" w:fill="auto"/>
            <w:noWrap/>
            <w:tcMar>
              <w:left w:w="58" w:type="dxa"/>
              <w:right w:w="58" w:type="dxa"/>
            </w:tcMar>
            <w:vAlign w:val="center"/>
            <w:hideMark/>
          </w:tcPr>
          <w:p w14:paraId="1560B4DA" w14:textId="6A304558"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13.6</w:t>
            </w:r>
          </w:p>
        </w:tc>
        <w:tc>
          <w:tcPr>
            <w:tcW w:w="720" w:type="dxa"/>
            <w:tcBorders>
              <w:bottom w:val="single" w:sz="12" w:space="0" w:color="auto"/>
            </w:tcBorders>
            <w:shd w:val="clear" w:color="auto" w:fill="auto"/>
            <w:noWrap/>
            <w:tcMar>
              <w:left w:w="58" w:type="dxa"/>
              <w:right w:w="58" w:type="dxa"/>
            </w:tcMar>
            <w:vAlign w:val="center"/>
            <w:hideMark/>
          </w:tcPr>
          <w:p w14:paraId="3A06B9FB" w14:textId="4FC29DE1"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28.5</w:t>
            </w:r>
          </w:p>
        </w:tc>
        <w:tc>
          <w:tcPr>
            <w:tcW w:w="720" w:type="dxa"/>
            <w:tcBorders>
              <w:bottom w:val="single" w:sz="12" w:space="0" w:color="auto"/>
            </w:tcBorders>
            <w:shd w:val="clear" w:color="auto" w:fill="auto"/>
            <w:noWrap/>
            <w:tcMar>
              <w:left w:w="58" w:type="dxa"/>
              <w:right w:w="58" w:type="dxa"/>
            </w:tcMar>
            <w:vAlign w:val="center"/>
            <w:hideMark/>
          </w:tcPr>
          <w:p w14:paraId="2F19A129" w14:textId="54781AE1"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43.0</w:t>
            </w:r>
          </w:p>
        </w:tc>
        <w:tc>
          <w:tcPr>
            <w:tcW w:w="720" w:type="dxa"/>
            <w:tcBorders>
              <w:bottom w:val="single" w:sz="12" w:space="0" w:color="auto"/>
            </w:tcBorders>
            <w:shd w:val="clear" w:color="auto" w:fill="auto"/>
            <w:noWrap/>
            <w:tcMar>
              <w:left w:w="58" w:type="dxa"/>
              <w:right w:w="58" w:type="dxa"/>
            </w:tcMar>
            <w:vAlign w:val="center"/>
            <w:hideMark/>
          </w:tcPr>
          <w:p w14:paraId="0548669C" w14:textId="471AE18F"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23.5</w:t>
            </w:r>
          </w:p>
        </w:tc>
        <w:tc>
          <w:tcPr>
            <w:tcW w:w="720" w:type="dxa"/>
            <w:tcBorders>
              <w:bottom w:val="single" w:sz="12" w:space="0" w:color="auto"/>
            </w:tcBorders>
            <w:shd w:val="clear" w:color="auto" w:fill="auto"/>
            <w:noWrap/>
            <w:tcMar>
              <w:left w:w="58" w:type="dxa"/>
              <w:right w:w="58" w:type="dxa"/>
            </w:tcMar>
            <w:vAlign w:val="center"/>
            <w:hideMark/>
          </w:tcPr>
          <w:p w14:paraId="45951170" w14:textId="19ADFC0E"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14.5</w:t>
            </w:r>
          </w:p>
        </w:tc>
        <w:tc>
          <w:tcPr>
            <w:tcW w:w="761" w:type="dxa"/>
            <w:tcBorders>
              <w:bottom w:val="single" w:sz="12" w:space="0" w:color="auto"/>
            </w:tcBorders>
            <w:shd w:val="clear" w:color="auto" w:fill="auto"/>
            <w:noWrap/>
            <w:tcMar>
              <w:left w:w="58" w:type="dxa"/>
              <w:right w:w="58" w:type="dxa"/>
            </w:tcMar>
            <w:vAlign w:val="center"/>
            <w:hideMark/>
          </w:tcPr>
          <w:p w14:paraId="02CADA52" w14:textId="457F3ACF" w:rsidR="006164B2" w:rsidRPr="006164B2" w:rsidRDefault="006164B2" w:rsidP="00F81CC8">
            <w:pPr>
              <w:tabs>
                <w:tab w:val="decimal" w:pos="247"/>
              </w:tabs>
              <w:spacing w:after="0" w:line="240" w:lineRule="auto"/>
              <w:jc w:val="center"/>
              <w:rPr>
                <w:rFonts w:eastAsia="Times New Roman" w:cs="Times New Roman"/>
                <w:color w:val="000000"/>
                <w:kern w:val="0"/>
                <w:sz w:val="20"/>
                <w:szCs w:val="20"/>
                <w14:ligatures w14:val="none"/>
              </w:rPr>
            </w:pPr>
            <w:r w:rsidRPr="006164B2">
              <w:rPr>
                <w:rFonts w:cs="Times New Roman"/>
                <w:color w:val="000000"/>
                <w:sz w:val="20"/>
                <w:szCs w:val="20"/>
              </w:rPr>
              <w:t>6.8</w:t>
            </w:r>
          </w:p>
        </w:tc>
      </w:tr>
      <w:bookmarkEnd w:id="5"/>
    </w:tbl>
    <w:p w14:paraId="1C1DCEE2" w14:textId="77777777" w:rsidR="002A5537" w:rsidRDefault="002A5537" w:rsidP="00727863">
      <w:pPr>
        <w:spacing w:after="0" w:line="240" w:lineRule="auto"/>
        <w:jc w:val="both"/>
        <w:rPr>
          <w:rFonts w:cs="Times New Roman"/>
          <w:b/>
          <w:bCs/>
        </w:rPr>
      </w:pPr>
    </w:p>
    <w:p w14:paraId="63403129" w14:textId="77777777" w:rsidR="00C61B5A" w:rsidRPr="006807BB" w:rsidRDefault="00C61B5A" w:rsidP="00727863">
      <w:pPr>
        <w:spacing w:after="0" w:line="240" w:lineRule="auto"/>
        <w:jc w:val="both"/>
        <w:rPr>
          <w:rFonts w:cs="Times New Roman"/>
          <w:b/>
          <w:bCs/>
        </w:rPr>
        <w:sectPr w:rsidR="00C61B5A" w:rsidRPr="006807BB" w:rsidSect="00956D9D">
          <w:pgSz w:w="15840" w:h="12240" w:orient="landscape"/>
          <w:pgMar w:top="1440" w:right="1440" w:bottom="1440" w:left="1440" w:header="720" w:footer="720" w:gutter="0"/>
          <w:cols w:space="720"/>
          <w:docGrid w:linePitch="360"/>
        </w:sectPr>
      </w:pPr>
    </w:p>
    <w:p w14:paraId="6D020045" w14:textId="0754A747" w:rsidR="000132A8" w:rsidRDefault="00622A69" w:rsidP="00727863">
      <w:pPr>
        <w:spacing w:after="0" w:line="240" w:lineRule="auto"/>
        <w:jc w:val="both"/>
        <w:rPr>
          <w:rFonts w:cs="Times New Roman"/>
          <w:b/>
          <w:bCs/>
        </w:rPr>
      </w:pPr>
      <w:r w:rsidRPr="006807BB">
        <w:rPr>
          <w:rFonts w:cs="Times New Roman"/>
          <w:b/>
          <w:bCs/>
        </w:rPr>
        <w:lastRenderedPageBreak/>
        <w:t>Table 2: Descriptive Statistics of Exogenous Variables</w:t>
      </w:r>
    </w:p>
    <w:p w14:paraId="7B4C7CD2" w14:textId="77777777" w:rsidR="00A31A91" w:rsidRDefault="00A31A91" w:rsidP="00092A50">
      <w:pPr>
        <w:spacing w:after="0" w:line="240" w:lineRule="auto"/>
        <w:jc w:val="both"/>
        <w:rPr>
          <w:rFonts w:cs="Times New Roman"/>
          <w:b/>
          <w:bCs/>
        </w:rPr>
      </w:pPr>
    </w:p>
    <w:tbl>
      <w:tblPr>
        <w:tblW w:w="8190" w:type="dxa"/>
        <w:tblInd w:w="-15" w:type="dxa"/>
        <w:tblCellMar>
          <w:right w:w="216" w:type="dxa"/>
        </w:tblCellMar>
        <w:tblLook w:val="04A0" w:firstRow="1" w:lastRow="0" w:firstColumn="1" w:lastColumn="0" w:noHBand="0" w:noVBand="1"/>
      </w:tblPr>
      <w:tblGrid>
        <w:gridCol w:w="3675"/>
        <w:gridCol w:w="1545"/>
        <w:gridCol w:w="1620"/>
        <w:gridCol w:w="1350"/>
      </w:tblGrid>
      <w:tr w:rsidR="00AA6EAC" w:rsidRPr="008E6DCC" w14:paraId="36FA614A" w14:textId="77777777" w:rsidTr="00102B23">
        <w:trPr>
          <w:trHeight w:val="576"/>
        </w:trPr>
        <w:tc>
          <w:tcPr>
            <w:tcW w:w="3675" w:type="dxa"/>
            <w:tcBorders>
              <w:top w:val="single" w:sz="12" w:space="0" w:color="auto"/>
              <w:left w:val="single" w:sz="12" w:space="0" w:color="auto"/>
              <w:bottom w:val="single" w:sz="12" w:space="0" w:color="auto"/>
              <w:right w:val="nil"/>
            </w:tcBorders>
            <w:shd w:val="clear" w:color="000000" w:fill="FFFFFF"/>
            <w:vAlign w:val="center"/>
            <w:hideMark/>
          </w:tcPr>
          <w:p w14:paraId="42D2E1CC" w14:textId="77777777" w:rsidR="00AA6EAC" w:rsidRPr="008E6DCC" w:rsidRDefault="00AA6EAC" w:rsidP="0030543A">
            <w:pPr>
              <w:spacing w:after="0" w:line="240" w:lineRule="auto"/>
              <w:rPr>
                <w:rFonts w:eastAsia="Times New Roman" w:cs="Times New Roman"/>
                <w:color w:val="000000"/>
                <w:kern w:val="0"/>
                <w:sz w:val="20"/>
                <w:szCs w:val="20"/>
                <w14:ligatures w14:val="none"/>
              </w:rPr>
            </w:pPr>
            <w:r w:rsidRPr="008E6DCC">
              <w:rPr>
                <w:rFonts w:eastAsia="Times New Roman" w:cs="Times New Roman"/>
                <w:color w:val="000000"/>
                <w:kern w:val="0"/>
                <w:sz w:val="20"/>
                <w:szCs w:val="20"/>
                <w14:ligatures w14:val="none"/>
              </w:rPr>
              <w:t>Variable</w:t>
            </w:r>
          </w:p>
        </w:tc>
        <w:tc>
          <w:tcPr>
            <w:tcW w:w="1545" w:type="dxa"/>
            <w:tcBorders>
              <w:top w:val="single" w:sz="12" w:space="0" w:color="auto"/>
              <w:left w:val="nil"/>
              <w:bottom w:val="single" w:sz="12" w:space="0" w:color="auto"/>
              <w:right w:val="nil"/>
            </w:tcBorders>
            <w:shd w:val="clear" w:color="000000" w:fill="FFFFFF"/>
            <w:vAlign w:val="center"/>
            <w:hideMark/>
          </w:tcPr>
          <w:p w14:paraId="2F2D2355" w14:textId="77777777" w:rsidR="00AA6EAC" w:rsidRPr="008E6DCC" w:rsidRDefault="00AA6EAC" w:rsidP="004A258E">
            <w:pPr>
              <w:spacing w:after="0" w:line="240" w:lineRule="auto"/>
              <w:jc w:val="right"/>
              <w:rPr>
                <w:rFonts w:eastAsia="Times New Roman" w:cs="Times New Roman"/>
                <w:color w:val="000000"/>
                <w:kern w:val="0"/>
                <w:sz w:val="20"/>
                <w:szCs w:val="20"/>
                <w14:ligatures w14:val="none"/>
              </w:rPr>
            </w:pPr>
            <w:r w:rsidRPr="008E6DCC">
              <w:rPr>
                <w:rFonts w:eastAsia="Times New Roman" w:cs="Times New Roman"/>
                <w:color w:val="000000"/>
                <w:kern w:val="0"/>
                <w:sz w:val="20"/>
                <w:szCs w:val="20"/>
                <w14:ligatures w14:val="none"/>
              </w:rPr>
              <w:t>Number</w:t>
            </w:r>
          </w:p>
        </w:tc>
        <w:tc>
          <w:tcPr>
            <w:tcW w:w="1620" w:type="dxa"/>
            <w:tcBorders>
              <w:top w:val="single" w:sz="12" w:space="0" w:color="auto"/>
              <w:left w:val="nil"/>
              <w:bottom w:val="single" w:sz="12" w:space="0" w:color="auto"/>
              <w:right w:val="nil"/>
            </w:tcBorders>
            <w:shd w:val="clear" w:color="000000" w:fill="FFFFFF"/>
            <w:vAlign w:val="center"/>
            <w:hideMark/>
          </w:tcPr>
          <w:p w14:paraId="71B12DA5" w14:textId="77777777" w:rsidR="00AA6EAC" w:rsidRPr="008E6DCC" w:rsidRDefault="00AA6EAC" w:rsidP="0030543A">
            <w:pPr>
              <w:spacing w:after="0" w:line="240" w:lineRule="auto"/>
              <w:jc w:val="center"/>
              <w:rPr>
                <w:rFonts w:eastAsia="Times New Roman" w:cs="Times New Roman"/>
                <w:color w:val="000000"/>
                <w:kern w:val="0"/>
                <w:sz w:val="20"/>
                <w:szCs w:val="20"/>
                <w14:ligatures w14:val="none"/>
              </w:rPr>
            </w:pPr>
            <w:r w:rsidRPr="008E6DCC">
              <w:rPr>
                <w:rFonts w:eastAsia="Times New Roman" w:cs="Times New Roman"/>
                <w:color w:val="000000"/>
                <w:kern w:val="0"/>
                <w:sz w:val="20"/>
                <w:szCs w:val="20"/>
                <w14:ligatures w14:val="none"/>
              </w:rPr>
              <w:t>Percent</w:t>
            </w:r>
            <w:r>
              <w:rPr>
                <w:rFonts w:eastAsia="Times New Roman" w:cs="Times New Roman"/>
                <w:color w:val="000000"/>
                <w:kern w:val="0"/>
                <w:sz w:val="20"/>
                <w:szCs w:val="20"/>
                <w14:ligatures w14:val="none"/>
              </w:rPr>
              <w:t xml:space="preserve"> in Sample</w:t>
            </w:r>
          </w:p>
        </w:tc>
        <w:tc>
          <w:tcPr>
            <w:tcW w:w="1350" w:type="dxa"/>
            <w:tcBorders>
              <w:top w:val="single" w:sz="12" w:space="0" w:color="auto"/>
              <w:left w:val="nil"/>
              <w:bottom w:val="single" w:sz="12" w:space="0" w:color="auto"/>
              <w:right w:val="single" w:sz="12" w:space="0" w:color="auto"/>
            </w:tcBorders>
            <w:shd w:val="clear" w:color="000000" w:fill="FFFFFF"/>
            <w:vAlign w:val="center"/>
          </w:tcPr>
          <w:p w14:paraId="353114DE" w14:textId="77777777" w:rsidR="00AA6EAC" w:rsidRPr="008E6DCC" w:rsidRDefault="00AA6EAC" w:rsidP="00102B23">
            <w:pPr>
              <w:spacing w:after="0" w:line="240" w:lineRule="auto"/>
              <w:jc w:val="center"/>
              <w:rPr>
                <w:rFonts w:eastAsia="Times New Roman" w:cs="Times New Roman"/>
                <w:color w:val="000000"/>
                <w:kern w:val="0"/>
                <w:sz w:val="20"/>
                <w:szCs w:val="20"/>
                <w14:ligatures w14:val="none"/>
              </w:rPr>
            </w:pPr>
            <w:r>
              <w:rPr>
                <w:rFonts w:eastAsia="Times New Roman" w:cs="Times New Roman"/>
                <w:color w:val="000000"/>
                <w:kern w:val="0"/>
                <w:sz w:val="20"/>
                <w:szCs w:val="20"/>
                <w14:ligatures w14:val="none"/>
              </w:rPr>
              <w:t>Percent in Census</w:t>
            </w:r>
          </w:p>
        </w:tc>
      </w:tr>
      <w:tr w:rsidR="00AA6EAC" w:rsidRPr="008E6DCC" w14:paraId="4B0EC039" w14:textId="77777777" w:rsidTr="004A258E">
        <w:trPr>
          <w:trHeight w:val="288"/>
        </w:trPr>
        <w:tc>
          <w:tcPr>
            <w:tcW w:w="3675" w:type="dxa"/>
            <w:tcBorders>
              <w:top w:val="single" w:sz="12" w:space="0" w:color="auto"/>
              <w:left w:val="single" w:sz="12" w:space="0" w:color="auto"/>
              <w:bottom w:val="nil"/>
              <w:right w:val="nil"/>
            </w:tcBorders>
            <w:shd w:val="clear" w:color="000000" w:fill="FFFFFF"/>
            <w:vAlign w:val="center"/>
            <w:hideMark/>
          </w:tcPr>
          <w:p w14:paraId="3E732927" w14:textId="77777777" w:rsidR="00AA6EAC" w:rsidRPr="008E6DCC" w:rsidRDefault="00AA6EAC" w:rsidP="0030543A">
            <w:pPr>
              <w:spacing w:after="0" w:line="240" w:lineRule="auto"/>
              <w:rPr>
                <w:rFonts w:eastAsia="Times New Roman" w:cs="Times New Roman"/>
                <w:b/>
                <w:bCs/>
                <w:color w:val="000000"/>
                <w:kern w:val="0"/>
                <w:sz w:val="20"/>
                <w:szCs w:val="20"/>
                <w14:ligatures w14:val="none"/>
              </w:rPr>
            </w:pPr>
            <w:r w:rsidRPr="008E6DCC">
              <w:rPr>
                <w:rFonts w:eastAsia="Times New Roman" w:cs="Times New Roman"/>
                <w:b/>
                <w:bCs/>
                <w:color w:val="000000"/>
                <w:kern w:val="0"/>
                <w:sz w:val="20"/>
                <w:szCs w:val="20"/>
                <w14:ligatures w14:val="none"/>
              </w:rPr>
              <w:t xml:space="preserve">Number of </w:t>
            </w:r>
            <w:r>
              <w:rPr>
                <w:rFonts w:eastAsia="Times New Roman" w:cs="Times New Roman"/>
                <w:b/>
                <w:bCs/>
                <w:color w:val="000000"/>
                <w:kern w:val="0"/>
                <w:sz w:val="20"/>
                <w:szCs w:val="20"/>
                <w14:ligatures w14:val="none"/>
              </w:rPr>
              <w:t>a</w:t>
            </w:r>
            <w:r w:rsidRPr="008E6DCC">
              <w:rPr>
                <w:rFonts w:eastAsia="Times New Roman" w:cs="Times New Roman"/>
                <w:b/>
                <w:bCs/>
                <w:color w:val="000000"/>
                <w:kern w:val="0"/>
                <w:sz w:val="20"/>
                <w:szCs w:val="20"/>
                <w14:ligatures w14:val="none"/>
              </w:rPr>
              <w:t>dults</w:t>
            </w:r>
            <w:r>
              <w:rPr>
                <w:rFonts w:eastAsia="Times New Roman" w:cs="Times New Roman"/>
                <w:b/>
                <w:bCs/>
                <w:color w:val="000000"/>
                <w:kern w:val="0"/>
                <w:sz w:val="20"/>
                <w:szCs w:val="20"/>
                <w14:ligatures w14:val="none"/>
              </w:rPr>
              <w:t xml:space="preserve"> (18 or older)</w:t>
            </w:r>
          </w:p>
        </w:tc>
        <w:tc>
          <w:tcPr>
            <w:tcW w:w="1545" w:type="dxa"/>
            <w:tcBorders>
              <w:top w:val="single" w:sz="12" w:space="0" w:color="auto"/>
              <w:left w:val="nil"/>
              <w:bottom w:val="nil"/>
              <w:right w:val="nil"/>
            </w:tcBorders>
            <w:shd w:val="clear" w:color="000000" w:fill="FFFFFF"/>
            <w:vAlign w:val="center"/>
            <w:hideMark/>
          </w:tcPr>
          <w:p w14:paraId="62FE8BC4" w14:textId="62F94D51" w:rsidR="00AA6EAC" w:rsidRPr="008E6DCC" w:rsidRDefault="00AA6EAC" w:rsidP="0030543A">
            <w:pPr>
              <w:spacing w:after="0" w:line="240" w:lineRule="auto"/>
              <w:jc w:val="center"/>
              <w:rPr>
                <w:rFonts w:eastAsia="Times New Roman" w:cs="Times New Roman"/>
                <w:color w:val="000000"/>
                <w:kern w:val="0"/>
                <w:sz w:val="20"/>
                <w:szCs w:val="20"/>
                <w14:ligatures w14:val="none"/>
              </w:rPr>
            </w:pPr>
          </w:p>
        </w:tc>
        <w:tc>
          <w:tcPr>
            <w:tcW w:w="1620" w:type="dxa"/>
            <w:tcBorders>
              <w:top w:val="single" w:sz="12" w:space="0" w:color="auto"/>
              <w:left w:val="nil"/>
              <w:bottom w:val="nil"/>
            </w:tcBorders>
            <w:shd w:val="clear" w:color="000000" w:fill="FFFFFF"/>
            <w:vAlign w:val="center"/>
            <w:hideMark/>
          </w:tcPr>
          <w:p w14:paraId="5A44CCCC" w14:textId="44E29CE8" w:rsidR="00AA6EAC" w:rsidRPr="008E6DCC" w:rsidRDefault="00AA6EAC" w:rsidP="0030543A">
            <w:pPr>
              <w:spacing w:after="0" w:line="240" w:lineRule="auto"/>
              <w:jc w:val="center"/>
              <w:rPr>
                <w:rFonts w:eastAsia="Times New Roman" w:cs="Times New Roman"/>
                <w:color w:val="000000"/>
                <w:kern w:val="0"/>
                <w:sz w:val="20"/>
                <w:szCs w:val="20"/>
                <w14:ligatures w14:val="none"/>
              </w:rPr>
            </w:pPr>
          </w:p>
        </w:tc>
        <w:tc>
          <w:tcPr>
            <w:tcW w:w="1350" w:type="dxa"/>
            <w:tcBorders>
              <w:top w:val="single" w:sz="12" w:space="0" w:color="auto"/>
              <w:bottom w:val="nil"/>
              <w:right w:val="single" w:sz="12" w:space="0" w:color="auto"/>
            </w:tcBorders>
            <w:shd w:val="clear" w:color="000000" w:fill="FFFFFF"/>
          </w:tcPr>
          <w:p w14:paraId="1C718BD9" w14:textId="77777777" w:rsidR="00AA6EAC" w:rsidRPr="008E6DCC" w:rsidRDefault="00AA6EAC" w:rsidP="0030543A">
            <w:pPr>
              <w:spacing w:after="0" w:line="240" w:lineRule="auto"/>
              <w:jc w:val="center"/>
              <w:rPr>
                <w:rFonts w:eastAsia="Times New Roman" w:cs="Times New Roman"/>
                <w:color w:val="000000"/>
                <w:kern w:val="0"/>
                <w:sz w:val="20"/>
                <w:szCs w:val="20"/>
                <w14:ligatures w14:val="none"/>
              </w:rPr>
            </w:pPr>
          </w:p>
        </w:tc>
      </w:tr>
      <w:tr w:rsidR="00AA6EAC" w:rsidRPr="008E6DCC" w14:paraId="76D4C701" w14:textId="77777777" w:rsidTr="004A258E">
        <w:trPr>
          <w:trHeight w:val="288"/>
        </w:trPr>
        <w:tc>
          <w:tcPr>
            <w:tcW w:w="3675" w:type="dxa"/>
            <w:tcBorders>
              <w:top w:val="nil"/>
              <w:left w:val="single" w:sz="12" w:space="0" w:color="auto"/>
              <w:bottom w:val="nil"/>
              <w:right w:val="nil"/>
            </w:tcBorders>
            <w:shd w:val="clear" w:color="000000" w:fill="FFFFFF"/>
            <w:vAlign w:val="center"/>
            <w:hideMark/>
          </w:tcPr>
          <w:p w14:paraId="0FF133FC" w14:textId="77777777" w:rsidR="00AA6EAC" w:rsidRPr="008E6DCC" w:rsidRDefault="00AA6EAC" w:rsidP="0030543A">
            <w:pPr>
              <w:spacing w:after="0" w:line="240" w:lineRule="auto"/>
              <w:ind w:firstLineChars="200" w:firstLine="400"/>
              <w:rPr>
                <w:rFonts w:eastAsia="Times New Roman" w:cs="Times New Roman"/>
                <w:color w:val="000000"/>
                <w:kern w:val="0"/>
                <w:sz w:val="20"/>
                <w:szCs w:val="20"/>
                <w14:ligatures w14:val="none"/>
              </w:rPr>
            </w:pPr>
            <w:r>
              <w:rPr>
                <w:rFonts w:eastAsia="Times New Roman" w:cs="Times New Roman"/>
                <w:color w:val="000000"/>
                <w:kern w:val="0"/>
                <w:sz w:val="20"/>
                <w:szCs w:val="20"/>
                <w14:ligatures w14:val="none"/>
              </w:rPr>
              <w:t>1</w:t>
            </w:r>
          </w:p>
        </w:tc>
        <w:tc>
          <w:tcPr>
            <w:tcW w:w="1545" w:type="dxa"/>
            <w:tcBorders>
              <w:top w:val="nil"/>
              <w:left w:val="nil"/>
              <w:bottom w:val="nil"/>
              <w:right w:val="nil"/>
            </w:tcBorders>
            <w:shd w:val="clear" w:color="000000" w:fill="FFFFFF"/>
            <w:vAlign w:val="center"/>
            <w:hideMark/>
          </w:tcPr>
          <w:p w14:paraId="336405E4" w14:textId="537F3742" w:rsidR="00AA6EAC" w:rsidRPr="008E6DCC" w:rsidRDefault="00251E95" w:rsidP="00133BCC">
            <w:pPr>
              <w:tabs>
                <w:tab w:val="decimal" w:pos="463"/>
                <w:tab w:val="decimal" w:pos="519"/>
              </w:tabs>
              <w:spacing w:after="0" w:line="240" w:lineRule="auto"/>
              <w:jc w:val="right"/>
              <w:rPr>
                <w:rFonts w:eastAsia="Times New Roman" w:cs="Times New Roman"/>
                <w:color w:val="000000"/>
                <w:kern w:val="0"/>
                <w:sz w:val="20"/>
                <w:szCs w:val="20"/>
                <w14:ligatures w14:val="none"/>
              </w:rPr>
            </w:pPr>
            <w:r>
              <w:rPr>
                <w:rFonts w:eastAsia="Times New Roman" w:cs="Times New Roman"/>
                <w:color w:val="000000"/>
                <w:kern w:val="0"/>
                <w:sz w:val="20"/>
                <w:szCs w:val="20"/>
                <w14:ligatures w14:val="none"/>
              </w:rPr>
              <w:t>440</w:t>
            </w:r>
          </w:p>
        </w:tc>
        <w:tc>
          <w:tcPr>
            <w:tcW w:w="1620" w:type="dxa"/>
            <w:tcBorders>
              <w:top w:val="nil"/>
              <w:left w:val="nil"/>
              <w:bottom w:val="nil"/>
            </w:tcBorders>
            <w:shd w:val="clear" w:color="000000" w:fill="FFFFFF"/>
            <w:vAlign w:val="center"/>
            <w:hideMark/>
          </w:tcPr>
          <w:p w14:paraId="1F42D046" w14:textId="0ABF9FEE" w:rsidR="00AA6EAC" w:rsidRPr="008E6DCC" w:rsidRDefault="001E49DC" w:rsidP="00133BCC">
            <w:pPr>
              <w:tabs>
                <w:tab w:val="decimal" w:pos="362"/>
              </w:tabs>
              <w:spacing w:after="0" w:line="240" w:lineRule="auto"/>
              <w:jc w:val="center"/>
              <w:rPr>
                <w:rFonts w:eastAsia="Times New Roman" w:cs="Times New Roman"/>
                <w:color w:val="000000"/>
                <w:kern w:val="0"/>
                <w:sz w:val="20"/>
                <w:szCs w:val="20"/>
                <w14:ligatures w14:val="none"/>
              </w:rPr>
            </w:pPr>
            <w:r>
              <w:rPr>
                <w:rFonts w:eastAsia="Times New Roman" w:cs="Times New Roman"/>
                <w:color w:val="000000"/>
                <w:kern w:val="0"/>
                <w:sz w:val="20"/>
                <w:szCs w:val="20"/>
                <w14:ligatures w14:val="none"/>
              </w:rPr>
              <w:t>34.3</w:t>
            </w:r>
          </w:p>
        </w:tc>
        <w:tc>
          <w:tcPr>
            <w:tcW w:w="1350" w:type="dxa"/>
            <w:tcBorders>
              <w:top w:val="nil"/>
              <w:bottom w:val="nil"/>
              <w:right w:val="single" w:sz="12" w:space="0" w:color="auto"/>
            </w:tcBorders>
            <w:shd w:val="clear" w:color="000000" w:fill="FFFFFF"/>
            <w:vAlign w:val="center"/>
          </w:tcPr>
          <w:p w14:paraId="613CDC1A" w14:textId="77777777" w:rsidR="00AA6EAC" w:rsidRPr="008E6DCC" w:rsidRDefault="00AA6EAC" w:rsidP="00133BCC">
            <w:pPr>
              <w:tabs>
                <w:tab w:val="decimal" w:pos="148"/>
              </w:tabs>
              <w:spacing w:after="0" w:line="240" w:lineRule="auto"/>
              <w:jc w:val="center"/>
              <w:rPr>
                <w:rFonts w:eastAsia="Times New Roman" w:cs="Times New Roman"/>
                <w:color w:val="000000"/>
                <w:kern w:val="0"/>
                <w:sz w:val="20"/>
                <w:szCs w:val="20"/>
                <w14:ligatures w14:val="none"/>
              </w:rPr>
            </w:pPr>
            <w:r>
              <w:rPr>
                <w:rFonts w:eastAsia="Times New Roman" w:cs="Times New Roman"/>
                <w:color w:val="000000"/>
                <w:kern w:val="0"/>
                <w:sz w:val="20"/>
                <w:szCs w:val="20"/>
                <w14:ligatures w14:val="none"/>
              </w:rPr>
              <w:t>34.4</w:t>
            </w:r>
          </w:p>
        </w:tc>
      </w:tr>
      <w:tr w:rsidR="00AA6EAC" w:rsidRPr="008E6DCC" w14:paraId="2672D6F9" w14:textId="77777777" w:rsidTr="004A258E">
        <w:trPr>
          <w:trHeight w:val="288"/>
        </w:trPr>
        <w:tc>
          <w:tcPr>
            <w:tcW w:w="3675" w:type="dxa"/>
            <w:tcBorders>
              <w:top w:val="nil"/>
              <w:left w:val="single" w:sz="12" w:space="0" w:color="auto"/>
              <w:bottom w:val="nil"/>
              <w:right w:val="nil"/>
            </w:tcBorders>
            <w:shd w:val="clear" w:color="000000" w:fill="FFFFFF"/>
            <w:vAlign w:val="center"/>
            <w:hideMark/>
          </w:tcPr>
          <w:p w14:paraId="5BE37157" w14:textId="77777777" w:rsidR="00AA6EAC" w:rsidRPr="008E6DCC" w:rsidRDefault="00AA6EAC" w:rsidP="0030543A">
            <w:pPr>
              <w:spacing w:after="0" w:line="240" w:lineRule="auto"/>
              <w:ind w:firstLineChars="200" w:firstLine="400"/>
              <w:rPr>
                <w:rFonts w:eastAsia="Times New Roman" w:cs="Times New Roman"/>
                <w:color w:val="000000"/>
                <w:kern w:val="0"/>
                <w:sz w:val="20"/>
                <w:szCs w:val="20"/>
                <w14:ligatures w14:val="none"/>
              </w:rPr>
            </w:pPr>
            <w:r w:rsidRPr="008E6DCC">
              <w:rPr>
                <w:rFonts w:eastAsia="Times New Roman" w:cs="Times New Roman"/>
                <w:color w:val="000000"/>
                <w:kern w:val="0"/>
                <w:sz w:val="20"/>
                <w:szCs w:val="20"/>
                <w14:ligatures w14:val="none"/>
              </w:rPr>
              <w:t>2+</w:t>
            </w:r>
          </w:p>
        </w:tc>
        <w:tc>
          <w:tcPr>
            <w:tcW w:w="1545" w:type="dxa"/>
            <w:tcBorders>
              <w:top w:val="nil"/>
              <w:left w:val="nil"/>
              <w:bottom w:val="nil"/>
              <w:right w:val="nil"/>
            </w:tcBorders>
            <w:shd w:val="clear" w:color="000000" w:fill="FFFFFF"/>
            <w:vAlign w:val="center"/>
            <w:hideMark/>
          </w:tcPr>
          <w:p w14:paraId="3F7FF9BC" w14:textId="50AEE12A" w:rsidR="00AA6EAC" w:rsidRPr="008E6DCC" w:rsidRDefault="001E49DC" w:rsidP="00133BCC">
            <w:pPr>
              <w:tabs>
                <w:tab w:val="decimal" w:pos="463"/>
                <w:tab w:val="decimal" w:pos="519"/>
              </w:tabs>
              <w:spacing w:after="0" w:line="240" w:lineRule="auto"/>
              <w:jc w:val="right"/>
              <w:rPr>
                <w:rFonts w:eastAsia="Times New Roman" w:cs="Times New Roman"/>
                <w:color w:val="000000"/>
                <w:kern w:val="0"/>
                <w:sz w:val="20"/>
                <w:szCs w:val="20"/>
                <w14:ligatures w14:val="none"/>
              </w:rPr>
            </w:pPr>
            <w:r>
              <w:rPr>
                <w:rFonts w:eastAsia="Times New Roman" w:cs="Times New Roman"/>
                <w:color w:val="000000"/>
                <w:kern w:val="0"/>
                <w:sz w:val="20"/>
                <w:szCs w:val="20"/>
                <w14:ligatures w14:val="none"/>
              </w:rPr>
              <w:t>844</w:t>
            </w:r>
          </w:p>
        </w:tc>
        <w:tc>
          <w:tcPr>
            <w:tcW w:w="1620" w:type="dxa"/>
            <w:tcBorders>
              <w:top w:val="nil"/>
              <w:left w:val="nil"/>
              <w:bottom w:val="nil"/>
            </w:tcBorders>
            <w:shd w:val="clear" w:color="000000" w:fill="FFFFFF"/>
            <w:vAlign w:val="center"/>
            <w:hideMark/>
          </w:tcPr>
          <w:p w14:paraId="2B9C870D" w14:textId="292A7BF4" w:rsidR="00AA6EAC" w:rsidRPr="008E6DCC" w:rsidRDefault="00AA6EAC" w:rsidP="00133BCC">
            <w:pPr>
              <w:tabs>
                <w:tab w:val="decimal" w:pos="362"/>
              </w:tabs>
              <w:spacing w:after="0" w:line="240" w:lineRule="auto"/>
              <w:jc w:val="center"/>
              <w:rPr>
                <w:rFonts w:eastAsia="Times New Roman" w:cs="Times New Roman"/>
                <w:color w:val="000000"/>
                <w:kern w:val="0"/>
                <w:sz w:val="20"/>
                <w:szCs w:val="20"/>
                <w14:ligatures w14:val="none"/>
              </w:rPr>
            </w:pPr>
            <w:r w:rsidRPr="008E6DCC">
              <w:rPr>
                <w:rFonts w:eastAsia="Times New Roman" w:cs="Times New Roman"/>
                <w:color w:val="000000"/>
                <w:kern w:val="0"/>
                <w:sz w:val="20"/>
                <w:szCs w:val="20"/>
                <w14:ligatures w14:val="none"/>
              </w:rPr>
              <w:t>6</w:t>
            </w:r>
            <w:r w:rsidR="001E49DC">
              <w:rPr>
                <w:rFonts w:eastAsia="Times New Roman" w:cs="Times New Roman"/>
                <w:color w:val="000000"/>
                <w:kern w:val="0"/>
                <w:sz w:val="20"/>
                <w:szCs w:val="20"/>
                <w14:ligatures w14:val="none"/>
              </w:rPr>
              <w:t>5.7</w:t>
            </w:r>
          </w:p>
        </w:tc>
        <w:tc>
          <w:tcPr>
            <w:tcW w:w="1350" w:type="dxa"/>
            <w:tcBorders>
              <w:top w:val="nil"/>
              <w:bottom w:val="nil"/>
              <w:right w:val="single" w:sz="12" w:space="0" w:color="auto"/>
            </w:tcBorders>
            <w:shd w:val="clear" w:color="000000" w:fill="FFFFFF"/>
            <w:vAlign w:val="center"/>
          </w:tcPr>
          <w:p w14:paraId="2EF5CAD3" w14:textId="77777777" w:rsidR="00AA6EAC" w:rsidRPr="008E6DCC" w:rsidRDefault="00AA6EAC" w:rsidP="00133BCC">
            <w:pPr>
              <w:tabs>
                <w:tab w:val="decimal" w:pos="148"/>
              </w:tabs>
              <w:spacing w:after="0" w:line="240" w:lineRule="auto"/>
              <w:jc w:val="center"/>
              <w:rPr>
                <w:rFonts w:eastAsia="Times New Roman" w:cs="Times New Roman"/>
                <w:color w:val="000000"/>
                <w:kern w:val="0"/>
                <w:sz w:val="20"/>
                <w:szCs w:val="20"/>
                <w14:ligatures w14:val="none"/>
              </w:rPr>
            </w:pPr>
            <w:r>
              <w:rPr>
                <w:rFonts w:eastAsia="Times New Roman" w:cs="Times New Roman"/>
                <w:color w:val="000000"/>
                <w:kern w:val="0"/>
                <w:sz w:val="20"/>
                <w:szCs w:val="20"/>
                <w14:ligatures w14:val="none"/>
              </w:rPr>
              <w:t>65.6</w:t>
            </w:r>
          </w:p>
        </w:tc>
      </w:tr>
      <w:tr w:rsidR="00AA6EAC" w:rsidRPr="008E6DCC" w14:paraId="6139D738" w14:textId="77777777" w:rsidTr="004A258E">
        <w:trPr>
          <w:trHeight w:val="288"/>
        </w:trPr>
        <w:tc>
          <w:tcPr>
            <w:tcW w:w="5220" w:type="dxa"/>
            <w:gridSpan w:val="2"/>
            <w:tcBorders>
              <w:top w:val="nil"/>
              <w:left w:val="single" w:sz="12" w:space="0" w:color="auto"/>
              <w:bottom w:val="nil"/>
              <w:right w:val="nil"/>
            </w:tcBorders>
            <w:shd w:val="clear" w:color="000000" w:fill="FFFFFF"/>
            <w:vAlign w:val="center"/>
            <w:hideMark/>
          </w:tcPr>
          <w:p w14:paraId="1EADCB87" w14:textId="77777777" w:rsidR="00AA6EAC" w:rsidRPr="009415F4" w:rsidRDefault="00AA6EAC" w:rsidP="0030543A">
            <w:pPr>
              <w:spacing w:after="0" w:line="240" w:lineRule="auto"/>
              <w:rPr>
                <w:rFonts w:eastAsia="Times New Roman" w:cs="Times New Roman"/>
                <w:b/>
                <w:bCs/>
                <w:color w:val="000000"/>
                <w:kern w:val="0"/>
                <w:sz w:val="20"/>
                <w:szCs w:val="20"/>
                <w14:ligatures w14:val="none"/>
              </w:rPr>
            </w:pPr>
            <w:r w:rsidRPr="008E6DCC">
              <w:rPr>
                <w:rFonts w:eastAsia="Times New Roman" w:cs="Times New Roman"/>
                <w:b/>
                <w:bCs/>
                <w:color w:val="000000"/>
                <w:kern w:val="0"/>
                <w:sz w:val="20"/>
                <w:szCs w:val="20"/>
                <w14:ligatures w14:val="none"/>
              </w:rPr>
              <w:t>Presence of children</w:t>
            </w:r>
            <w:r>
              <w:rPr>
                <w:rFonts w:eastAsia="Times New Roman" w:cs="Times New Roman"/>
                <w:b/>
                <w:bCs/>
                <w:color w:val="000000"/>
                <w:kern w:val="0"/>
                <w:sz w:val="20"/>
                <w:szCs w:val="20"/>
                <w14:ligatures w14:val="none"/>
              </w:rPr>
              <w:t xml:space="preserve"> (17 or younger)</w:t>
            </w:r>
          </w:p>
        </w:tc>
        <w:tc>
          <w:tcPr>
            <w:tcW w:w="1620" w:type="dxa"/>
            <w:tcBorders>
              <w:top w:val="nil"/>
              <w:left w:val="nil"/>
              <w:bottom w:val="nil"/>
            </w:tcBorders>
            <w:shd w:val="clear" w:color="000000" w:fill="FFFFFF"/>
            <w:vAlign w:val="center"/>
            <w:hideMark/>
          </w:tcPr>
          <w:p w14:paraId="0C65AEF2" w14:textId="5440763C" w:rsidR="00AA6EAC" w:rsidRPr="008E6DCC" w:rsidRDefault="00AA6EAC" w:rsidP="00133BCC">
            <w:pPr>
              <w:tabs>
                <w:tab w:val="decimal" w:pos="362"/>
              </w:tabs>
              <w:spacing w:after="0" w:line="240" w:lineRule="auto"/>
              <w:jc w:val="center"/>
              <w:rPr>
                <w:rFonts w:eastAsia="Times New Roman" w:cs="Times New Roman"/>
                <w:color w:val="000000"/>
                <w:kern w:val="0"/>
                <w:sz w:val="20"/>
                <w:szCs w:val="20"/>
                <w14:ligatures w14:val="none"/>
              </w:rPr>
            </w:pPr>
          </w:p>
        </w:tc>
        <w:tc>
          <w:tcPr>
            <w:tcW w:w="1350" w:type="dxa"/>
            <w:tcBorders>
              <w:top w:val="nil"/>
              <w:bottom w:val="nil"/>
              <w:right w:val="single" w:sz="12" w:space="0" w:color="auto"/>
            </w:tcBorders>
            <w:shd w:val="clear" w:color="000000" w:fill="FFFFFF"/>
            <w:vAlign w:val="center"/>
          </w:tcPr>
          <w:p w14:paraId="33F53688" w14:textId="77777777" w:rsidR="00AA6EAC" w:rsidRPr="008E6DCC" w:rsidRDefault="00AA6EAC" w:rsidP="00133BCC">
            <w:pPr>
              <w:tabs>
                <w:tab w:val="decimal" w:pos="148"/>
              </w:tabs>
              <w:spacing w:after="0" w:line="240" w:lineRule="auto"/>
              <w:jc w:val="center"/>
              <w:rPr>
                <w:rFonts w:eastAsia="Times New Roman" w:cs="Times New Roman"/>
                <w:color w:val="000000"/>
                <w:kern w:val="0"/>
                <w:sz w:val="20"/>
                <w:szCs w:val="20"/>
                <w14:ligatures w14:val="none"/>
              </w:rPr>
            </w:pPr>
          </w:p>
        </w:tc>
      </w:tr>
      <w:tr w:rsidR="00AA6EAC" w:rsidRPr="008E6DCC" w14:paraId="63EFC226" w14:textId="77777777" w:rsidTr="004A258E">
        <w:trPr>
          <w:trHeight w:val="288"/>
        </w:trPr>
        <w:tc>
          <w:tcPr>
            <w:tcW w:w="3675" w:type="dxa"/>
            <w:tcBorders>
              <w:top w:val="nil"/>
              <w:left w:val="single" w:sz="12" w:space="0" w:color="auto"/>
              <w:bottom w:val="nil"/>
              <w:right w:val="nil"/>
            </w:tcBorders>
            <w:shd w:val="clear" w:color="000000" w:fill="FFFFFF"/>
            <w:vAlign w:val="center"/>
            <w:hideMark/>
          </w:tcPr>
          <w:p w14:paraId="03027B0E" w14:textId="77777777" w:rsidR="00AA6EAC" w:rsidRPr="008E6DCC" w:rsidRDefault="00AA6EAC" w:rsidP="0030543A">
            <w:pPr>
              <w:spacing w:after="0" w:line="240" w:lineRule="auto"/>
              <w:ind w:firstLineChars="200" w:firstLine="400"/>
              <w:rPr>
                <w:rFonts w:eastAsia="Times New Roman" w:cs="Times New Roman"/>
                <w:color w:val="000000"/>
                <w:kern w:val="0"/>
                <w:sz w:val="20"/>
                <w:szCs w:val="20"/>
                <w14:ligatures w14:val="none"/>
              </w:rPr>
            </w:pPr>
            <w:r w:rsidRPr="008E6DCC">
              <w:rPr>
                <w:rFonts w:eastAsia="Times New Roman" w:cs="Times New Roman"/>
                <w:color w:val="000000"/>
                <w:kern w:val="0"/>
                <w:sz w:val="20"/>
                <w:szCs w:val="20"/>
                <w14:ligatures w14:val="none"/>
              </w:rPr>
              <w:t>Yes</w:t>
            </w:r>
          </w:p>
        </w:tc>
        <w:tc>
          <w:tcPr>
            <w:tcW w:w="1545" w:type="dxa"/>
            <w:tcBorders>
              <w:top w:val="nil"/>
              <w:left w:val="nil"/>
              <w:bottom w:val="nil"/>
              <w:right w:val="nil"/>
            </w:tcBorders>
            <w:shd w:val="clear" w:color="000000" w:fill="FFFFFF"/>
            <w:vAlign w:val="center"/>
            <w:hideMark/>
          </w:tcPr>
          <w:p w14:paraId="1137774B" w14:textId="57058CFE" w:rsidR="00AA6EAC" w:rsidRPr="008E6DCC" w:rsidRDefault="00DA62EC" w:rsidP="00133BCC">
            <w:pPr>
              <w:tabs>
                <w:tab w:val="decimal" w:pos="463"/>
                <w:tab w:val="decimal" w:pos="519"/>
              </w:tabs>
              <w:spacing w:after="0" w:line="240" w:lineRule="auto"/>
              <w:jc w:val="right"/>
              <w:rPr>
                <w:rFonts w:eastAsia="Times New Roman" w:cs="Times New Roman"/>
                <w:color w:val="000000"/>
                <w:kern w:val="0"/>
                <w:sz w:val="20"/>
                <w:szCs w:val="20"/>
                <w14:ligatures w14:val="none"/>
              </w:rPr>
            </w:pPr>
            <w:r>
              <w:rPr>
                <w:rFonts w:eastAsia="Times New Roman" w:cs="Times New Roman"/>
                <w:color w:val="000000"/>
                <w:kern w:val="0"/>
                <w:sz w:val="20"/>
                <w:szCs w:val="20"/>
                <w14:ligatures w14:val="none"/>
              </w:rPr>
              <w:t>360</w:t>
            </w:r>
          </w:p>
        </w:tc>
        <w:tc>
          <w:tcPr>
            <w:tcW w:w="1620" w:type="dxa"/>
            <w:tcBorders>
              <w:top w:val="nil"/>
              <w:left w:val="nil"/>
              <w:bottom w:val="nil"/>
            </w:tcBorders>
            <w:shd w:val="clear" w:color="000000" w:fill="FFFFFF"/>
            <w:vAlign w:val="center"/>
            <w:hideMark/>
          </w:tcPr>
          <w:p w14:paraId="17E83C5C" w14:textId="04A3F35E" w:rsidR="00AA6EAC" w:rsidRPr="008E6DCC" w:rsidRDefault="001549E9" w:rsidP="00133BCC">
            <w:pPr>
              <w:tabs>
                <w:tab w:val="decimal" w:pos="362"/>
              </w:tabs>
              <w:spacing w:after="0" w:line="240" w:lineRule="auto"/>
              <w:jc w:val="center"/>
              <w:rPr>
                <w:rFonts w:eastAsia="Times New Roman" w:cs="Times New Roman"/>
                <w:color w:val="000000"/>
                <w:kern w:val="0"/>
                <w:sz w:val="20"/>
                <w:szCs w:val="20"/>
                <w14:ligatures w14:val="none"/>
              </w:rPr>
            </w:pPr>
            <w:r>
              <w:rPr>
                <w:rFonts w:eastAsia="Times New Roman" w:cs="Times New Roman"/>
                <w:color w:val="000000"/>
                <w:kern w:val="0"/>
                <w:sz w:val="20"/>
                <w:szCs w:val="20"/>
                <w14:ligatures w14:val="none"/>
              </w:rPr>
              <w:t>28.0</w:t>
            </w:r>
          </w:p>
        </w:tc>
        <w:tc>
          <w:tcPr>
            <w:tcW w:w="1350" w:type="dxa"/>
            <w:tcBorders>
              <w:top w:val="nil"/>
              <w:bottom w:val="nil"/>
              <w:right w:val="single" w:sz="12" w:space="0" w:color="auto"/>
            </w:tcBorders>
            <w:shd w:val="clear" w:color="000000" w:fill="FFFFFF"/>
            <w:vAlign w:val="center"/>
          </w:tcPr>
          <w:p w14:paraId="4360642C" w14:textId="77777777" w:rsidR="00AA6EAC" w:rsidRPr="008E6DCC" w:rsidRDefault="00AA6EAC" w:rsidP="00133BCC">
            <w:pPr>
              <w:tabs>
                <w:tab w:val="decimal" w:pos="148"/>
              </w:tabs>
              <w:spacing w:after="0" w:line="240" w:lineRule="auto"/>
              <w:jc w:val="center"/>
              <w:rPr>
                <w:rFonts w:eastAsia="Times New Roman" w:cs="Times New Roman"/>
                <w:color w:val="000000"/>
                <w:kern w:val="0"/>
                <w:sz w:val="20"/>
                <w:szCs w:val="20"/>
                <w14:ligatures w14:val="none"/>
              </w:rPr>
            </w:pPr>
            <w:r>
              <w:rPr>
                <w:rFonts w:eastAsia="Times New Roman" w:cs="Times New Roman"/>
                <w:color w:val="000000"/>
                <w:kern w:val="0"/>
                <w:sz w:val="20"/>
                <w:szCs w:val="20"/>
                <w14:ligatures w14:val="none"/>
              </w:rPr>
              <w:t>30.4</w:t>
            </w:r>
          </w:p>
        </w:tc>
      </w:tr>
      <w:tr w:rsidR="00AA6EAC" w:rsidRPr="008E6DCC" w14:paraId="24771EE0" w14:textId="77777777" w:rsidTr="004A258E">
        <w:trPr>
          <w:trHeight w:val="288"/>
        </w:trPr>
        <w:tc>
          <w:tcPr>
            <w:tcW w:w="3675" w:type="dxa"/>
            <w:tcBorders>
              <w:top w:val="nil"/>
              <w:left w:val="single" w:sz="12" w:space="0" w:color="auto"/>
              <w:bottom w:val="nil"/>
              <w:right w:val="nil"/>
            </w:tcBorders>
            <w:shd w:val="clear" w:color="000000" w:fill="FFFFFF"/>
            <w:vAlign w:val="center"/>
            <w:hideMark/>
          </w:tcPr>
          <w:p w14:paraId="7FF827A8" w14:textId="77777777" w:rsidR="00AA6EAC" w:rsidRPr="008E6DCC" w:rsidRDefault="00AA6EAC" w:rsidP="0030543A">
            <w:pPr>
              <w:spacing w:after="0" w:line="240" w:lineRule="auto"/>
              <w:ind w:firstLineChars="200" w:firstLine="400"/>
              <w:rPr>
                <w:rFonts w:eastAsia="Times New Roman" w:cs="Times New Roman"/>
                <w:color w:val="000000"/>
                <w:kern w:val="0"/>
                <w:sz w:val="20"/>
                <w:szCs w:val="20"/>
                <w14:ligatures w14:val="none"/>
              </w:rPr>
            </w:pPr>
            <w:r w:rsidRPr="008E6DCC">
              <w:rPr>
                <w:rFonts w:eastAsia="Times New Roman" w:cs="Times New Roman"/>
                <w:color w:val="000000"/>
                <w:kern w:val="0"/>
                <w:sz w:val="20"/>
                <w:szCs w:val="20"/>
                <w14:ligatures w14:val="none"/>
              </w:rPr>
              <w:t>No</w:t>
            </w:r>
          </w:p>
        </w:tc>
        <w:tc>
          <w:tcPr>
            <w:tcW w:w="1545" w:type="dxa"/>
            <w:tcBorders>
              <w:top w:val="nil"/>
              <w:left w:val="nil"/>
              <w:bottom w:val="nil"/>
              <w:right w:val="nil"/>
            </w:tcBorders>
            <w:shd w:val="clear" w:color="000000" w:fill="FFFFFF"/>
            <w:vAlign w:val="center"/>
            <w:hideMark/>
          </w:tcPr>
          <w:p w14:paraId="6E1661E6" w14:textId="62D9E8DC" w:rsidR="00AA6EAC" w:rsidRPr="008E6DCC" w:rsidRDefault="001549E9" w:rsidP="00133BCC">
            <w:pPr>
              <w:tabs>
                <w:tab w:val="decimal" w:pos="463"/>
                <w:tab w:val="decimal" w:pos="519"/>
              </w:tabs>
              <w:spacing w:after="0" w:line="240" w:lineRule="auto"/>
              <w:jc w:val="right"/>
              <w:rPr>
                <w:rFonts w:eastAsia="Times New Roman" w:cs="Times New Roman"/>
                <w:color w:val="000000"/>
                <w:kern w:val="0"/>
                <w:sz w:val="20"/>
                <w:szCs w:val="20"/>
                <w14:ligatures w14:val="none"/>
              </w:rPr>
            </w:pPr>
            <w:r>
              <w:rPr>
                <w:rFonts w:eastAsia="Times New Roman" w:cs="Times New Roman"/>
                <w:color w:val="000000"/>
                <w:kern w:val="0"/>
                <w:sz w:val="20"/>
                <w:szCs w:val="20"/>
                <w14:ligatures w14:val="none"/>
              </w:rPr>
              <w:t>924</w:t>
            </w:r>
          </w:p>
        </w:tc>
        <w:tc>
          <w:tcPr>
            <w:tcW w:w="1620" w:type="dxa"/>
            <w:tcBorders>
              <w:top w:val="nil"/>
              <w:left w:val="nil"/>
              <w:bottom w:val="nil"/>
            </w:tcBorders>
            <w:shd w:val="clear" w:color="000000" w:fill="FFFFFF"/>
            <w:vAlign w:val="center"/>
            <w:hideMark/>
          </w:tcPr>
          <w:p w14:paraId="6BB696C9" w14:textId="68EF605A" w:rsidR="00AA6EAC" w:rsidRPr="008E6DCC" w:rsidRDefault="001549E9" w:rsidP="00133BCC">
            <w:pPr>
              <w:tabs>
                <w:tab w:val="decimal" w:pos="362"/>
              </w:tabs>
              <w:spacing w:after="0" w:line="240" w:lineRule="auto"/>
              <w:jc w:val="center"/>
              <w:rPr>
                <w:rFonts w:eastAsia="Times New Roman" w:cs="Times New Roman"/>
                <w:color w:val="000000"/>
                <w:kern w:val="0"/>
                <w:sz w:val="20"/>
                <w:szCs w:val="20"/>
                <w14:ligatures w14:val="none"/>
              </w:rPr>
            </w:pPr>
            <w:r>
              <w:rPr>
                <w:rFonts w:eastAsia="Times New Roman" w:cs="Times New Roman"/>
                <w:color w:val="000000"/>
                <w:kern w:val="0"/>
                <w:sz w:val="20"/>
                <w:szCs w:val="20"/>
                <w14:ligatures w14:val="none"/>
              </w:rPr>
              <w:t>72.0</w:t>
            </w:r>
          </w:p>
        </w:tc>
        <w:tc>
          <w:tcPr>
            <w:tcW w:w="1350" w:type="dxa"/>
            <w:tcBorders>
              <w:top w:val="nil"/>
              <w:bottom w:val="nil"/>
              <w:right w:val="single" w:sz="12" w:space="0" w:color="auto"/>
            </w:tcBorders>
            <w:shd w:val="clear" w:color="000000" w:fill="FFFFFF"/>
            <w:vAlign w:val="center"/>
          </w:tcPr>
          <w:p w14:paraId="56C37BF4" w14:textId="77777777" w:rsidR="00AA6EAC" w:rsidRPr="008E6DCC" w:rsidRDefault="00AA6EAC" w:rsidP="00133BCC">
            <w:pPr>
              <w:tabs>
                <w:tab w:val="decimal" w:pos="148"/>
              </w:tabs>
              <w:spacing w:after="0" w:line="240" w:lineRule="auto"/>
              <w:jc w:val="center"/>
              <w:rPr>
                <w:rFonts w:eastAsia="Times New Roman" w:cs="Times New Roman"/>
                <w:color w:val="000000"/>
                <w:kern w:val="0"/>
                <w:sz w:val="20"/>
                <w:szCs w:val="20"/>
                <w14:ligatures w14:val="none"/>
              </w:rPr>
            </w:pPr>
            <w:r>
              <w:rPr>
                <w:rFonts w:eastAsia="Times New Roman" w:cs="Times New Roman"/>
                <w:color w:val="000000"/>
                <w:kern w:val="0"/>
                <w:sz w:val="20"/>
                <w:szCs w:val="20"/>
                <w14:ligatures w14:val="none"/>
              </w:rPr>
              <w:t>69.6</w:t>
            </w:r>
          </w:p>
        </w:tc>
      </w:tr>
      <w:tr w:rsidR="00AA6EAC" w:rsidRPr="008E6DCC" w14:paraId="7FB1B123" w14:textId="77777777" w:rsidTr="004A258E">
        <w:trPr>
          <w:trHeight w:val="288"/>
        </w:trPr>
        <w:tc>
          <w:tcPr>
            <w:tcW w:w="3675" w:type="dxa"/>
            <w:tcBorders>
              <w:top w:val="nil"/>
              <w:left w:val="single" w:sz="12" w:space="0" w:color="auto"/>
              <w:bottom w:val="nil"/>
              <w:right w:val="nil"/>
            </w:tcBorders>
            <w:shd w:val="clear" w:color="000000" w:fill="FFFFFF"/>
            <w:vAlign w:val="center"/>
            <w:hideMark/>
          </w:tcPr>
          <w:p w14:paraId="08E84C0C" w14:textId="77777777" w:rsidR="00AA6EAC" w:rsidRPr="008E6DCC" w:rsidRDefault="00AA6EAC" w:rsidP="0030543A">
            <w:pPr>
              <w:spacing w:after="0" w:line="240" w:lineRule="auto"/>
              <w:rPr>
                <w:rFonts w:eastAsia="Times New Roman" w:cs="Times New Roman"/>
                <w:b/>
                <w:bCs/>
                <w:color w:val="000000"/>
                <w:kern w:val="0"/>
                <w:sz w:val="20"/>
                <w:szCs w:val="20"/>
                <w14:ligatures w14:val="none"/>
              </w:rPr>
            </w:pPr>
            <w:r w:rsidRPr="008E6DCC">
              <w:rPr>
                <w:rFonts w:eastAsia="Times New Roman" w:cs="Times New Roman"/>
                <w:b/>
                <w:bCs/>
                <w:color w:val="000000"/>
                <w:kern w:val="0"/>
                <w:sz w:val="20"/>
                <w:szCs w:val="20"/>
                <w14:ligatures w14:val="none"/>
              </w:rPr>
              <w:t>Presence of retired adult</w:t>
            </w:r>
          </w:p>
        </w:tc>
        <w:tc>
          <w:tcPr>
            <w:tcW w:w="1545" w:type="dxa"/>
            <w:tcBorders>
              <w:top w:val="nil"/>
              <w:left w:val="nil"/>
              <w:bottom w:val="nil"/>
              <w:right w:val="nil"/>
            </w:tcBorders>
            <w:shd w:val="clear" w:color="000000" w:fill="FFFFFF"/>
            <w:vAlign w:val="center"/>
            <w:hideMark/>
          </w:tcPr>
          <w:p w14:paraId="52BA2593" w14:textId="31CFC43D" w:rsidR="00AA6EAC" w:rsidRPr="008E6DCC" w:rsidRDefault="00AA6EAC" w:rsidP="0030543A">
            <w:pPr>
              <w:spacing w:after="0" w:line="240" w:lineRule="auto"/>
              <w:jc w:val="center"/>
              <w:rPr>
                <w:rFonts w:eastAsia="Times New Roman" w:cs="Times New Roman"/>
                <w:color w:val="000000"/>
                <w:kern w:val="0"/>
                <w:sz w:val="20"/>
                <w:szCs w:val="20"/>
                <w14:ligatures w14:val="none"/>
              </w:rPr>
            </w:pPr>
          </w:p>
        </w:tc>
        <w:tc>
          <w:tcPr>
            <w:tcW w:w="1620" w:type="dxa"/>
            <w:tcBorders>
              <w:top w:val="nil"/>
              <w:left w:val="nil"/>
              <w:bottom w:val="nil"/>
            </w:tcBorders>
            <w:shd w:val="clear" w:color="000000" w:fill="FFFFFF"/>
            <w:vAlign w:val="center"/>
            <w:hideMark/>
          </w:tcPr>
          <w:p w14:paraId="4A40619A" w14:textId="71BBE3C1" w:rsidR="00AA6EAC" w:rsidRPr="008E6DCC" w:rsidRDefault="00AA6EAC" w:rsidP="00133BCC">
            <w:pPr>
              <w:tabs>
                <w:tab w:val="decimal" w:pos="362"/>
              </w:tabs>
              <w:spacing w:after="0" w:line="240" w:lineRule="auto"/>
              <w:jc w:val="center"/>
              <w:rPr>
                <w:rFonts w:eastAsia="Times New Roman" w:cs="Times New Roman"/>
                <w:color w:val="000000"/>
                <w:kern w:val="0"/>
                <w:sz w:val="20"/>
                <w:szCs w:val="20"/>
                <w14:ligatures w14:val="none"/>
              </w:rPr>
            </w:pPr>
          </w:p>
        </w:tc>
        <w:tc>
          <w:tcPr>
            <w:tcW w:w="1350" w:type="dxa"/>
            <w:tcBorders>
              <w:top w:val="nil"/>
              <w:bottom w:val="nil"/>
              <w:right w:val="single" w:sz="12" w:space="0" w:color="auto"/>
            </w:tcBorders>
            <w:shd w:val="clear" w:color="000000" w:fill="FFFFFF"/>
            <w:vAlign w:val="center"/>
          </w:tcPr>
          <w:p w14:paraId="22ED2BB0" w14:textId="77777777" w:rsidR="00AA6EAC" w:rsidRPr="008E6DCC" w:rsidRDefault="00AA6EAC" w:rsidP="00133BCC">
            <w:pPr>
              <w:tabs>
                <w:tab w:val="decimal" w:pos="148"/>
              </w:tabs>
              <w:spacing w:after="0" w:line="240" w:lineRule="auto"/>
              <w:jc w:val="center"/>
              <w:rPr>
                <w:rFonts w:eastAsia="Times New Roman" w:cs="Times New Roman"/>
                <w:color w:val="000000"/>
                <w:kern w:val="0"/>
                <w:sz w:val="20"/>
                <w:szCs w:val="20"/>
                <w14:ligatures w14:val="none"/>
              </w:rPr>
            </w:pPr>
          </w:p>
        </w:tc>
      </w:tr>
      <w:tr w:rsidR="00AA6EAC" w:rsidRPr="008E6DCC" w14:paraId="7671D801" w14:textId="77777777" w:rsidTr="004A258E">
        <w:trPr>
          <w:trHeight w:val="288"/>
        </w:trPr>
        <w:tc>
          <w:tcPr>
            <w:tcW w:w="3675" w:type="dxa"/>
            <w:tcBorders>
              <w:top w:val="nil"/>
              <w:left w:val="single" w:sz="12" w:space="0" w:color="auto"/>
              <w:bottom w:val="nil"/>
              <w:right w:val="nil"/>
            </w:tcBorders>
            <w:shd w:val="clear" w:color="000000" w:fill="FFFFFF"/>
            <w:vAlign w:val="center"/>
            <w:hideMark/>
          </w:tcPr>
          <w:p w14:paraId="5EE58060" w14:textId="77777777" w:rsidR="00AA6EAC" w:rsidRPr="008E6DCC" w:rsidRDefault="00AA6EAC" w:rsidP="0030543A">
            <w:pPr>
              <w:spacing w:after="0" w:line="240" w:lineRule="auto"/>
              <w:ind w:firstLineChars="200" w:firstLine="400"/>
              <w:rPr>
                <w:rFonts w:eastAsia="Times New Roman" w:cs="Times New Roman"/>
                <w:color w:val="000000"/>
                <w:kern w:val="0"/>
                <w:sz w:val="20"/>
                <w:szCs w:val="20"/>
                <w14:ligatures w14:val="none"/>
              </w:rPr>
            </w:pPr>
            <w:r w:rsidRPr="008E6DCC">
              <w:rPr>
                <w:rFonts w:eastAsia="Times New Roman" w:cs="Times New Roman"/>
                <w:color w:val="000000"/>
                <w:kern w:val="0"/>
                <w:sz w:val="20"/>
                <w:szCs w:val="20"/>
                <w14:ligatures w14:val="none"/>
              </w:rPr>
              <w:t>No</w:t>
            </w:r>
          </w:p>
        </w:tc>
        <w:tc>
          <w:tcPr>
            <w:tcW w:w="1545" w:type="dxa"/>
            <w:tcBorders>
              <w:top w:val="nil"/>
              <w:left w:val="nil"/>
              <w:bottom w:val="nil"/>
              <w:right w:val="nil"/>
            </w:tcBorders>
            <w:shd w:val="clear" w:color="000000" w:fill="FFFFFF"/>
            <w:vAlign w:val="center"/>
            <w:hideMark/>
          </w:tcPr>
          <w:p w14:paraId="257ADC09" w14:textId="7CBCB16C" w:rsidR="00AA6EAC" w:rsidRPr="008E6DCC" w:rsidRDefault="009A570A" w:rsidP="00133BCC">
            <w:pPr>
              <w:tabs>
                <w:tab w:val="decimal" w:pos="463"/>
                <w:tab w:val="decimal" w:pos="519"/>
              </w:tabs>
              <w:spacing w:after="0" w:line="240" w:lineRule="auto"/>
              <w:jc w:val="right"/>
              <w:rPr>
                <w:rFonts w:eastAsia="Times New Roman" w:cs="Times New Roman"/>
                <w:color w:val="000000"/>
                <w:kern w:val="0"/>
                <w:sz w:val="20"/>
                <w:szCs w:val="20"/>
                <w14:ligatures w14:val="none"/>
              </w:rPr>
            </w:pPr>
            <w:r>
              <w:rPr>
                <w:rFonts w:eastAsia="Times New Roman" w:cs="Times New Roman"/>
                <w:color w:val="000000"/>
                <w:kern w:val="0"/>
                <w:sz w:val="20"/>
                <w:szCs w:val="20"/>
                <w14:ligatures w14:val="none"/>
              </w:rPr>
              <w:t>1105</w:t>
            </w:r>
          </w:p>
        </w:tc>
        <w:tc>
          <w:tcPr>
            <w:tcW w:w="1620" w:type="dxa"/>
            <w:tcBorders>
              <w:top w:val="nil"/>
              <w:left w:val="nil"/>
              <w:bottom w:val="nil"/>
            </w:tcBorders>
            <w:shd w:val="clear" w:color="000000" w:fill="FFFFFF"/>
            <w:vAlign w:val="center"/>
            <w:hideMark/>
          </w:tcPr>
          <w:p w14:paraId="75581417" w14:textId="3B0494E8" w:rsidR="00AA6EAC" w:rsidRPr="008E6DCC" w:rsidRDefault="00317225" w:rsidP="00133BCC">
            <w:pPr>
              <w:tabs>
                <w:tab w:val="decimal" w:pos="362"/>
              </w:tabs>
              <w:spacing w:after="0" w:line="240" w:lineRule="auto"/>
              <w:jc w:val="center"/>
              <w:rPr>
                <w:rFonts w:eastAsia="Times New Roman" w:cs="Times New Roman"/>
                <w:color w:val="000000"/>
                <w:kern w:val="0"/>
                <w:sz w:val="20"/>
                <w:szCs w:val="20"/>
                <w14:ligatures w14:val="none"/>
              </w:rPr>
            </w:pPr>
            <w:r>
              <w:rPr>
                <w:rFonts w:eastAsia="Times New Roman" w:cs="Times New Roman"/>
                <w:color w:val="000000"/>
                <w:kern w:val="0"/>
                <w:sz w:val="20"/>
                <w:szCs w:val="20"/>
                <w14:ligatures w14:val="none"/>
              </w:rPr>
              <w:t>86.1</w:t>
            </w:r>
          </w:p>
        </w:tc>
        <w:tc>
          <w:tcPr>
            <w:tcW w:w="1350" w:type="dxa"/>
            <w:tcBorders>
              <w:top w:val="nil"/>
              <w:bottom w:val="nil"/>
              <w:right w:val="single" w:sz="12" w:space="0" w:color="auto"/>
            </w:tcBorders>
            <w:shd w:val="clear" w:color="000000" w:fill="FFFFFF"/>
            <w:vAlign w:val="center"/>
          </w:tcPr>
          <w:p w14:paraId="4F07B9DB" w14:textId="77777777" w:rsidR="00AA6EAC" w:rsidRPr="008E6DCC" w:rsidRDefault="00AA6EAC" w:rsidP="00133BCC">
            <w:pPr>
              <w:tabs>
                <w:tab w:val="decimal" w:pos="148"/>
              </w:tabs>
              <w:spacing w:after="0" w:line="240" w:lineRule="auto"/>
              <w:jc w:val="center"/>
              <w:rPr>
                <w:rFonts w:eastAsia="Times New Roman" w:cs="Times New Roman"/>
                <w:color w:val="000000"/>
                <w:kern w:val="0"/>
                <w:sz w:val="20"/>
                <w:szCs w:val="20"/>
                <w14:ligatures w14:val="none"/>
              </w:rPr>
            </w:pPr>
            <w:r>
              <w:rPr>
                <w:rFonts w:eastAsia="Times New Roman" w:cs="Times New Roman"/>
                <w:color w:val="000000"/>
                <w:kern w:val="0"/>
                <w:sz w:val="20"/>
                <w:szCs w:val="20"/>
                <w14:ligatures w14:val="none"/>
              </w:rPr>
              <w:t>69.2</w:t>
            </w:r>
          </w:p>
        </w:tc>
      </w:tr>
      <w:tr w:rsidR="00AA6EAC" w:rsidRPr="008E6DCC" w14:paraId="6AC2F651" w14:textId="77777777" w:rsidTr="004A258E">
        <w:trPr>
          <w:trHeight w:val="288"/>
        </w:trPr>
        <w:tc>
          <w:tcPr>
            <w:tcW w:w="3675" w:type="dxa"/>
            <w:tcBorders>
              <w:top w:val="nil"/>
              <w:left w:val="single" w:sz="12" w:space="0" w:color="auto"/>
              <w:bottom w:val="nil"/>
              <w:right w:val="nil"/>
            </w:tcBorders>
            <w:shd w:val="clear" w:color="000000" w:fill="FFFFFF"/>
            <w:vAlign w:val="center"/>
            <w:hideMark/>
          </w:tcPr>
          <w:p w14:paraId="08788937" w14:textId="77777777" w:rsidR="00AA6EAC" w:rsidRPr="008E6DCC" w:rsidRDefault="00AA6EAC" w:rsidP="0030543A">
            <w:pPr>
              <w:spacing w:after="0" w:line="240" w:lineRule="auto"/>
              <w:ind w:firstLineChars="200" w:firstLine="400"/>
              <w:rPr>
                <w:rFonts w:eastAsia="Times New Roman" w:cs="Times New Roman"/>
                <w:color w:val="000000"/>
                <w:kern w:val="0"/>
                <w:sz w:val="20"/>
                <w:szCs w:val="20"/>
                <w14:ligatures w14:val="none"/>
              </w:rPr>
            </w:pPr>
            <w:r w:rsidRPr="008E6DCC">
              <w:rPr>
                <w:rFonts w:eastAsia="Times New Roman" w:cs="Times New Roman"/>
                <w:color w:val="000000"/>
                <w:kern w:val="0"/>
                <w:sz w:val="20"/>
                <w:szCs w:val="20"/>
                <w14:ligatures w14:val="none"/>
              </w:rPr>
              <w:t>Yes</w:t>
            </w:r>
          </w:p>
        </w:tc>
        <w:tc>
          <w:tcPr>
            <w:tcW w:w="1545" w:type="dxa"/>
            <w:tcBorders>
              <w:top w:val="nil"/>
              <w:left w:val="nil"/>
              <w:bottom w:val="nil"/>
              <w:right w:val="nil"/>
            </w:tcBorders>
            <w:shd w:val="clear" w:color="000000" w:fill="FFFFFF"/>
            <w:vAlign w:val="center"/>
            <w:hideMark/>
          </w:tcPr>
          <w:p w14:paraId="1334B75C" w14:textId="3B8B29CA" w:rsidR="00AA6EAC" w:rsidRPr="008E6DCC" w:rsidRDefault="009A570A" w:rsidP="00133BCC">
            <w:pPr>
              <w:tabs>
                <w:tab w:val="decimal" w:pos="463"/>
                <w:tab w:val="decimal" w:pos="519"/>
              </w:tabs>
              <w:spacing w:after="0" w:line="240" w:lineRule="auto"/>
              <w:jc w:val="right"/>
              <w:rPr>
                <w:rFonts w:eastAsia="Times New Roman" w:cs="Times New Roman"/>
                <w:color w:val="000000"/>
                <w:kern w:val="0"/>
                <w:sz w:val="20"/>
                <w:szCs w:val="20"/>
                <w14:ligatures w14:val="none"/>
              </w:rPr>
            </w:pPr>
            <w:r>
              <w:rPr>
                <w:rFonts w:eastAsia="Times New Roman" w:cs="Times New Roman"/>
                <w:color w:val="000000"/>
                <w:kern w:val="0"/>
                <w:sz w:val="20"/>
                <w:szCs w:val="20"/>
                <w14:ligatures w14:val="none"/>
              </w:rPr>
              <w:t>179</w:t>
            </w:r>
          </w:p>
        </w:tc>
        <w:tc>
          <w:tcPr>
            <w:tcW w:w="1620" w:type="dxa"/>
            <w:tcBorders>
              <w:top w:val="nil"/>
              <w:left w:val="nil"/>
              <w:bottom w:val="nil"/>
            </w:tcBorders>
            <w:shd w:val="clear" w:color="000000" w:fill="FFFFFF"/>
            <w:vAlign w:val="center"/>
            <w:hideMark/>
          </w:tcPr>
          <w:p w14:paraId="686AF69F" w14:textId="1B2F8C8C" w:rsidR="00AA6EAC" w:rsidRPr="008E6DCC" w:rsidRDefault="009A570A" w:rsidP="00133BCC">
            <w:pPr>
              <w:tabs>
                <w:tab w:val="decimal" w:pos="362"/>
              </w:tabs>
              <w:spacing w:after="0" w:line="240" w:lineRule="auto"/>
              <w:jc w:val="center"/>
              <w:rPr>
                <w:rFonts w:eastAsia="Times New Roman" w:cs="Times New Roman"/>
                <w:color w:val="000000"/>
                <w:kern w:val="0"/>
                <w:sz w:val="20"/>
                <w:szCs w:val="20"/>
                <w14:ligatures w14:val="none"/>
              </w:rPr>
            </w:pPr>
            <w:r>
              <w:rPr>
                <w:rFonts w:eastAsia="Times New Roman" w:cs="Times New Roman"/>
                <w:color w:val="000000"/>
                <w:kern w:val="0"/>
                <w:sz w:val="20"/>
                <w:szCs w:val="20"/>
                <w14:ligatures w14:val="none"/>
              </w:rPr>
              <w:t>13.9</w:t>
            </w:r>
          </w:p>
        </w:tc>
        <w:tc>
          <w:tcPr>
            <w:tcW w:w="1350" w:type="dxa"/>
            <w:tcBorders>
              <w:top w:val="nil"/>
              <w:bottom w:val="nil"/>
              <w:right w:val="single" w:sz="12" w:space="0" w:color="auto"/>
            </w:tcBorders>
            <w:shd w:val="clear" w:color="000000" w:fill="FFFFFF"/>
            <w:vAlign w:val="center"/>
          </w:tcPr>
          <w:p w14:paraId="6A84266C" w14:textId="77777777" w:rsidR="00AA6EAC" w:rsidRPr="008E6DCC" w:rsidRDefault="00AA6EAC" w:rsidP="00133BCC">
            <w:pPr>
              <w:tabs>
                <w:tab w:val="decimal" w:pos="148"/>
              </w:tabs>
              <w:spacing w:after="0" w:line="240" w:lineRule="auto"/>
              <w:jc w:val="center"/>
              <w:rPr>
                <w:rFonts w:eastAsia="Times New Roman" w:cs="Times New Roman"/>
                <w:color w:val="000000"/>
                <w:kern w:val="0"/>
                <w:sz w:val="20"/>
                <w:szCs w:val="20"/>
                <w14:ligatures w14:val="none"/>
              </w:rPr>
            </w:pPr>
            <w:r>
              <w:rPr>
                <w:rFonts w:eastAsia="Times New Roman" w:cs="Times New Roman"/>
                <w:color w:val="000000"/>
                <w:kern w:val="0"/>
                <w:sz w:val="20"/>
                <w:szCs w:val="20"/>
                <w14:ligatures w14:val="none"/>
              </w:rPr>
              <w:t>30.8</w:t>
            </w:r>
          </w:p>
        </w:tc>
      </w:tr>
      <w:tr w:rsidR="00AA6EAC" w:rsidRPr="008E6DCC" w14:paraId="3A2EE174" w14:textId="77777777" w:rsidTr="004A258E">
        <w:trPr>
          <w:trHeight w:val="288"/>
        </w:trPr>
        <w:tc>
          <w:tcPr>
            <w:tcW w:w="3675" w:type="dxa"/>
            <w:tcBorders>
              <w:top w:val="nil"/>
              <w:left w:val="single" w:sz="12" w:space="0" w:color="auto"/>
              <w:bottom w:val="nil"/>
              <w:right w:val="nil"/>
            </w:tcBorders>
            <w:shd w:val="clear" w:color="000000" w:fill="FFFFFF"/>
            <w:vAlign w:val="center"/>
          </w:tcPr>
          <w:p w14:paraId="54706FA5" w14:textId="77777777" w:rsidR="00AA6EAC" w:rsidRPr="008E6DCC" w:rsidRDefault="00AA6EAC" w:rsidP="0030543A">
            <w:pPr>
              <w:spacing w:after="0" w:line="240" w:lineRule="auto"/>
              <w:rPr>
                <w:rFonts w:eastAsia="Times New Roman"/>
                <w:color w:val="000000"/>
                <w:sz w:val="20"/>
                <w:szCs w:val="20"/>
              </w:rPr>
            </w:pPr>
            <w:r w:rsidRPr="008E6DCC">
              <w:rPr>
                <w:rFonts w:eastAsia="Times New Roman" w:cs="Times New Roman"/>
                <w:b/>
                <w:bCs/>
                <w:color w:val="000000"/>
                <w:kern w:val="0"/>
                <w:sz w:val="20"/>
                <w:szCs w:val="20"/>
                <w14:ligatures w14:val="none"/>
              </w:rPr>
              <w:t xml:space="preserve">Number of </w:t>
            </w:r>
            <w:r>
              <w:rPr>
                <w:rFonts w:eastAsia="Times New Roman" w:cs="Times New Roman"/>
                <w:b/>
                <w:bCs/>
                <w:color w:val="000000"/>
                <w:kern w:val="0"/>
                <w:sz w:val="20"/>
                <w:szCs w:val="20"/>
                <w14:ligatures w14:val="none"/>
              </w:rPr>
              <w:t>w</w:t>
            </w:r>
            <w:r w:rsidRPr="008E6DCC">
              <w:rPr>
                <w:rFonts w:eastAsia="Times New Roman" w:cs="Times New Roman"/>
                <w:b/>
                <w:bCs/>
                <w:color w:val="000000"/>
                <w:kern w:val="0"/>
                <w:sz w:val="20"/>
                <w:szCs w:val="20"/>
                <w14:ligatures w14:val="none"/>
              </w:rPr>
              <w:t>orkers</w:t>
            </w:r>
          </w:p>
        </w:tc>
        <w:tc>
          <w:tcPr>
            <w:tcW w:w="1545" w:type="dxa"/>
            <w:tcBorders>
              <w:top w:val="nil"/>
              <w:left w:val="nil"/>
              <w:bottom w:val="nil"/>
              <w:right w:val="nil"/>
            </w:tcBorders>
            <w:shd w:val="clear" w:color="000000" w:fill="FFFFFF"/>
            <w:vAlign w:val="center"/>
          </w:tcPr>
          <w:p w14:paraId="7877EE32" w14:textId="5C48DE93" w:rsidR="00AA6EAC" w:rsidRPr="008E6DCC" w:rsidRDefault="00AA6EAC" w:rsidP="0030543A">
            <w:pPr>
              <w:spacing w:after="0" w:line="240" w:lineRule="auto"/>
              <w:jc w:val="center"/>
              <w:rPr>
                <w:rFonts w:eastAsia="Times New Roman"/>
                <w:color w:val="000000"/>
                <w:sz w:val="20"/>
                <w:szCs w:val="20"/>
              </w:rPr>
            </w:pPr>
          </w:p>
        </w:tc>
        <w:tc>
          <w:tcPr>
            <w:tcW w:w="1620" w:type="dxa"/>
            <w:tcBorders>
              <w:top w:val="nil"/>
              <w:left w:val="nil"/>
              <w:bottom w:val="nil"/>
            </w:tcBorders>
            <w:shd w:val="clear" w:color="000000" w:fill="FFFFFF"/>
            <w:vAlign w:val="center"/>
          </w:tcPr>
          <w:p w14:paraId="2BF9EB87" w14:textId="4419513D" w:rsidR="00AA6EAC" w:rsidRPr="008E6DCC" w:rsidRDefault="00AA6EAC" w:rsidP="00133BCC">
            <w:pPr>
              <w:tabs>
                <w:tab w:val="decimal" w:pos="362"/>
              </w:tabs>
              <w:spacing w:after="0" w:line="240" w:lineRule="auto"/>
              <w:jc w:val="center"/>
              <w:rPr>
                <w:rFonts w:eastAsia="Times New Roman"/>
                <w:color w:val="000000"/>
                <w:sz w:val="20"/>
                <w:szCs w:val="20"/>
              </w:rPr>
            </w:pPr>
          </w:p>
        </w:tc>
        <w:tc>
          <w:tcPr>
            <w:tcW w:w="1350" w:type="dxa"/>
            <w:tcBorders>
              <w:top w:val="nil"/>
              <w:bottom w:val="nil"/>
              <w:right w:val="single" w:sz="12" w:space="0" w:color="auto"/>
            </w:tcBorders>
            <w:shd w:val="clear" w:color="000000" w:fill="FFFFFF"/>
            <w:vAlign w:val="center"/>
          </w:tcPr>
          <w:p w14:paraId="2DCD5B28" w14:textId="77777777" w:rsidR="00AA6EAC" w:rsidRDefault="00AA6EAC" w:rsidP="00133BCC">
            <w:pPr>
              <w:tabs>
                <w:tab w:val="decimal" w:pos="148"/>
              </w:tabs>
              <w:spacing w:after="0" w:line="240" w:lineRule="auto"/>
              <w:jc w:val="center"/>
              <w:rPr>
                <w:rFonts w:eastAsia="Times New Roman"/>
                <w:color w:val="000000"/>
                <w:sz w:val="20"/>
                <w:szCs w:val="20"/>
              </w:rPr>
            </w:pPr>
          </w:p>
        </w:tc>
      </w:tr>
      <w:tr w:rsidR="00AA6EAC" w:rsidRPr="008E6DCC" w14:paraId="36B54659" w14:textId="77777777" w:rsidTr="004A258E">
        <w:trPr>
          <w:trHeight w:val="288"/>
        </w:trPr>
        <w:tc>
          <w:tcPr>
            <w:tcW w:w="3675" w:type="dxa"/>
            <w:tcBorders>
              <w:top w:val="nil"/>
              <w:left w:val="single" w:sz="12" w:space="0" w:color="auto"/>
              <w:bottom w:val="nil"/>
              <w:right w:val="nil"/>
            </w:tcBorders>
            <w:shd w:val="clear" w:color="000000" w:fill="FFFFFF"/>
            <w:vAlign w:val="center"/>
          </w:tcPr>
          <w:p w14:paraId="338BE367" w14:textId="77777777" w:rsidR="00AA6EAC" w:rsidRPr="008E6DCC" w:rsidRDefault="00AA6EAC" w:rsidP="0030543A">
            <w:pPr>
              <w:spacing w:after="0" w:line="240" w:lineRule="auto"/>
              <w:ind w:firstLineChars="200" w:firstLine="400"/>
              <w:rPr>
                <w:rFonts w:eastAsia="Times New Roman"/>
                <w:color w:val="000000"/>
                <w:sz w:val="20"/>
                <w:szCs w:val="20"/>
              </w:rPr>
            </w:pPr>
            <w:r w:rsidRPr="008E6DCC">
              <w:rPr>
                <w:rFonts w:eastAsia="Times New Roman" w:cs="Times New Roman"/>
                <w:color w:val="000000"/>
                <w:kern w:val="0"/>
                <w:sz w:val="20"/>
                <w:szCs w:val="20"/>
                <w14:ligatures w14:val="none"/>
              </w:rPr>
              <w:t>0</w:t>
            </w:r>
          </w:p>
        </w:tc>
        <w:tc>
          <w:tcPr>
            <w:tcW w:w="1545" w:type="dxa"/>
            <w:tcBorders>
              <w:top w:val="nil"/>
              <w:left w:val="nil"/>
              <w:bottom w:val="nil"/>
              <w:right w:val="nil"/>
            </w:tcBorders>
            <w:shd w:val="clear" w:color="000000" w:fill="FFFFFF"/>
            <w:vAlign w:val="center"/>
          </w:tcPr>
          <w:p w14:paraId="189FAC1B" w14:textId="3E531929" w:rsidR="00AA6EAC" w:rsidRPr="008E6DCC" w:rsidRDefault="00385C07" w:rsidP="00133BCC">
            <w:pPr>
              <w:tabs>
                <w:tab w:val="decimal" w:pos="463"/>
                <w:tab w:val="decimal" w:pos="519"/>
              </w:tabs>
              <w:spacing w:after="0" w:line="240" w:lineRule="auto"/>
              <w:jc w:val="right"/>
              <w:rPr>
                <w:rFonts w:eastAsia="Times New Roman"/>
                <w:color w:val="000000"/>
                <w:sz w:val="20"/>
                <w:szCs w:val="20"/>
              </w:rPr>
            </w:pPr>
            <w:r>
              <w:rPr>
                <w:rFonts w:eastAsia="Times New Roman" w:cs="Times New Roman"/>
                <w:color w:val="000000"/>
                <w:kern w:val="0"/>
                <w:sz w:val="20"/>
                <w:szCs w:val="20"/>
                <w14:ligatures w14:val="none"/>
              </w:rPr>
              <w:t>236</w:t>
            </w:r>
          </w:p>
        </w:tc>
        <w:tc>
          <w:tcPr>
            <w:tcW w:w="1620" w:type="dxa"/>
            <w:tcBorders>
              <w:top w:val="nil"/>
              <w:left w:val="nil"/>
              <w:bottom w:val="nil"/>
            </w:tcBorders>
            <w:shd w:val="clear" w:color="000000" w:fill="FFFFFF"/>
            <w:vAlign w:val="center"/>
          </w:tcPr>
          <w:p w14:paraId="409A3870" w14:textId="31DBC13D" w:rsidR="00AA6EAC" w:rsidRPr="008E6DCC" w:rsidRDefault="00385C07" w:rsidP="00133BCC">
            <w:pPr>
              <w:tabs>
                <w:tab w:val="decimal" w:pos="362"/>
              </w:tabs>
              <w:spacing w:after="0" w:line="240" w:lineRule="auto"/>
              <w:jc w:val="center"/>
              <w:rPr>
                <w:rFonts w:eastAsia="Times New Roman"/>
                <w:color w:val="000000"/>
                <w:sz w:val="20"/>
                <w:szCs w:val="20"/>
              </w:rPr>
            </w:pPr>
            <w:r>
              <w:rPr>
                <w:rFonts w:eastAsia="Times New Roman" w:cs="Times New Roman"/>
                <w:color w:val="000000"/>
                <w:kern w:val="0"/>
                <w:sz w:val="20"/>
                <w:szCs w:val="20"/>
                <w14:ligatures w14:val="none"/>
              </w:rPr>
              <w:t>18.4</w:t>
            </w:r>
          </w:p>
        </w:tc>
        <w:tc>
          <w:tcPr>
            <w:tcW w:w="1350" w:type="dxa"/>
            <w:tcBorders>
              <w:top w:val="nil"/>
              <w:bottom w:val="nil"/>
              <w:right w:val="single" w:sz="12" w:space="0" w:color="auto"/>
            </w:tcBorders>
            <w:shd w:val="clear" w:color="000000" w:fill="FFFFFF"/>
            <w:vAlign w:val="center"/>
          </w:tcPr>
          <w:p w14:paraId="7773F61A" w14:textId="77777777" w:rsidR="00AA6EAC" w:rsidRDefault="00AA6EAC" w:rsidP="00133BCC">
            <w:pPr>
              <w:tabs>
                <w:tab w:val="decimal" w:pos="148"/>
              </w:tabs>
              <w:spacing w:after="0" w:line="240" w:lineRule="auto"/>
              <w:jc w:val="center"/>
              <w:rPr>
                <w:rFonts w:eastAsia="Times New Roman"/>
                <w:color w:val="000000"/>
                <w:sz w:val="20"/>
                <w:szCs w:val="20"/>
              </w:rPr>
            </w:pPr>
            <w:r>
              <w:rPr>
                <w:rFonts w:eastAsia="Times New Roman" w:cs="Times New Roman"/>
                <w:color w:val="000000"/>
                <w:kern w:val="0"/>
                <w:sz w:val="20"/>
                <w:szCs w:val="20"/>
                <w14:ligatures w14:val="none"/>
              </w:rPr>
              <w:t>29.2</w:t>
            </w:r>
          </w:p>
        </w:tc>
      </w:tr>
      <w:tr w:rsidR="00AA6EAC" w:rsidRPr="008E6DCC" w14:paraId="76AFBDAF" w14:textId="77777777" w:rsidTr="004A258E">
        <w:trPr>
          <w:trHeight w:val="288"/>
        </w:trPr>
        <w:tc>
          <w:tcPr>
            <w:tcW w:w="3675" w:type="dxa"/>
            <w:tcBorders>
              <w:top w:val="nil"/>
              <w:left w:val="single" w:sz="12" w:space="0" w:color="auto"/>
              <w:bottom w:val="nil"/>
              <w:right w:val="nil"/>
            </w:tcBorders>
            <w:shd w:val="clear" w:color="000000" w:fill="FFFFFF"/>
            <w:vAlign w:val="center"/>
          </w:tcPr>
          <w:p w14:paraId="63588465" w14:textId="77777777" w:rsidR="00AA6EAC" w:rsidRPr="008E6DCC" w:rsidRDefault="00AA6EAC" w:rsidP="0030543A">
            <w:pPr>
              <w:spacing w:after="0" w:line="240" w:lineRule="auto"/>
              <w:ind w:firstLineChars="200" w:firstLine="400"/>
              <w:rPr>
                <w:rFonts w:eastAsia="Times New Roman"/>
                <w:color w:val="000000"/>
                <w:sz w:val="20"/>
                <w:szCs w:val="20"/>
              </w:rPr>
            </w:pPr>
            <w:r w:rsidRPr="008E6DCC">
              <w:rPr>
                <w:rFonts w:eastAsia="Times New Roman" w:cs="Times New Roman"/>
                <w:color w:val="000000"/>
                <w:kern w:val="0"/>
                <w:sz w:val="20"/>
                <w:szCs w:val="20"/>
                <w14:ligatures w14:val="none"/>
              </w:rPr>
              <w:t>1+</w:t>
            </w:r>
          </w:p>
        </w:tc>
        <w:tc>
          <w:tcPr>
            <w:tcW w:w="1545" w:type="dxa"/>
            <w:tcBorders>
              <w:top w:val="nil"/>
              <w:left w:val="nil"/>
              <w:bottom w:val="nil"/>
              <w:right w:val="nil"/>
            </w:tcBorders>
            <w:shd w:val="clear" w:color="000000" w:fill="FFFFFF"/>
            <w:vAlign w:val="center"/>
          </w:tcPr>
          <w:p w14:paraId="55DBFC25" w14:textId="5E06439E" w:rsidR="00AA6EAC" w:rsidRPr="008E6DCC" w:rsidRDefault="00385C07" w:rsidP="00133BCC">
            <w:pPr>
              <w:tabs>
                <w:tab w:val="decimal" w:pos="463"/>
                <w:tab w:val="decimal" w:pos="519"/>
              </w:tabs>
              <w:spacing w:after="0" w:line="240" w:lineRule="auto"/>
              <w:jc w:val="right"/>
              <w:rPr>
                <w:rFonts w:eastAsia="Times New Roman"/>
                <w:color w:val="000000"/>
                <w:sz w:val="20"/>
                <w:szCs w:val="20"/>
              </w:rPr>
            </w:pPr>
            <w:r>
              <w:rPr>
                <w:rFonts w:eastAsia="Times New Roman" w:cs="Times New Roman"/>
                <w:color w:val="000000"/>
                <w:kern w:val="0"/>
                <w:sz w:val="20"/>
                <w:szCs w:val="20"/>
                <w14:ligatures w14:val="none"/>
              </w:rPr>
              <w:t>1048</w:t>
            </w:r>
          </w:p>
        </w:tc>
        <w:tc>
          <w:tcPr>
            <w:tcW w:w="1620" w:type="dxa"/>
            <w:tcBorders>
              <w:top w:val="nil"/>
              <w:left w:val="nil"/>
              <w:bottom w:val="nil"/>
            </w:tcBorders>
            <w:shd w:val="clear" w:color="000000" w:fill="FFFFFF"/>
            <w:vAlign w:val="center"/>
          </w:tcPr>
          <w:p w14:paraId="7364EF08" w14:textId="034AEF7E" w:rsidR="00AA6EAC" w:rsidRPr="008E6DCC" w:rsidRDefault="00385C07" w:rsidP="00133BCC">
            <w:pPr>
              <w:tabs>
                <w:tab w:val="decimal" w:pos="362"/>
              </w:tabs>
              <w:spacing w:after="0" w:line="240" w:lineRule="auto"/>
              <w:jc w:val="center"/>
              <w:rPr>
                <w:rFonts w:eastAsia="Times New Roman"/>
                <w:color w:val="000000"/>
                <w:sz w:val="20"/>
                <w:szCs w:val="20"/>
              </w:rPr>
            </w:pPr>
            <w:r>
              <w:rPr>
                <w:rFonts w:eastAsia="Times New Roman" w:cs="Times New Roman"/>
                <w:color w:val="000000"/>
                <w:kern w:val="0"/>
                <w:sz w:val="20"/>
                <w:szCs w:val="20"/>
                <w14:ligatures w14:val="none"/>
              </w:rPr>
              <w:t>81.6</w:t>
            </w:r>
          </w:p>
        </w:tc>
        <w:tc>
          <w:tcPr>
            <w:tcW w:w="1350" w:type="dxa"/>
            <w:tcBorders>
              <w:top w:val="nil"/>
              <w:bottom w:val="nil"/>
              <w:right w:val="single" w:sz="12" w:space="0" w:color="auto"/>
            </w:tcBorders>
            <w:shd w:val="clear" w:color="000000" w:fill="FFFFFF"/>
            <w:vAlign w:val="center"/>
          </w:tcPr>
          <w:p w14:paraId="0232ECB6" w14:textId="77777777" w:rsidR="00AA6EAC" w:rsidRDefault="00AA6EAC" w:rsidP="00133BCC">
            <w:pPr>
              <w:tabs>
                <w:tab w:val="decimal" w:pos="148"/>
              </w:tabs>
              <w:spacing w:after="0" w:line="240" w:lineRule="auto"/>
              <w:jc w:val="center"/>
              <w:rPr>
                <w:rFonts w:eastAsia="Times New Roman"/>
                <w:color w:val="000000"/>
                <w:sz w:val="20"/>
                <w:szCs w:val="20"/>
              </w:rPr>
            </w:pPr>
            <w:r>
              <w:rPr>
                <w:rFonts w:eastAsia="Times New Roman" w:cs="Times New Roman"/>
                <w:color w:val="000000"/>
                <w:kern w:val="0"/>
                <w:sz w:val="20"/>
                <w:szCs w:val="20"/>
                <w14:ligatures w14:val="none"/>
              </w:rPr>
              <w:t>70.8</w:t>
            </w:r>
          </w:p>
        </w:tc>
      </w:tr>
      <w:tr w:rsidR="00AA6EAC" w:rsidRPr="008E6DCC" w14:paraId="4FA76B12" w14:textId="77777777" w:rsidTr="004A258E">
        <w:trPr>
          <w:trHeight w:val="288"/>
        </w:trPr>
        <w:tc>
          <w:tcPr>
            <w:tcW w:w="5220" w:type="dxa"/>
            <w:gridSpan w:val="2"/>
            <w:tcBorders>
              <w:top w:val="nil"/>
              <w:left w:val="single" w:sz="12" w:space="0" w:color="auto"/>
              <w:bottom w:val="nil"/>
              <w:right w:val="nil"/>
            </w:tcBorders>
            <w:shd w:val="clear" w:color="000000" w:fill="FFFFFF"/>
            <w:vAlign w:val="center"/>
          </w:tcPr>
          <w:p w14:paraId="4F0CCBED" w14:textId="77777777" w:rsidR="00AA6EAC" w:rsidRDefault="00AA6EAC" w:rsidP="0030543A">
            <w:pPr>
              <w:spacing w:after="0" w:line="240" w:lineRule="auto"/>
              <w:rPr>
                <w:rFonts w:eastAsia="Times New Roman" w:cs="Times New Roman"/>
                <w:b/>
                <w:bCs/>
                <w:color w:val="000000"/>
                <w:kern w:val="0"/>
                <w:sz w:val="20"/>
                <w:szCs w:val="20"/>
                <w14:ligatures w14:val="none"/>
              </w:rPr>
            </w:pPr>
            <w:r w:rsidRPr="008E6DCC">
              <w:rPr>
                <w:rFonts w:eastAsia="Times New Roman" w:cs="Times New Roman"/>
                <w:b/>
                <w:bCs/>
                <w:color w:val="000000"/>
                <w:kern w:val="0"/>
                <w:sz w:val="20"/>
                <w:szCs w:val="20"/>
                <w14:ligatures w14:val="none"/>
              </w:rPr>
              <w:t xml:space="preserve">Highest level of education achieved by </w:t>
            </w:r>
          </w:p>
          <w:p w14:paraId="38F81C7D" w14:textId="77777777" w:rsidR="00AA6EAC" w:rsidRPr="009415F4" w:rsidRDefault="00AA6EAC" w:rsidP="0030543A">
            <w:pPr>
              <w:spacing w:after="0" w:line="240" w:lineRule="auto"/>
              <w:rPr>
                <w:rFonts w:eastAsia="Times New Roman" w:cs="Times New Roman"/>
                <w:b/>
                <w:bCs/>
                <w:color w:val="000000"/>
                <w:kern w:val="0"/>
                <w:sz w:val="20"/>
                <w:szCs w:val="20"/>
                <w14:ligatures w14:val="none"/>
              </w:rPr>
            </w:pPr>
            <w:r w:rsidRPr="008E6DCC">
              <w:rPr>
                <w:rFonts w:eastAsia="Times New Roman" w:cs="Times New Roman"/>
                <w:b/>
                <w:bCs/>
                <w:color w:val="000000"/>
                <w:kern w:val="0"/>
                <w:sz w:val="20"/>
                <w:szCs w:val="20"/>
                <w14:ligatures w14:val="none"/>
              </w:rPr>
              <w:t>any household member </w:t>
            </w:r>
          </w:p>
        </w:tc>
        <w:tc>
          <w:tcPr>
            <w:tcW w:w="1620" w:type="dxa"/>
            <w:tcBorders>
              <w:top w:val="nil"/>
              <w:left w:val="nil"/>
              <w:bottom w:val="nil"/>
            </w:tcBorders>
            <w:shd w:val="clear" w:color="000000" w:fill="FFFFFF"/>
            <w:vAlign w:val="center"/>
          </w:tcPr>
          <w:p w14:paraId="2169B5A3" w14:textId="77777777" w:rsidR="00AA6EAC" w:rsidRPr="008E6DCC" w:rsidRDefault="00AA6EAC" w:rsidP="00133BCC">
            <w:pPr>
              <w:tabs>
                <w:tab w:val="decimal" w:pos="362"/>
              </w:tabs>
              <w:spacing w:after="0" w:line="240" w:lineRule="auto"/>
              <w:jc w:val="center"/>
              <w:rPr>
                <w:rFonts w:eastAsia="Times New Roman" w:cs="Times New Roman"/>
                <w:color w:val="000000"/>
                <w:kern w:val="0"/>
                <w:sz w:val="20"/>
                <w:szCs w:val="20"/>
                <w14:ligatures w14:val="none"/>
              </w:rPr>
            </w:pPr>
          </w:p>
        </w:tc>
        <w:tc>
          <w:tcPr>
            <w:tcW w:w="1350" w:type="dxa"/>
            <w:tcBorders>
              <w:top w:val="nil"/>
              <w:bottom w:val="nil"/>
              <w:right w:val="single" w:sz="12" w:space="0" w:color="auto"/>
            </w:tcBorders>
            <w:shd w:val="clear" w:color="000000" w:fill="FFFFFF"/>
            <w:vAlign w:val="center"/>
          </w:tcPr>
          <w:p w14:paraId="6F69F9F7" w14:textId="77777777" w:rsidR="00AA6EAC" w:rsidRPr="008E6DCC" w:rsidRDefault="00AA6EAC" w:rsidP="00133BCC">
            <w:pPr>
              <w:tabs>
                <w:tab w:val="decimal" w:pos="148"/>
              </w:tabs>
              <w:spacing w:after="0" w:line="240" w:lineRule="auto"/>
              <w:jc w:val="center"/>
              <w:rPr>
                <w:rFonts w:eastAsia="Times New Roman" w:cs="Times New Roman"/>
                <w:color w:val="000000"/>
                <w:kern w:val="0"/>
                <w:sz w:val="20"/>
                <w:szCs w:val="20"/>
                <w14:ligatures w14:val="none"/>
              </w:rPr>
            </w:pPr>
          </w:p>
        </w:tc>
      </w:tr>
      <w:tr w:rsidR="00AA6EAC" w:rsidRPr="008E6DCC" w14:paraId="3503C350" w14:textId="77777777" w:rsidTr="004A258E">
        <w:trPr>
          <w:trHeight w:val="288"/>
        </w:trPr>
        <w:tc>
          <w:tcPr>
            <w:tcW w:w="3675" w:type="dxa"/>
            <w:tcBorders>
              <w:top w:val="nil"/>
              <w:left w:val="single" w:sz="12" w:space="0" w:color="auto"/>
              <w:bottom w:val="nil"/>
              <w:right w:val="nil"/>
            </w:tcBorders>
            <w:shd w:val="clear" w:color="000000" w:fill="FFFFFF"/>
            <w:vAlign w:val="center"/>
          </w:tcPr>
          <w:p w14:paraId="64C37292" w14:textId="77777777" w:rsidR="00AA6EAC" w:rsidRPr="008E6DCC" w:rsidRDefault="00AA6EAC" w:rsidP="0030543A">
            <w:pPr>
              <w:spacing w:after="0" w:line="240" w:lineRule="auto"/>
              <w:rPr>
                <w:rFonts w:eastAsia="Times New Roman" w:cs="Times New Roman"/>
                <w:color w:val="000000"/>
                <w:kern w:val="0"/>
                <w:sz w:val="20"/>
                <w:szCs w:val="20"/>
                <w14:ligatures w14:val="none"/>
              </w:rPr>
            </w:pPr>
            <w:r>
              <w:rPr>
                <w:rFonts w:eastAsia="Times New Roman" w:cs="Times New Roman"/>
                <w:color w:val="000000"/>
                <w:kern w:val="0"/>
                <w:sz w:val="20"/>
                <w:szCs w:val="20"/>
                <w14:ligatures w14:val="none"/>
              </w:rPr>
              <w:t xml:space="preserve">        </w:t>
            </w:r>
            <w:r w:rsidRPr="008E6DCC">
              <w:rPr>
                <w:rFonts w:eastAsia="Times New Roman" w:cs="Times New Roman"/>
                <w:color w:val="000000"/>
                <w:kern w:val="0"/>
                <w:sz w:val="20"/>
                <w:szCs w:val="20"/>
                <w14:ligatures w14:val="none"/>
              </w:rPr>
              <w:t>Less than bachelor’s degree</w:t>
            </w:r>
          </w:p>
        </w:tc>
        <w:tc>
          <w:tcPr>
            <w:tcW w:w="1545" w:type="dxa"/>
            <w:tcBorders>
              <w:top w:val="nil"/>
              <w:left w:val="nil"/>
              <w:bottom w:val="nil"/>
              <w:right w:val="nil"/>
            </w:tcBorders>
            <w:shd w:val="clear" w:color="000000" w:fill="FFFFFF"/>
            <w:vAlign w:val="center"/>
          </w:tcPr>
          <w:p w14:paraId="390F2D7F" w14:textId="42FC8A72" w:rsidR="00AA6EAC" w:rsidRPr="008E6DCC" w:rsidRDefault="00914CD0" w:rsidP="00133BCC">
            <w:pPr>
              <w:tabs>
                <w:tab w:val="decimal" w:pos="463"/>
                <w:tab w:val="decimal" w:pos="519"/>
              </w:tabs>
              <w:spacing w:after="0" w:line="240" w:lineRule="auto"/>
              <w:jc w:val="right"/>
              <w:rPr>
                <w:rFonts w:eastAsia="Times New Roman" w:cs="Times New Roman"/>
                <w:color w:val="000000"/>
                <w:kern w:val="0"/>
                <w:sz w:val="20"/>
                <w:szCs w:val="20"/>
                <w14:ligatures w14:val="none"/>
              </w:rPr>
            </w:pPr>
            <w:r>
              <w:rPr>
                <w:rFonts w:eastAsia="Times New Roman" w:cs="Times New Roman"/>
                <w:color w:val="000000"/>
                <w:kern w:val="0"/>
                <w:sz w:val="20"/>
                <w:szCs w:val="20"/>
                <w14:ligatures w14:val="none"/>
              </w:rPr>
              <w:t>446</w:t>
            </w:r>
          </w:p>
        </w:tc>
        <w:tc>
          <w:tcPr>
            <w:tcW w:w="1620" w:type="dxa"/>
            <w:tcBorders>
              <w:top w:val="nil"/>
              <w:left w:val="nil"/>
              <w:bottom w:val="nil"/>
            </w:tcBorders>
            <w:shd w:val="clear" w:color="000000" w:fill="FFFFFF"/>
            <w:vAlign w:val="center"/>
          </w:tcPr>
          <w:p w14:paraId="16512E8A" w14:textId="5FF781F6" w:rsidR="00AA6EAC" w:rsidRPr="008E6DCC" w:rsidRDefault="00AA6EAC" w:rsidP="00133BCC">
            <w:pPr>
              <w:tabs>
                <w:tab w:val="decimal" w:pos="362"/>
              </w:tabs>
              <w:spacing w:after="0" w:line="240" w:lineRule="auto"/>
              <w:jc w:val="center"/>
              <w:rPr>
                <w:rFonts w:eastAsia="Times New Roman" w:cs="Times New Roman"/>
                <w:color w:val="000000"/>
                <w:kern w:val="0"/>
                <w:sz w:val="20"/>
                <w:szCs w:val="20"/>
                <w14:ligatures w14:val="none"/>
              </w:rPr>
            </w:pPr>
            <w:r w:rsidRPr="008E6DCC">
              <w:rPr>
                <w:rFonts w:eastAsia="Times New Roman" w:cs="Times New Roman"/>
                <w:color w:val="000000"/>
                <w:kern w:val="0"/>
                <w:sz w:val="20"/>
                <w:szCs w:val="20"/>
                <w14:ligatures w14:val="none"/>
              </w:rPr>
              <w:t>3</w:t>
            </w:r>
            <w:r w:rsidR="00914CD0">
              <w:rPr>
                <w:rFonts w:eastAsia="Times New Roman" w:cs="Times New Roman"/>
                <w:color w:val="000000"/>
                <w:kern w:val="0"/>
                <w:sz w:val="20"/>
                <w:szCs w:val="20"/>
                <w14:ligatures w14:val="none"/>
              </w:rPr>
              <w:t>4</w:t>
            </w:r>
            <w:r w:rsidRPr="008E6DCC">
              <w:rPr>
                <w:rFonts w:eastAsia="Times New Roman" w:cs="Times New Roman"/>
                <w:color w:val="000000"/>
                <w:kern w:val="0"/>
                <w:sz w:val="20"/>
                <w:szCs w:val="20"/>
                <w14:ligatures w14:val="none"/>
              </w:rPr>
              <w:t>.</w:t>
            </w:r>
            <w:r w:rsidR="00914CD0">
              <w:rPr>
                <w:rFonts w:eastAsia="Times New Roman" w:cs="Times New Roman"/>
                <w:color w:val="000000"/>
                <w:kern w:val="0"/>
                <w:sz w:val="20"/>
                <w:szCs w:val="20"/>
                <w14:ligatures w14:val="none"/>
              </w:rPr>
              <w:t>7</w:t>
            </w:r>
          </w:p>
        </w:tc>
        <w:tc>
          <w:tcPr>
            <w:tcW w:w="1350" w:type="dxa"/>
            <w:tcBorders>
              <w:top w:val="nil"/>
              <w:bottom w:val="nil"/>
              <w:right w:val="single" w:sz="12" w:space="0" w:color="auto"/>
            </w:tcBorders>
            <w:shd w:val="clear" w:color="000000" w:fill="FFFFFF"/>
            <w:vAlign w:val="center"/>
          </w:tcPr>
          <w:p w14:paraId="43732FF6" w14:textId="77777777" w:rsidR="00AA6EAC" w:rsidRPr="008E6DCC" w:rsidRDefault="00AA6EAC" w:rsidP="00133BCC">
            <w:pPr>
              <w:tabs>
                <w:tab w:val="decimal" w:pos="148"/>
              </w:tabs>
              <w:spacing w:after="0" w:line="240" w:lineRule="auto"/>
              <w:jc w:val="center"/>
              <w:rPr>
                <w:rFonts w:eastAsia="Times New Roman" w:cs="Times New Roman"/>
                <w:color w:val="000000"/>
                <w:kern w:val="0"/>
                <w:sz w:val="20"/>
                <w:szCs w:val="20"/>
                <w14:ligatures w14:val="none"/>
              </w:rPr>
            </w:pPr>
            <w:r>
              <w:rPr>
                <w:rFonts w:eastAsia="Times New Roman" w:cs="Times New Roman"/>
                <w:color w:val="000000"/>
                <w:kern w:val="0"/>
                <w:sz w:val="20"/>
                <w:szCs w:val="20"/>
                <w14:ligatures w14:val="none"/>
              </w:rPr>
              <w:t>75.6</w:t>
            </w:r>
          </w:p>
        </w:tc>
      </w:tr>
      <w:tr w:rsidR="00AA6EAC" w:rsidRPr="008E6DCC" w14:paraId="08E97293" w14:textId="77777777" w:rsidTr="004A258E">
        <w:trPr>
          <w:trHeight w:val="288"/>
        </w:trPr>
        <w:tc>
          <w:tcPr>
            <w:tcW w:w="3675" w:type="dxa"/>
            <w:tcBorders>
              <w:top w:val="nil"/>
              <w:left w:val="single" w:sz="12" w:space="0" w:color="auto"/>
              <w:right w:val="nil"/>
            </w:tcBorders>
            <w:shd w:val="clear" w:color="000000" w:fill="FFFFFF"/>
            <w:vAlign w:val="center"/>
          </w:tcPr>
          <w:p w14:paraId="6C68B0D2" w14:textId="513235B3" w:rsidR="00AA6EAC" w:rsidRPr="008E6DCC" w:rsidRDefault="00AA6EAC" w:rsidP="0030543A">
            <w:pPr>
              <w:spacing w:after="0" w:line="240" w:lineRule="auto"/>
              <w:ind w:firstLineChars="200" w:firstLine="400"/>
              <w:rPr>
                <w:rFonts w:eastAsia="Times New Roman" w:cs="Times New Roman"/>
                <w:color w:val="000000"/>
                <w:kern w:val="0"/>
                <w:sz w:val="20"/>
                <w:szCs w:val="20"/>
                <w14:ligatures w14:val="none"/>
              </w:rPr>
            </w:pPr>
            <w:r w:rsidRPr="008E6DCC">
              <w:rPr>
                <w:rFonts w:eastAsia="Times New Roman" w:cs="Times New Roman"/>
                <w:color w:val="000000"/>
                <w:kern w:val="0"/>
                <w:sz w:val="20"/>
                <w:szCs w:val="20"/>
                <w14:ligatures w14:val="none"/>
              </w:rPr>
              <w:t>Bachelor</w:t>
            </w:r>
            <w:r w:rsidR="004A258E">
              <w:rPr>
                <w:rFonts w:eastAsia="Times New Roman" w:cs="Times New Roman"/>
                <w:color w:val="000000"/>
                <w:kern w:val="0"/>
                <w:sz w:val="20"/>
                <w:szCs w:val="20"/>
                <w14:ligatures w14:val="none"/>
              </w:rPr>
              <w:t>’</w:t>
            </w:r>
            <w:r w:rsidRPr="008E6DCC">
              <w:rPr>
                <w:rFonts w:eastAsia="Times New Roman" w:cs="Times New Roman"/>
                <w:color w:val="000000"/>
                <w:kern w:val="0"/>
                <w:sz w:val="20"/>
                <w:szCs w:val="20"/>
                <w14:ligatures w14:val="none"/>
              </w:rPr>
              <w:t>s degree</w:t>
            </w:r>
          </w:p>
        </w:tc>
        <w:tc>
          <w:tcPr>
            <w:tcW w:w="1545" w:type="dxa"/>
            <w:tcBorders>
              <w:top w:val="nil"/>
              <w:left w:val="nil"/>
              <w:right w:val="nil"/>
            </w:tcBorders>
            <w:shd w:val="clear" w:color="000000" w:fill="FFFFFF"/>
            <w:vAlign w:val="center"/>
          </w:tcPr>
          <w:p w14:paraId="0754638D" w14:textId="68834947" w:rsidR="00AA6EAC" w:rsidRPr="008E6DCC" w:rsidRDefault="000835F3" w:rsidP="00133BCC">
            <w:pPr>
              <w:tabs>
                <w:tab w:val="decimal" w:pos="463"/>
                <w:tab w:val="decimal" w:pos="519"/>
              </w:tabs>
              <w:spacing w:after="0" w:line="240" w:lineRule="auto"/>
              <w:jc w:val="right"/>
              <w:rPr>
                <w:rFonts w:eastAsia="Times New Roman" w:cs="Times New Roman"/>
                <w:color w:val="000000"/>
                <w:kern w:val="0"/>
                <w:sz w:val="20"/>
                <w:szCs w:val="20"/>
                <w14:ligatures w14:val="none"/>
              </w:rPr>
            </w:pPr>
            <w:r>
              <w:rPr>
                <w:rFonts w:eastAsia="Times New Roman" w:cs="Times New Roman"/>
                <w:color w:val="000000"/>
                <w:kern w:val="0"/>
                <w:sz w:val="20"/>
                <w:szCs w:val="20"/>
                <w14:ligatures w14:val="none"/>
              </w:rPr>
              <w:t>443</w:t>
            </w:r>
          </w:p>
        </w:tc>
        <w:tc>
          <w:tcPr>
            <w:tcW w:w="1620" w:type="dxa"/>
            <w:tcBorders>
              <w:top w:val="nil"/>
              <w:left w:val="nil"/>
            </w:tcBorders>
            <w:shd w:val="clear" w:color="000000" w:fill="FFFFFF"/>
            <w:vAlign w:val="center"/>
          </w:tcPr>
          <w:p w14:paraId="4B7BC40E" w14:textId="47867156" w:rsidR="00AA6EAC" w:rsidRPr="008E6DCC" w:rsidRDefault="00AA6EAC" w:rsidP="00133BCC">
            <w:pPr>
              <w:tabs>
                <w:tab w:val="decimal" w:pos="362"/>
              </w:tabs>
              <w:spacing w:after="0" w:line="240" w:lineRule="auto"/>
              <w:jc w:val="center"/>
              <w:rPr>
                <w:rFonts w:eastAsia="Times New Roman" w:cs="Times New Roman"/>
                <w:color w:val="000000"/>
                <w:kern w:val="0"/>
                <w:sz w:val="20"/>
                <w:szCs w:val="20"/>
                <w14:ligatures w14:val="none"/>
              </w:rPr>
            </w:pPr>
            <w:r w:rsidRPr="008E6DCC">
              <w:rPr>
                <w:rFonts w:eastAsia="Times New Roman" w:cs="Times New Roman"/>
                <w:color w:val="000000"/>
                <w:kern w:val="0"/>
                <w:sz w:val="20"/>
                <w:szCs w:val="20"/>
                <w14:ligatures w14:val="none"/>
              </w:rPr>
              <w:t>3</w:t>
            </w:r>
            <w:r>
              <w:rPr>
                <w:rFonts w:eastAsia="Times New Roman" w:cs="Times New Roman"/>
                <w:color w:val="000000"/>
                <w:kern w:val="0"/>
                <w:sz w:val="20"/>
                <w:szCs w:val="20"/>
                <w14:ligatures w14:val="none"/>
              </w:rPr>
              <w:t>4.</w:t>
            </w:r>
            <w:r w:rsidR="000835F3">
              <w:rPr>
                <w:rFonts w:eastAsia="Times New Roman" w:cs="Times New Roman"/>
                <w:color w:val="000000"/>
                <w:kern w:val="0"/>
                <w:sz w:val="20"/>
                <w:szCs w:val="20"/>
                <w14:ligatures w14:val="none"/>
              </w:rPr>
              <w:t>5</w:t>
            </w:r>
          </w:p>
        </w:tc>
        <w:tc>
          <w:tcPr>
            <w:tcW w:w="1350" w:type="dxa"/>
            <w:tcBorders>
              <w:top w:val="nil"/>
              <w:right w:val="single" w:sz="12" w:space="0" w:color="auto"/>
            </w:tcBorders>
            <w:shd w:val="clear" w:color="000000" w:fill="FFFFFF"/>
            <w:vAlign w:val="center"/>
          </w:tcPr>
          <w:p w14:paraId="661D30E3" w14:textId="77777777" w:rsidR="00AA6EAC" w:rsidRPr="008E6DCC" w:rsidRDefault="00AA6EAC" w:rsidP="00133BCC">
            <w:pPr>
              <w:tabs>
                <w:tab w:val="decimal" w:pos="148"/>
              </w:tabs>
              <w:spacing w:after="0" w:line="240" w:lineRule="auto"/>
              <w:jc w:val="center"/>
              <w:rPr>
                <w:rFonts w:eastAsia="Times New Roman" w:cs="Times New Roman"/>
                <w:color w:val="000000"/>
                <w:kern w:val="0"/>
                <w:sz w:val="20"/>
                <w:szCs w:val="20"/>
                <w14:ligatures w14:val="none"/>
              </w:rPr>
            </w:pPr>
            <w:r>
              <w:rPr>
                <w:rFonts w:eastAsia="Times New Roman" w:cs="Times New Roman"/>
                <w:color w:val="000000"/>
                <w:kern w:val="0"/>
                <w:sz w:val="20"/>
                <w:szCs w:val="20"/>
                <w14:ligatures w14:val="none"/>
              </w:rPr>
              <w:t>15.5</w:t>
            </w:r>
          </w:p>
        </w:tc>
      </w:tr>
      <w:tr w:rsidR="00AA6EAC" w:rsidRPr="008E6DCC" w14:paraId="497BBAD4" w14:textId="77777777" w:rsidTr="004A258E">
        <w:trPr>
          <w:trHeight w:val="288"/>
        </w:trPr>
        <w:tc>
          <w:tcPr>
            <w:tcW w:w="3675" w:type="dxa"/>
            <w:tcBorders>
              <w:top w:val="nil"/>
              <w:left w:val="single" w:sz="12" w:space="0" w:color="auto"/>
              <w:right w:val="nil"/>
            </w:tcBorders>
            <w:shd w:val="clear" w:color="000000" w:fill="FFFFFF"/>
            <w:vAlign w:val="center"/>
          </w:tcPr>
          <w:p w14:paraId="7EDD1969" w14:textId="77777777" w:rsidR="00AA6EAC" w:rsidRPr="008E6DCC" w:rsidRDefault="00AA6EAC" w:rsidP="0030543A">
            <w:pPr>
              <w:spacing w:after="0" w:line="240" w:lineRule="auto"/>
              <w:ind w:firstLineChars="200" w:firstLine="400"/>
              <w:rPr>
                <w:rFonts w:eastAsia="Times New Roman" w:cs="Times New Roman"/>
                <w:color w:val="000000"/>
                <w:kern w:val="0"/>
                <w:sz w:val="20"/>
                <w:szCs w:val="20"/>
                <w14:ligatures w14:val="none"/>
              </w:rPr>
            </w:pPr>
            <w:r w:rsidRPr="008E6DCC">
              <w:rPr>
                <w:rFonts w:eastAsia="Times New Roman" w:cs="Times New Roman"/>
                <w:color w:val="000000"/>
                <w:kern w:val="0"/>
                <w:sz w:val="20"/>
                <w:szCs w:val="20"/>
                <w14:ligatures w14:val="none"/>
              </w:rPr>
              <w:t>Graduate degree</w:t>
            </w:r>
          </w:p>
        </w:tc>
        <w:tc>
          <w:tcPr>
            <w:tcW w:w="1545" w:type="dxa"/>
            <w:tcBorders>
              <w:top w:val="nil"/>
              <w:left w:val="nil"/>
              <w:right w:val="nil"/>
            </w:tcBorders>
            <w:shd w:val="clear" w:color="000000" w:fill="FFFFFF"/>
            <w:vAlign w:val="center"/>
          </w:tcPr>
          <w:p w14:paraId="0324D133" w14:textId="3D2B9E01" w:rsidR="00AA6EAC" w:rsidRPr="008E6DCC" w:rsidRDefault="00317225" w:rsidP="00133BCC">
            <w:pPr>
              <w:tabs>
                <w:tab w:val="decimal" w:pos="463"/>
                <w:tab w:val="decimal" w:pos="519"/>
              </w:tabs>
              <w:spacing w:after="0" w:line="240" w:lineRule="auto"/>
              <w:jc w:val="right"/>
              <w:rPr>
                <w:rFonts w:eastAsia="Times New Roman" w:cs="Times New Roman"/>
                <w:color w:val="000000"/>
                <w:kern w:val="0"/>
                <w:sz w:val="20"/>
                <w:szCs w:val="20"/>
                <w14:ligatures w14:val="none"/>
              </w:rPr>
            </w:pPr>
            <w:r>
              <w:rPr>
                <w:rFonts w:eastAsia="Times New Roman" w:cs="Times New Roman"/>
                <w:color w:val="000000"/>
                <w:kern w:val="0"/>
                <w:sz w:val="20"/>
                <w:szCs w:val="20"/>
                <w14:ligatures w14:val="none"/>
              </w:rPr>
              <w:t>395</w:t>
            </w:r>
          </w:p>
        </w:tc>
        <w:tc>
          <w:tcPr>
            <w:tcW w:w="1620" w:type="dxa"/>
            <w:tcBorders>
              <w:top w:val="nil"/>
              <w:left w:val="nil"/>
            </w:tcBorders>
            <w:shd w:val="clear" w:color="000000" w:fill="FFFFFF"/>
            <w:vAlign w:val="center"/>
          </w:tcPr>
          <w:p w14:paraId="367A5557" w14:textId="309BFBCB" w:rsidR="00AA6EAC" w:rsidRPr="008E6DCC" w:rsidRDefault="00AA6EAC" w:rsidP="00133BCC">
            <w:pPr>
              <w:tabs>
                <w:tab w:val="decimal" w:pos="362"/>
              </w:tabs>
              <w:spacing w:after="0" w:line="240" w:lineRule="auto"/>
              <w:jc w:val="center"/>
              <w:rPr>
                <w:rFonts w:eastAsia="Times New Roman" w:cs="Times New Roman"/>
                <w:color w:val="000000"/>
                <w:kern w:val="0"/>
                <w:sz w:val="20"/>
                <w:szCs w:val="20"/>
                <w14:ligatures w14:val="none"/>
              </w:rPr>
            </w:pPr>
            <w:r w:rsidRPr="008E6DCC">
              <w:rPr>
                <w:rFonts w:eastAsia="Times New Roman" w:cs="Times New Roman"/>
                <w:color w:val="000000"/>
                <w:kern w:val="0"/>
                <w:sz w:val="20"/>
                <w:szCs w:val="20"/>
                <w14:ligatures w14:val="none"/>
              </w:rPr>
              <w:t>30.</w:t>
            </w:r>
            <w:r w:rsidR="00317225">
              <w:rPr>
                <w:rFonts w:eastAsia="Times New Roman" w:cs="Times New Roman"/>
                <w:color w:val="000000"/>
                <w:kern w:val="0"/>
                <w:sz w:val="20"/>
                <w:szCs w:val="20"/>
                <w14:ligatures w14:val="none"/>
              </w:rPr>
              <w:t>8</w:t>
            </w:r>
          </w:p>
        </w:tc>
        <w:tc>
          <w:tcPr>
            <w:tcW w:w="1350" w:type="dxa"/>
            <w:tcBorders>
              <w:top w:val="nil"/>
              <w:right w:val="single" w:sz="12" w:space="0" w:color="auto"/>
            </w:tcBorders>
            <w:shd w:val="clear" w:color="000000" w:fill="FFFFFF"/>
            <w:vAlign w:val="center"/>
          </w:tcPr>
          <w:p w14:paraId="0E28ACD9" w14:textId="77777777" w:rsidR="00AA6EAC" w:rsidRPr="008E6DCC" w:rsidRDefault="00AA6EAC" w:rsidP="00133BCC">
            <w:pPr>
              <w:tabs>
                <w:tab w:val="decimal" w:pos="148"/>
              </w:tabs>
              <w:spacing w:after="0" w:line="240" w:lineRule="auto"/>
              <w:jc w:val="center"/>
              <w:rPr>
                <w:rFonts w:eastAsia="Times New Roman" w:cs="Times New Roman"/>
                <w:color w:val="000000"/>
                <w:kern w:val="0"/>
                <w:sz w:val="20"/>
                <w:szCs w:val="20"/>
                <w14:ligatures w14:val="none"/>
              </w:rPr>
            </w:pPr>
            <w:r>
              <w:rPr>
                <w:rFonts w:eastAsia="Times New Roman" w:cs="Times New Roman"/>
                <w:color w:val="000000"/>
                <w:kern w:val="0"/>
                <w:sz w:val="20"/>
                <w:szCs w:val="20"/>
                <w14:ligatures w14:val="none"/>
              </w:rPr>
              <w:t>2.9</w:t>
            </w:r>
          </w:p>
        </w:tc>
      </w:tr>
      <w:tr w:rsidR="00AA6EAC" w:rsidRPr="008E6DCC" w14:paraId="3DE77D4C" w14:textId="77777777" w:rsidTr="004A258E">
        <w:trPr>
          <w:trHeight w:val="288"/>
        </w:trPr>
        <w:tc>
          <w:tcPr>
            <w:tcW w:w="5220" w:type="dxa"/>
            <w:gridSpan w:val="2"/>
            <w:tcBorders>
              <w:top w:val="nil"/>
              <w:left w:val="single" w:sz="12" w:space="0" w:color="auto"/>
              <w:bottom w:val="nil"/>
              <w:right w:val="nil"/>
            </w:tcBorders>
            <w:shd w:val="clear" w:color="000000" w:fill="FFFFFF"/>
            <w:vAlign w:val="center"/>
          </w:tcPr>
          <w:p w14:paraId="2ABB211F" w14:textId="77777777" w:rsidR="00AA6EAC" w:rsidRPr="008E6DCC" w:rsidRDefault="00AA6EAC" w:rsidP="0030543A">
            <w:pPr>
              <w:spacing w:after="0" w:line="240" w:lineRule="auto"/>
              <w:rPr>
                <w:rFonts w:eastAsia="Times New Roman" w:cs="Times New Roman"/>
                <w:color w:val="000000"/>
                <w:kern w:val="0"/>
                <w:sz w:val="20"/>
                <w:szCs w:val="20"/>
                <w14:ligatures w14:val="none"/>
              </w:rPr>
            </w:pPr>
            <w:r w:rsidRPr="008E6DCC">
              <w:rPr>
                <w:rFonts w:eastAsia="Times New Roman" w:cs="Times New Roman"/>
                <w:b/>
                <w:bCs/>
                <w:color w:val="000000"/>
                <w:kern w:val="0"/>
                <w:sz w:val="20"/>
                <w:szCs w:val="20"/>
                <w14:ligatures w14:val="none"/>
              </w:rPr>
              <w:t xml:space="preserve">Household </w:t>
            </w:r>
            <w:r>
              <w:rPr>
                <w:rFonts w:eastAsia="Times New Roman" w:cs="Times New Roman"/>
                <w:b/>
                <w:bCs/>
                <w:color w:val="000000"/>
                <w:kern w:val="0"/>
                <w:sz w:val="20"/>
                <w:szCs w:val="20"/>
                <w14:ligatures w14:val="none"/>
              </w:rPr>
              <w:t>i</w:t>
            </w:r>
            <w:r w:rsidRPr="008E6DCC">
              <w:rPr>
                <w:rFonts w:eastAsia="Times New Roman" w:cs="Times New Roman"/>
                <w:b/>
                <w:bCs/>
                <w:color w:val="000000"/>
                <w:kern w:val="0"/>
                <w:sz w:val="20"/>
                <w:szCs w:val="20"/>
                <w14:ligatures w14:val="none"/>
              </w:rPr>
              <w:t>ncome</w:t>
            </w:r>
          </w:p>
        </w:tc>
        <w:tc>
          <w:tcPr>
            <w:tcW w:w="1620" w:type="dxa"/>
            <w:tcBorders>
              <w:top w:val="nil"/>
              <w:left w:val="nil"/>
              <w:bottom w:val="nil"/>
            </w:tcBorders>
            <w:shd w:val="clear" w:color="000000" w:fill="FFFFFF"/>
            <w:vAlign w:val="center"/>
          </w:tcPr>
          <w:p w14:paraId="67F26E63" w14:textId="0D063CF5" w:rsidR="00AA6EAC" w:rsidRPr="008E6DCC" w:rsidRDefault="00AA6EAC" w:rsidP="00133BCC">
            <w:pPr>
              <w:tabs>
                <w:tab w:val="decimal" w:pos="362"/>
              </w:tabs>
              <w:spacing w:after="0" w:line="240" w:lineRule="auto"/>
              <w:jc w:val="center"/>
              <w:rPr>
                <w:rFonts w:eastAsia="Times New Roman" w:cs="Times New Roman"/>
                <w:color w:val="000000"/>
                <w:kern w:val="0"/>
                <w:sz w:val="20"/>
                <w:szCs w:val="20"/>
                <w14:ligatures w14:val="none"/>
              </w:rPr>
            </w:pPr>
          </w:p>
        </w:tc>
        <w:tc>
          <w:tcPr>
            <w:tcW w:w="1350" w:type="dxa"/>
            <w:tcBorders>
              <w:top w:val="nil"/>
              <w:bottom w:val="nil"/>
              <w:right w:val="single" w:sz="12" w:space="0" w:color="auto"/>
            </w:tcBorders>
            <w:shd w:val="clear" w:color="000000" w:fill="FFFFFF"/>
            <w:vAlign w:val="center"/>
          </w:tcPr>
          <w:p w14:paraId="5A81BAC8" w14:textId="77777777" w:rsidR="00AA6EAC" w:rsidRPr="008E6DCC" w:rsidRDefault="00AA6EAC" w:rsidP="00133BCC">
            <w:pPr>
              <w:tabs>
                <w:tab w:val="decimal" w:pos="148"/>
              </w:tabs>
              <w:spacing w:after="0" w:line="240" w:lineRule="auto"/>
              <w:jc w:val="center"/>
              <w:rPr>
                <w:rFonts w:eastAsia="Times New Roman" w:cs="Times New Roman"/>
                <w:color w:val="000000"/>
                <w:kern w:val="0"/>
                <w:sz w:val="20"/>
                <w:szCs w:val="20"/>
                <w14:ligatures w14:val="none"/>
              </w:rPr>
            </w:pPr>
          </w:p>
        </w:tc>
      </w:tr>
      <w:tr w:rsidR="00AA6EAC" w:rsidRPr="008E6DCC" w14:paraId="43EBC49C" w14:textId="77777777" w:rsidTr="004A258E">
        <w:trPr>
          <w:trHeight w:val="288"/>
        </w:trPr>
        <w:tc>
          <w:tcPr>
            <w:tcW w:w="3675" w:type="dxa"/>
            <w:tcBorders>
              <w:top w:val="nil"/>
              <w:left w:val="single" w:sz="12" w:space="0" w:color="auto"/>
              <w:bottom w:val="nil"/>
              <w:right w:val="nil"/>
            </w:tcBorders>
            <w:shd w:val="clear" w:color="000000" w:fill="FFFFFF"/>
            <w:vAlign w:val="center"/>
          </w:tcPr>
          <w:p w14:paraId="74BEA300" w14:textId="77777777" w:rsidR="00AA6EAC" w:rsidRPr="008E6DCC" w:rsidRDefault="00AA6EAC" w:rsidP="0030543A">
            <w:pPr>
              <w:spacing w:after="0" w:line="240" w:lineRule="auto"/>
              <w:ind w:firstLineChars="200" w:firstLine="400"/>
              <w:rPr>
                <w:rFonts w:eastAsia="Times New Roman" w:cs="Times New Roman"/>
                <w:color w:val="000000"/>
                <w:kern w:val="0"/>
                <w:sz w:val="20"/>
                <w:szCs w:val="20"/>
                <w14:ligatures w14:val="none"/>
              </w:rPr>
            </w:pPr>
            <w:r w:rsidRPr="008E6DCC">
              <w:rPr>
                <w:rFonts w:eastAsia="Times New Roman" w:cs="Times New Roman"/>
                <w:color w:val="000000"/>
                <w:kern w:val="0"/>
                <w:sz w:val="20"/>
                <w:szCs w:val="20"/>
                <w14:ligatures w14:val="none"/>
              </w:rPr>
              <w:t>&lt;$50,000</w:t>
            </w:r>
          </w:p>
        </w:tc>
        <w:tc>
          <w:tcPr>
            <w:tcW w:w="1545" w:type="dxa"/>
            <w:tcBorders>
              <w:top w:val="nil"/>
              <w:left w:val="nil"/>
              <w:bottom w:val="nil"/>
              <w:right w:val="nil"/>
            </w:tcBorders>
            <w:shd w:val="clear" w:color="000000" w:fill="FFFFFF"/>
            <w:vAlign w:val="center"/>
          </w:tcPr>
          <w:p w14:paraId="50802166" w14:textId="2274C56A" w:rsidR="00AA6EAC" w:rsidRPr="008E6DCC" w:rsidRDefault="00E27844" w:rsidP="00133BCC">
            <w:pPr>
              <w:tabs>
                <w:tab w:val="decimal" w:pos="463"/>
                <w:tab w:val="decimal" w:pos="519"/>
              </w:tabs>
              <w:spacing w:after="0" w:line="240" w:lineRule="auto"/>
              <w:jc w:val="right"/>
              <w:rPr>
                <w:rFonts w:eastAsia="Times New Roman" w:cs="Times New Roman"/>
                <w:color w:val="000000"/>
                <w:kern w:val="0"/>
                <w:sz w:val="20"/>
                <w:szCs w:val="20"/>
                <w14:ligatures w14:val="none"/>
              </w:rPr>
            </w:pPr>
            <w:r>
              <w:rPr>
                <w:rFonts w:eastAsia="Times New Roman" w:cs="Times New Roman"/>
                <w:color w:val="000000"/>
                <w:kern w:val="0"/>
                <w:sz w:val="20"/>
                <w:szCs w:val="20"/>
                <w14:ligatures w14:val="none"/>
              </w:rPr>
              <w:t>343</w:t>
            </w:r>
          </w:p>
        </w:tc>
        <w:tc>
          <w:tcPr>
            <w:tcW w:w="1620" w:type="dxa"/>
            <w:tcBorders>
              <w:top w:val="nil"/>
              <w:left w:val="nil"/>
              <w:bottom w:val="nil"/>
            </w:tcBorders>
            <w:shd w:val="clear" w:color="000000" w:fill="FFFFFF"/>
            <w:vAlign w:val="center"/>
          </w:tcPr>
          <w:p w14:paraId="5E8E1D32" w14:textId="197831E3" w:rsidR="00AA6EAC" w:rsidRPr="008E6DCC" w:rsidRDefault="00E27844" w:rsidP="00133BCC">
            <w:pPr>
              <w:tabs>
                <w:tab w:val="decimal" w:pos="362"/>
              </w:tabs>
              <w:spacing w:after="0" w:line="240" w:lineRule="auto"/>
              <w:jc w:val="center"/>
              <w:rPr>
                <w:rFonts w:eastAsia="Times New Roman" w:cs="Times New Roman"/>
                <w:color w:val="000000"/>
                <w:kern w:val="0"/>
                <w:sz w:val="20"/>
                <w:szCs w:val="20"/>
                <w14:ligatures w14:val="none"/>
              </w:rPr>
            </w:pPr>
            <w:r>
              <w:rPr>
                <w:rFonts w:eastAsia="Times New Roman" w:cs="Times New Roman"/>
                <w:color w:val="000000"/>
                <w:kern w:val="0"/>
                <w:sz w:val="20"/>
                <w:szCs w:val="20"/>
                <w14:ligatures w14:val="none"/>
              </w:rPr>
              <w:t>26.0</w:t>
            </w:r>
          </w:p>
        </w:tc>
        <w:tc>
          <w:tcPr>
            <w:tcW w:w="1350" w:type="dxa"/>
            <w:tcBorders>
              <w:top w:val="nil"/>
              <w:bottom w:val="nil"/>
              <w:right w:val="single" w:sz="12" w:space="0" w:color="auto"/>
            </w:tcBorders>
            <w:shd w:val="clear" w:color="000000" w:fill="FFFFFF"/>
            <w:vAlign w:val="center"/>
          </w:tcPr>
          <w:p w14:paraId="0D02EA86" w14:textId="77777777" w:rsidR="00AA6EAC" w:rsidRPr="008E6DCC" w:rsidRDefault="00AA6EAC" w:rsidP="00133BCC">
            <w:pPr>
              <w:tabs>
                <w:tab w:val="decimal" w:pos="148"/>
              </w:tabs>
              <w:spacing w:after="0" w:line="240" w:lineRule="auto"/>
              <w:jc w:val="center"/>
              <w:rPr>
                <w:rFonts w:eastAsia="Times New Roman" w:cs="Times New Roman"/>
                <w:color w:val="000000"/>
                <w:kern w:val="0"/>
                <w:sz w:val="20"/>
                <w:szCs w:val="20"/>
                <w14:ligatures w14:val="none"/>
              </w:rPr>
            </w:pPr>
            <w:r>
              <w:rPr>
                <w:rFonts w:eastAsia="Times New Roman" w:cs="Times New Roman"/>
                <w:color w:val="000000"/>
                <w:kern w:val="0"/>
                <w:sz w:val="20"/>
                <w:szCs w:val="20"/>
                <w14:ligatures w14:val="none"/>
              </w:rPr>
              <w:t>33.8</w:t>
            </w:r>
          </w:p>
        </w:tc>
      </w:tr>
      <w:tr w:rsidR="00AA6EAC" w:rsidRPr="008E6DCC" w14:paraId="08C1E4B4" w14:textId="77777777" w:rsidTr="004A258E">
        <w:trPr>
          <w:trHeight w:val="288"/>
        </w:trPr>
        <w:tc>
          <w:tcPr>
            <w:tcW w:w="3675" w:type="dxa"/>
            <w:tcBorders>
              <w:top w:val="nil"/>
              <w:left w:val="single" w:sz="12" w:space="0" w:color="auto"/>
              <w:bottom w:val="nil"/>
              <w:right w:val="nil"/>
            </w:tcBorders>
            <w:shd w:val="clear" w:color="000000" w:fill="FFFFFF"/>
            <w:vAlign w:val="center"/>
          </w:tcPr>
          <w:p w14:paraId="46E27BC6" w14:textId="77777777" w:rsidR="00AA6EAC" w:rsidRPr="008E6DCC" w:rsidRDefault="00AA6EAC" w:rsidP="0030543A">
            <w:pPr>
              <w:spacing w:after="0" w:line="240" w:lineRule="auto"/>
              <w:ind w:firstLineChars="200" w:firstLine="400"/>
              <w:rPr>
                <w:rFonts w:eastAsia="Times New Roman" w:cs="Times New Roman"/>
                <w:color w:val="000000"/>
                <w:kern w:val="0"/>
                <w:sz w:val="20"/>
                <w:szCs w:val="20"/>
                <w14:ligatures w14:val="none"/>
              </w:rPr>
            </w:pPr>
            <w:r w:rsidRPr="008E6DCC">
              <w:rPr>
                <w:rFonts w:eastAsia="Times New Roman" w:cs="Times New Roman"/>
                <w:color w:val="000000"/>
                <w:kern w:val="0"/>
                <w:sz w:val="20"/>
                <w:szCs w:val="20"/>
                <w14:ligatures w14:val="none"/>
              </w:rPr>
              <w:t>$50,000-$99,999</w:t>
            </w:r>
          </w:p>
        </w:tc>
        <w:tc>
          <w:tcPr>
            <w:tcW w:w="1545" w:type="dxa"/>
            <w:tcBorders>
              <w:top w:val="nil"/>
              <w:left w:val="nil"/>
              <w:bottom w:val="nil"/>
              <w:right w:val="nil"/>
            </w:tcBorders>
            <w:shd w:val="clear" w:color="000000" w:fill="FFFFFF"/>
            <w:vAlign w:val="center"/>
          </w:tcPr>
          <w:p w14:paraId="79B3325E" w14:textId="276EF890" w:rsidR="00AA6EAC" w:rsidRPr="008E6DCC" w:rsidRDefault="007129E4" w:rsidP="00133BCC">
            <w:pPr>
              <w:tabs>
                <w:tab w:val="decimal" w:pos="463"/>
                <w:tab w:val="decimal" w:pos="519"/>
              </w:tabs>
              <w:spacing w:after="0" w:line="240" w:lineRule="auto"/>
              <w:jc w:val="right"/>
              <w:rPr>
                <w:rFonts w:eastAsia="Times New Roman" w:cs="Times New Roman"/>
                <w:color w:val="000000"/>
                <w:kern w:val="0"/>
                <w:sz w:val="20"/>
                <w:szCs w:val="20"/>
                <w14:ligatures w14:val="none"/>
              </w:rPr>
            </w:pPr>
            <w:r>
              <w:rPr>
                <w:rFonts w:eastAsia="Times New Roman" w:cs="Times New Roman"/>
                <w:color w:val="000000"/>
                <w:kern w:val="0"/>
                <w:sz w:val="20"/>
                <w:szCs w:val="20"/>
                <w14:ligatures w14:val="none"/>
              </w:rPr>
              <w:t>385</w:t>
            </w:r>
          </w:p>
        </w:tc>
        <w:tc>
          <w:tcPr>
            <w:tcW w:w="1620" w:type="dxa"/>
            <w:tcBorders>
              <w:top w:val="nil"/>
              <w:left w:val="nil"/>
              <w:bottom w:val="nil"/>
            </w:tcBorders>
            <w:shd w:val="clear" w:color="000000" w:fill="FFFFFF"/>
            <w:vAlign w:val="center"/>
          </w:tcPr>
          <w:p w14:paraId="6AA03F60" w14:textId="2F9D4DF2" w:rsidR="00AA6EAC" w:rsidRPr="008E6DCC" w:rsidRDefault="007129E4" w:rsidP="00133BCC">
            <w:pPr>
              <w:tabs>
                <w:tab w:val="decimal" w:pos="362"/>
              </w:tabs>
              <w:spacing w:after="0" w:line="240" w:lineRule="auto"/>
              <w:jc w:val="center"/>
              <w:rPr>
                <w:rFonts w:eastAsia="Times New Roman" w:cs="Times New Roman"/>
                <w:color w:val="000000"/>
                <w:kern w:val="0"/>
                <w:sz w:val="20"/>
                <w:szCs w:val="20"/>
                <w14:ligatures w14:val="none"/>
              </w:rPr>
            </w:pPr>
            <w:r>
              <w:rPr>
                <w:rFonts w:eastAsia="Times New Roman" w:cs="Times New Roman"/>
                <w:color w:val="000000"/>
                <w:kern w:val="0"/>
                <w:sz w:val="20"/>
                <w:szCs w:val="20"/>
                <w14:ligatures w14:val="none"/>
              </w:rPr>
              <w:t>30.0</w:t>
            </w:r>
          </w:p>
        </w:tc>
        <w:tc>
          <w:tcPr>
            <w:tcW w:w="1350" w:type="dxa"/>
            <w:tcBorders>
              <w:top w:val="nil"/>
              <w:bottom w:val="nil"/>
              <w:right w:val="single" w:sz="12" w:space="0" w:color="auto"/>
            </w:tcBorders>
            <w:shd w:val="clear" w:color="000000" w:fill="FFFFFF"/>
            <w:vAlign w:val="center"/>
          </w:tcPr>
          <w:p w14:paraId="20AC3033" w14:textId="77777777" w:rsidR="00AA6EAC" w:rsidRPr="008E6DCC" w:rsidRDefault="00AA6EAC" w:rsidP="00133BCC">
            <w:pPr>
              <w:tabs>
                <w:tab w:val="decimal" w:pos="148"/>
              </w:tabs>
              <w:spacing w:after="0" w:line="240" w:lineRule="auto"/>
              <w:jc w:val="center"/>
              <w:rPr>
                <w:rFonts w:eastAsia="Times New Roman" w:cs="Times New Roman"/>
                <w:color w:val="000000"/>
                <w:kern w:val="0"/>
                <w:sz w:val="20"/>
                <w:szCs w:val="20"/>
                <w14:ligatures w14:val="none"/>
              </w:rPr>
            </w:pPr>
            <w:r>
              <w:rPr>
                <w:rFonts w:eastAsia="Times New Roman" w:cs="Times New Roman"/>
                <w:color w:val="000000"/>
                <w:kern w:val="0"/>
                <w:sz w:val="20"/>
                <w:szCs w:val="20"/>
                <w14:ligatures w14:val="none"/>
              </w:rPr>
              <w:t>28.9</w:t>
            </w:r>
          </w:p>
        </w:tc>
      </w:tr>
      <w:tr w:rsidR="00AA6EAC" w:rsidRPr="008E6DCC" w14:paraId="4A51D2F8" w14:textId="77777777" w:rsidTr="004A258E">
        <w:trPr>
          <w:trHeight w:val="288"/>
        </w:trPr>
        <w:tc>
          <w:tcPr>
            <w:tcW w:w="3675" w:type="dxa"/>
            <w:tcBorders>
              <w:top w:val="nil"/>
              <w:left w:val="single" w:sz="12" w:space="0" w:color="auto"/>
              <w:bottom w:val="nil"/>
              <w:right w:val="nil"/>
            </w:tcBorders>
            <w:shd w:val="clear" w:color="000000" w:fill="FFFFFF"/>
            <w:vAlign w:val="center"/>
          </w:tcPr>
          <w:p w14:paraId="116F8E82" w14:textId="77777777" w:rsidR="00AA6EAC" w:rsidRPr="008E6DCC" w:rsidRDefault="00AA6EAC" w:rsidP="0030543A">
            <w:pPr>
              <w:spacing w:after="0" w:line="240" w:lineRule="auto"/>
              <w:ind w:firstLineChars="200" w:firstLine="400"/>
              <w:rPr>
                <w:rFonts w:eastAsia="Times New Roman" w:cs="Times New Roman"/>
                <w:color w:val="000000"/>
                <w:kern w:val="0"/>
                <w:sz w:val="20"/>
                <w:szCs w:val="20"/>
                <w14:ligatures w14:val="none"/>
              </w:rPr>
            </w:pPr>
            <w:r w:rsidRPr="008E6DCC">
              <w:rPr>
                <w:rFonts w:ascii="Calibri" w:eastAsia="Times New Roman" w:hAnsi="Calibri" w:cs="Calibri"/>
                <w:color w:val="000000"/>
                <w:kern w:val="0"/>
                <w:sz w:val="20"/>
                <w:szCs w:val="20"/>
                <w14:ligatures w14:val="none"/>
              </w:rPr>
              <w:t>≥</w:t>
            </w:r>
            <w:r w:rsidRPr="008E6DCC">
              <w:rPr>
                <w:rFonts w:eastAsia="Times New Roman" w:cs="Times New Roman"/>
                <w:color w:val="000000"/>
                <w:kern w:val="0"/>
                <w:sz w:val="20"/>
                <w:szCs w:val="20"/>
                <w14:ligatures w14:val="none"/>
              </w:rPr>
              <w:t>$100,000</w:t>
            </w:r>
          </w:p>
        </w:tc>
        <w:tc>
          <w:tcPr>
            <w:tcW w:w="1545" w:type="dxa"/>
            <w:tcBorders>
              <w:top w:val="nil"/>
              <w:left w:val="nil"/>
              <w:bottom w:val="nil"/>
              <w:right w:val="nil"/>
            </w:tcBorders>
            <w:shd w:val="clear" w:color="000000" w:fill="FFFFFF"/>
            <w:vAlign w:val="center"/>
          </w:tcPr>
          <w:p w14:paraId="7FBABEC8" w14:textId="5C1C3BC2" w:rsidR="00AA6EAC" w:rsidRPr="008E6DCC" w:rsidRDefault="00E27844" w:rsidP="00133BCC">
            <w:pPr>
              <w:tabs>
                <w:tab w:val="decimal" w:pos="463"/>
                <w:tab w:val="decimal" w:pos="519"/>
              </w:tabs>
              <w:spacing w:after="0" w:line="240" w:lineRule="auto"/>
              <w:jc w:val="right"/>
              <w:rPr>
                <w:rFonts w:eastAsia="Times New Roman" w:cs="Times New Roman"/>
                <w:color w:val="000000"/>
                <w:kern w:val="0"/>
                <w:sz w:val="20"/>
                <w:szCs w:val="20"/>
                <w14:ligatures w14:val="none"/>
              </w:rPr>
            </w:pPr>
            <w:r>
              <w:rPr>
                <w:rFonts w:eastAsia="Times New Roman" w:cs="Times New Roman"/>
                <w:color w:val="000000"/>
                <w:kern w:val="0"/>
                <w:sz w:val="20"/>
                <w:szCs w:val="20"/>
                <w14:ligatures w14:val="none"/>
              </w:rPr>
              <w:t>556</w:t>
            </w:r>
          </w:p>
        </w:tc>
        <w:tc>
          <w:tcPr>
            <w:tcW w:w="1620" w:type="dxa"/>
            <w:tcBorders>
              <w:top w:val="nil"/>
              <w:left w:val="nil"/>
              <w:bottom w:val="nil"/>
            </w:tcBorders>
            <w:shd w:val="clear" w:color="000000" w:fill="FFFFFF"/>
            <w:vAlign w:val="center"/>
          </w:tcPr>
          <w:p w14:paraId="3A35E948" w14:textId="1178305A" w:rsidR="00AA6EAC" w:rsidRPr="008E6DCC" w:rsidRDefault="00AA6EAC" w:rsidP="00133BCC">
            <w:pPr>
              <w:tabs>
                <w:tab w:val="decimal" w:pos="362"/>
              </w:tabs>
              <w:spacing w:after="0" w:line="240" w:lineRule="auto"/>
              <w:jc w:val="center"/>
              <w:rPr>
                <w:rFonts w:eastAsia="Times New Roman" w:cs="Times New Roman"/>
                <w:color w:val="000000"/>
                <w:kern w:val="0"/>
                <w:sz w:val="20"/>
                <w:szCs w:val="20"/>
                <w14:ligatures w14:val="none"/>
              </w:rPr>
            </w:pPr>
            <w:r w:rsidRPr="008E6DCC">
              <w:rPr>
                <w:rFonts w:eastAsia="Times New Roman" w:cs="Times New Roman"/>
                <w:color w:val="000000"/>
                <w:kern w:val="0"/>
                <w:sz w:val="20"/>
                <w:szCs w:val="20"/>
                <w14:ligatures w14:val="none"/>
              </w:rPr>
              <w:t>4</w:t>
            </w:r>
            <w:r w:rsidR="00E27844">
              <w:rPr>
                <w:rFonts w:eastAsia="Times New Roman" w:cs="Times New Roman"/>
                <w:color w:val="000000"/>
                <w:kern w:val="0"/>
                <w:sz w:val="20"/>
                <w:szCs w:val="20"/>
                <w14:ligatures w14:val="none"/>
              </w:rPr>
              <w:t>4.0</w:t>
            </w:r>
          </w:p>
        </w:tc>
        <w:tc>
          <w:tcPr>
            <w:tcW w:w="1350" w:type="dxa"/>
            <w:tcBorders>
              <w:top w:val="nil"/>
              <w:bottom w:val="nil"/>
              <w:right w:val="single" w:sz="12" w:space="0" w:color="auto"/>
            </w:tcBorders>
            <w:shd w:val="clear" w:color="000000" w:fill="FFFFFF"/>
            <w:vAlign w:val="center"/>
          </w:tcPr>
          <w:p w14:paraId="414334EA" w14:textId="77777777" w:rsidR="00AA6EAC" w:rsidRPr="008E6DCC" w:rsidRDefault="00AA6EAC" w:rsidP="00133BCC">
            <w:pPr>
              <w:tabs>
                <w:tab w:val="decimal" w:pos="148"/>
              </w:tabs>
              <w:spacing w:after="0" w:line="240" w:lineRule="auto"/>
              <w:jc w:val="center"/>
              <w:rPr>
                <w:rFonts w:eastAsia="Times New Roman" w:cs="Times New Roman"/>
                <w:color w:val="000000"/>
                <w:kern w:val="0"/>
                <w:sz w:val="20"/>
                <w:szCs w:val="20"/>
                <w14:ligatures w14:val="none"/>
              </w:rPr>
            </w:pPr>
            <w:r>
              <w:rPr>
                <w:rFonts w:eastAsia="Times New Roman" w:cs="Times New Roman"/>
                <w:color w:val="000000"/>
                <w:kern w:val="0"/>
                <w:sz w:val="20"/>
                <w:szCs w:val="20"/>
                <w14:ligatures w14:val="none"/>
              </w:rPr>
              <w:t>37.3</w:t>
            </w:r>
          </w:p>
        </w:tc>
      </w:tr>
      <w:tr w:rsidR="00AA6EAC" w:rsidRPr="008E6DCC" w14:paraId="7D762FC0" w14:textId="77777777" w:rsidTr="004A258E">
        <w:trPr>
          <w:trHeight w:val="288"/>
        </w:trPr>
        <w:tc>
          <w:tcPr>
            <w:tcW w:w="3675" w:type="dxa"/>
            <w:tcBorders>
              <w:left w:val="single" w:sz="12" w:space="0" w:color="auto"/>
              <w:bottom w:val="nil"/>
              <w:right w:val="nil"/>
            </w:tcBorders>
            <w:shd w:val="clear" w:color="000000" w:fill="FFFFFF"/>
            <w:vAlign w:val="center"/>
          </w:tcPr>
          <w:p w14:paraId="40174564" w14:textId="77777777" w:rsidR="00AA6EAC" w:rsidRPr="008E6DCC" w:rsidRDefault="00AA6EAC" w:rsidP="0030543A">
            <w:pPr>
              <w:spacing w:after="0" w:line="240" w:lineRule="auto"/>
              <w:rPr>
                <w:rFonts w:eastAsia="Times New Roman"/>
                <w:color w:val="000000"/>
                <w:sz w:val="20"/>
                <w:szCs w:val="20"/>
              </w:rPr>
            </w:pPr>
            <w:r w:rsidRPr="008E6DCC">
              <w:rPr>
                <w:rFonts w:eastAsia="Times New Roman" w:cs="Times New Roman"/>
                <w:b/>
                <w:bCs/>
                <w:color w:val="000000"/>
                <w:kern w:val="0"/>
                <w:sz w:val="20"/>
                <w:szCs w:val="20"/>
                <w14:ligatures w14:val="none"/>
              </w:rPr>
              <w:t>Race</w:t>
            </w:r>
          </w:p>
        </w:tc>
        <w:tc>
          <w:tcPr>
            <w:tcW w:w="1545" w:type="dxa"/>
            <w:tcBorders>
              <w:left w:val="nil"/>
              <w:bottom w:val="nil"/>
              <w:right w:val="nil"/>
            </w:tcBorders>
            <w:shd w:val="clear" w:color="000000" w:fill="FFFFFF"/>
            <w:vAlign w:val="center"/>
          </w:tcPr>
          <w:p w14:paraId="57CDEA3D" w14:textId="4EA2B0E2" w:rsidR="00AA6EAC" w:rsidRPr="008E6DCC" w:rsidRDefault="00AA6EAC" w:rsidP="00133BCC">
            <w:pPr>
              <w:tabs>
                <w:tab w:val="decimal" w:pos="463"/>
                <w:tab w:val="decimal" w:pos="519"/>
              </w:tabs>
              <w:spacing w:after="0" w:line="240" w:lineRule="auto"/>
              <w:jc w:val="right"/>
              <w:rPr>
                <w:rFonts w:eastAsia="Times New Roman"/>
                <w:color w:val="000000"/>
                <w:sz w:val="20"/>
                <w:szCs w:val="20"/>
              </w:rPr>
            </w:pPr>
          </w:p>
        </w:tc>
        <w:tc>
          <w:tcPr>
            <w:tcW w:w="1620" w:type="dxa"/>
            <w:tcBorders>
              <w:left w:val="nil"/>
              <w:bottom w:val="nil"/>
            </w:tcBorders>
            <w:shd w:val="clear" w:color="000000" w:fill="FFFFFF"/>
            <w:vAlign w:val="center"/>
          </w:tcPr>
          <w:p w14:paraId="11A008FE" w14:textId="7755CC19" w:rsidR="00AA6EAC" w:rsidRPr="008E6DCC" w:rsidRDefault="00AA6EAC" w:rsidP="00133BCC">
            <w:pPr>
              <w:tabs>
                <w:tab w:val="decimal" w:pos="362"/>
              </w:tabs>
              <w:spacing w:after="0" w:line="240" w:lineRule="auto"/>
              <w:jc w:val="center"/>
              <w:rPr>
                <w:rFonts w:eastAsia="Times New Roman"/>
                <w:color w:val="000000"/>
                <w:sz w:val="20"/>
                <w:szCs w:val="20"/>
              </w:rPr>
            </w:pPr>
          </w:p>
        </w:tc>
        <w:tc>
          <w:tcPr>
            <w:tcW w:w="1350" w:type="dxa"/>
            <w:tcBorders>
              <w:bottom w:val="nil"/>
              <w:right w:val="single" w:sz="12" w:space="0" w:color="auto"/>
            </w:tcBorders>
            <w:shd w:val="clear" w:color="000000" w:fill="FFFFFF"/>
            <w:vAlign w:val="center"/>
          </w:tcPr>
          <w:p w14:paraId="4385C227" w14:textId="77777777" w:rsidR="00AA6EAC" w:rsidRDefault="00AA6EAC" w:rsidP="00133BCC">
            <w:pPr>
              <w:tabs>
                <w:tab w:val="decimal" w:pos="148"/>
              </w:tabs>
              <w:spacing w:after="0" w:line="240" w:lineRule="auto"/>
              <w:jc w:val="center"/>
              <w:rPr>
                <w:rFonts w:eastAsia="Times New Roman"/>
                <w:color w:val="000000"/>
                <w:sz w:val="20"/>
                <w:szCs w:val="20"/>
              </w:rPr>
            </w:pPr>
          </w:p>
        </w:tc>
      </w:tr>
      <w:tr w:rsidR="00AA6EAC" w:rsidRPr="008E6DCC" w14:paraId="5B6EFBEB" w14:textId="77777777" w:rsidTr="004A258E">
        <w:trPr>
          <w:trHeight w:val="288"/>
        </w:trPr>
        <w:tc>
          <w:tcPr>
            <w:tcW w:w="3675" w:type="dxa"/>
            <w:tcBorders>
              <w:top w:val="nil"/>
              <w:left w:val="single" w:sz="12" w:space="0" w:color="auto"/>
              <w:bottom w:val="nil"/>
              <w:right w:val="nil"/>
            </w:tcBorders>
            <w:shd w:val="clear" w:color="000000" w:fill="FFFFFF"/>
            <w:vAlign w:val="center"/>
          </w:tcPr>
          <w:p w14:paraId="3A12D3EF" w14:textId="77777777" w:rsidR="00AA6EAC" w:rsidRPr="008E6DCC" w:rsidRDefault="00AA6EAC" w:rsidP="0030543A">
            <w:pPr>
              <w:spacing w:after="0" w:line="240" w:lineRule="auto"/>
              <w:ind w:firstLineChars="200" w:firstLine="400"/>
              <w:rPr>
                <w:rFonts w:eastAsia="Times New Roman"/>
                <w:color w:val="000000"/>
                <w:sz w:val="20"/>
                <w:szCs w:val="20"/>
              </w:rPr>
            </w:pPr>
            <w:r w:rsidRPr="008E6DCC">
              <w:rPr>
                <w:rFonts w:eastAsia="Times New Roman" w:cs="Times New Roman"/>
                <w:color w:val="000000"/>
                <w:kern w:val="0"/>
                <w:sz w:val="20"/>
                <w:szCs w:val="20"/>
                <w14:ligatures w14:val="none"/>
              </w:rPr>
              <w:t>White</w:t>
            </w:r>
          </w:p>
        </w:tc>
        <w:tc>
          <w:tcPr>
            <w:tcW w:w="1545" w:type="dxa"/>
            <w:tcBorders>
              <w:top w:val="nil"/>
              <w:left w:val="nil"/>
              <w:bottom w:val="nil"/>
              <w:right w:val="nil"/>
            </w:tcBorders>
            <w:shd w:val="clear" w:color="000000" w:fill="FFFFFF"/>
            <w:vAlign w:val="center"/>
          </w:tcPr>
          <w:p w14:paraId="7F5942F9" w14:textId="626C9196" w:rsidR="00AA6EAC" w:rsidRPr="008E6DCC" w:rsidRDefault="00A7336D" w:rsidP="00133BCC">
            <w:pPr>
              <w:tabs>
                <w:tab w:val="decimal" w:pos="463"/>
                <w:tab w:val="decimal" w:pos="519"/>
              </w:tabs>
              <w:spacing w:after="0" w:line="240" w:lineRule="auto"/>
              <w:jc w:val="right"/>
              <w:rPr>
                <w:rFonts w:eastAsia="Times New Roman"/>
                <w:color w:val="000000"/>
                <w:sz w:val="20"/>
                <w:szCs w:val="20"/>
              </w:rPr>
            </w:pPr>
            <w:r>
              <w:rPr>
                <w:rFonts w:eastAsia="Times New Roman" w:cs="Times New Roman"/>
                <w:color w:val="000000"/>
                <w:kern w:val="0"/>
                <w:sz w:val="20"/>
                <w:szCs w:val="20"/>
                <w14:ligatures w14:val="none"/>
              </w:rPr>
              <w:t>846</w:t>
            </w:r>
          </w:p>
        </w:tc>
        <w:tc>
          <w:tcPr>
            <w:tcW w:w="1620" w:type="dxa"/>
            <w:tcBorders>
              <w:top w:val="nil"/>
              <w:left w:val="nil"/>
              <w:bottom w:val="nil"/>
            </w:tcBorders>
            <w:shd w:val="clear" w:color="000000" w:fill="FFFFFF"/>
            <w:vAlign w:val="center"/>
          </w:tcPr>
          <w:p w14:paraId="1E6B51C8" w14:textId="55868693" w:rsidR="00AA6EAC" w:rsidRPr="008E6DCC" w:rsidRDefault="00BC4F87" w:rsidP="00133BCC">
            <w:pPr>
              <w:tabs>
                <w:tab w:val="decimal" w:pos="362"/>
              </w:tabs>
              <w:spacing w:after="0" w:line="240" w:lineRule="auto"/>
              <w:jc w:val="center"/>
              <w:rPr>
                <w:rFonts w:eastAsia="Times New Roman"/>
                <w:color w:val="000000"/>
                <w:sz w:val="20"/>
                <w:szCs w:val="20"/>
              </w:rPr>
            </w:pPr>
            <w:r>
              <w:rPr>
                <w:rFonts w:eastAsia="Times New Roman"/>
                <w:color w:val="000000"/>
                <w:sz w:val="20"/>
                <w:szCs w:val="20"/>
              </w:rPr>
              <w:t>6</w:t>
            </w:r>
            <w:r w:rsidR="00460B89">
              <w:rPr>
                <w:rFonts w:eastAsia="Times New Roman"/>
                <w:color w:val="000000"/>
                <w:sz w:val="20"/>
                <w:szCs w:val="20"/>
              </w:rPr>
              <w:t>5.9</w:t>
            </w:r>
          </w:p>
        </w:tc>
        <w:tc>
          <w:tcPr>
            <w:tcW w:w="1350" w:type="dxa"/>
            <w:tcBorders>
              <w:top w:val="nil"/>
              <w:bottom w:val="nil"/>
              <w:right w:val="single" w:sz="12" w:space="0" w:color="auto"/>
            </w:tcBorders>
            <w:shd w:val="clear" w:color="000000" w:fill="FFFFFF"/>
            <w:vAlign w:val="center"/>
          </w:tcPr>
          <w:p w14:paraId="162D1AEF" w14:textId="77777777" w:rsidR="00AA6EAC" w:rsidRDefault="00AA6EAC" w:rsidP="00133BCC">
            <w:pPr>
              <w:tabs>
                <w:tab w:val="decimal" w:pos="148"/>
              </w:tabs>
              <w:spacing w:after="0" w:line="240" w:lineRule="auto"/>
              <w:jc w:val="center"/>
              <w:rPr>
                <w:rFonts w:eastAsia="Times New Roman"/>
                <w:color w:val="000000"/>
                <w:sz w:val="20"/>
                <w:szCs w:val="20"/>
              </w:rPr>
            </w:pPr>
            <w:r>
              <w:rPr>
                <w:rFonts w:eastAsia="Times New Roman" w:cs="Times New Roman"/>
                <w:color w:val="000000"/>
                <w:kern w:val="0"/>
                <w:sz w:val="20"/>
                <w:szCs w:val="20"/>
                <w14:ligatures w14:val="none"/>
              </w:rPr>
              <w:t>61.6</w:t>
            </w:r>
          </w:p>
        </w:tc>
      </w:tr>
      <w:tr w:rsidR="00AA6EAC" w:rsidRPr="008E6DCC" w14:paraId="2B422046" w14:textId="77777777" w:rsidTr="004A258E">
        <w:trPr>
          <w:trHeight w:val="288"/>
        </w:trPr>
        <w:tc>
          <w:tcPr>
            <w:tcW w:w="3675" w:type="dxa"/>
            <w:tcBorders>
              <w:top w:val="nil"/>
              <w:left w:val="single" w:sz="12" w:space="0" w:color="auto"/>
              <w:bottom w:val="nil"/>
              <w:right w:val="nil"/>
            </w:tcBorders>
            <w:shd w:val="clear" w:color="000000" w:fill="FFFFFF"/>
            <w:vAlign w:val="center"/>
          </w:tcPr>
          <w:p w14:paraId="4BC34FF2" w14:textId="77777777" w:rsidR="00AA6EAC" w:rsidRPr="008E6DCC" w:rsidRDefault="00AA6EAC" w:rsidP="0030543A">
            <w:pPr>
              <w:spacing w:after="0" w:line="240" w:lineRule="auto"/>
              <w:ind w:firstLineChars="200" w:firstLine="400"/>
              <w:rPr>
                <w:rFonts w:eastAsia="Times New Roman"/>
                <w:color w:val="000000"/>
                <w:sz w:val="20"/>
                <w:szCs w:val="20"/>
              </w:rPr>
            </w:pPr>
            <w:r w:rsidRPr="008E6DCC">
              <w:rPr>
                <w:rFonts w:eastAsia="Times New Roman" w:cs="Times New Roman"/>
                <w:color w:val="000000"/>
                <w:kern w:val="0"/>
                <w:sz w:val="20"/>
                <w:szCs w:val="20"/>
                <w14:ligatures w14:val="none"/>
              </w:rPr>
              <w:t>Asian</w:t>
            </w:r>
          </w:p>
        </w:tc>
        <w:tc>
          <w:tcPr>
            <w:tcW w:w="1545" w:type="dxa"/>
            <w:tcBorders>
              <w:top w:val="nil"/>
              <w:left w:val="nil"/>
              <w:bottom w:val="nil"/>
              <w:right w:val="nil"/>
            </w:tcBorders>
            <w:shd w:val="clear" w:color="000000" w:fill="FFFFFF"/>
            <w:vAlign w:val="center"/>
          </w:tcPr>
          <w:p w14:paraId="1EDECE22" w14:textId="0757A78D" w:rsidR="00AA6EAC" w:rsidRPr="008E6DCC" w:rsidRDefault="00294E3D" w:rsidP="00133BCC">
            <w:pPr>
              <w:tabs>
                <w:tab w:val="decimal" w:pos="463"/>
                <w:tab w:val="decimal" w:pos="519"/>
              </w:tabs>
              <w:spacing w:after="0" w:line="240" w:lineRule="auto"/>
              <w:jc w:val="right"/>
              <w:rPr>
                <w:rFonts w:eastAsia="Times New Roman"/>
                <w:color w:val="000000"/>
                <w:sz w:val="20"/>
                <w:szCs w:val="20"/>
              </w:rPr>
            </w:pPr>
            <w:r>
              <w:rPr>
                <w:rFonts w:eastAsia="Times New Roman" w:cs="Times New Roman"/>
                <w:color w:val="000000"/>
                <w:kern w:val="0"/>
                <w:sz w:val="20"/>
                <w:szCs w:val="20"/>
                <w14:ligatures w14:val="none"/>
              </w:rPr>
              <w:t>152</w:t>
            </w:r>
          </w:p>
        </w:tc>
        <w:tc>
          <w:tcPr>
            <w:tcW w:w="1620" w:type="dxa"/>
            <w:tcBorders>
              <w:top w:val="nil"/>
              <w:left w:val="nil"/>
              <w:bottom w:val="nil"/>
            </w:tcBorders>
            <w:shd w:val="clear" w:color="000000" w:fill="FFFFFF"/>
            <w:vAlign w:val="center"/>
          </w:tcPr>
          <w:p w14:paraId="6496B24F" w14:textId="29B4D548" w:rsidR="00AA6EAC" w:rsidRPr="008E6DCC" w:rsidRDefault="00AA6EAC" w:rsidP="00133BCC">
            <w:pPr>
              <w:tabs>
                <w:tab w:val="decimal" w:pos="362"/>
              </w:tabs>
              <w:spacing w:after="0" w:line="240" w:lineRule="auto"/>
              <w:jc w:val="center"/>
              <w:rPr>
                <w:rFonts w:eastAsia="Times New Roman"/>
                <w:color w:val="000000"/>
                <w:sz w:val="20"/>
                <w:szCs w:val="20"/>
              </w:rPr>
            </w:pPr>
            <w:r w:rsidRPr="008E6DCC">
              <w:rPr>
                <w:rFonts w:eastAsia="Times New Roman" w:cs="Times New Roman"/>
                <w:color w:val="000000"/>
                <w:kern w:val="0"/>
                <w:sz w:val="20"/>
                <w:szCs w:val="20"/>
                <w14:ligatures w14:val="none"/>
              </w:rPr>
              <w:t>1</w:t>
            </w:r>
            <w:r w:rsidR="00294E3D">
              <w:rPr>
                <w:rFonts w:eastAsia="Times New Roman" w:cs="Times New Roman"/>
                <w:color w:val="000000"/>
                <w:kern w:val="0"/>
                <w:sz w:val="20"/>
                <w:szCs w:val="20"/>
                <w14:ligatures w14:val="none"/>
              </w:rPr>
              <w:t>1</w:t>
            </w:r>
            <w:r w:rsidRPr="008E6DCC">
              <w:rPr>
                <w:rFonts w:eastAsia="Times New Roman" w:cs="Times New Roman"/>
                <w:color w:val="000000"/>
                <w:kern w:val="0"/>
                <w:sz w:val="20"/>
                <w:szCs w:val="20"/>
                <w14:ligatures w14:val="none"/>
              </w:rPr>
              <w:t>.</w:t>
            </w:r>
            <w:r>
              <w:rPr>
                <w:rFonts w:eastAsia="Times New Roman" w:cs="Times New Roman"/>
                <w:color w:val="000000"/>
                <w:kern w:val="0"/>
                <w:sz w:val="20"/>
                <w:szCs w:val="20"/>
                <w14:ligatures w14:val="none"/>
              </w:rPr>
              <w:t>8</w:t>
            </w:r>
          </w:p>
        </w:tc>
        <w:tc>
          <w:tcPr>
            <w:tcW w:w="1350" w:type="dxa"/>
            <w:tcBorders>
              <w:top w:val="nil"/>
              <w:bottom w:val="nil"/>
              <w:right w:val="single" w:sz="12" w:space="0" w:color="auto"/>
            </w:tcBorders>
            <w:shd w:val="clear" w:color="000000" w:fill="FFFFFF"/>
            <w:vAlign w:val="center"/>
          </w:tcPr>
          <w:p w14:paraId="0443773D" w14:textId="77777777" w:rsidR="00AA6EAC" w:rsidRDefault="00AA6EAC" w:rsidP="00133BCC">
            <w:pPr>
              <w:tabs>
                <w:tab w:val="decimal" w:pos="148"/>
              </w:tabs>
              <w:spacing w:after="0" w:line="240" w:lineRule="auto"/>
              <w:jc w:val="center"/>
              <w:rPr>
                <w:rFonts w:eastAsia="Times New Roman"/>
                <w:color w:val="000000"/>
                <w:sz w:val="20"/>
                <w:szCs w:val="20"/>
              </w:rPr>
            </w:pPr>
            <w:r>
              <w:rPr>
                <w:rFonts w:eastAsia="Times New Roman" w:cs="Times New Roman"/>
                <w:color w:val="000000"/>
                <w:kern w:val="0"/>
                <w:sz w:val="20"/>
                <w:szCs w:val="20"/>
                <w14:ligatures w14:val="none"/>
              </w:rPr>
              <w:t>12.4</w:t>
            </w:r>
          </w:p>
        </w:tc>
      </w:tr>
      <w:tr w:rsidR="00AA6EAC" w:rsidRPr="008E6DCC" w14:paraId="75B47AE0" w14:textId="77777777" w:rsidTr="004A258E">
        <w:trPr>
          <w:trHeight w:val="288"/>
        </w:trPr>
        <w:tc>
          <w:tcPr>
            <w:tcW w:w="3675" w:type="dxa"/>
            <w:tcBorders>
              <w:top w:val="nil"/>
              <w:left w:val="single" w:sz="12" w:space="0" w:color="auto"/>
              <w:bottom w:val="nil"/>
              <w:right w:val="nil"/>
            </w:tcBorders>
            <w:shd w:val="clear" w:color="000000" w:fill="FFFFFF"/>
            <w:vAlign w:val="center"/>
          </w:tcPr>
          <w:p w14:paraId="22DCF15A" w14:textId="77777777" w:rsidR="00AA6EAC" w:rsidRPr="008E6DCC" w:rsidRDefault="00AA6EAC" w:rsidP="0030543A">
            <w:pPr>
              <w:spacing w:after="0" w:line="240" w:lineRule="auto"/>
              <w:ind w:firstLineChars="200" w:firstLine="400"/>
              <w:rPr>
                <w:rFonts w:eastAsia="Times New Roman"/>
                <w:color w:val="000000"/>
                <w:sz w:val="20"/>
                <w:szCs w:val="20"/>
              </w:rPr>
            </w:pPr>
            <w:r w:rsidRPr="008E6DCC">
              <w:rPr>
                <w:rFonts w:eastAsia="Times New Roman" w:cs="Times New Roman"/>
                <w:color w:val="000000"/>
                <w:kern w:val="0"/>
                <w:sz w:val="20"/>
                <w:szCs w:val="20"/>
                <w14:ligatures w14:val="none"/>
              </w:rPr>
              <w:t>Black or other</w:t>
            </w:r>
          </w:p>
        </w:tc>
        <w:tc>
          <w:tcPr>
            <w:tcW w:w="1545" w:type="dxa"/>
            <w:tcBorders>
              <w:top w:val="nil"/>
              <w:left w:val="nil"/>
              <w:bottom w:val="nil"/>
              <w:right w:val="nil"/>
            </w:tcBorders>
            <w:shd w:val="clear" w:color="000000" w:fill="FFFFFF"/>
            <w:vAlign w:val="center"/>
          </w:tcPr>
          <w:p w14:paraId="1123CDF5" w14:textId="75BBD623" w:rsidR="00AA6EAC" w:rsidRPr="008E6DCC" w:rsidRDefault="00224B5F" w:rsidP="00133BCC">
            <w:pPr>
              <w:tabs>
                <w:tab w:val="decimal" w:pos="463"/>
                <w:tab w:val="decimal" w:pos="519"/>
              </w:tabs>
              <w:spacing w:after="0" w:line="240" w:lineRule="auto"/>
              <w:jc w:val="right"/>
              <w:rPr>
                <w:rFonts w:eastAsia="Times New Roman"/>
                <w:color w:val="000000"/>
                <w:sz w:val="20"/>
                <w:szCs w:val="20"/>
              </w:rPr>
            </w:pPr>
            <w:r>
              <w:rPr>
                <w:rFonts w:eastAsia="Times New Roman" w:cs="Times New Roman"/>
                <w:color w:val="000000"/>
                <w:kern w:val="0"/>
                <w:sz w:val="20"/>
                <w:szCs w:val="20"/>
                <w14:ligatures w14:val="none"/>
              </w:rPr>
              <w:t>286</w:t>
            </w:r>
          </w:p>
        </w:tc>
        <w:tc>
          <w:tcPr>
            <w:tcW w:w="1620" w:type="dxa"/>
            <w:tcBorders>
              <w:top w:val="nil"/>
              <w:left w:val="nil"/>
              <w:bottom w:val="nil"/>
            </w:tcBorders>
            <w:shd w:val="clear" w:color="000000" w:fill="FFFFFF"/>
            <w:vAlign w:val="center"/>
          </w:tcPr>
          <w:p w14:paraId="25A0F5B0" w14:textId="6EC50E70" w:rsidR="00AA6EAC" w:rsidRPr="008E6DCC" w:rsidRDefault="00294E3D" w:rsidP="00133BCC">
            <w:pPr>
              <w:tabs>
                <w:tab w:val="decimal" w:pos="362"/>
              </w:tabs>
              <w:spacing w:after="0" w:line="240" w:lineRule="auto"/>
              <w:jc w:val="center"/>
              <w:rPr>
                <w:rFonts w:eastAsia="Times New Roman"/>
                <w:color w:val="000000"/>
                <w:sz w:val="20"/>
                <w:szCs w:val="20"/>
              </w:rPr>
            </w:pPr>
            <w:r>
              <w:rPr>
                <w:rFonts w:eastAsia="Times New Roman" w:cs="Times New Roman"/>
                <w:color w:val="000000"/>
                <w:kern w:val="0"/>
                <w:sz w:val="20"/>
                <w:szCs w:val="20"/>
                <w14:ligatures w14:val="none"/>
              </w:rPr>
              <w:t>22.3</w:t>
            </w:r>
          </w:p>
        </w:tc>
        <w:tc>
          <w:tcPr>
            <w:tcW w:w="1350" w:type="dxa"/>
            <w:tcBorders>
              <w:top w:val="nil"/>
              <w:bottom w:val="nil"/>
              <w:right w:val="single" w:sz="12" w:space="0" w:color="auto"/>
            </w:tcBorders>
            <w:shd w:val="clear" w:color="000000" w:fill="FFFFFF"/>
            <w:vAlign w:val="center"/>
          </w:tcPr>
          <w:p w14:paraId="2AFE37EE" w14:textId="77777777" w:rsidR="00AA6EAC" w:rsidRDefault="00AA6EAC" w:rsidP="00133BCC">
            <w:pPr>
              <w:tabs>
                <w:tab w:val="decimal" w:pos="148"/>
              </w:tabs>
              <w:spacing w:after="0" w:line="240" w:lineRule="auto"/>
              <w:jc w:val="center"/>
              <w:rPr>
                <w:rFonts w:eastAsia="Times New Roman"/>
                <w:color w:val="000000"/>
                <w:sz w:val="20"/>
                <w:szCs w:val="20"/>
              </w:rPr>
            </w:pPr>
            <w:r>
              <w:rPr>
                <w:rFonts w:eastAsia="Times New Roman" w:cs="Times New Roman"/>
                <w:color w:val="000000"/>
                <w:kern w:val="0"/>
                <w:sz w:val="20"/>
                <w:szCs w:val="20"/>
                <w14:ligatures w14:val="none"/>
              </w:rPr>
              <w:t>26.0</w:t>
            </w:r>
          </w:p>
        </w:tc>
      </w:tr>
      <w:tr w:rsidR="00AA6EAC" w:rsidRPr="008E6DCC" w14:paraId="4A034016" w14:textId="77777777" w:rsidTr="004A258E">
        <w:trPr>
          <w:trHeight w:val="288"/>
        </w:trPr>
        <w:tc>
          <w:tcPr>
            <w:tcW w:w="3675" w:type="dxa"/>
            <w:tcBorders>
              <w:top w:val="nil"/>
              <w:left w:val="single" w:sz="12" w:space="0" w:color="auto"/>
              <w:bottom w:val="nil"/>
              <w:right w:val="nil"/>
            </w:tcBorders>
            <w:shd w:val="clear" w:color="000000" w:fill="FFFFFF"/>
            <w:vAlign w:val="center"/>
          </w:tcPr>
          <w:p w14:paraId="27DAE647" w14:textId="77777777" w:rsidR="00AA6EAC" w:rsidRPr="008E6DCC" w:rsidRDefault="00AA6EAC" w:rsidP="0030543A">
            <w:pPr>
              <w:spacing w:after="0" w:line="240" w:lineRule="auto"/>
              <w:rPr>
                <w:rFonts w:eastAsia="Times New Roman"/>
                <w:color w:val="000000"/>
                <w:sz w:val="20"/>
                <w:szCs w:val="20"/>
              </w:rPr>
            </w:pPr>
            <w:r w:rsidRPr="008E6DCC">
              <w:rPr>
                <w:rFonts w:eastAsia="Times New Roman" w:cs="Times New Roman"/>
                <w:b/>
                <w:bCs/>
                <w:color w:val="000000"/>
                <w:kern w:val="0"/>
                <w:sz w:val="20"/>
                <w:szCs w:val="20"/>
                <w14:ligatures w14:val="none"/>
              </w:rPr>
              <w:t>Ethnicity</w:t>
            </w:r>
          </w:p>
        </w:tc>
        <w:tc>
          <w:tcPr>
            <w:tcW w:w="1545" w:type="dxa"/>
            <w:tcBorders>
              <w:top w:val="nil"/>
              <w:left w:val="nil"/>
              <w:bottom w:val="nil"/>
              <w:right w:val="nil"/>
            </w:tcBorders>
            <w:shd w:val="clear" w:color="000000" w:fill="FFFFFF"/>
            <w:vAlign w:val="center"/>
          </w:tcPr>
          <w:p w14:paraId="13C0F1DC" w14:textId="2B81EE0C" w:rsidR="00AA6EAC" w:rsidRPr="008E6DCC" w:rsidRDefault="00AA6EAC" w:rsidP="00133BCC">
            <w:pPr>
              <w:tabs>
                <w:tab w:val="decimal" w:pos="463"/>
                <w:tab w:val="decimal" w:pos="519"/>
              </w:tabs>
              <w:spacing w:after="0" w:line="240" w:lineRule="auto"/>
              <w:jc w:val="right"/>
              <w:rPr>
                <w:rFonts w:eastAsia="Times New Roman"/>
                <w:color w:val="000000"/>
                <w:sz w:val="20"/>
                <w:szCs w:val="20"/>
              </w:rPr>
            </w:pPr>
          </w:p>
        </w:tc>
        <w:tc>
          <w:tcPr>
            <w:tcW w:w="1620" w:type="dxa"/>
            <w:tcBorders>
              <w:top w:val="nil"/>
              <w:left w:val="nil"/>
              <w:bottom w:val="nil"/>
            </w:tcBorders>
            <w:shd w:val="clear" w:color="000000" w:fill="FFFFFF"/>
            <w:vAlign w:val="center"/>
          </w:tcPr>
          <w:p w14:paraId="6C0B4402" w14:textId="61A8D530" w:rsidR="00AA6EAC" w:rsidRPr="008E6DCC" w:rsidRDefault="00AA6EAC" w:rsidP="00133BCC">
            <w:pPr>
              <w:tabs>
                <w:tab w:val="decimal" w:pos="362"/>
              </w:tabs>
              <w:spacing w:after="0" w:line="240" w:lineRule="auto"/>
              <w:jc w:val="center"/>
              <w:rPr>
                <w:rFonts w:eastAsia="Times New Roman"/>
                <w:color w:val="000000"/>
                <w:sz w:val="20"/>
                <w:szCs w:val="20"/>
              </w:rPr>
            </w:pPr>
          </w:p>
        </w:tc>
        <w:tc>
          <w:tcPr>
            <w:tcW w:w="1350" w:type="dxa"/>
            <w:tcBorders>
              <w:top w:val="nil"/>
              <w:bottom w:val="nil"/>
              <w:right w:val="single" w:sz="12" w:space="0" w:color="auto"/>
            </w:tcBorders>
            <w:shd w:val="clear" w:color="000000" w:fill="FFFFFF"/>
            <w:vAlign w:val="center"/>
          </w:tcPr>
          <w:p w14:paraId="073CFEAF" w14:textId="77777777" w:rsidR="00AA6EAC" w:rsidRDefault="00AA6EAC" w:rsidP="00133BCC">
            <w:pPr>
              <w:tabs>
                <w:tab w:val="decimal" w:pos="148"/>
              </w:tabs>
              <w:spacing w:after="0" w:line="240" w:lineRule="auto"/>
              <w:jc w:val="center"/>
              <w:rPr>
                <w:rFonts w:eastAsia="Times New Roman"/>
                <w:color w:val="000000"/>
                <w:sz w:val="20"/>
                <w:szCs w:val="20"/>
              </w:rPr>
            </w:pPr>
          </w:p>
        </w:tc>
      </w:tr>
      <w:tr w:rsidR="00AA6EAC" w:rsidRPr="008E6DCC" w14:paraId="5F6DA7A6" w14:textId="77777777" w:rsidTr="004A258E">
        <w:trPr>
          <w:trHeight w:val="288"/>
        </w:trPr>
        <w:tc>
          <w:tcPr>
            <w:tcW w:w="3675" w:type="dxa"/>
            <w:tcBorders>
              <w:top w:val="nil"/>
              <w:left w:val="single" w:sz="12" w:space="0" w:color="auto"/>
              <w:bottom w:val="nil"/>
              <w:right w:val="nil"/>
            </w:tcBorders>
            <w:shd w:val="clear" w:color="000000" w:fill="FFFFFF"/>
            <w:vAlign w:val="center"/>
          </w:tcPr>
          <w:p w14:paraId="79BE74E3" w14:textId="77777777" w:rsidR="00AA6EAC" w:rsidRPr="008E6DCC" w:rsidRDefault="00AA6EAC" w:rsidP="0030543A">
            <w:pPr>
              <w:spacing w:after="0" w:line="240" w:lineRule="auto"/>
              <w:ind w:firstLineChars="200" w:firstLine="400"/>
              <w:rPr>
                <w:rFonts w:eastAsia="Times New Roman"/>
                <w:color w:val="000000"/>
                <w:sz w:val="20"/>
                <w:szCs w:val="20"/>
              </w:rPr>
            </w:pPr>
            <w:r w:rsidRPr="008E6DCC">
              <w:rPr>
                <w:rFonts w:eastAsia="Times New Roman" w:cs="Times New Roman"/>
                <w:color w:val="000000"/>
                <w:kern w:val="0"/>
                <w:sz w:val="20"/>
                <w:szCs w:val="20"/>
                <w14:ligatures w14:val="none"/>
              </w:rPr>
              <w:t>Hispanic</w:t>
            </w:r>
          </w:p>
        </w:tc>
        <w:tc>
          <w:tcPr>
            <w:tcW w:w="1545" w:type="dxa"/>
            <w:tcBorders>
              <w:top w:val="nil"/>
              <w:left w:val="nil"/>
              <w:bottom w:val="nil"/>
              <w:right w:val="nil"/>
            </w:tcBorders>
            <w:shd w:val="clear" w:color="000000" w:fill="FFFFFF"/>
            <w:vAlign w:val="center"/>
          </w:tcPr>
          <w:p w14:paraId="1A97340F" w14:textId="48B1EE6A" w:rsidR="00AA6EAC" w:rsidRPr="008E6DCC" w:rsidRDefault="0083221C" w:rsidP="00133BCC">
            <w:pPr>
              <w:tabs>
                <w:tab w:val="decimal" w:pos="463"/>
                <w:tab w:val="decimal" w:pos="519"/>
              </w:tabs>
              <w:spacing w:after="0" w:line="240" w:lineRule="auto"/>
              <w:jc w:val="right"/>
              <w:rPr>
                <w:rFonts w:eastAsia="Times New Roman"/>
                <w:color w:val="000000"/>
                <w:sz w:val="20"/>
                <w:szCs w:val="20"/>
              </w:rPr>
            </w:pPr>
            <w:r>
              <w:rPr>
                <w:rFonts w:eastAsia="Times New Roman" w:cs="Times New Roman"/>
                <w:color w:val="000000"/>
                <w:kern w:val="0"/>
                <w:sz w:val="20"/>
                <w:szCs w:val="20"/>
                <w14:ligatures w14:val="none"/>
              </w:rPr>
              <w:t>133</w:t>
            </w:r>
          </w:p>
        </w:tc>
        <w:tc>
          <w:tcPr>
            <w:tcW w:w="1620" w:type="dxa"/>
            <w:tcBorders>
              <w:top w:val="nil"/>
              <w:left w:val="nil"/>
              <w:bottom w:val="nil"/>
            </w:tcBorders>
            <w:shd w:val="clear" w:color="000000" w:fill="FFFFFF"/>
            <w:vAlign w:val="center"/>
          </w:tcPr>
          <w:p w14:paraId="35B4E636" w14:textId="0DA2A8DC" w:rsidR="00AA6EAC" w:rsidRPr="008E6DCC" w:rsidRDefault="0083221C" w:rsidP="00133BCC">
            <w:pPr>
              <w:tabs>
                <w:tab w:val="decimal" w:pos="362"/>
              </w:tabs>
              <w:spacing w:after="0" w:line="240" w:lineRule="auto"/>
              <w:jc w:val="center"/>
              <w:rPr>
                <w:rFonts w:eastAsia="Times New Roman"/>
                <w:color w:val="000000"/>
                <w:sz w:val="20"/>
                <w:szCs w:val="20"/>
              </w:rPr>
            </w:pPr>
            <w:r>
              <w:rPr>
                <w:rFonts w:eastAsia="Times New Roman" w:cs="Times New Roman"/>
                <w:color w:val="000000"/>
                <w:kern w:val="0"/>
                <w:sz w:val="20"/>
                <w:szCs w:val="20"/>
                <w14:ligatures w14:val="none"/>
              </w:rPr>
              <w:t>10.4</w:t>
            </w:r>
          </w:p>
        </w:tc>
        <w:tc>
          <w:tcPr>
            <w:tcW w:w="1350" w:type="dxa"/>
            <w:tcBorders>
              <w:top w:val="nil"/>
              <w:bottom w:val="nil"/>
              <w:right w:val="single" w:sz="12" w:space="0" w:color="auto"/>
            </w:tcBorders>
            <w:shd w:val="clear" w:color="000000" w:fill="FFFFFF"/>
            <w:vAlign w:val="center"/>
          </w:tcPr>
          <w:p w14:paraId="77F07962" w14:textId="77777777" w:rsidR="00AA6EAC" w:rsidRDefault="00AA6EAC" w:rsidP="00133BCC">
            <w:pPr>
              <w:tabs>
                <w:tab w:val="decimal" w:pos="148"/>
              </w:tabs>
              <w:spacing w:after="0" w:line="240" w:lineRule="auto"/>
              <w:jc w:val="center"/>
              <w:rPr>
                <w:rFonts w:eastAsia="Times New Roman"/>
                <w:color w:val="000000"/>
                <w:sz w:val="20"/>
                <w:szCs w:val="20"/>
              </w:rPr>
            </w:pPr>
            <w:r>
              <w:rPr>
                <w:rFonts w:eastAsia="Times New Roman" w:cs="Times New Roman"/>
                <w:color w:val="000000"/>
                <w:kern w:val="0"/>
                <w:sz w:val="20"/>
                <w:szCs w:val="20"/>
                <w14:ligatures w14:val="none"/>
              </w:rPr>
              <w:t>18.7</w:t>
            </w:r>
          </w:p>
        </w:tc>
      </w:tr>
      <w:tr w:rsidR="00AA6EAC" w:rsidRPr="008E6DCC" w14:paraId="52B79587" w14:textId="77777777" w:rsidTr="004A258E">
        <w:trPr>
          <w:trHeight w:val="288"/>
        </w:trPr>
        <w:tc>
          <w:tcPr>
            <w:tcW w:w="3675" w:type="dxa"/>
            <w:tcBorders>
              <w:top w:val="nil"/>
              <w:left w:val="single" w:sz="12" w:space="0" w:color="auto"/>
              <w:bottom w:val="nil"/>
              <w:right w:val="nil"/>
            </w:tcBorders>
            <w:shd w:val="clear" w:color="000000" w:fill="FFFFFF"/>
            <w:vAlign w:val="center"/>
          </w:tcPr>
          <w:p w14:paraId="0CC57FAC" w14:textId="77777777" w:rsidR="00AA6EAC" w:rsidRPr="008E6DCC" w:rsidRDefault="00AA6EAC" w:rsidP="0030543A">
            <w:pPr>
              <w:spacing w:after="0" w:line="240" w:lineRule="auto"/>
              <w:rPr>
                <w:rFonts w:eastAsia="Times New Roman" w:cs="Times New Roman"/>
                <w:b/>
                <w:bCs/>
                <w:color w:val="000000"/>
                <w:kern w:val="0"/>
                <w:sz w:val="20"/>
                <w:szCs w:val="20"/>
                <w14:ligatures w14:val="none"/>
              </w:rPr>
            </w:pPr>
            <w:r>
              <w:rPr>
                <w:rFonts w:eastAsia="Times New Roman"/>
                <w:color w:val="000000"/>
                <w:sz w:val="20"/>
                <w:szCs w:val="20"/>
              </w:rPr>
              <w:t xml:space="preserve">        </w:t>
            </w:r>
            <w:r w:rsidRPr="008E6DCC">
              <w:rPr>
                <w:rFonts w:eastAsia="Times New Roman" w:cs="Times New Roman"/>
                <w:color w:val="000000"/>
                <w:kern w:val="0"/>
                <w:sz w:val="20"/>
                <w:szCs w:val="20"/>
                <w14:ligatures w14:val="none"/>
              </w:rPr>
              <w:t>Not Hispanic</w:t>
            </w:r>
          </w:p>
        </w:tc>
        <w:tc>
          <w:tcPr>
            <w:tcW w:w="1545" w:type="dxa"/>
            <w:tcBorders>
              <w:top w:val="nil"/>
              <w:left w:val="nil"/>
              <w:right w:val="nil"/>
            </w:tcBorders>
            <w:shd w:val="clear" w:color="000000" w:fill="FFFFFF"/>
            <w:vAlign w:val="center"/>
          </w:tcPr>
          <w:p w14:paraId="0FBFA056" w14:textId="1DA9A32D" w:rsidR="00AA6EAC" w:rsidRPr="008E6DCC" w:rsidRDefault="00BC4F87" w:rsidP="00133BCC">
            <w:pPr>
              <w:tabs>
                <w:tab w:val="decimal" w:pos="463"/>
                <w:tab w:val="decimal" w:pos="519"/>
              </w:tabs>
              <w:spacing w:after="0" w:line="240" w:lineRule="auto"/>
              <w:jc w:val="right"/>
              <w:rPr>
                <w:rFonts w:eastAsia="Times New Roman" w:cs="Times New Roman"/>
                <w:color w:val="000000"/>
                <w:kern w:val="0"/>
                <w:sz w:val="20"/>
                <w:szCs w:val="20"/>
                <w14:ligatures w14:val="none"/>
              </w:rPr>
            </w:pPr>
            <w:r>
              <w:rPr>
                <w:rFonts w:eastAsia="Times New Roman" w:cs="Times New Roman"/>
                <w:color w:val="000000"/>
                <w:kern w:val="0"/>
                <w:sz w:val="20"/>
                <w:szCs w:val="20"/>
                <w14:ligatures w14:val="none"/>
              </w:rPr>
              <w:t>1151</w:t>
            </w:r>
          </w:p>
        </w:tc>
        <w:tc>
          <w:tcPr>
            <w:tcW w:w="1620" w:type="dxa"/>
            <w:tcBorders>
              <w:top w:val="nil"/>
              <w:left w:val="nil"/>
              <w:bottom w:val="nil"/>
            </w:tcBorders>
            <w:shd w:val="clear" w:color="000000" w:fill="FFFFFF"/>
            <w:vAlign w:val="center"/>
          </w:tcPr>
          <w:p w14:paraId="4576B538" w14:textId="6AA434E6" w:rsidR="00AA6EAC" w:rsidRPr="008E6DCC" w:rsidRDefault="00BC4F87" w:rsidP="00133BCC">
            <w:pPr>
              <w:tabs>
                <w:tab w:val="decimal" w:pos="362"/>
              </w:tabs>
              <w:spacing w:after="0" w:line="240" w:lineRule="auto"/>
              <w:jc w:val="center"/>
              <w:rPr>
                <w:rFonts w:eastAsia="Times New Roman" w:cs="Times New Roman"/>
                <w:color w:val="000000"/>
                <w:kern w:val="0"/>
                <w:sz w:val="20"/>
                <w:szCs w:val="20"/>
                <w14:ligatures w14:val="none"/>
              </w:rPr>
            </w:pPr>
            <w:r>
              <w:rPr>
                <w:rFonts w:eastAsia="Times New Roman" w:cs="Times New Roman"/>
                <w:color w:val="000000"/>
                <w:kern w:val="0"/>
                <w:sz w:val="20"/>
                <w:szCs w:val="20"/>
                <w14:ligatures w14:val="none"/>
              </w:rPr>
              <w:t>89.6</w:t>
            </w:r>
          </w:p>
        </w:tc>
        <w:tc>
          <w:tcPr>
            <w:tcW w:w="1350" w:type="dxa"/>
            <w:tcBorders>
              <w:top w:val="nil"/>
              <w:bottom w:val="nil"/>
              <w:right w:val="single" w:sz="12" w:space="0" w:color="auto"/>
            </w:tcBorders>
            <w:shd w:val="clear" w:color="000000" w:fill="FFFFFF"/>
            <w:vAlign w:val="center"/>
          </w:tcPr>
          <w:p w14:paraId="76130519" w14:textId="77777777" w:rsidR="00AA6EAC" w:rsidRPr="008E6DCC" w:rsidRDefault="00AA6EAC" w:rsidP="00133BCC">
            <w:pPr>
              <w:tabs>
                <w:tab w:val="decimal" w:pos="148"/>
              </w:tabs>
              <w:spacing w:after="0" w:line="240" w:lineRule="auto"/>
              <w:jc w:val="center"/>
              <w:rPr>
                <w:rFonts w:eastAsia="Times New Roman" w:cs="Times New Roman"/>
                <w:color w:val="000000"/>
                <w:kern w:val="0"/>
                <w:sz w:val="20"/>
                <w:szCs w:val="20"/>
                <w14:ligatures w14:val="none"/>
              </w:rPr>
            </w:pPr>
            <w:r>
              <w:rPr>
                <w:rFonts w:eastAsia="Times New Roman" w:cs="Times New Roman"/>
                <w:color w:val="000000"/>
                <w:kern w:val="0"/>
                <w:sz w:val="20"/>
                <w:szCs w:val="20"/>
                <w14:ligatures w14:val="none"/>
              </w:rPr>
              <w:t>81.3</w:t>
            </w:r>
          </w:p>
        </w:tc>
      </w:tr>
      <w:tr w:rsidR="00AA6EAC" w:rsidRPr="008E6DCC" w14:paraId="2C774768" w14:textId="77777777" w:rsidTr="004A258E">
        <w:trPr>
          <w:trHeight w:val="288"/>
        </w:trPr>
        <w:tc>
          <w:tcPr>
            <w:tcW w:w="3675" w:type="dxa"/>
            <w:tcBorders>
              <w:top w:val="nil"/>
              <w:left w:val="single" w:sz="12" w:space="0" w:color="auto"/>
              <w:bottom w:val="nil"/>
            </w:tcBorders>
            <w:shd w:val="clear" w:color="000000" w:fill="FFFFFF"/>
            <w:vAlign w:val="center"/>
          </w:tcPr>
          <w:p w14:paraId="67F04936" w14:textId="77777777" w:rsidR="00AA6EAC" w:rsidRPr="008E6DCC" w:rsidRDefault="00AA6EAC" w:rsidP="0030543A">
            <w:pPr>
              <w:spacing w:after="0" w:line="240" w:lineRule="auto"/>
              <w:rPr>
                <w:rFonts w:eastAsia="Times New Roman" w:cs="Times New Roman"/>
                <w:color w:val="000000"/>
                <w:kern w:val="0"/>
                <w:sz w:val="20"/>
                <w:szCs w:val="20"/>
                <w14:ligatures w14:val="none"/>
              </w:rPr>
            </w:pPr>
            <w:r w:rsidRPr="008E6DCC">
              <w:rPr>
                <w:rFonts w:eastAsia="Times New Roman" w:cs="Times New Roman"/>
                <w:b/>
                <w:bCs/>
                <w:color w:val="000000"/>
                <w:kern w:val="0"/>
                <w:sz w:val="20"/>
                <w:szCs w:val="20"/>
                <w14:ligatures w14:val="none"/>
              </w:rPr>
              <w:t xml:space="preserve">Number of </w:t>
            </w:r>
            <w:r>
              <w:rPr>
                <w:rFonts w:eastAsia="Times New Roman" w:cs="Times New Roman"/>
                <w:b/>
                <w:bCs/>
                <w:color w:val="000000"/>
                <w:kern w:val="0"/>
                <w:sz w:val="20"/>
                <w:szCs w:val="20"/>
                <w14:ligatures w14:val="none"/>
              </w:rPr>
              <w:t>v</w:t>
            </w:r>
            <w:r w:rsidRPr="008E6DCC">
              <w:rPr>
                <w:rFonts w:eastAsia="Times New Roman" w:cs="Times New Roman"/>
                <w:b/>
                <w:bCs/>
                <w:color w:val="000000"/>
                <w:kern w:val="0"/>
                <w:sz w:val="20"/>
                <w:szCs w:val="20"/>
                <w14:ligatures w14:val="none"/>
              </w:rPr>
              <w:t>ehicles</w:t>
            </w:r>
          </w:p>
        </w:tc>
        <w:tc>
          <w:tcPr>
            <w:tcW w:w="1545" w:type="dxa"/>
            <w:tcBorders>
              <w:top w:val="nil"/>
              <w:left w:val="nil"/>
              <w:bottom w:val="nil"/>
              <w:right w:val="nil"/>
            </w:tcBorders>
            <w:shd w:val="clear" w:color="000000" w:fill="FFFFFF"/>
            <w:vAlign w:val="center"/>
          </w:tcPr>
          <w:p w14:paraId="08358F69" w14:textId="136A3F9F" w:rsidR="00AA6EAC" w:rsidRPr="008E6DCC" w:rsidRDefault="00AA6EAC" w:rsidP="00133BCC">
            <w:pPr>
              <w:tabs>
                <w:tab w:val="decimal" w:pos="463"/>
                <w:tab w:val="decimal" w:pos="519"/>
              </w:tabs>
              <w:spacing w:after="0" w:line="240" w:lineRule="auto"/>
              <w:jc w:val="right"/>
              <w:rPr>
                <w:rFonts w:eastAsia="Times New Roman" w:cs="Times New Roman"/>
                <w:color w:val="000000"/>
                <w:kern w:val="0"/>
                <w:sz w:val="20"/>
                <w:szCs w:val="20"/>
                <w14:ligatures w14:val="none"/>
              </w:rPr>
            </w:pPr>
          </w:p>
        </w:tc>
        <w:tc>
          <w:tcPr>
            <w:tcW w:w="1620" w:type="dxa"/>
            <w:tcBorders>
              <w:top w:val="nil"/>
              <w:left w:val="nil"/>
              <w:bottom w:val="nil"/>
            </w:tcBorders>
            <w:shd w:val="clear" w:color="000000" w:fill="FFFFFF"/>
            <w:vAlign w:val="center"/>
          </w:tcPr>
          <w:p w14:paraId="09CB6D1D" w14:textId="2FB137E6" w:rsidR="00AA6EAC" w:rsidRPr="008E6DCC" w:rsidRDefault="00AA6EAC" w:rsidP="00133BCC">
            <w:pPr>
              <w:tabs>
                <w:tab w:val="decimal" w:pos="362"/>
              </w:tabs>
              <w:spacing w:after="0" w:line="240" w:lineRule="auto"/>
              <w:jc w:val="center"/>
              <w:rPr>
                <w:rFonts w:eastAsia="Times New Roman" w:cs="Times New Roman"/>
                <w:color w:val="000000"/>
                <w:kern w:val="0"/>
                <w:sz w:val="20"/>
                <w:szCs w:val="20"/>
                <w14:ligatures w14:val="none"/>
              </w:rPr>
            </w:pPr>
          </w:p>
        </w:tc>
        <w:tc>
          <w:tcPr>
            <w:tcW w:w="1350" w:type="dxa"/>
            <w:tcBorders>
              <w:top w:val="nil"/>
              <w:bottom w:val="nil"/>
              <w:right w:val="single" w:sz="12" w:space="0" w:color="auto"/>
            </w:tcBorders>
            <w:shd w:val="clear" w:color="000000" w:fill="FFFFFF"/>
            <w:vAlign w:val="center"/>
          </w:tcPr>
          <w:p w14:paraId="5C25AD54" w14:textId="77777777" w:rsidR="00AA6EAC" w:rsidRPr="008E6DCC" w:rsidRDefault="00AA6EAC" w:rsidP="00133BCC">
            <w:pPr>
              <w:tabs>
                <w:tab w:val="decimal" w:pos="148"/>
              </w:tabs>
              <w:spacing w:after="0" w:line="240" w:lineRule="auto"/>
              <w:jc w:val="center"/>
              <w:rPr>
                <w:rFonts w:eastAsia="Times New Roman" w:cs="Times New Roman"/>
                <w:color w:val="000000"/>
                <w:kern w:val="0"/>
                <w:sz w:val="20"/>
                <w:szCs w:val="20"/>
                <w14:ligatures w14:val="none"/>
              </w:rPr>
            </w:pPr>
          </w:p>
        </w:tc>
      </w:tr>
      <w:tr w:rsidR="00AA6EAC" w:rsidRPr="008E6DCC" w14:paraId="2C675093" w14:textId="77777777" w:rsidTr="004A258E">
        <w:trPr>
          <w:trHeight w:val="288"/>
        </w:trPr>
        <w:tc>
          <w:tcPr>
            <w:tcW w:w="3675" w:type="dxa"/>
            <w:tcBorders>
              <w:top w:val="nil"/>
              <w:left w:val="single" w:sz="12" w:space="0" w:color="auto"/>
              <w:bottom w:val="nil"/>
            </w:tcBorders>
            <w:shd w:val="clear" w:color="000000" w:fill="FFFFFF"/>
            <w:vAlign w:val="center"/>
          </w:tcPr>
          <w:p w14:paraId="76FB3D17" w14:textId="77777777" w:rsidR="00AA6EAC" w:rsidRPr="008E6DCC" w:rsidRDefault="00AA6EAC" w:rsidP="0030543A">
            <w:pPr>
              <w:spacing w:after="0" w:line="240" w:lineRule="auto"/>
              <w:ind w:firstLineChars="200" w:firstLine="400"/>
              <w:rPr>
                <w:rFonts w:eastAsia="Times New Roman" w:cs="Times New Roman"/>
                <w:color w:val="000000"/>
                <w:kern w:val="0"/>
                <w:sz w:val="20"/>
                <w:szCs w:val="20"/>
                <w14:ligatures w14:val="none"/>
              </w:rPr>
            </w:pPr>
            <w:r w:rsidRPr="008E6DCC">
              <w:rPr>
                <w:rFonts w:eastAsia="Times New Roman" w:cs="Times New Roman"/>
                <w:color w:val="000000"/>
                <w:kern w:val="0"/>
                <w:sz w:val="20"/>
                <w:szCs w:val="20"/>
                <w14:ligatures w14:val="none"/>
              </w:rPr>
              <w:t>0</w:t>
            </w:r>
          </w:p>
        </w:tc>
        <w:tc>
          <w:tcPr>
            <w:tcW w:w="1545" w:type="dxa"/>
            <w:tcBorders>
              <w:top w:val="nil"/>
              <w:left w:val="nil"/>
              <w:bottom w:val="nil"/>
              <w:right w:val="nil"/>
            </w:tcBorders>
            <w:shd w:val="clear" w:color="000000" w:fill="FFFFFF"/>
            <w:vAlign w:val="center"/>
          </w:tcPr>
          <w:p w14:paraId="1F63932B" w14:textId="378B7187" w:rsidR="00AA6EAC" w:rsidRPr="008E6DCC" w:rsidRDefault="00195159" w:rsidP="00133BCC">
            <w:pPr>
              <w:tabs>
                <w:tab w:val="decimal" w:pos="463"/>
                <w:tab w:val="decimal" w:pos="519"/>
              </w:tabs>
              <w:spacing w:after="0" w:line="240" w:lineRule="auto"/>
              <w:jc w:val="right"/>
              <w:rPr>
                <w:rFonts w:eastAsia="Times New Roman" w:cs="Times New Roman"/>
                <w:color w:val="000000"/>
                <w:kern w:val="0"/>
                <w:sz w:val="20"/>
                <w:szCs w:val="20"/>
                <w14:ligatures w14:val="none"/>
              </w:rPr>
            </w:pPr>
            <w:r>
              <w:rPr>
                <w:rFonts w:eastAsia="Times New Roman" w:cs="Times New Roman"/>
                <w:color w:val="000000"/>
                <w:kern w:val="0"/>
                <w:sz w:val="20"/>
                <w:szCs w:val="20"/>
                <w14:ligatures w14:val="none"/>
              </w:rPr>
              <w:t>165</w:t>
            </w:r>
          </w:p>
        </w:tc>
        <w:tc>
          <w:tcPr>
            <w:tcW w:w="1620" w:type="dxa"/>
            <w:tcBorders>
              <w:top w:val="nil"/>
              <w:left w:val="nil"/>
              <w:bottom w:val="nil"/>
            </w:tcBorders>
            <w:shd w:val="clear" w:color="000000" w:fill="FFFFFF"/>
            <w:vAlign w:val="center"/>
          </w:tcPr>
          <w:p w14:paraId="4A119D2E" w14:textId="05EC5282" w:rsidR="00AA6EAC" w:rsidRPr="008E6DCC" w:rsidRDefault="00AB5948" w:rsidP="00133BCC">
            <w:pPr>
              <w:tabs>
                <w:tab w:val="decimal" w:pos="362"/>
              </w:tabs>
              <w:spacing w:after="0" w:line="240" w:lineRule="auto"/>
              <w:jc w:val="center"/>
              <w:rPr>
                <w:rFonts w:eastAsia="Times New Roman" w:cs="Times New Roman"/>
                <w:color w:val="000000"/>
                <w:kern w:val="0"/>
                <w:sz w:val="20"/>
                <w:szCs w:val="20"/>
                <w14:ligatures w14:val="none"/>
              </w:rPr>
            </w:pPr>
            <w:r>
              <w:rPr>
                <w:rFonts w:eastAsia="Times New Roman" w:cs="Times New Roman"/>
                <w:color w:val="000000"/>
                <w:kern w:val="0"/>
                <w:sz w:val="20"/>
                <w:szCs w:val="20"/>
                <w14:ligatures w14:val="none"/>
              </w:rPr>
              <w:t>12.9</w:t>
            </w:r>
          </w:p>
        </w:tc>
        <w:tc>
          <w:tcPr>
            <w:tcW w:w="1350" w:type="dxa"/>
            <w:tcBorders>
              <w:top w:val="nil"/>
              <w:bottom w:val="nil"/>
              <w:right w:val="single" w:sz="12" w:space="0" w:color="auto"/>
            </w:tcBorders>
            <w:shd w:val="clear" w:color="000000" w:fill="FFFFFF"/>
            <w:vAlign w:val="center"/>
          </w:tcPr>
          <w:p w14:paraId="20C7CF45" w14:textId="77777777" w:rsidR="00AA6EAC" w:rsidRPr="008E6DCC" w:rsidRDefault="00AA6EAC" w:rsidP="00133BCC">
            <w:pPr>
              <w:tabs>
                <w:tab w:val="decimal" w:pos="148"/>
              </w:tabs>
              <w:spacing w:after="0" w:line="240" w:lineRule="auto"/>
              <w:jc w:val="center"/>
              <w:rPr>
                <w:rFonts w:eastAsia="Times New Roman" w:cs="Times New Roman"/>
                <w:color w:val="000000"/>
                <w:kern w:val="0"/>
                <w:sz w:val="20"/>
                <w:szCs w:val="20"/>
                <w14:ligatures w14:val="none"/>
              </w:rPr>
            </w:pPr>
            <w:r>
              <w:rPr>
                <w:rFonts w:eastAsia="Times New Roman" w:cs="Times New Roman"/>
                <w:color w:val="000000"/>
                <w:kern w:val="0"/>
                <w:sz w:val="20"/>
                <w:szCs w:val="20"/>
                <w14:ligatures w14:val="none"/>
              </w:rPr>
              <w:t>8.3</w:t>
            </w:r>
          </w:p>
        </w:tc>
      </w:tr>
      <w:tr w:rsidR="00AA6EAC" w:rsidRPr="008E6DCC" w14:paraId="1C4375FC" w14:textId="77777777" w:rsidTr="004A258E">
        <w:trPr>
          <w:trHeight w:val="288"/>
        </w:trPr>
        <w:tc>
          <w:tcPr>
            <w:tcW w:w="3675" w:type="dxa"/>
            <w:tcBorders>
              <w:top w:val="nil"/>
              <w:left w:val="single" w:sz="12" w:space="0" w:color="auto"/>
              <w:bottom w:val="nil"/>
            </w:tcBorders>
            <w:shd w:val="clear" w:color="000000" w:fill="FFFFFF"/>
            <w:vAlign w:val="center"/>
          </w:tcPr>
          <w:p w14:paraId="128AEE52" w14:textId="77777777" w:rsidR="00AA6EAC" w:rsidRPr="009415F4" w:rsidRDefault="00AA6EAC" w:rsidP="0030543A">
            <w:pPr>
              <w:spacing w:after="0" w:line="240" w:lineRule="auto"/>
              <w:rPr>
                <w:rFonts w:eastAsia="Times New Roman"/>
                <w:b/>
                <w:bCs/>
                <w:color w:val="000000"/>
                <w:sz w:val="20"/>
                <w:szCs w:val="20"/>
              </w:rPr>
            </w:pPr>
            <w:r>
              <w:rPr>
                <w:rFonts w:eastAsia="Times New Roman"/>
                <w:color w:val="000000"/>
                <w:sz w:val="20"/>
                <w:szCs w:val="20"/>
              </w:rPr>
              <w:t xml:space="preserve">        </w:t>
            </w:r>
            <w:r w:rsidRPr="008E6DCC">
              <w:rPr>
                <w:rFonts w:eastAsia="Times New Roman" w:cs="Times New Roman"/>
                <w:color w:val="000000"/>
                <w:kern w:val="0"/>
                <w:sz w:val="20"/>
                <w:szCs w:val="20"/>
                <w14:ligatures w14:val="none"/>
              </w:rPr>
              <w:t>1</w:t>
            </w:r>
          </w:p>
        </w:tc>
        <w:tc>
          <w:tcPr>
            <w:tcW w:w="1545" w:type="dxa"/>
            <w:tcBorders>
              <w:top w:val="nil"/>
              <w:left w:val="nil"/>
              <w:bottom w:val="nil"/>
              <w:right w:val="nil"/>
            </w:tcBorders>
            <w:shd w:val="clear" w:color="000000" w:fill="FFFFFF"/>
            <w:vAlign w:val="center"/>
          </w:tcPr>
          <w:p w14:paraId="76E58E3C" w14:textId="355600D5" w:rsidR="00AA6EAC" w:rsidRPr="009415F4" w:rsidRDefault="00AB5948" w:rsidP="00133BCC">
            <w:pPr>
              <w:tabs>
                <w:tab w:val="decimal" w:pos="463"/>
                <w:tab w:val="decimal" w:pos="519"/>
              </w:tabs>
              <w:spacing w:after="0" w:line="240" w:lineRule="auto"/>
              <w:jc w:val="right"/>
              <w:rPr>
                <w:rFonts w:eastAsia="Times New Roman" w:cs="Times New Roman"/>
                <w:b/>
                <w:bCs/>
                <w:color w:val="000000"/>
                <w:kern w:val="0"/>
                <w:sz w:val="20"/>
                <w:szCs w:val="20"/>
                <w14:ligatures w14:val="none"/>
              </w:rPr>
            </w:pPr>
            <w:r>
              <w:rPr>
                <w:rFonts w:eastAsia="Times New Roman" w:cs="Times New Roman"/>
                <w:color w:val="000000"/>
                <w:kern w:val="0"/>
                <w:sz w:val="20"/>
                <w:szCs w:val="20"/>
                <w14:ligatures w14:val="none"/>
              </w:rPr>
              <w:t>622</w:t>
            </w:r>
          </w:p>
        </w:tc>
        <w:tc>
          <w:tcPr>
            <w:tcW w:w="1620" w:type="dxa"/>
            <w:tcBorders>
              <w:top w:val="nil"/>
              <w:left w:val="nil"/>
              <w:bottom w:val="nil"/>
            </w:tcBorders>
            <w:shd w:val="clear" w:color="000000" w:fill="FFFFFF"/>
            <w:vAlign w:val="center"/>
          </w:tcPr>
          <w:p w14:paraId="5F8E9AD1" w14:textId="08961BFA" w:rsidR="00AA6EAC" w:rsidRPr="008E6DCC" w:rsidRDefault="00AA6EAC" w:rsidP="00133BCC">
            <w:pPr>
              <w:tabs>
                <w:tab w:val="decimal" w:pos="362"/>
              </w:tabs>
              <w:spacing w:after="0" w:line="240" w:lineRule="auto"/>
              <w:jc w:val="center"/>
              <w:rPr>
                <w:rFonts w:eastAsia="Times New Roman" w:cs="Times New Roman"/>
                <w:color w:val="000000"/>
                <w:kern w:val="0"/>
                <w:sz w:val="20"/>
                <w:szCs w:val="20"/>
                <w14:ligatures w14:val="none"/>
              </w:rPr>
            </w:pPr>
            <w:r w:rsidRPr="008E6DCC">
              <w:rPr>
                <w:rFonts w:eastAsia="Times New Roman" w:cs="Times New Roman"/>
                <w:color w:val="000000"/>
                <w:kern w:val="0"/>
                <w:sz w:val="20"/>
                <w:szCs w:val="20"/>
                <w14:ligatures w14:val="none"/>
              </w:rPr>
              <w:t>4</w:t>
            </w:r>
            <w:r w:rsidR="00AB5948">
              <w:rPr>
                <w:rFonts w:eastAsia="Times New Roman" w:cs="Times New Roman"/>
                <w:color w:val="000000"/>
                <w:kern w:val="0"/>
                <w:sz w:val="20"/>
                <w:szCs w:val="20"/>
                <w14:ligatures w14:val="none"/>
              </w:rPr>
              <w:t>8.4</w:t>
            </w:r>
          </w:p>
        </w:tc>
        <w:tc>
          <w:tcPr>
            <w:tcW w:w="1350" w:type="dxa"/>
            <w:tcBorders>
              <w:top w:val="nil"/>
              <w:bottom w:val="nil"/>
              <w:right w:val="single" w:sz="12" w:space="0" w:color="auto"/>
            </w:tcBorders>
            <w:shd w:val="clear" w:color="000000" w:fill="FFFFFF"/>
            <w:vAlign w:val="center"/>
          </w:tcPr>
          <w:p w14:paraId="7CD62A0D" w14:textId="77777777" w:rsidR="00AA6EAC" w:rsidRPr="008E6DCC" w:rsidRDefault="00AA6EAC" w:rsidP="00133BCC">
            <w:pPr>
              <w:tabs>
                <w:tab w:val="decimal" w:pos="148"/>
              </w:tabs>
              <w:spacing w:after="0" w:line="240" w:lineRule="auto"/>
              <w:jc w:val="center"/>
              <w:rPr>
                <w:rFonts w:eastAsia="Times New Roman" w:cs="Times New Roman"/>
                <w:color w:val="000000"/>
                <w:kern w:val="0"/>
                <w:sz w:val="20"/>
                <w:szCs w:val="20"/>
                <w14:ligatures w14:val="none"/>
              </w:rPr>
            </w:pPr>
            <w:r>
              <w:rPr>
                <w:rFonts w:eastAsia="Times New Roman" w:cs="Times New Roman"/>
                <w:color w:val="000000"/>
                <w:kern w:val="0"/>
                <w:sz w:val="20"/>
                <w:szCs w:val="20"/>
                <w14:ligatures w14:val="none"/>
              </w:rPr>
              <w:t>32.6</w:t>
            </w:r>
          </w:p>
        </w:tc>
      </w:tr>
      <w:tr w:rsidR="00AA6EAC" w:rsidRPr="008E6DCC" w14:paraId="178767B0" w14:textId="77777777" w:rsidTr="004A258E">
        <w:trPr>
          <w:trHeight w:val="288"/>
        </w:trPr>
        <w:tc>
          <w:tcPr>
            <w:tcW w:w="3675" w:type="dxa"/>
            <w:tcBorders>
              <w:top w:val="nil"/>
              <w:left w:val="single" w:sz="12" w:space="0" w:color="auto"/>
            </w:tcBorders>
            <w:shd w:val="clear" w:color="000000" w:fill="FFFFFF"/>
            <w:vAlign w:val="center"/>
          </w:tcPr>
          <w:p w14:paraId="6312116C" w14:textId="77777777" w:rsidR="00AA6EAC" w:rsidRPr="008E6DCC" w:rsidRDefault="00AA6EAC" w:rsidP="0030543A">
            <w:pPr>
              <w:spacing w:after="0" w:line="240" w:lineRule="auto"/>
              <w:rPr>
                <w:rFonts w:eastAsia="Times New Roman" w:cs="Times New Roman"/>
                <w:color w:val="000000"/>
                <w:kern w:val="0"/>
                <w:sz w:val="20"/>
                <w:szCs w:val="20"/>
                <w14:ligatures w14:val="none"/>
              </w:rPr>
            </w:pPr>
            <w:r>
              <w:rPr>
                <w:rFonts w:eastAsia="Times New Roman"/>
                <w:color w:val="000000"/>
                <w:sz w:val="20"/>
                <w:szCs w:val="20"/>
              </w:rPr>
              <w:t xml:space="preserve">        </w:t>
            </w:r>
            <w:r w:rsidRPr="008E6DCC">
              <w:rPr>
                <w:rFonts w:eastAsia="Times New Roman" w:cs="Times New Roman"/>
                <w:color w:val="000000"/>
                <w:kern w:val="0"/>
                <w:sz w:val="20"/>
                <w:szCs w:val="20"/>
                <w14:ligatures w14:val="none"/>
              </w:rPr>
              <w:t>2</w:t>
            </w:r>
          </w:p>
        </w:tc>
        <w:tc>
          <w:tcPr>
            <w:tcW w:w="1545" w:type="dxa"/>
            <w:tcBorders>
              <w:top w:val="nil"/>
              <w:left w:val="nil"/>
              <w:right w:val="nil"/>
            </w:tcBorders>
            <w:shd w:val="clear" w:color="000000" w:fill="FFFFFF"/>
            <w:vAlign w:val="center"/>
          </w:tcPr>
          <w:p w14:paraId="47334403" w14:textId="24F1AD29" w:rsidR="00AA6EAC" w:rsidRPr="008E6DCC" w:rsidRDefault="00AB5948" w:rsidP="00133BCC">
            <w:pPr>
              <w:tabs>
                <w:tab w:val="decimal" w:pos="463"/>
                <w:tab w:val="decimal" w:pos="519"/>
              </w:tabs>
              <w:spacing w:after="0" w:line="240" w:lineRule="auto"/>
              <w:jc w:val="right"/>
              <w:rPr>
                <w:rFonts w:eastAsia="Times New Roman" w:cs="Times New Roman"/>
                <w:color w:val="000000"/>
                <w:kern w:val="0"/>
                <w:sz w:val="20"/>
                <w:szCs w:val="20"/>
                <w14:ligatures w14:val="none"/>
              </w:rPr>
            </w:pPr>
            <w:r>
              <w:rPr>
                <w:rFonts w:eastAsia="Times New Roman" w:cs="Times New Roman"/>
                <w:color w:val="000000"/>
                <w:kern w:val="0"/>
                <w:sz w:val="20"/>
                <w:szCs w:val="20"/>
                <w14:ligatures w14:val="none"/>
              </w:rPr>
              <w:t>376</w:t>
            </w:r>
          </w:p>
        </w:tc>
        <w:tc>
          <w:tcPr>
            <w:tcW w:w="1620" w:type="dxa"/>
            <w:tcBorders>
              <w:top w:val="nil"/>
              <w:left w:val="nil"/>
            </w:tcBorders>
            <w:shd w:val="clear" w:color="000000" w:fill="FFFFFF"/>
            <w:vAlign w:val="center"/>
          </w:tcPr>
          <w:p w14:paraId="14C4F086" w14:textId="5376AD30" w:rsidR="00AA6EAC" w:rsidRPr="008E6DCC" w:rsidRDefault="00AB5948" w:rsidP="00133BCC">
            <w:pPr>
              <w:tabs>
                <w:tab w:val="decimal" w:pos="362"/>
              </w:tabs>
              <w:spacing w:after="0" w:line="240" w:lineRule="auto"/>
              <w:jc w:val="center"/>
              <w:rPr>
                <w:rFonts w:eastAsia="Times New Roman" w:cs="Times New Roman"/>
                <w:color w:val="000000"/>
                <w:kern w:val="0"/>
                <w:sz w:val="20"/>
                <w:szCs w:val="20"/>
                <w14:ligatures w14:val="none"/>
              </w:rPr>
            </w:pPr>
            <w:r>
              <w:rPr>
                <w:rFonts w:eastAsia="Times New Roman" w:cs="Times New Roman"/>
                <w:color w:val="000000"/>
                <w:kern w:val="0"/>
                <w:sz w:val="20"/>
                <w:szCs w:val="20"/>
                <w14:ligatures w14:val="none"/>
              </w:rPr>
              <w:t>29.3</w:t>
            </w:r>
          </w:p>
        </w:tc>
        <w:tc>
          <w:tcPr>
            <w:tcW w:w="1350" w:type="dxa"/>
            <w:tcBorders>
              <w:top w:val="nil"/>
              <w:right w:val="single" w:sz="12" w:space="0" w:color="auto"/>
            </w:tcBorders>
            <w:shd w:val="clear" w:color="000000" w:fill="FFFFFF"/>
            <w:vAlign w:val="center"/>
          </w:tcPr>
          <w:p w14:paraId="624BF874" w14:textId="77777777" w:rsidR="00AA6EAC" w:rsidRPr="008E6DCC" w:rsidRDefault="00AA6EAC" w:rsidP="00133BCC">
            <w:pPr>
              <w:tabs>
                <w:tab w:val="decimal" w:pos="148"/>
              </w:tabs>
              <w:spacing w:after="0" w:line="240" w:lineRule="auto"/>
              <w:jc w:val="center"/>
              <w:rPr>
                <w:rFonts w:eastAsia="Times New Roman" w:cs="Times New Roman"/>
                <w:color w:val="000000"/>
                <w:kern w:val="0"/>
                <w:sz w:val="20"/>
                <w:szCs w:val="20"/>
                <w14:ligatures w14:val="none"/>
              </w:rPr>
            </w:pPr>
            <w:r>
              <w:rPr>
                <w:rFonts w:eastAsia="Times New Roman" w:cs="Times New Roman"/>
                <w:color w:val="000000"/>
                <w:kern w:val="0"/>
                <w:sz w:val="20"/>
                <w:szCs w:val="20"/>
                <w14:ligatures w14:val="none"/>
              </w:rPr>
              <w:t>37.0</w:t>
            </w:r>
          </w:p>
        </w:tc>
      </w:tr>
      <w:tr w:rsidR="00AA6EAC" w:rsidRPr="008E6DCC" w14:paraId="37F9C4C5" w14:textId="77777777" w:rsidTr="004A258E">
        <w:trPr>
          <w:trHeight w:val="288"/>
        </w:trPr>
        <w:tc>
          <w:tcPr>
            <w:tcW w:w="3675" w:type="dxa"/>
            <w:tcBorders>
              <w:top w:val="nil"/>
              <w:left w:val="single" w:sz="12" w:space="0" w:color="auto"/>
              <w:bottom w:val="single" w:sz="12" w:space="0" w:color="auto"/>
              <w:right w:val="nil"/>
            </w:tcBorders>
            <w:shd w:val="clear" w:color="000000" w:fill="FFFFFF"/>
            <w:vAlign w:val="center"/>
          </w:tcPr>
          <w:p w14:paraId="40A193D8" w14:textId="77777777" w:rsidR="00AA6EAC" w:rsidRPr="008E6DCC" w:rsidRDefault="00AA6EAC" w:rsidP="0030543A">
            <w:pPr>
              <w:spacing w:after="0" w:line="240" w:lineRule="auto"/>
              <w:ind w:firstLineChars="200" w:firstLine="400"/>
              <w:rPr>
                <w:rFonts w:eastAsia="Times New Roman" w:cs="Times New Roman"/>
                <w:color w:val="000000"/>
                <w:kern w:val="0"/>
                <w:sz w:val="20"/>
                <w:szCs w:val="20"/>
                <w14:ligatures w14:val="none"/>
              </w:rPr>
            </w:pPr>
            <w:r w:rsidRPr="008E6DCC">
              <w:rPr>
                <w:rFonts w:eastAsia="Times New Roman" w:cs="Times New Roman"/>
                <w:color w:val="000000"/>
                <w:kern w:val="0"/>
                <w:sz w:val="20"/>
                <w:szCs w:val="20"/>
                <w14:ligatures w14:val="none"/>
              </w:rPr>
              <w:t>3+</w:t>
            </w:r>
          </w:p>
        </w:tc>
        <w:tc>
          <w:tcPr>
            <w:tcW w:w="1545" w:type="dxa"/>
            <w:tcBorders>
              <w:top w:val="nil"/>
              <w:left w:val="nil"/>
              <w:bottom w:val="single" w:sz="12" w:space="0" w:color="auto"/>
              <w:right w:val="nil"/>
            </w:tcBorders>
            <w:shd w:val="clear" w:color="000000" w:fill="FFFFFF"/>
            <w:vAlign w:val="center"/>
          </w:tcPr>
          <w:p w14:paraId="11B19532" w14:textId="3F74DB07" w:rsidR="00AA6EAC" w:rsidRPr="008E6DCC" w:rsidRDefault="00AB5948" w:rsidP="00133BCC">
            <w:pPr>
              <w:tabs>
                <w:tab w:val="decimal" w:pos="463"/>
                <w:tab w:val="decimal" w:pos="519"/>
              </w:tabs>
              <w:spacing w:after="0" w:line="240" w:lineRule="auto"/>
              <w:jc w:val="right"/>
              <w:rPr>
                <w:rFonts w:eastAsia="Times New Roman" w:cs="Times New Roman"/>
                <w:color w:val="000000"/>
                <w:kern w:val="0"/>
                <w:sz w:val="20"/>
                <w:szCs w:val="20"/>
                <w14:ligatures w14:val="none"/>
              </w:rPr>
            </w:pPr>
            <w:r>
              <w:rPr>
                <w:rFonts w:eastAsia="Times New Roman" w:cs="Times New Roman"/>
                <w:color w:val="000000"/>
                <w:kern w:val="0"/>
                <w:sz w:val="20"/>
                <w:szCs w:val="20"/>
                <w14:ligatures w14:val="none"/>
              </w:rPr>
              <w:t>121</w:t>
            </w:r>
          </w:p>
        </w:tc>
        <w:tc>
          <w:tcPr>
            <w:tcW w:w="1620" w:type="dxa"/>
            <w:tcBorders>
              <w:top w:val="nil"/>
              <w:left w:val="nil"/>
              <w:bottom w:val="single" w:sz="12" w:space="0" w:color="auto"/>
            </w:tcBorders>
            <w:shd w:val="clear" w:color="000000" w:fill="FFFFFF"/>
            <w:vAlign w:val="center"/>
          </w:tcPr>
          <w:p w14:paraId="64B55CD4" w14:textId="185ADA35" w:rsidR="00AA6EAC" w:rsidRPr="008E6DCC" w:rsidRDefault="00AB5948" w:rsidP="00133BCC">
            <w:pPr>
              <w:tabs>
                <w:tab w:val="decimal" w:pos="362"/>
              </w:tabs>
              <w:spacing w:after="0" w:line="240" w:lineRule="auto"/>
              <w:jc w:val="center"/>
              <w:rPr>
                <w:rFonts w:eastAsia="Times New Roman" w:cs="Times New Roman"/>
                <w:color w:val="000000"/>
                <w:kern w:val="0"/>
                <w:sz w:val="20"/>
                <w:szCs w:val="20"/>
                <w14:ligatures w14:val="none"/>
              </w:rPr>
            </w:pPr>
            <w:r>
              <w:rPr>
                <w:rFonts w:eastAsia="Times New Roman" w:cs="Times New Roman"/>
                <w:color w:val="000000"/>
                <w:kern w:val="0"/>
                <w:sz w:val="20"/>
                <w:szCs w:val="20"/>
                <w14:ligatures w14:val="none"/>
              </w:rPr>
              <w:t>9.4</w:t>
            </w:r>
          </w:p>
        </w:tc>
        <w:tc>
          <w:tcPr>
            <w:tcW w:w="1350" w:type="dxa"/>
            <w:tcBorders>
              <w:top w:val="nil"/>
              <w:bottom w:val="single" w:sz="12" w:space="0" w:color="auto"/>
              <w:right w:val="single" w:sz="12" w:space="0" w:color="auto"/>
            </w:tcBorders>
            <w:shd w:val="clear" w:color="000000" w:fill="FFFFFF"/>
            <w:vAlign w:val="center"/>
          </w:tcPr>
          <w:p w14:paraId="1CB71DAA" w14:textId="77777777" w:rsidR="00AA6EAC" w:rsidRPr="008E6DCC" w:rsidRDefault="00AA6EAC" w:rsidP="00133BCC">
            <w:pPr>
              <w:tabs>
                <w:tab w:val="decimal" w:pos="148"/>
              </w:tabs>
              <w:spacing w:after="0" w:line="240" w:lineRule="auto"/>
              <w:jc w:val="center"/>
              <w:rPr>
                <w:rFonts w:eastAsia="Times New Roman" w:cs="Times New Roman"/>
                <w:color w:val="000000"/>
                <w:kern w:val="0"/>
                <w:sz w:val="20"/>
                <w:szCs w:val="20"/>
                <w14:ligatures w14:val="none"/>
              </w:rPr>
            </w:pPr>
            <w:r>
              <w:rPr>
                <w:rFonts w:eastAsia="Times New Roman" w:cs="Times New Roman"/>
                <w:color w:val="000000"/>
                <w:kern w:val="0"/>
                <w:sz w:val="20"/>
                <w:szCs w:val="20"/>
                <w14:ligatures w14:val="none"/>
              </w:rPr>
              <w:t>22.1</w:t>
            </w:r>
          </w:p>
        </w:tc>
      </w:tr>
    </w:tbl>
    <w:p w14:paraId="609391CB" w14:textId="77777777" w:rsidR="00057A81" w:rsidRDefault="00057A81" w:rsidP="00092A50">
      <w:pPr>
        <w:spacing w:after="0" w:line="240" w:lineRule="auto"/>
        <w:jc w:val="both"/>
        <w:rPr>
          <w:rFonts w:cs="Times New Roman"/>
          <w:b/>
          <w:bCs/>
        </w:rPr>
      </w:pPr>
    </w:p>
    <w:p w14:paraId="65AD0774" w14:textId="77777777" w:rsidR="00057A81" w:rsidRDefault="00057A81" w:rsidP="00092A50">
      <w:pPr>
        <w:spacing w:after="0" w:line="240" w:lineRule="auto"/>
        <w:jc w:val="both"/>
        <w:rPr>
          <w:rFonts w:cs="Times New Roman"/>
          <w:b/>
          <w:bCs/>
        </w:rPr>
      </w:pPr>
    </w:p>
    <w:bookmarkEnd w:id="4"/>
    <w:p w14:paraId="711FD213" w14:textId="77777777" w:rsidR="00057A81" w:rsidRDefault="00057A81" w:rsidP="00092A50">
      <w:pPr>
        <w:spacing w:after="0" w:line="240" w:lineRule="auto"/>
        <w:jc w:val="both"/>
        <w:rPr>
          <w:rFonts w:cs="Times New Roman"/>
          <w:b/>
          <w:bCs/>
        </w:rPr>
      </w:pPr>
    </w:p>
    <w:p w14:paraId="67A76F0C" w14:textId="22F2F5CB" w:rsidR="00057A81" w:rsidRDefault="00057A81" w:rsidP="00092A50">
      <w:pPr>
        <w:spacing w:after="0" w:line="240" w:lineRule="auto"/>
        <w:jc w:val="both"/>
        <w:rPr>
          <w:rFonts w:cs="Times New Roman"/>
          <w:b/>
          <w:bCs/>
        </w:rPr>
        <w:sectPr w:rsidR="00057A81" w:rsidSect="00956D9D">
          <w:pgSz w:w="12240" w:h="15840"/>
          <w:pgMar w:top="1440" w:right="1440" w:bottom="1440" w:left="1440" w:header="720" w:footer="720" w:gutter="0"/>
          <w:cols w:space="720"/>
          <w:docGrid w:linePitch="360"/>
        </w:sectPr>
      </w:pPr>
      <w:r>
        <w:rPr>
          <w:rFonts w:cs="Times New Roman"/>
          <w:b/>
          <w:bCs/>
        </w:rPr>
        <w:t xml:space="preserve">  </w:t>
      </w:r>
    </w:p>
    <w:p w14:paraId="147FE95E" w14:textId="77777777" w:rsidR="00082AC4" w:rsidRPr="001D205A" w:rsidRDefault="00082AC4" w:rsidP="00092A50">
      <w:pPr>
        <w:spacing w:after="0" w:line="240" w:lineRule="auto"/>
        <w:jc w:val="both"/>
        <w:rPr>
          <w:rFonts w:cs="Times New Roman"/>
          <w:b/>
          <w:bCs/>
        </w:rPr>
      </w:pPr>
      <w:bookmarkStart w:id="6" w:name="_Hlk169089872"/>
      <w:bookmarkStart w:id="7" w:name="_Hlk166589849"/>
      <w:r w:rsidRPr="001D205A">
        <w:rPr>
          <w:rFonts w:cs="Times New Roman"/>
          <w:b/>
          <w:bCs/>
        </w:rPr>
        <w:lastRenderedPageBreak/>
        <w:t>Table 3: Model Estimation Results</w:t>
      </w:r>
    </w:p>
    <w:p w14:paraId="358588C1" w14:textId="77777777" w:rsidR="001D205A" w:rsidRDefault="001D205A" w:rsidP="00092A50">
      <w:pPr>
        <w:spacing w:after="0" w:line="240" w:lineRule="auto"/>
        <w:jc w:val="both"/>
        <w:rPr>
          <w:rFonts w:cs="Times New Roman"/>
        </w:rPr>
      </w:pPr>
    </w:p>
    <w:tbl>
      <w:tblPr>
        <w:tblpPr w:leftFromText="187" w:rightFromText="187" w:vertAnchor="text" w:horzAnchor="margin" w:tblpXSpec="center" w:tblpY="1"/>
        <w:tblW w:w="14663" w:type="dxa"/>
        <w:jc w:val="center"/>
        <w:tblLayout w:type="fixed"/>
        <w:tblCellMar>
          <w:left w:w="29" w:type="dxa"/>
          <w:right w:w="29" w:type="dxa"/>
        </w:tblCellMar>
        <w:tblLook w:val="04A0" w:firstRow="1" w:lastRow="0" w:firstColumn="1" w:lastColumn="0" w:noHBand="0" w:noVBand="1"/>
      </w:tblPr>
      <w:tblGrid>
        <w:gridCol w:w="3950"/>
        <w:gridCol w:w="622"/>
        <w:gridCol w:w="550"/>
        <w:gridCol w:w="622"/>
        <w:gridCol w:w="552"/>
        <w:gridCol w:w="622"/>
        <w:gridCol w:w="550"/>
        <w:gridCol w:w="622"/>
        <w:gridCol w:w="642"/>
        <w:gridCol w:w="622"/>
        <w:gridCol w:w="541"/>
        <w:gridCol w:w="622"/>
        <w:gridCol w:w="621"/>
        <w:gridCol w:w="624"/>
        <w:gridCol w:w="543"/>
        <w:gridCol w:w="630"/>
        <w:gridCol w:w="656"/>
        <w:gridCol w:w="573"/>
        <w:gridCol w:w="491"/>
        <w:gridCol w:w="8"/>
      </w:tblGrid>
      <w:tr w:rsidR="001D205A" w:rsidRPr="00B47A14" w14:paraId="08D3BE6C" w14:textId="77777777" w:rsidTr="004C3CE3">
        <w:trPr>
          <w:trHeight w:val="20"/>
          <w:jc w:val="center"/>
        </w:trPr>
        <w:tc>
          <w:tcPr>
            <w:tcW w:w="3950" w:type="dxa"/>
            <w:vMerge w:val="restart"/>
            <w:tcBorders>
              <w:top w:val="single" w:sz="12" w:space="0" w:color="auto"/>
              <w:left w:val="single" w:sz="12" w:space="0" w:color="auto"/>
              <w:bottom w:val="single" w:sz="12" w:space="0" w:color="auto"/>
              <w:right w:val="single" w:sz="12" w:space="0" w:color="auto"/>
            </w:tcBorders>
            <w:shd w:val="clear" w:color="000000" w:fill="FFFFFF"/>
            <w:noWrap/>
            <w:vAlign w:val="center"/>
            <w:hideMark/>
          </w:tcPr>
          <w:p w14:paraId="1552CB61" w14:textId="77777777" w:rsidR="001D205A" w:rsidRPr="00B47A14" w:rsidRDefault="001D205A" w:rsidP="001D205A">
            <w:pPr>
              <w:spacing w:after="0" w:line="240" w:lineRule="auto"/>
              <w:jc w:val="center"/>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Variables (base)</w:t>
            </w:r>
          </w:p>
        </w:tc>
        <w:tc>
          <w:tcPr>
            <w:tcW w:w="1172" w:type="dxa"/>
            <w:gridSpan w:val="2"/>
            <w:tcBorders>
              <w:top w:val="single" w:sz="12" w:space="0" w:color="auto"/>
              <w:left w:val="single" w:sz="12" w:space="0" w:color="auto"/>
              <w:bottom w:val="single" w:sz="12" w:space="0" w:color="auto"/>
              <w:right w:val="single" w:sz="4" w:space="0" w:color="000000"/>
            </w:tcBorders>
            <w:shd w:val="clear" w:color="000000" w:fill="FFFFFF"/>
            <w:vAlign w:val="bottom"/>
            <w:hideMark/>
          </w:tcPr>
          <w:p w14:paraId="24510010" w14:textId="77777777" w:rsidR="001D205A" w:rsidRPr="00B47A14" w:rsidRDefault="001D205A" w:rsidP="001D205A">
            <w:pPr>
              <w:spacing w:after="0" w:line="240" w:lineRule="auto"/>
              <w:jc w:val="center"/>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Affordability</w:t>
            </w:r>
          </w:p>
        </w:tc>
        <w:tc>
          <w:tcPr>
            <w:tcW w:w="1174" w:type="dxa"/>
            <w:gridSpan w:val="2"/>
            <w:tcBorders>
              <w:top w:val="single" w:sz="12" w:space="0" w:color="auto"/>
              <w:left w:val="nil"/>
              <w:bottom w:val="single" w:sz="12" w:space="0" w:color="auto"/>
              <w:right w:val="single" w:sz="4" w:space="0" w:color="000000"/>
            </w:tcBorders>
            <w:shd w:val="clear" w:color="000000" w:fill="FFFFFF"/>
            <w:vAlign w:val="bottom"/>
            <w:hideMark/>
          </w:tcPr>
          <w:p w14:paraId="527C25A7" w14:textId="430278E9" w:rsidR="001D205A" w:rsidRPr="00B47A14" w:rsidRDefault="001D205A" w:rsidP="001D205A">
            <w:pPr>
              <w:spacing w:after="0" w:line="240" w:lineRule="auto"/>
              <w:jc w:val="center"/>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 xml:space="preserve">Being close to </w:t>
            </w:r>
            <w:r w:rsidR="004A258E">
              <w:rPr>
                <w:rFonts w:eastAsia="Times New Roman" w:cs="Times New Roman"/>
                <w:color w:val="000000"/>
                <w:kern w:val="0"/>
                <w:sz w:val="20"/>
                <w:szCs w:val="20"/>
                <w14:ligatures w14:val="none"/>
              </w:rPr>
              <w:t>f</w:t>
            </w:r>
            <w:r w:rsidRPr="00B47A14">
              <w:rPr>
                <w:rFonts w:eastAsia="Times New Roman" w:cs="Times New Roman"/>
                <w:color w:val="000000"/>
                <w:kern w:val="0"/>
                <w:sz w:val="20"/>
                <w:szCs w:val="20"/>
                <w14:ligatures w14:val="none"/>
              </w:rPr>
              <w:t xml:space="preserve">amily and </w:t>
            </w:r>
            <w:r w:rsidR="004A258E">
              <w:rPr>
                <w:rFonts w:eastAsia="Times New Roman" w:cs="Times New Roman"/>
                <w:color w:val="000000"/>
                <w:kern w:val="0"/>
                <w:sz w:val="20"/>
                <w:szCs w:val="20"/>
                <w14:ligatures w14:val="none"/>
              </w:rPr>
              <w:t>f</w:t>
            </w:r>
            <w:r w:rsidRPr="00B47A14">
              <w:rPr>
                <w:rFonts w:eastAsia="Times New Roman" w:cs="Times New Roman"/>
                <w:color w:val="000000"/>
                <w:kern w:val="0"/>
                <w:sz w:val="20"/>
                <w:szCs w:val="20"/>
                <w14:ligatures w14:val="none"/>
              </w:rPr>
              <w:t>riends</w:t>
            </w:r>
          </w:p>
        </w:tc>
        <w:tc>
          <w:tcPr>
            <w:tcW w:w="1172" w:type="dxa"/>
            <w:gridSpan w:val="2"/>
            <w:tcBorders>
              <w:top w:val="single" w:sz="12" w:space="0" w:color="auto"/>
              <w:left w:val="nil"/>
              <w:bottom w:val="single" w:sz="12" w:space="0" w:color="auto"/>
              <w:right w:val="single" w:sz="4" w:space="0" w:color="000000"/>
            </w:tcBorders>
            <w:shd w:val="clear" w:color="000000" w:fill="FFFFFF"/>
            <w:vAlign w:val="bottom"/>
            <w:hideMark/>
          </w:tcPr>
          <w:p w14:paraId="7FBD4836" w14:textId="2732C44D" w:rsidR="001D205A" w:rsidRPr="00B47A14" w:rsidRDefault="001D205A" w:rsidP="001D205A">
            <w:pPr>
              <w:spacing w:after="0" w:line="240" w:lineRule="auto"/>
              <w:jc w:val="center"/>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 xml:space="preserve">Access to </w:t>
            </w:r>
            <w:r w:rsidR="004A258E">
              <w:rPr>
                <w:rFonts w:eastAsia="Times New Roman" w:cs="Times New Roman"/>
                <w:color w:val="000000"/>
                <w:kern w:val="0"/>
                <w:sz w:val="20"/>
                <w:szCs w:val="20"/>
                <w14:ligatures w14:val="none"/>
              </w:rPr>
              <w:t>c</w:t>
            </w:r>
            <w:r w:rsidRPr="00B47A14">
              <w:rPr>
                <w:rFonts w:eastAsia="Times New Roman" w:cs="Times New Roman"/>
                <w:color w:val="000000"/>
                <w:kern w:val="0"/>
                <w:sz w:val="20"/>
                <w:szCs w:val="20"/>
                <w14:ligatures w14:val="none"/>
              </w:rPr>
              <w:t xml:space="preserve">ultural </w:t>
            </w:r>
            <w:r w:rsidR="004A258E">
              <w:rPr>
                <w:rFonts w:eastAsia="Times New Roman" w:cs="Times New Roman"/>
                <w:color w:val="000000"/>
                <w:kern w:val="0"/>
                <w:sz w:val="20"/>
                <w:szCs w:val="20"/>
                <w14:ligatures w14:val="none"/>
              </w:rPr>
              <w:t>c</w:t>
            </w:r>
            <w:r w:rsidRPr="00B47A14">
              <w:rPr>
                <w:rFonts w:eastAsia="Times New Roman" w:cs="Times New Roman"/>
                <w:color w:val="000000"/>
                <w:kern w:val="0"/>
                <w:sz w:val="20"/>
                <w:szCs w:val="20"/>
                <w14:ligatures w14:val="none"/>
              </w:rPr>
              <w:t xml:space="preserve">enters and </w:t>
            </w:r>
            <w:r w:rsidR="004A258E">
              <w:rPr>
                <w:rFonts w:eastAsia="Times New Roman" w:cs="Times New Roman"/>
                <w:color w:val="000000"/>
                <w:kern w:val="0"/>
                <w:sz w:val="20"/>
                <w:szCs w:val="20"/>
                <w14:ligatures w14:val="none"/>
              </w:rPr>
              <w:t>a</w:t>
            </w:r>
            <w:r w:rsidRPr="00B47A14">
              <w:rPr>
                <w:rFonts w:eastAsia="Times New Roman" w:cs="Times New Roman"/>
                <w:color w:val="000000"/>
                <w:kern w:val="0"/>
                <w:sz w:val="20"/>
                <w:szCs w:val="20"/>
                <w14:ligatures w14:val="none"/>
              </w:rPr>
              <w:t>ctivities</w:t>
            </w:r>
          </w:p>
        </w:tc>
        <w:tc>
          <w:tcPr>
            <w:tcW w:w="1264" w:type="dxa"/>
            <w:gridSpan w:val="2"/>
            <w:tcBorders>
              <w:top w:val="single" w:sz="12" w:space="0" w:color="auto"/>
              <w:left w:val="nil"/>
              <w:bottom w:val="single" w:sz="12" w:space="0" w:color="auto"/>
              <w:right w:val="single" w:sz="4" w:space="0" w:color="000000"/>
            </w:tcBorders>
            <w:shd w:val="clear" w:color="000000" w:fill="FFFFFF"/>
            <w:vAlign w:val="bottom"/>
            <w:hideMark/>
          </w:tcPr>
          <w:p w14:paraId="1B8849F0" w14:textId="77777777" w:rsidR="001D205A" w:rsidRPr="00B47A14" w:rsidRDefault="001D205A" w:rsidP="001D205A">
            <w:pPr>
              <w:spacing w:after="0" w:line="240" w:lineRule="auto"/>
              <w:jc w:val="center"/>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Being close to the highway</w:t>
            </w:r>
          </w:p>
        </w:tc>
        <w:tc>
          <w:tcPr>
            <w:tcW w:w="1163" w:type="dxa"/>
            <w:gridSpan w:val="2"/>
            <w:tcBorders>
              <w:top w:val="single" w:sz="12" w:space="0" w:color="auto"/>
              <w:left w:val="nil"/>
              <w:bottom w:val="single" w:sz="12" w:space="0" w:color="auto"/>
              <w:right w:val="single" w:sz="4" w:space="0" w:color="000000"/>
            </w:tcBorders>
            <w:shd w:val="clear" w:color="000000" w:fill="FFFFFF"/>
            <w:vAlign w:val="bottom"/>
            <w:hideMark/>
          </w:tcPr>
          <w:p w14:paraId="1E5EA720" w14:textId="77777777" w:rsidR="00415E12" w:rsidRDefault="001D205A" w:rsidP="001D205A">
            <w:pPr>
              <w:spacing w:after="0" w:line="240" w:lineRule="auto"/>
              <w:jc w:val="center"/>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 xml:space="preserve">Quality of schools </w:t>
            </w:r>
          </w:p>
          <w:p w14:paraId="56893BA7" w14:textId="37E68FBE" w:rsidR="001D205A" w:rsidRPr="00B47A14" w:rsidRDefault="001D205A" w:rsidP="001D205A">
            <w:pPr>
              <w:spacing w:after="0" w:line="240" w:lineRule="auto"/>
              <w:jc w:val="center"/>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w:t>
            </w:r>
            <w:r w:rsidR="003F65A3">
              <w:rPr>
                <w:rFonts w:eastAsia="Times New Roman" w:cs="Times New Roman"/>
                <w:color w:val="000000"/>
                <w:kern w:val="0"/>
                <w:sz w:val="20"/>
                <w:szCs w:val="20"/>
                <w14:ligatures w14:val="none"/>
              </w:rPr>
              <w:t>K</w:t>
            </w:r>
            <w:r w:rsidRPr="00B47A14">
              <w:rPr>
                <w:rFonts w:eastAsia="Times New Roman" w:cs="Times New Roman"/>
                <w:color w:val="000000"/>
                <w:kern w:val="0"/>
                <w:sz w:val="20"/>
                <w:szCs w:val="20"/>
                <w14:ligatures w14:val="none"/>
              </w:rPr>
              <w:t>-12)</w:t>
            </w:r>
          </w:p>
        </w:tc>
        <w:tc>
          <w:tcPr>
            <w:tcW w:w="1243" w:type="dxa"/>
            <w:gridSpan w:val="2"/>
            <w:tcBorders>
              <w:top w:val="single" w:sz="12" w:space="0" w:color="auto"/>
              <w:left w:val="nil"/>
              <w:bottom w:val="single" w:sz="12" w:space="0" w:color="auto"/>
              <w:right w:val="single" w:sz="4" w:space="0" w:color="000000"/>
            </w:tcBorders>
            <w:shd w:val="clear" w:color="000000" w:fill="FFFFFF"/>
            <w:vAlign w:val="bottom"/>
            <w:hideMark/>
          </w:tcPr>
          <w:p w14:paraId="69C249BC" w14:textId="77777777" w:rsidR="001D205A" w:rsidRPr="00B47A14" w:rsidRDefault="001D205A" w:rsidP="001D205A">
            <w:pPr>
              <w:spacing w:after="0" w:line="240" w:lineRule="auto"/>
              <w:jc w:val="center"/>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Having space and separation from others</w:t>
            </w:r>
          </w:p>
        </w:tc>
        <w:tc>
          <w:tcPr>
            <w:tcW w:w="1167" w:type="dxa"/>
            <w:gridSpan w:val="2"/>
            <w:tcBorders>
              <w:top w:val="single" w:sz="12" w:space="0" w:color="auto"/>
              <w:left w:val="nil"/>
              <w:bottom w:val="single" w:sz="12" w:space="0" w:color="auto"/>
              <w:right w:val="single" w:sz="4" w:space="0" w:color="000000"/>
            </w:tcBorders>
            <w:shd w:val="clear" w:color="000000" w:fill="FFFFFF"/>
            <w:vAlign w:val="bottom"/>
            <w:hideMark/>
          </w:tcPr>
          <w:p w14:paraId="5D93A9DB" w14:textId="77777777" w:rsidR="001D205A" w:rsidRPr="00B47A14" w:rsidRDefault="001D205A" w:rsidP="001D205A">
            <w:pPr>
              <w:spacing w:after="0" w:line="240" w:lineRule="auto"/>
              <w:jc w:val="center"/>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Being close to public transit</w:t>
            </w:r>
          </w:p>
        </w:tc>
        <w:tc>
          <w:tcPr>
            <w:tcW w:w="1286" w:type="dxa"/>
            <w:gridSpan w:val="2"/>
            <w:tcBorders>
              <w:top w:val="single" w:sz="12" w:space="0" w:color="auto"/>
              <w:left w:val="nil"/>
              <w:bottom w:val="single" w:sz="12" w:space="0" w:color="auto"/>
              <w:right w:val="single" w:sz="4" w:space="0" w:color="000000"/>
            </w:tcBorders>
            <w:shd w:val="clear" w:color="000000" w:fill="FFFFFF"/>
            <w:vAlign w:val="bottom"/>
            <w:hideMark/>
          </w:tcPr>
          <w:p w14:paraId="04E81A5E" w14:textId="77777777" w:rsidR="001D205A" w:rsidRPr="00B47A14" w:rsidRDefault="001D205A" w:rsidP="001D205A">
            <w:pPr>
              <w:spacing w:after="0" w:line="240" w:lineRule="auto"/>
              <w:jc w:val="center"/>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Having a walkable neighborhood and being near local activities</w:t>
            </w:r>
          </w:p>
        </w:tc>
        <w:tc>
          <w:tcPr>
            <w:tcW w:w="1072" w:type="dxa"/>
            <w:gridSpan w:val="3"/>
            <w:tcBorders>
              <w:top w:val="single" w:sz="12" w:space="0" w:color="auto"/>
              <w:left w:val="nil"/>
              <w:bottom w:val="single" w:sz="12" w:space="0" w:color="auto"/>
              <w:right w:val="single" w:sz="12" w:space="0" w:color="auto"/>
            </w:tcBorders>
            <w:shd w:val="clear" w:color="000000" w:fill="FFFFFF"/>
            <w:vAlign w:val="bottom"/>
            <w:hideMark/>
          </w:tcPr>
          <w:p w14:paraId="57483986" w14:textId="77777777" w:rsidR="001D205A" w:rsidRPr="00B47A14" w:rsidRDefault="001D205A" w:rsidP="001D205A">
            <w:pPr>
              <w:spacing w:after="0" w:line="240" w:lineRule="auto"/>
              <w:jc w:val="center"/>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Being within a reasonably short commute to work</w:t>
            </w:r>
          </w:p>
        </w:tc>
      </w:tr>
      <w:tr w:rsidR="00415E12" w:rsidRPr="00B47A14" w14:paraId="369E286D" w14:textId="77777777" w:rsidTr="004C3CE3">
        <w:trPr>
          <w:gridAfter w:val="1"/>
          <w:wAfter w:w="8" w:type="dxa"/>
          <w:trHeight w:val="20"/>
          <w:jc w:val="center"/>
        </w:trPr>
        <w:tc>
          <w:tcPr>
            <w:tcW w:w="3950" w:type="dxa"/>
            <w:vMerge/>
            <w:tcBorders>
              <w:top w:val="single" w:sz="12" w:space="0" w:color="auto"/>
              <w:left w:val="single" w:sz="12" w:space="0" w:color="auto"/>
              <w:bottom w:val="single" w:sz="12" w:space="0" w:color="auto"/>
              <w:right w:val="single" w:sz="12" w:space="0" w:color="auto"/>
            </w:tcBorders>
            <w:vAlign w:val="center"/>
            <w:hideMark/>
          </w:tcPr>
          <w:p w14:paraId="3E3CE890" w14:textId="77777777" w:rsidR="001D205A" w:rsidRPr="00B47A14" w:rsidRDefault="001D205A" w:rsidP="001D205A">
            <w:pPr>
              <w:spacing w:after="0" w:line="240" w:lineRule="auto"/>
              <w:rPr>
                <w:rFonts w:eastAsia="Times New Roman" w:cs="Times New Roman"/>
                <w:color w:val="000000"/>
                <w:kern w:val="0"/>
                <w:sz w:val="20"/>
                <w:szCs w:val="20"/>
                <w14:ligatures w14:val="none"/>
              </w:rPr>
            </w:pPr>
          </w:p>
        </w:tc>
        <w:tc>
          <w:tcPr>
            <w:tcW w:w="622" w:type="dxa"/>
            <w:tcBorders>
              <w:top w:val="single" w:sz="12" w:space="0" w:color="auto"/>
              <w:left w:val="single" w:sz="12" w:space="0" w:color="auto"/>
              <w:bottom w:val="single" w:sz="12" w:space="0" w:color="auto"/>
              <w:right w:val="nil"/>
            </w:tcBorders>
            <w:shd w:val="clear" w:color="000000" w:fill="FFFFFF"/>
            <w:noWrap/>
            <w:vAlign w:val="bottom"/>
            <w:hideMark/>
          </w:tcPr>
          <w:p w14:paraId="41B2A00C" w14:textId="77777777" w:rsidR="001D205A" w:rsidRPr="00B47A14" w:rsidRDefault="001D205A" w:rsidP="001D205A">
            <w:pPr>
              <w:spacing w:after="0" w:line="240" w:lineRule="auto"/>
              <w:jc w:val="center"/>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Coeff.</w:t>
            </w:r>
          </w:p>
        </w:tc>
        <w:tc>
          <w:tcPr>
            <w:tcW w:w="550" w:type="dxa"/>
            <w:tcBorders>
              <w:top w:val="single" w:sz="12" w:space="0" w:color="auto"/>
              <w:left w:val="nil"/>
              <w:bottom w:val="single" w:sz="12" w:space="0" w:color="auto"/>
              <w:right w:val="single" w:sz="4" w:space="0" w:color="auto"/>
            </w:tcBorders>
            <w:shd w:val="clear" w:color="000000" w:fill="FFFFFF"/>
            <w:noWrap/>
            <w:vAlign w:val="bottom"/>
            <w:hideMark/>
          </w:tcPr>
          <w:p w14:paraId="7CB2CDFD" w14:textId="77777777" w:rsidR="001D205A" w:rsidRPr="00B47A14" w:rsidRDefault="001D205A" w:rsidP="001D205A">
            <w:pPr>
              <w:spacing w:after="0" w:line="240" w:lineRule="auto"/>
              <w:jc w:val="center"/>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t-stat</w:t>
            </w:r>
          </w:p>
        </w:tc>
        <w:tc>
          <w:tcPr>
            <w:tcW w:w="622" w:type="dxa"/>
            <w:tcBorders>
              <w:top w:val="single" w:sz="12" w:space="0" w:color="auto"/>
              <w:left w:val="nil"/>
              <w:bottom w:val="single" w:sz="12" w:space="0" w:color="auto"/>
              <w:right w:val="nil"/>
            </w:tcBorders>
            <w:shd w:val="clear" w:color="000000" w:fill="FFFFFF"/>
            <w:noWrap/>
            <w:vAlign w:val="bottom"/>
            <w:hideMark/>
          </w:tcPr>
          <w:p w14:paraId="729556BF" w14:textId="77777777" w:rsidR="001D205A" w:rsidRPr="00B47A14" w:rsidRDefault="001D205A" w:rsidP="001D205A">
            <w:pPr>
              <w:spacing w:after="0" w:line="240" w:lineRule="auto"/>
              <w:jc w:val="center"/>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Coeff.</w:t>
            </w:r>
          </w:p>
        </w:tc>
        <w:tc>
          <w:tcPr>
            <w:tcW w:w="552" w:type="dxa"/>
            <w:tcBorders>
              <w:top w:val="single" w:sz="12" w:space="0" w:color="auto"/>
              <w:left w:val="nil"/>
              <w:bottom w:val="single" w:sz="12" w:space="0" w:color="auto"/>
              <w:right w:val="single" w:sz="4" w:space="0" w:color="auto"/>
            </w:tcBorders>
            <w:shd w:val="clear" w:color="000000" w:fill="FFFFFF"/>
            <w:noWrap/>
            <w:vAlign w:val="bottom"/>
            <w:hideMark/>
          </w:tcPr>
          <w:p w14:paraId="662DD6B2" w14:textId="77777777" w:rsidR="001D205A" w:rsidRPr="00B47A14" w:rsidRDefault="001D205A" w:rsidP="001D205A">
            <w:pPr>
              <w:spacing w:after="0" w:line="240" w:lineRule="auto"/>
              <w:jc w:val="center"/>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t-stat</w:t>
            </w:r>
          </w:p>
        </w:tc>
        <w:tc>
          <w:tcPr>
            <w:tcW w:w="622" w:type="dxa"/>
            <w:tcBorders>
              <w:top w:val="single" w:sz="12" w:space="0" w:color="auto"/>
              <w:left w:val="nil"/>
              <w:bottom w:val="single" w:sz="12" w:space="0" w:color="auto"/>
              <w:right w:val="nil"/>
            </w:tcBorders>
            <w:shd w:val="clear" w:color="000000" w:fill="FFFFFF"/>
            <w:noWrap/>
            <w:vAlign w:val="bottom"/>
            <w:hideMark/>
          </w:tcPr>
          <w:p w14:paraId="07924781" w14:textId="77777777" w:rsidR="001D205A" w:rsidRPr="00B47A14" w:rsidRDefault="001D205A" w:rsidP="001D205A">
            <w:pPr>
              <w:spacing w:after="0" w:line="240" w:lineRule="auto"/>
              <w:jc w:val="center"/>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Coeff.</w:t>
            </w:r>
          </w:p>
        </w:tc>
        <w:tc>
          <w:tcPr>
            <w:tcW w:w="550" w:type="dxa"/>
            <w:tcBorders>
              <w:top w:val="single" w:sz="12" w:space="0" w:color="auto"/>
              <w:left w:val="nil"/>
              <w:bottom w:val="single" w:sz="12" w:space="0" w:color="auto"/>
              <w:right w:val="single" w:sz="4" w:space="0" w:color="auto"/>
            </w:tcBorders>
            <w:shd w:val="clear" w:color="000000" w:fill="FFFFFF"/>
            <w:noWrap/>
            <w:vAlign w:val="bottom"/>
            <w:hideMark/>
          </w:tcPr>
          <w:p w14:paraId="11CDD55D" w14:textId="77777777" w:rsidR="001D205A" w:rsidRPr="00B47A14" w:rsidRDefault="001D205A" w:rsidP="001D205A">
            <w:pPr>
              <w:spacing w:after="0" w:line="240" w:lineRule="auto"/>
              <w:jc w:val="center"/>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t-stat</w:t>
            </w:r>
          </w:p>
        </w:tc>
        <w:tc>
          <w:tcPr>
            <w:tcW w:w="622" w:type="dxa"/>
            <w:tcBorders>
              <w:top w:val="single" w:sz="12" w:space="0" w:color="auto"/>
              <w:left w:val="nil"/>
              <w:bottom w:val="single" w:sz="12" w:space="0" w:color="auto"/>
              <w:right w:val="nil"/>
            </w:tcBorders>
            <w:shd w:val="clear" w:color="000000" w:fill="FFFFFF"/>
            <w:noWrap/>
            <w:vAlign w:val="bottom"/>
            <w:hideMark/>
          </w:tcPr>
          <w:p w14:paraId="207F1ECA" w14:textId="77777777" w:rsidR="001D205A" w:rsidRPr="00B47A14" w:rsidRDefault="001D205A" w:rsidP="001D205A">
            <w:pPr>
              <w:spacing w:after="0" w:line="240" w:lineRule="auto"/>
              <w:jc w:val="center"/>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Coeff.</w:t>
            </w:r>
          </w:p>
        </w:tc>
        <w:tc>
          <w:tcPr>
            <w:tcW w:w="642" w:type="dxa"/>
            <w:tcBorders>
              <w:top w:val="single" w:sz="12" w:space="0" w:color="auto"/>
              <w:left w:val="nil"/>
              <w:bottom w:val="single" w:sz="12" w:space="0" w:color="auto"/>
              <w:right w:val="single" w:sz="4" w:space="0" w:color="auto"/>
            </w:tcBorders>
            <w:shd w:val="clear" w:color="000000" w:fill="FFFFFF"/>
            <w:noWrap/>
            <w:vAlign w:val="bottom"/>
            <w:hideMark/>
          </w:tcPr>
          <w:p w14:paraId="47CCE23B" w14:textId="77777777" w:rsidR="001D205A" w:rsidRPr="00B47A14" w:rsidRDefault="001D205A" w:rsidP="001D205A">
            <w:pPr>
              <w:spacing w:after="0" w:line="240" w:lineRule="auto"/>
              <w:jc w:val="center"/>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t-stat</w:t>
            </w:r>
          </w:p>
        </w:tc>
        <w:tc>
          <w:tcPr>
            <w:tcW w:w="622" w:type="dxa"/>
            <w:tcBorders>
              <w:top w:val="single" w:sz="12" w:space="0" w:color="auto"/>
              <w:left w:val="nil"/>
              <w:bottom w:val="single" w:sz="12" w:space="0" w:color="auto"/>
              <w:right w:val="nil"/>
            </w:tcBorders>
            <w:shd w:val="clear" w:color="000000" w:fill="FFFFFF"/>
            <w:noWrap/>
            <w:vAlign w:val="bottom"/>
            <w:hideMark/>
          </w:tcPr>
          <w:p w14:paraId="1A0FC9C7" w14:textId="77777777" w:rsidR="001D205A" w:rsidRPr="00B47A14" w:rsidRDefault="001D205A" w:rsidP="001D205A">
            <w:pPr>
              <w:spacing w:after="0" w:line="240" w:lineRule="auto"/>
              <w:jc w:val="center"/>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Coeff.</w:t>
            </w:r>
          </w:p>
        </w:tc>
        <w:tc>
          <w:tcPr>
            <w:tcW w:w="541" w:type="dxa"/>
            <w:tcBorders>
              <w:top w:val="single" w:sz="12" w:space="0" w:color="auto"/>
              <w:left w:val="nil"/>
              <w:bottom w:val="single" w:sz="12" w:space="0" w:color="auto"/>
              <w:right w:val="single" w:sz="4" w:space="0" w:color="auto"/>
            </w:tcBorders>
            <w:shd w:val="clear" w:color="000000" w:fill="FFFFFF"/>
            <w:noWrap/>
            <w:vAlign w:val="bottom"/>
            <w:hideMark/>
          </w:tcPr>
          <w:p w14:paraId="6ABC90B0" w14:textId="77777777" w:rsidR="001D205A" w:rsidRPr="00B47A14" w:rsidRDefault="001D205A" w:rsidP="001D205A">
            <w:pPr>
              <w:spacing w:after="0" w:line="240" w:lineRule="auto"/>
              <w:jc w:val="center"/>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t-stat</w:t>
            </w:r>
          </w:p>
        </w:tc>
        <w:tc>
          <w:tcPr>
            <w:tcW w:w="622" w:type="dxa"/>
            <w:tcBorders>
              <w:top w:val="single" w:sz="12" w:space="0" w:color="auto"/>
              <w:left w:val="nil"/>
              <w:bottom w:val="single" w:sz="12" w:space="0" w:color="auto"/>
              <w:right w:val="nil"/>
            </w:tcBorders>
            <w:shd w:val="clear" w:color="000000" w:fill="FFFFFF"/>
            <w:noWrap/>
            <w:vAlign w:val="bottom"/>
            <w:hideMark/>
          </w:tcPr>
          <w:p w14:paraId="5F078F05" w14:textId="77777777" w:rsidR="001D205A" w:rsidRPr="00B47A14" w:rsidRDefault="001D205A" w:rsidP="001D205A">
            <w:pPr>
              <w:spacing w:after="0" w:line="240" w:lineRule="auto"/>
              <w:jc w:val="center"/>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Coeff.</w:t>
            </w:r>
          </w:p>
        </w:tc>
        <w:tc>
          <w:tcPr>
            <w:tcW w:w="621" w:type="dxa"/>
            <w:tcBorders>
              <w:top w:val="single" w:sz="12" w:space="0" w:color="auto"/>
              <w:left w:val="nil"/>
              <w:bottom w:val="single" w:sz="12" w:space="0" w:color="auto"/>
              <w:right w:val="single" w:sz="4" w:space="0" w:color="auto"/>
            </w:tcBorders>
            <w:shd w:val="clear" w:color="000000" w:fill="FFFFFF"/>
            <w:noWrap/>
            <w:vAlign w:val="bottom"/>
            <w:hideMark/>
          </w:tcPr>
          <w:p w14:paraId="40069FEA" w14:textId="77777777" w:rsidR="001D205A" w:rsidRPr="00B47A14" w:rsidRDefault="001D205A" w:rsidP="001D205A">
            <w:pPr>
              <w:spacing w:after="0" w:line="240" w:lineRule="auto"/>
              <w:jc w:val="center"/>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t-stat</w:t>
            </w:r>
          </w:p>
        </w:tc>
        <w:tc>
          <w:tcPr>
            <w:tcW w:w="624" w:type="dxa"/>
            <w:tcBorders>
              <w:top w:val="single" w:sz="12" w:space="0" w:color="auto"/>
              <w:left w:val="nil"/>
              <w:bottom w:val="single" w:sz="12" w:space="0" w:color="auto"/>
              <w:right w:val="nil"/>
            </w:tcBorders>
            <w:shd w:val="clear" w:color="000000" w:fill="FFFFFF"/>
            <w:noWrap/>
            <w:vAlign w:val="bottom"/>
            <w:hideMark/>
          </w:tcPr>
          <w:p w14:paraId="59319977" w14:textId="77777777" w:rsidR="001D205A" w:rsidRPr="00B47A14" w:rsidRDefault="001D205A" w:rsidP="001D205A">
            <w:pPr>
              <w:spacing w:after="0" w:line="240" w:lineRule="auto"/>
              <w:jc w:val="center"/>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Coeff.</w:t>
            </w:r>
          </w:p>
        </w:tc>
        <w:tc>
          <w:tcPr>
            <w:tcW w:w="543" w:type="dxa"/>
            <w:tcBorders>
              <w:top w:val="single" w:sz="12" w:space="0" w:color="auto"/>
              <w:left w:val="nil"/>
              <w:bottom w:val="single" w:sz="12" w:space="0" w:color="auto"/>
              <w:right w:val="single" w:sz="4" w:space="0" w:color="auto"/>
            </w:tcBorders>
            <w:shd w:val="clear" w:color="000000" w:fill="FFFFFF"/>
            <w:noWrap/>
            <w:vAlign w:val="bottom"/>
            <w:hideMark/>
          </w:tcPr>
          <w:p w14:paraId="5ED952AE" w14:textId="77777777" w:rsidR="001D205A" w:rsidRPr="00B47A14" w:rsidRDefault="001D205A" w:rsidP="001D205A">
            <w:pPr>
              <w:spacing w:after="0" w:line="240" w:lineRule="auto"/>
              <w:jc w:val="center"/>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t-stat</w:t>
            </w:r>
          </w:p>
        </w:tc>
        <w:tc>
          <w:tcPr>
            <w:tcW w:w="630" w:type="dxa"/>
            <w:tcBorders>
              <w:top w:val="single" w:sz="12" w:space="0" w:color="auto"/>
              <w:left w:val="nil"/>
              <w:bottom w:val="single" w:sz="12" w:space="0" w:color="auto"/>
              <w:right w:val="nil"/>
            </w:tcBorders>
            <w:shd w:val="clear" w:color="000000" w:fill="FFFFFF"/>
            <w:noWrap/>
            <w:vAlign w:val="bottom"/>
            <w:hideMark/>
          </w:tcPr>
          <w:p w14:paraId="5245BEFE" w14:textId="77777777" w:rsidR="001D205A" w:rsidRPr="00B47A14" w:rsidRDefault="001D205A" w:rsidP="001D205A">
            <w:pPr>
              <w:spacing w:after="0" w:line="240" w:lineRule="auto"/>
              <w:jc w:val="center"/>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Coeff.</w:t>
            </w:r>
          </w:p>
        </w:tc>
        <w:tc>
          <w:tcPr>
            <w:tcW w:w="656" w:type="dxa"/>
            <w:tcBorders>
              <w:top w:val="single" w:sz="12" w:space="0" w:color="auto"/>
              <w:left w:val="nil"/>
              <w:bottom w:val="single" w:sz="12" w:space="0" w:color="auto"/>
              <w:right w:val="single" w:sz="4" w:space="0" w:color="auto"/>
            </w:tcBorders>
            <w:shd w:val="clear" w:color="000000" w:fill="FFFFFF"/>
            <w:noWrap/>
            <w:vAlign w:val="bottom"/>
            <w:hideMark/>
          </w:tcPr>
          <w:p w14:paraId="58BCF1AF" w14:textId="77777777" w:rsidR="001D205A" w:rsidRPr="00B47A14" w:rsidRDefault="001D205A" w:rsidP="001D205A">
            <w:pPr>
              <w:spacing w:after="0" w:line="240" w:lineRule="auto"/>
              <w:jc w:val="center"/>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t-stat</w:t>
            </w:r>
          </w:p>
        </w:tc>
        <w:tc>
          <w:tcPr>
            <w:tcW w:w="573" w:type="dxa"/>
            <w:tcBorders>
              <w:top w:val="single" w:sz="12" w:space="0" w:color="auto"/>
              <w:left w:val="nil"/>
              <w:bottom w:val="single" w:sz="12" w:space="0" w:color="auto"/>
              <w:right w:val="nil"/>
            </w:tcBorders>
            <w:shd w:val="clear" w:color="000000" w:fill="FFFFFF"/>
            <w:noWrap/>
            <w:vAlign w:val="bottom"/>
            <w:hideMark/>
          </w:tcPr>
          <w:p w14:paraId="6390B77D" w14:textId="77777777" w:rsidR="001D205A" w:rsidRPr="00B47A14" w:rsidRDefault="001D205A" w:rsidP="001D205A">
            <w:pPr>
              <w:spacing w:after="0" w:line="240" w:lineRule="auto"/>
              <w:jc w:val="center"/>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Coeff.</w:t>
            </w:r>
          </w:p>
        </w:tc>
        <w:tc>
          <w:tcPr>
            <w:tcW w:w="491" w:type="dxa"/>
            <w:tcBorders>
              <w:top w:val="single" w:sz="12" w:space="0" w:color="auto"/>
              <w:left w:val="nil"/>
              <w:bottom w:val="single" w:sz="12" w:space="0" w:color="auto"/>
              <w:right w:val="single" w:sz="12" w:space="0" w:color="auto"/>
            </w:tcBorders>
            <w:shd w:val="clear" w:color="000000" w:fill="FFFFFF"/>
            <w:noWrap/>
            <w:vAlign w:val="bottom"/>
            <w:hideMark/>
          </w:tcPr>
          <w:p w14:paraId="41DC2C59" w14:textId="77777777" w:rsidR="001D205A" w:rsidRPr="00B47A14" w:rsidRDefault="001D205A" w:rsidP="001D205A">
            <w:pPr>
              <w:spacing w:after="0" w:line="240" w:lineRule="auto"/>
              <w:jc w:val="center"/>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t-stat</w:t>
            </w:r>
          </w:p>
        </w:tc>
      </w:tr>
      <w:tr w:rsidR="00415E12" w:rsidRPr="00B47A14" w14:paraId="7D00D1BB" w14:textId="77777777" w:rsidTr="004C3CE3">
        <w:trPr>
          <w:gridAfter w:val="1"/>
          <w:wAfter w:w="8" w:type="dxa"/>
          <w:trHeight w:val="20"/>
          <w:jc w:val="center"/>
        </w:trPr>
        <w:tc>
          <w:tcPr>
            <w:tcW w:w="3950" w:type="dxa"/>
            <w:tcBorders>
              <w:top w:val="single" w:sz="12" w:space="0" w:color="auto"/>
              <w:left w:val="single" w:sz="12" w:space="0" w:color="auto"/>
              <w:bottom w:val="nil"/>
              <w:right w:val="single" w:sz="12" w:space="0" w:color="auto"/>
            </w:tcBorders>
            <w:shd w:val="clear" w:color="000000" w:fill="FFFFFF"/>
            <w:noWrap/>
            <w:vAlign w:val="bottom"/>
            <w:hideMark/>
          </w:tcPr>
          <w:p w14:paraId="6C81AC1F" w14:textId="77777777" w:rsidR="00E50BBC" w:rsidRPr="00B47A14" w:rsidRDefault="00E50BBC" w:rsidP="00E50BBC">
            <w:pPr>
              <w:spacing w:after="0" w:line="240" w:lineRule="auto"/>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 xml:space="preserve">Constant </w:t>
            </w:r>
          </w:p>
        </w:tc>
        <w:tc>
          <w:tcPr>
            <w:tcW w:w="622" w:type="dxa"/>
            <w:tcBorders>
              <w:top w:val="single" w:sz="12" w:space="0" w:color="auto"/>
              <w:left w:val="single" w:sz="12" w:space="0" w:color="auto"/>
              <w:bottom w:val="nil"/>
              <w:right w:val="nil"/>
            </w:tcBorders>
            <w:shd w:val="clear" w:color="000000" w:fill="FFFFFF"/>
            <w:noWrap/>
            <w:vAlign w:val="bottom"/>
            <w:hideMark/>
          </w:tcPr>
          <w:p w14:paraId="45B508E3" w14:textId="5F8231C3" w:rsidR="00E50BBC" w:rsidRPr="00E50BBC" w:rsidRDefault="00E50BBC" w:rsidP="00E50BBC">
            <w:pPr>
              <w:spacing w:after="0" w:line="240" w:lineRule="auto"/>
              <w:jc w:val="right"/>
              <w:rPr>
                <w:rFonts w:eastAsia="Times New Roman" w:cs="Times New Roman"/>
                <w:color w:val="000000"/>
                <w:kern w:val="0"/>
                <w:sz w:val="20"/>
                <w:szCs w:val="20"/>
                <w14:ligatures w14:val="none"/>
              </w:rPr>
            </w:pPr>
            <w:r w:rsidRPr="00E50BBC">
              <w:rPr>
                <w:rFonts w:cs="Times New Roman"/>
                <w:color w:val="000000"/>
                <w:sz w:val="20"/>
                <w:szCs w:val="20"/>
              </w:rPr>
              <w:t>-0.06</w:t>
            </w:r>
          </w:p>
        </w:tc>
        <w:tc>
          <w:tcPr>
            <w:tcW w:w="550" w:type="dxa"/>
            <w:tcBorders>
              <w:top w:val="single" w:sz="12" w:space="0" w:color="auto"/>
              <w:left w:val="nil"/>
              <w:bottom w:val="nil"/>
              <w:right w:val="single" w:sz="4" w:space="0" w:color="auto"/>
            </w:tcBorders>
            <w:shd w:val="clear" w:color="000000" w:fill="FFFFFF"/>
            <w:noWrap/>
            <w:vAlign w:val="bottom"/>
            <w:hideMark/>
          </w:tcPr>
          <w:p w14:paraId="4D22CE65" w14:textId="641ED542" w:rsidR="00E50BBC" w:rsidRPr="00E50BBC" w:rsidRDefault="00E50BBC" w:rsidP="00E50BBC">
            <w:pPr>
              <w:spacing w:after="0" w:line="240" w:lineRule="auto"/>
              <w:jc w:val="right"/>
              <w:rPr>
                <w:rFonts w:eastAsia="Times New Roman" w:cs="Times New Roman"/>
                <w:color w:val="000000"/>
                <w:kern w:val="0"/>
                <w:sz w:val="20"/>
                <w:szCs w:val="20"/>
                <w14:ligatures w14:val="none"/>
              </w:rPr>
            </w:pPr>
            <w:r w:rsidRPr="00E50BBC">
              <w:rPr>
                <w:rFonts w:cs="Times New Roman"/>
                <w:color w:val="000000"/>
                <w:sz w:val="20"/>
                <w:szCs w:val="20"/>
              </w:rPr>
              <w:t>-0.60</w:t>
            </w:r>
          </w:p>
        </w:tc>
        <w:tc>
          <w:tcPr>
            <w:tcW w:w="622" w:type="dxa"/>
            <w:tcBorders>
              <w:top w:val="single" w:sz="12" w:space="0" w:color="auto"/>
              <w:left w:val="nil"/>
              <w:bottom w:val="nil"/>
              <w:right w:val="nil"/>
            </w:tcBorders>
            <w:shd w:val="clear" w:color="000000" w:fill="FFFFFF"/>
            <w:noWrap/>
            <w:hideMark/>
          </w:tcPr>
          <w:p w14:paraId="4B54E20A" w14:textId="40E0DED6" w:rsidR="00E50BBC" w:rsidRPr="00B47A14" w:rsidRDefault="00E50BBC" w:rsidP="00E50BB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-0.88</w:t>
            </w:r>
          </w:p>
        </w:tc>
        <w:tc>
          <w:tcPr>
            <w:tcW w:w="552" w:type="dxa"/>
            <w:tcBorders>
              <w:top w:val="single" w:sz="12" w:space="0" w:color="auto"/>
              <w:left w:val="nil"/>
              <w:bottom w:val="nil"/>
              <w:right w:val="single" w:sz="4" w:space="0" w:color="auto"/>
            </w:tcBorders>
            <w:shd w:val="clear" w:color="000000" w:fill="FFFFFF"/>
            <w:noWrap/>
            <w:hideMark/>
          </w:tcPr>
          <w:p w14:paraId="12708250" w14:textId="3BAE1418" w:rsidR="00E50BBC" w:rsidRPr="00B47A14" w:rsidRDefault="00E50BBC" w:rsidP="00E50BB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-8.17</w:t>
            </w:r>
          </w:p>
        </w:tc>
        <w:tc>
          <w:tcPr>
            <w:tcW w:w="622" w:type="dxa"/>
            <w:tcBorders>
              <w:top w:val="single" w:sz="12" w:space="0" w:color="auto"/>
              <w:left w:val="nil"/>
              <w:bottom w:val="nil"/>
              <w:right w:val="nil"/>
            </w:tcBorders>
            <w:shd w:val="clear" w:color="000000" w:fill="FFFFFF"/>
            <w:noWrap/>
            <w:hideMark/>
          </w:tcPr>
          <w:p w14:paraId="0143E107" w14:textId="2DD5597C" w:rsidR="00E50BBC" w:rsidRPr="00B47A14" w:rsidRDefault="00E50BBC" w:rsidP="00E50BB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-1.13</w:t>
            </w:r>
          </w:p>
        </w:tc>
        <w:tc>
          <w:tcPr>
            <w:tcW w:w="550" w:type="dxa"/>
            <w:tcBorders>
              <w:top w:val="single" w:sz="12" w:space="0" w:color="auto"/>
              <w:left w:val="nil"/>
              <w:bottom w:val="nil"/>
              <w:right w:val="single" w:sz="4" w:space="0" w:color="auto"/>
            </w:tcBorders>
            <w:shd w:val="clear" w:color="000000" w:fill="FFFFFF"/>
            <w:noWrap/>
            <w:hideMark/>
          </w:tcPr>
          <w:p w14:paraId="241C723B" w14:textId="03908AE3" w:rsidR="00E50BBC" w:rsidRPr="00B47A14" w:rsidRDefault="00E50BBC" w:rsidP="00E50BB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-9.77</w:t>
            </w:r>
          </w:p>
        </w:tc>
        <w:tc>
          <w:tcPr>
            <w:tcW w:w="622" w:type="dxa"/>
            <w:tcBorders>
              <w:top w:val="single" w:sz="12" w:space="0" w:color="auto"/>
              <w:left w:val="nil"/>
              <w:bottom w:val="nil"/>
              <w:right w:val="nil"/>
            </w:tcBorders>
            <w:shd w:val="clear" w:color="000000" w:fill="FFFFFF"/>
            <w:noWrap/>
            <w:hideMark/>
          </w:tcPr>
          <w:p w14:paraId="72570D1C" w14:textId="60F15865" w:rsidR="00E50BBC" w:rsidRPr="00B47A14" w:rsidRDefault="00E50BBC" w:rsidP="00E50BB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-1.63</w:t>
            </w:r>
          </w:p>
        </w:tc>
        <w:tc>
          <w:tcPr>
            <w:tcW w:w="642" w:type="dxa"/>
            <w:tcBorders>
              <w:top w:val="single" w:sz="12" w:space="0" w:color="auto"/>
              <w:left w:val="nil"/>
              <w:bottom w:val="nil"/>
              <w:right w:val="single" w:sz="4" w:space="0" w:color="auto"/>
            </w:tcBorders>
            <w:shd w:val="clear" w:color="000000" w:fill="FFFFFF"/>
            <w:noWrap/>
            <w:hideMark/>
          </w:tcPr>
          <w:p w14:paraId="109EE20D" w14:textId="1373E5AE" w:rsidR="00E50BBC" w:rsidRPr="00B47A14" w:rsidRDefault="00E50BBC" w:rsidP="00E50BB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-10.28</w:t>
            </w:r>
          </w:p>
        </w:tc>
        <w:tc>
          <w:tcPr>
            <w:tcW w:w="622" w:type="dxa"/>
            <w:tcBorders>
              <w:top w:val="single" w:sz="12" w:space="0" w:color="auto"/>
              <w:left w:val="nil"/>
              <w:bottom w:val="nil"/>
              <w:right w:val="nil"/>
            </w:tcBorders>
            <w:shd w:val="clear" w:color="000000" w:fill="FFFFFF"/>
            <w:noWrap/>
            <w:hideMark/>
          </w:tcPr>
          <w:p w14:paraId="3A52B3C3" w14:textId="6A6BEFB6" w:rsidR="00E50BBC" w:rsidRPr="00B47A14" w:rsidRDefault="00E50BBC" w:rsidP="00E50BB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-3.00</w:t>
            </w:r>
          </w:p>
        </w:tc>
        <w:tc>
          <w:tcPr>
            <w:tcW w:w="541" w:type="dxa"/>
            <w:tcBorders>
              <w:top w:val="single" w:sz="12" w:space="0" w:color="auto"/>
              <w:left w:val="nil"/>
              <w:bottom w:val="nil"/>
              <w:right w:val="single" w:sz="4" w:space="0" w:color="auto"/>
            </w:tcBorders>
            <w:shd w:val="clear" w:color="000000" w:fill="FFFFFF"/>
            <w:noWrap/>
            <w:hideMark/>
          </w:tcPr>
          <w:p w14:paraId="11C70BAC" w14:textId="7FD20D2B" w:rsidR="00E50BBC" w:rsidRPr="00B47A14" w:rsidRDefault="00E50BBC" w:rsidP="00E50BB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-8.50</w:t>
            </w:r>
          </w:p>
        </w:tc>
        <w:tc>
          <w:tcPr>
            <w:tcW w:w="622" w:type="dxa"/>
            <w:tcBorders>
              <w:top w:val="single" w:sz="12" w:space="0" w:color="auto"/>
              <w:left w:val="nil"/>
              <w:bottom w:val="nil"/>
              <w:right w:val="nil"/>
            </w:tcBorders>
            <w:shd w:val="clear" w:color="000000" w:fill="FFFFFF"/>
            <w:noWrap/>
            <w:hideMark/>
          </w:tcPr>
          <w:p w14:paraId="1C177212" w14:textId="75963D42" w:rsidR="00E50BBC" w:rsidRPr="00B47A14" w:rsidRDefault="00E50BBC" w:rsidP="00E50BB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-1.67</w:t>
            </w:r>
          </w:p>
        </w:tc>
        <w:tc>
          <w:tcPr>
            <w:tcW w:w="621" w:type="dxa"/>
            <w:tcBorders>
              <w:top w:val="single" w:sz="12" w:space="0" w:color="auto"/>
              <w:left w:val="nil"/>
              <w:bottom w:val="nil"/>
              <w:right w:val="single" w:sz="4" w:space="0" w:color="auto"/>
            </w:tcBorders>
            <w:shd w:val="clear" w:color="000000" w:fill="FFFFFF"/>
            <w:noWrap/>
            <w:hideMark/>
          </w:tcPr>
          <w:p w14:paraId="4A7FD2F0" w14:textId="1A5802BB" w:rsidR="00E50BBC" w:rsidRPr="00B47A14" w:rsidRDefault="00E50BBC" w:rsidP="00E50BB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-7.88</w:t>
            </w:r>
          </w:p>
        </w:tc>
        <w:tc>
          <w:tcPr>
            <w:tcW w:w="624" w:type="dxa"/>
            <w:tcBorders>
              <w:top w:val="single" w:sz="12" w:space="0" w:color="auto"/>
              <w:left w:val="nil"/>
              <w:bottom w:val="nil"/>
              <w:right w:val="nil"/>
            </w:tcBorders>
            <w:shd w:val="clear" w:color="000000" w:fill="FFFFFF"/>
            <w:noWrap/>
            <w:hideMark/>
          </w:tcPr>
          <w:p w14:paraId="24CC1615" w14:textId="2F10455B" w:rsidR="00E50BBC" w:rsidRPr="00B47A14" w:rsidRDefault="00E50BBC" w:rsidP="00E50BB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-3.05</w:t>
            </w:r>
          </w:p>
        </w:tc>
        <w:tc>
          <w:tcPr>
            <w:tcW w:w="543" w:type="dxa"/>
            <w:tcBorders>
              <w:top w:val="single" w:sz="12" w:space="0" w:color="auto"/>
              <w:left w:val="nil"/>
              <w:bottom w:val="nil"/>
              <w:right w:val="single" w:sz="4" w:space="0" w:color="auto"/>
            </w:tcBorders>
            <w:shd w:val="clear" w:color="000000" w:fill="FFFFFF"/>
            <w:noWrap/>
            <w:hideMark/>
          </w:tcPr>
          <w:p w14:paraId="4477F5C0" w14:textId="516C7F11" w:rsidR="00E50BBC" w:rsidRPr="00B47A14" w:rsidRDefault="00E50BBC" w:rsidP="00E50BB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-2.77</w:t>
            </w:r>
          </w:p>
        </w:tc>
        <w:tc>
          <w:tcPr>
            <w:tcW w:w="630" w:type="dxa"/>
            <w:tcBorders>
              <w:top w:val="single" w:sz="12" w:space="0" w:color="auto"/>
              <w:left w:val="nil"/>
              <w:bottom w:val="nil"/>
              <w:right w:val="nil"/>
            </w:tcBorders>
            <w:shd w:val="clear" w:color="000000" w:fill="FFFFFF"/>
            <w:noWrap/>
            <w:hideMark/>
          </w:tcPr>
          <w:p w14:paraId="491BA396" w14:textId="0168D3E1" w:rsidR="00E50BBC" w:rsidRPr="00B47A14" w:rsidRDefault="00E50BBC" w:rsidP="00E50BB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-1.87</w:t>
            </w:r>
          </w:p>
        </w:tc>
        <w:tc>
          <w:tcPr>
            <w:tcW w:w="656" w:type="dxa"/>
            <w:tcBorders>
              <w:top w:val="single" w:sz="12" w:space="0" w:color="auto"/>
              <w:left w:val="nil"/>
              <w:bottom w:val="nil"/>
              <w:right w:val="single" w:sz="4" w:space="0" w:color="auto"/>
            </w:tcBorders>
            <w:shd w:val="clear" w:color="000000" w:fill="FFFFFF"/>
            <w:noWrap/>
            <w:hideMark/>
          </w:tcPr>
          <w:p w14:paraId="445F8D5B" w14:textId="4B80F2CD" w:rsidR="00E50BBC" w:rsidRPr="00B47A14" w:rsidRDefault="00E50BBC" w:rsidP="00E50BB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-2.68</w:t>
            </w:r>
          </w:p>
        </w:tc>
        <w:tc>
          <w:tcPr>
            <w:tcW w:w="573" w:type="dxa"/>
            <w:tcBorders>
              <w:top w:val="single" w:sz="12" w:space="0" w:color="auto"/>
              <w:left w:val="nil"/>
              <w:bottom w:val="nil"/>
              <w:right w:val="nil"/>
            </w:tcBorders>
            <w:shd w:val="clear" w:color="000000" w:fill="FFFFFF"/>
            <w:noWrap/>
            <w:hideMark/>
          </w:tcPr>
          <w:p w14:paraId="20BEAA10" w14:textId="56543E05" w:rsidR="00E50BBC" w:rsidRPr="00B47A14" w:rsidRDefault="00E50BBC" w:rsidP="00E50BB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491" w:type="dxa"/>
            <w:tcBorders>
              <w:top w:val="single" w:sz="12" w:space="0" w:color="auto"/>
              <w:left w:val="nil"/>
              <w:bottom w:val="nil"/>
              <w:right w:val="single" w:sz="12" w:space="0" w:color="auto"/>
            </w:tcBorders>
            <w:shd w:val="clear" w:color="000000" w:fill="FFFFFF"/>
            <w:noWrap/>
            <w:hideMark/>
          </w:tcPr>
          <w:p w14:paraId="4D8EDEA9" w14:textId="77777777" w:rsidR="00E50BBC" w:rsidRPr="00B47A14" w:rsidRDefault="00E50BBC" w:rsidP="00E50BBC">
            <w:pPr>
              <w:spacing w:after="0" w:line="240" w:lineRule="auto"/>
              <w:jc w:val="right"/>
              <w:rPr>
                <w:rFonts w:eastAsia="Times New Roman" w:cs="Times New Roman"/>
                <w:color w:val="000000"/>
                <w:kern w:val="0"/>
                <w:sz w:val="20"/>
                <w:szCs w:val="20"/>
                <w14:ligatures w14:val="none"/>
              </w:rPr>
            </w:pPr>
          </w:p>
        </w:tc>
      </w:tr>
      <w:tr w:rsidR="00415E12" w:rsidRPr="00B47A14" w14:paraId="1FEB3289" w14:textId="77777777" w:rsidTr="004C3CE3">
        <w:trPr>
          <w:gridAfter w:val="1"/>
          <w:wAfter w:w="8" w:type="dxa"/>
          <w:trHeight w:val="20"/>
          <w:jc w:val="center"/>
        </w:trPr>
        <w:tc>
          <w:tcPr>
            <w:tcW w:w="3950" w:type="dxa"/>
            <w:tcBorders>
              <w:top w:val="nil"/>
              <w:left w:val="single" w:sz="12" w:space="0" w:color="auto"/>
              <w:bottom w:val="nil"/>
              <w:right w:val="single" w:sz="12" w:space="0" w:color="auto"/>
            </w:tcBorders>
            <w:shd w:val="clear" w:color="000000" w:fill="FFFFFF"/>
            <w:noWrap/>
            <w:vAlign w:val="bottom"/>
            <w:hideMark/>
          </w:tcPr>
          <w:p w14:paraId="237AF90F" w14:textId="09DADC6B" w:rsidR="00211226" w:rsidRPr="00B47A14" w:rsidRDefault="00211226" w:rsidP="00211226">
            <w:pPr>
              <w:spacing w:after="0" w:line="240" w:lineRule="auto"/>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 xml:space="preserve">Constant * </w:t>
            </w:r>
            <w:r w:rsidR="00A77082">
              <w:rPr>
                <w:rFonts w:eastAsia="Times New Roman" w:cs="Times New Roman"/>
                <w:color w:val="000000"/>
                <w:kern w:val="0"/>
                <w:sz w:val="20"/>
                <w:szCs w:val="20"/>
                <w14:ligatures w14:val="none"/>
              </w:rPr>
              <w:t>During</w:t>
            </w:r>
            <w:r w:rsidR="00FB4B5D">
              <w:rPr>
                <w:rFonts w:eastAsia="Times New Roman" w:cs="Times New Roman"/>
                <w:color w:val="000000"/>
                <w:kern w:val="0"/>
                <w:sz w:val="20"/>
                <w:szCs w:val="20"/>
                <w14:ligatures w14:val="none"/>
              </w:rPr>
              <w:t>-</w:t>
            </w:r>
            <w:r w:rsidRPr="00B47A14">
              <w:rPr>
                <w:rFonts w:eastAsia="Times New Roman" w:cs="Times New Roman"/>
                <w:color w:val="000000"/>
                <w:kern w:val="0"/>
                <w:sz w:val="20"/>
                <w:szCs w:val="20"/>
                <w14:ligatures w14:val="none"/>
              </w:rPr>
              <w:t>COVID Effect</w:t>
            </w:r>
          </w:p>
        </w:tc>
        <w:tc>
          <w:tcPr>
            <w:tcW w:w="622" w:type="dxa"/>
            <w:tcBorders>
              <w:top w:val="nil"/>
              <w:left w:val="single" w:sz="12" w:space="0" w:color="auto"/>
              <w:bottom w:val="nil"/>
              <w:right w:val="nil"/>
            </w:tcBorders>
            <w:shd w:val="clear" w:color="000000" w:fill="FFFFFF"/>
            <w:noWrap/>
            <w:hideMark/>
          </w:tcPr>
          <w:p w14:paraId="3FB16D52" w14:textId="782C6587" w:rsidR="00211226" w:rsidRPr="00B47A14" w:rsidRDefault="00211226" w:rsidP="00211226">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-0.35</w:t>
            </w:r>
          </w:p>
        </w:tc>
        <w:tc>
          <w:tcPr>
            <w:tcW w:w="550" w:type="dxa"/>
            <w:tcBorders>
              <w:top w:val="nil"/>
              <w:left w:val="nil"/>
              <w:bottom w:val="nil"/>
              <w:right w:val="single" w:sz="4" w:space="0" w:color="auto"/>
            </w:tcBorders>
            <w:shd w:val="clear" w:color="000000" w:fill="FFFFFF"/>
            <w:noWrap/>
            <w:hideMark/>
          </w:tcPr>
          <w:p w14:paraId="14BBB776" w14:textId="626AF237" w:rsidR="00211226" w:rsidRPr="00B47A14" w:rsidRDefault="00211226" w:rsidP="00211226">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-2.63</w:t>
            </w:r>
          </w:p>
        </w:tc>
        <w:tc>
          <w:tcPr>
            <w:tcW w:w="622" w:type="dxa"/>
            <w:tcBorders>
              <w:top w:val="nil"/>
              <w:left w:val="nil"/>
              <w:bottom w:val="nil"/>
              <w:right w:val="nil"/>
            </w:tcBorders>
            <w:shd w:val="clear" w:color="000000" w:fill="FFFFFF"/>
            <w:noWrap/>
            <w:hideMark/>
          </w:tcPr>
          <w:p w14:paraId="0079E716" w14:textId="60CF8E2F" w:rsidR="00211226" w:rsidRPr="00B47A14" w:rsidRDefault="00211226" w:rsidP="00211226">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-0.50</w:t>
            </w:r>
          </w:p>
        </w:tc>
        <w:tc>
          <w:tcPr>
            <w:tcW w:w="552" w:type="dxa"/>
            <w:tcBorders>
              <w:top w:val="nil"/>
              <w:left w:val="nil"/>
              <w:bottom w:val="nil"/>
              <w:right w:val="single" w:sz="4" w:space="0" w:color="auto"/>
            </w:tcBorders>
            <w:shd w:val="clear" w:color="000000" w:fill="FFFFFF"/>
            <w:noWrap/>
            <w:hideMark/>
          </w:tcPr>
          <w:p w14:paraId="5FA2F9D4" w14:textId="1AD3DDB8" w:rsidR="00211226" w:rsidRPr="00B47A14" w:rsidRDefault="00211226" w:rsidP="00211226">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-4.00</w:t>
            </w:r>
          </w:p>
        </w:tc>
        <w:tc>
          <w:tcPr>
            <w:tcW w:w="622" w:type="dxa"/>
            <w:tcBorders>
              <w:top w:val="nil"/>
              <w:left w:val="nil"/>
              <w:bottom w:val="nil"/>
              <w:right w:val="nil"/>
            </w:tcBorders>
            <w:shd w:val="clear" w:color="000000" w:fill="FFFFFF"/>
            <w:noWrap/>
            <w:hideMark/>
          </w:tcPr>
          <w:p w14:paraId="0A5714C2" w14:textId="528B9858" w:rsidR="00211226" w:rsidRPr="00B47A14" w:rsidRDefault="00211226" w:rsidP="00211226">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-0.33</w:t>
            </w:r>
          </w:p>
        </w:tc>
        <w:tc>
          <w:tcPr>
            <w:tcW w:w="550" w:type="dxa"/>
            <w:tcBorders>
              <w:top w:val="nil"/>
              <w:left w:val="nil"/>
              <w:bottom w:val="nil"/>
              <w:right w:val="single" w:sz="4" w:space="0" w:color="auto"/>
            </w:tcBorders>
            <w:shd w:val="clear" w:color="000000" w:fill="FFFFFF"/>
            <w:noWrap/>
            <w:hideMark/>
          </w:tcPr>
          <w:p w14:paraId="49C41424" w14:textId="1B58AAE1" w:rsidR="00211226" w:rsidRPr="00B47A14" w:rsidRDefault="00211226" w:rsidP="00211226">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-2.40</w:t>
            </w:r>
          </w:p>
        </w:tc>
        <w:tc>
          <w:tcPr>
            <w:tcW w:w="622" w:type="dxa"/>
            <w:tcBorders>
              <w:top w:val="nil"/>
              <w:left w:val="nil"/>
              <w:bottom w:val="nil"/>
              <w:right w:val="nil"/>
            </w:tcBorders>
            <w:shd w:val="clear" w:color="000000" w:fill="FFFFFF"/>
            <w:noWrap/>
            <w:hideMark/>
          </w:tcPr>
          <w:p w14:paraId="024595BA" w14:textId="22948CEC" w:rsidR="00211226" w:rsidRPr="00B47A14" w:rsidRDefault="00211226" w:rsidP="00211226">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-0.12</w:t>
            </w:r>
          </w:p>
        </w:tc>
        <w:tc>
          <w:tcPr>
            <w:tcW w:w="642" w:type="dxa"/>
            <w:tcBorders>
              <w:top w:val="nil"/>
              <w:left w:val="nil"/>
              <w:bottom w:val="nil"/>
              <w:right w:val="single" w:sz="4" w:space="0" w:color="auto"/>
            </w:tcBorders>
            <w:shd w:val="clear" w:color="000000" w:fill="FFFFFF"/>
            <w:noWrap/>
            <w:hideMark/>
          </w:tcPr>
          <w:p w14:paraId="428DC295" w14:textId="671FBEFB" w:rsidR="00211226" w:rsidRPr="00B47A14" w:rsidRDefault="00211226" w:rsidP="00211226">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-0.85</w:t>
            </w:r>
          </w:p>
        </w:tc>
        <w:tc>
          <w:tcPr>
            <w:tcW w:w="622" w:type="dxa"/>
            <w:tcBorders>
              <w:top w:val="nil"/>
              <w:left w:val="nil"/>
              <w:bottom w:val="nil"/>
              <w:right w:val="nil"/>
            </w:tcBorders>
            <w:shd w:val="clear" w:color="000000" w:fill="FFFFFF"/>
            <w:noWrap/>
            <w:hideMark/>
          </w:tcPr>
          <w:p w14:paraId="536EA8F2" w14:textId="270D9503" w:rsidR="00211226" w:rsidRPr="00B47A14" w:rsidRDefault="00211226" w:rsidP="00211226">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-0.90</w:t>
            </w:r>
          </w:p>
        </w:tc>
        <w:tc>
          <w:tcPr>
            <w:tcW w:w="541" w:type="dxa"/>
            <w:tcBorders>
              <w:top w:val="nil"/>
              <w:left w:val="nil"/>
              <w:bottom w:val="nil"/>
              <w:right w:val="single" w:sz="4" w:space="0" w:color="auto"/>
            </w:tcBorders>
            <w:shd w:val="clear" w:color="000000" w:fill="FFFFFF"/>
            <w:noWrap/>
            <w:hideMark/>
          </w:tcPr>
          <w:p w14:paraId="57541C16" w14:textId="41829175" w:rsidR="00211226" w:rsidRPr="00B47A14" w:rsidRDefault="00211226" w:rsidP="00211226">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-2.84</w:t>
            </w:r>
          </w:p>
        </w:tc>
        <w:tc>
          <w:tcPr>
            <w:tcW w:w="622" w:type="dxa"/>
            <w:tcBorders>
              <w:top w:val="nil"/>
              <w:left w:val="nil"/>
              <w:bottom w:val="nil"/>
              <w:right w:val="nil"/>
            </w:tcBorders>
            <w:shd w:val="clear" w:color="000000" w:fill="FFFFFF"/>
            <w:noWrap/>
            <w:hideMark/>
          </w:tcPr>
          <w:p w14:paraId="50C65F78" w14:textId="7874B4D7" w:rsidR="00211226" w:rsidRPr="00B47A14" w:rsidRDefault="00211226" w:rsidP="00211226">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-0.32</w:t>
            </w:r>
          </w:p>
        </w:tc>
        <w:tc>
          <w:tcPr>
            <w:tcW w:w="621" w:type="dxa"/>
            <w:tcBorders>
              <w:top w:val="nil"/>
              <w:left w:val="nil"/>
              <w:bottom w:val="nil"/>
              <w:right w:val="single" w:sz="4" w:space="0" w:color="auto"/>
            </w:tcBorders>
            <w:shd w:val="clear" w:color="000000" w:fill="FFFFFF"/>
            <w:noWrap/>
            <w:hideMark/>
          </w:tcPr>
          <w:p w14:paraId="65495283" w14:textId="37D745D5" w:rsidR="00211226" w:rsidRPr="00B47A14" w:rsidRDefault="00211226" w:rsidP="00211226">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-1.34</w:t>
            </w:r>
          </w:p>
        </w:tc>
        <w:tc>
          <w:tcPr>
            <w:tcW w:w="624" w:type="dxa"/>
            <w:tcBorders>
              <w:top w:val="nil"/>
              <w:left w:val="nil"/>
              <w:bottom w:val="nil"/>
              <w:right w:val="nil"/>
            </w:tcBorders>
            <w:shd w:val="clear" w:color="000000" w:fill="FFFFFF"/>
            <w:noWrap/>
            <w:hideMark/>
          </w:tcPr>
          <w:p w14:paraId="48EF5636" w14:textId="5D9EB5C5" w:rsidR="00211226" w:rsidRPr="00B47A14" w:rsidRDefault="00211226" w:rsidP="00211226">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-0.68</w:t>
            </w:r>
          </w:p>
        </w:tc>
        <w:tc>
          <w:tcPr>
            <w:tcW w:w="543" w:type="dxa"/>
            <w:tcBorders>
              <w:top w:val="nil"/>
              <w:left w:val="nil"/>
              <w:bottom w:val="nil"/>
              <w:right w:val="single" w:sz="4" w:space="0" w:color="auto"/>
            </w:tcBorders>
            <w:shd w:val="clear" w:color="000000" w:fill="FFFFFF"/>
            <w:noWrap/>
            <w:hideMark/>
          </w:tcPr>
          <w:p w14:paraId="20CB41AA" w14:textId="7BFD65C5" w:rsidR="00211226" w:rsidRPr="00B47A14" w:rsidRDefault="00211226" w:rsidP="00211226">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-0.65</w:t>
            </w:r>
          </w:p>
        </w:tc>
        <w:tc>
          <w:tcPr>
            <w:tcW w:w="630" w:type="dxa"/>
            <w:tcBorders>
              <w:top w:val="nil"/>
              <w:left w:val="nil"/>
              <w:bottom w:val="nil"/>
              <w:right w:val="nil"/>
            </w:tcBorders>
            <w:shd w:val="clear" w:color="000000" w:fill="FFFFFF"/>
            <w:noWrap/>
            <w:hideMark/>
          </w:tcPr>
          <w:p w14:paraId="30A2EDC0" w14:textId="0F87306C" w:rsidR="00211226" w:rsidRPr="00B47A14" w:rsidRDefault="00211226" w:rsidP="00211226">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-0.60</w:t>
            </w:r>
          </w:p>
        </w:tc>
        <w:tc>
          <w:tcPr>
            <w:tcW w:w="656" w:type="dxa"/>
            <w:tcBorders>
              <w:top w:val="nil"/>
              <w:left w:val="nil"/>
              <w:bottom w:val="nil"/>
              <w:right w:val="single" w:sz="4" w:space="0" w:color="auto"/>
            </w:tcBorders>
            <w:shd w:val="clear" w:color="000000" w:fill="FFFFFF"/>
            <w:noWrap/>
            <w:hideMark/>
          </w:tcPr>
          <w:p w14:paraId="7587B42A" w14:textId="0CA48EDB" w:rsidR="00211226" w:rsidRPr="00B47A14" w:rsidRDefault="00211226" w:rsidP="00211226">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-0.89</w:t>
            </w:r>
          </w:p>
        </w:tc>
        <w:tc>
          <w:tcPr>
            <w:tcW w:w="573" w:type="dxa"/>
            <w:tcBorders>
              <w:top w:val="nil"/>
              <w:left w:val="nil"/>
              <w:bottom w:val="nil"/>
              <w:right w:val="nil"/>
            </w:tcBorders>
            <w:shd w:val="clear" w:color="000000" w:fill="FFFFFF"/>
            <w:noWrap/>
            <w:hideMark/>
          </w:tcPr>
          <w:p w14:paraId="7217B228" w14:textId="6A670781" w:rsidR="00211226" w:rsidRPr="00B47A14" w:rsidRDefault="00211226" w:rsidP="00211226">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491" w:type="dxa"/>
            <w:tcBorders>
              <w:top w:val="nil"/>
              <w:left w:val="nil"/>
              <w:bottom w:val="nil"/>
              <w:right w:val="single" w:sz="12" w:space="0" w:color="auto"/>
            </w:tcBorders>
            <w:shd w:val="clear" w:color="000000" w:fill="FFFFFF"/>
            <w:noWrap/>
            <w:hideMark/>
          </w:tcPr>
          <w:p w14:paraId="121A8EF6" w14:textId="0D97E04B" w:rsidR="00211226" w:rsidRPr="00B47A14" w:rsidRDefault="00211226" w:rsidP="00211226">
            <w:pPr>
              <w:spacing w:after="0" w:line="240" w:lineRule="auto"/>
              <w:jc w:val="right"/>
              <w:rPr>
                <w:rFonts w:eastAsia="Times New Roman" w:cs="Times New Roman"/>
                <w:color w:val="000000"/>
                <w:kern w:val="0"/>
                <w:sz w:val="20"/>
                <w:szCs w:val="20"/>
                <w14:ligatures w14:val="none"/>
              </w:rPr>
            </w:pPr>
          </w:p>
        </w:tc>
      </w:tr>
      <w:tr w:rsidR="00415E12" w:rsidRPr="00B47A14" w14:paraId="737B474B" w14:textId="77777777" w:rsidTr="004C3CE3">
        <w:trPr>
          <w:gridAfter w:val="1"/>
          <w:wAfter w:w="8" w:type="dxa"/>
          <w:trHeight w:val="20"/>
          <w:jc w:val="center"/>
        </w:trPr>
        <w:tc>
          <w:tcPr>
            <w:tcW w:w="3950" w:type="dxa"/>
            <w:tcBorders>
              <w:top w:val="nil"/>
              <w:left w:val="single" w:sz="12" w:space="0" w:color="auto"/>
              <w:bottom w:val="nil"/>
              <w:right w:val="single" w:sz="12" w:space="0" w:color="auto"/>
            </w:tcBorders>
            <w:shd w:val="clear" w:color="000000" w:fill="FFFFFF"/>
            <w:noWrap/>
            <w:vAlign w:val="bottom"/>
          </w:tcPr>
          <w:p w14:paraId="7E144795" w14:textId="621B68F6" w:rsidR="003F4C4A" w:rsidRPr="00B47A14" w:rsidRDefault="003F4C4A" w:rsidP="00123E79">
            <w:pPr>
              <w:spacing w:after="0" w:line="240" w:lineRule="auto"/>
              <w:rPr>
                <w:rFonts w:eastAsia="Times New Roman" w:cs="Times New Roman"/>
                <w:color w:val="000000"/>
                <w:kern w:val="0"/>
                <w:sz w:val="20"/>
                <w:szCs w:val="20"/>
                <w14:ligatures w14:val="none"/>
              </w:rPr>
            </w:pPr>
            <w:r w:rsidRPr="00B47A14">
              <w:rPr>
                <w:rFonts w:eastAsia="Times New Roman" w:cs="Times New Roman"/>
                <w:b/>
                <w:bCs/>
                <w:color w:val="000000"/>
                <w:kern w:val="0"/>
                <w:sz w:val="20"/>
                <w:szCs w:val="20"/>
                <w14:ligatures w14:val="none"/>
              </w:rPr>
              <w:t>Household Composition</w:t>
            </w:r>
          </w:p>
        </w:tc>
        <w:tc>
          <w:tcPr>
            <w:tcW w:w="622" w:type="dxa"/>
            <w:tcBorders>
              <w:top w:val="nil"/>
              <w:left w:val="single" w:sz="12" w:space="0" w:color="auto"/>
              <w:bottom w:val="nil"/>
              <w:right w:val="nil"/>
            </w:tcBorders>
            <w:shd w:val="clear" w:color="000000" w:fill="FFFFFF"/>
            <w:noWrap/>
          </w:tcPr>
          <w:p w14:paraId="6B0B0EFF" w14:textId="77777777" w:rsidR="003F4C4A" w:rsidRPr="00B47A14" w:rsidRDefault="003F4C4A" w:rsidP="00123E79">
            <w:pPr>
              <w:spacing w:after="0" w:line="240" w:lineRule="auto"/>
              <w:jc w:val="right"/>
              <w:rPr>
                <w:rFonts w:cs="Times New Roman"/>
                <w:sz w:val="20"/>
                <w:szCs w:val="20"/>
              </w:rPr>
            </w:pPr>
          </w:p>
        </w:tc>
        <w:tc>
          <w:tcPr>
            <w:tcW w:w="550" w:type="dxa"/>
            <w:tcBorders>
              <w:top w:val="nil"/>
              <w:left w:val="nil"/>
              <w:bottom w:val="nil"/>
              <w:right w:val="single" w:sz="4" w:space="0" w:color="auto"/>
            </w:tcBorders>
            <w:shd w:val="clear" w:color="000000" w:fill="FFFFFF"/>
            <w:noWrap/>
          </w:tcPr>
          <w:p w14:paraId="224B2DD2" w14:textId="77777777" w:rsidR="003F4C4A" w:rsidRPr="00B47A14" w:rsidRDefault="003F4C4A" w:rsidP="00123E79">
            <w:pPr>
              <w:spacing w:after="0" w:line="240" w:lineRule="auto"/>
              <w:jc w:val="right"/>
              <w:rPr>
                <w:rFonts w:cs="Times New Roman"/>
                <w:sz w:val="20"/>
                <w:szCs w:val="20"/>
              </w:rPr>
            </w:pPr>
          </w:p>
        </w:tc>
        <w:tc>
          <w:tcPr>
            <w:tcW w:w="622" w:type="dxa"/>
            <w:tcBorders>
              <w:top w:val="nil"/>
              <w:left w:val="nil"/>
              <w:bottom w:val="nil"/>
              <w:right w:val="nil"/>
            </w:tcBorders>
            <w:shd w:val="clear" w:color="000000" w:fill="FFFFFF"/>
            <w:noWrap/>
          </w:tcPr>
          <w:p w14:paraId="39299B65" w14:textId="77777777" w:rsidR="003F4C4A" w:rsidRPr="00B47A14" w:rsidRDefault="003F4C4A" w:rsidP="00123E79">
            <w:pPr>
              <w:spacing w:after="0" w:line="240" w:lineRule="auto"/>
              <w:jc w:val="right"/>
              <w:rPr>
                <w:rFonts w:cs="Times New Roman"/>
                <w:sz w:val="20"/>
                <w:szCs w:val="20"/>
              </w:rPr>
            </w:pPr>
          </w:p>
        </w:tc>
        <w:tc>
          <w:tcPr>
            <w:tcW w:w="552" w:type="dxa"/>
            <w:tcBorders>
              <w:top w:val="nil"/>
              <w:left w:val="nil"/>
              <w:bottom w:val="nil"/>
              <w:right w:val="single" w:sz="4" w:space="0" w:color="auto"/>
            </w:tcBorders>
            <w:shd w:val="clear" w:color="000000" w:fill="FFFFFF"/>
            <w:noWrap/>
          </w:tcPr>
          <w:p w14:paraId="0C3B3DD2" w14:textId="77777777" w:rsidR="003F4C4A" w:rsidRPr="00B47A14" w:rsidRDefault="003F4C4A" w:rsidP="00123E79">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tcPr>
          <w:p w14:paraId="57BF69BE" w14:textId="77777777" w:rsidR="003F4C4A" w:rsidRPr="00B47A14" w:rsidRDefault="003F4C4A" w:rsidP="00123E79">
            <w:pPr>
              <w:spacing w:after="0" w:line="240" w:lineRule="auto"/>
              <w:jc w:val="right"/>
              <w:rPr>
                <w:rFonts w:cs="Times New Roman"/>
                <w:sz w:val="20"/>
                <w:szCs w:val="20"/>
              </w:rPr>
            </w:pPr>
          </w:p>
        </w:tc>
        <w:tc>
          <w:tcPr>
            <w:tcW w:w="550" w:type="dxa"/>
            <w:tcBorders>
              <w:top w:val="nil"/>
              <w:left w:val="nil"/>
              <w:bottom w:val="nil"/>
              <w:right w:val="single" w:sz="4" w:space="0" w:color="auto"/>
            </w:tcBorders>
            <w:shd w:val="clear" w:color="000000" w:fill="FFFFFF"/>
            <w:noWrap/>
          </w:tcPr>
          <w:p w14:paraId="654890A9" w14:textId="77777777" w:rsidR="003F4C4A" w:rsidRPr="00B47A14" w:rsidRDefault="003F4C4A" w:rsidP="00123E79">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tcPr>
          <w:p w14:paraId="2BE2A027" w14:textId="77777777" w:rsidR="003F4C4A" w:rsidRPr="00B47A14" w:rsidRDefault="003F4C4A" w:rsidP="00123E79">
            <w:pPr>
              <w:spacing w:after="0" w:line="240" w:lineRule="auto"/>
              <w:jc w:val="right"/>
              <w:rPr>
                <w:rFonts w:cs="Times New Roman"/>
                <w:sz w:val="20"/>
                <w:szCs w:val="20"/>
              </w:rPr>
            </w:pPr>
          </w:p>
        </w:tc>
        <w:tc>
          <w:tcPr>
            <w:tcW w:w="642" w:type="dxa"/>
            <w:tcBorders>
              <w:top w:val="nil"/>
              <w:left w:val="nil"/>
              <w:bottom w:val="nil"/>
              <w:right w:val="single" w:sz="4" w:space="0" w:color="auto"/>
            </w:tcBorders>
            <w:shd w:val="clear" w:color="000000" w:fill="FFFFFF"/>
            <w:noWrap/>
          </w:tcPr>
          <w:p w14:paraId="3026BC34" w14:textId="77777777" w:rsidR="003F4C4A" w:rsidRPr="00B47A14" w:rsidRDefault="003F4C4A" w:rsidP="00123E79">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tcPr>
          <w:p w14:paraId="590EEE08" w14:textId="77777777" w:rsidR="003F4C4A" w:rsidRPr="00B47A14" w:rsidRDefault="003F4C4A" w:rsidP="00123E79">
            <w:pPr>
              <w:spacing w:after="0" w:line="240" w:lineRule="auto"/>
              <w:jc w:val="right"/>
              <w:rPr>
                <w:rFonts w:cs="Times New Roman"/>
                <w:sz w:val="20"/>
                <w:szCs w:val="20"/>
              </w:rPr>
            </w:pPr>
          </w:p>
        </w:tc>
        <w:tc>
          <w:tcPr>
            <w:tcW w:w="541" w:type="dxa"/>
            <w:tcBorders>
              <w:top w:val="nil"/>
              <w:left w:val="nil"/>
              <w:bottom w:val="nil"/>
              <w:right w:val="single" w:sz="4" w:space="0" w:color="auto"/>
            </w:tcBorders>
            <w:shd w:val="clear" w:color="000000" w:fill="FFFFFF"/>
            <w:noWrap/>
          </w:tcPr>
          <w:p w14:paraId="2CCE8C43" w14:textId="77777777" w:rsidR="003F4C4A" w:rsidRPr="00B47A14" w:rsidRDefault="003F4C4A" w:rsidP="00123E79">
            <w:pPr>
              <w:spacing w:after="0" w:line="240" w:lineRule="auto"/>
              <w:jc w:val="right"/>
              <w:rPr>
                <w:rFonts w:cs="Times New Roman"/>
                <w:sz w:val="20"/>
                <w:szCs w:val="20"/>
              </w:rPr>
            </w:pPr>
          </w:p>
        </w:tc>
        <w:tc>
          <w:tcPr>
            <w:tcW w:w="622" w:type="dxa"/>
            <w:tcBorders>
              <w:top w:val="nil"/>
              <w:left w:val="nil"/>
              <w:bottom w:val="nil"/>
              <w:right w:val="nil"/>
            </w:tcBorders>
            <w:shd w:val="clear" w:color="000000" w:fill="FFFFFF"/>
            <w:noWrap/>
          </w:tcPr>
          <w:p w14:paraId="0AE7BAA3" w14:textId="77777777" w:rsidR="003F4C4A" w:rsidRPr="00B47A14" w:rsidRDefault="003F4C4A" w:rsidP="00123E79">
            <w:pPr>
              <w:spacing w:after="0" w:line="240" w:lineRule="auto"/>
              <w:jc w:val="right"/>
              <w:rPr>
                <w:rFonts w:cs="Times New Roman"/>
                <w:sz w:val="20"/>
                <w:szCs w:val="20"/>
              </w:rPr>
            </w:pPr>
          </w:p>
        </w:tc>
        <w:tc>
          <w:tcPr>
            <w:tcW w:w="621" w:type="dxa"/>
            <w:tcBorders>
              <w:top w:val="nil"/>
              <w:left w:val="nil"/>
              <w:bottom w:val="nil"/>
              <w:right w:val="single" w:sz="4" w:space="0" w:color="auto"/>
            </w:tcBorders>
            <w:shd w:val="clear" w:color="000000" w:fill="FFFFFF"/>
            <w:noWrap/>
          </w:tcPr>
          <w:p w14:paraId="76EFBFF3" w14:textId="77777777" w:rsidR="003F4C4A" w:rsidRPr="00B47A14" w:rsidRDefault="003F4C4A" w:rsidP="00123E79">
            <w:pPr>
              <w:spacing w:after="0" w:line="240" w:lineRule="auto"/>
              <w:jc w:val="right"/>
              <w:rPr>
                <w:rFonts w:eastAsia="Times New Roman" w:cs="Times New Roman"/>
                <w:color w:val="000000"/>
                <w:kern w:val="0"/>
                <w:sz w:val="20"/>
                <w:szCs w:val="20"/>
                <w14:ligatures w14:val="none"/>
              </w:rPr>
            </w:pPr>
          </w:p>
        </w:tc>
        <w:tc>
          <w:tcPr>
            <w:tcW w:w="624" w:type="dxa"/>
            <w:tcBorders>
              <w:top w:val="nil"/>
              <w:left w:val="nil"/>
              <w:bottom w:val="nil"/>
              <w:right w:val="nil"/>
            </w:tcBorders>
            <w:shd w:val="clear" w:color="000000" w:fill="FFFFFF"/>
            <w:noWrap/>
          </w:tcPr>
          <w:p w14:paraId="66A3CB14" w14:textId="77777777" w:rsidR="003F4C4A" w:rsidRPr="00B47A14" w:rsidRDefault="003F4C4A" w:rsidP="00123E79">
            <w:pPr>
              <w:spacing w:after="0" w:line="240" w:lineRule="auto"/>
              <w:jc w:val="right"/>
              <w:rPr>
                <w:rFonts w:cs="Times New Roman"/>
                <w:sz w:val="20"/>
                <w:szCs w:val="20"/>
              </w:rPr>
            </w:pPr>
          </w:p>
        </w:tc>
        <w:tc>
          <w:tcPr>
            <w:tcW w:w="543" w:type="dxa"/>
            <w:tcBorders>
              <w:top w:val="nil"/>
              <w:left w:val="nil"/>
              <w:bottom w:val="nil"/>
              <w:right w:val="single" w:sz="4" w:space="0" w:color="auto"/>
            </w:tcBorders>
            <w:shd w:val="clear" w:color="000000" w:fill="FFFFFF"/>
            <w:noWrap/>
          </w:tcPr>
          <w:p w14:paraId="34B2BD92" w14:textId="77777777" w:rsidR="003F4C4A" w:rsidRPr="00B47A14" w:rsidRDefault="003F4C4A" w:rsidP="00123E79">
            <w:pPr>
              <w:spacing w:after="0" w:line="240" w:lineRule="auto"/>
              <w:jc w:val="right"/>
              <w:rPr>
                <w:rFonts w:eastAsia="Times New Roman" w:cs="Times New Roman"/>
                <w:color w:val="000000"/>
                <w:kern w:val="0"/>
                <w:sz w:val="20"/>
                <w:szCs w:val="20"/>
                <w14:ligatures w14:val="none"/>
              </w:rPr>
            </w:pPr>
          </w:p>
        </w:tc>
        <w:tc>
          <w:tcPr>
            <w:tcW w:w="630" w:type="dxa"/>
            <w:tcBorders>
              <w:top w:val="nil"/>
              <w:left w:val="nil"/>
              <w:bottom w:val="nil"/>
              <w:right w:val="nil"/>
            </w:tcBorders>
            <w:shd w:val="clear" w:color="000000" w:fill="FFFFFF"/>
            <w:noWrap/>
          </w:tcPr>
          <w:p w14:paraId="481F54D1" w14:textId="77777777" w:rsidR="003F4C4A" w:rsidRPr="00B47A14" w:rsidRDefault="003F4C4A" w:rsidP="00123E79">
            <w:pPr>
              <w:spacing w:after="0" w:line="240" w:lineRule="auto"/>
              <w:jc w:val="right"/>
              <w:rPr>
                <w:rFonts w:cs="Times New Roman"/>
                <w:sz w:val="20"/>
                <w:szCs w:val="20"/>
              </w:rPr>
            </w:pPr>
          </w:p>
        </w:tc>
        <w:tc>
          <w:tcPr>
            <w:tcW w:w="656" w:type="dxa"/>
            <w:tcBorders>
              <w:top w:val="nil"/>
              <w:left w:val="nil"/>
              <w:bottom w:val="nil"/>
              <w:right w:val="single" w:sz="4" w:space="0" w:color="auto"/>
            </w:tcBorders>
            <w:shd w:val="clear" w:color="000000" w:fill="FFFFFF"/>
            <w:noWrap/>
          </w:tcPr>
          <w:p w14:paraId="7505BA67" w14:textId="77777777" w:rsidR="003F4C4A" w:rsidRPr="00B47A14" w:rsidRDefault="003F4C4A" w:rsidP="00123E79">
            <w:pPr>
              <w:spacing w:after="0" w:line="240" w:lineRule="auto"/>
              <w:jc w:val="right"/>
              <w:rPr>
                <w:rFonts w:eastAsia="Times New Roman" w:cs="Times New Roman"/>
                <w:color w:val="000000"/>
                <w:kern w:val="0"/>
                <w:sz w:val="20"/>
                <w:szCs w:val="20"/>
                <w14:ligatures w14:val="none"/>
              </w:rPr>
            </w:pPr>
          </w:p>
        </w:tc>
        <w:tc>
          <w:tcPr>
            <w:tcW w:w="573" w:type="dxa"/>
            <w:tcBorders>
              <w:top w:val="nil"/>
              <w:left w:val="nil"/>
              <w:bottom w:val="nil"/>
              <w:right w:val="nil"/>
            </w:tcBorders>
            <w:shd w:val="clear" w:color="000000" w:fill="FFFFFF"/>
            <w:noWrap/>
          </w:tcPr>
          <w:p w14:paraId="77CCF182" w14:textId="77777777" w:rsidR="003F4C4A" w:rsidRPr="00B47A14" w:rsidRDefault="003F4C4A" w:rsidP="00123E79">
            <w:pPr>
              <w:spacing w:after="0" w:line="240" w:lineRule="auto"/>
              <w:jc w:val="right"/>
              <w:rPr>
                <w:rFonts w:cs="Times New Roman"/>
                <w:sz w:val="20"/>
                <w:szCs w:val="20"/>
              </w:rPr>
            </w:pPr>
          </w:p>
        </w:tc>
        <w:tc>
          <w:tcPr>
            <w:tcW w:w="491" w:type="dxa"/>
            <w:tcBorders>
              <w:top w:val="nil"/>
              <w:left w:val="nil"/>
              <w:bottom w:val="nil"/>
              <w:right w:val="single" w:sz="12" w:space="0" w:color="auto"/>
            </w:tcBorders>
            <w:shd w:val="clear" w:color="000000" w:fill="FFFFFF"/>
            <w:noWrap/>
          </w:tcPr>
          <w:p w14:paraId="0C59FE3E" w14:textId="77777777" w:rsidR="003F4C4A" w:rsidRPr="00B47A14" w:rsidRDefault="003F4C4A" w:rsidP="00123E79">
            <w:pPr>
              <w:spacing w:after="0" w:line="240" w:lineRule="auto"/>
              <w:jc w:val="right"/>
              <w:rPr>
                <w:rFonts w:cs="Times New Roman"/>
                <w:sz w:val="20"/>
                <w:szCs w:val="20"/>
              </w:rPr>
            </w:pPr>
          </w:p>
        </w:tc>
      </w:tr>
      <w:tr w:rsidR="00415E12" w:rsidRPr="00B47A14" w14:paraId="393053E6" w14:textId="77777777" w:rsidTr="004C3CE3">
        <w:trPr>
          <w:gridAfter w:val="1"/>
          <w:wAfter w:w="8" w:type="dxa"/>
          <w:trHeight w:val="20"/>
          <w:jc w:val="center"/>
        </w:trPr>
        <w:tc>
          <w:tcPr>
            <w:tcW w:w="3950" w:type="dxa"/>
            <w:tcBorders>
              <w:top w:val="nil"/>
              <w:left w:val="single" w:sz="12" w:space="0" w:color="auto"/>
              <w:bottom w:val="nil"/>
              <w:right w:val="single" w:sz="12" w:space="0" w:color="auto"/>
            </w:tcBorders>
            <w:shd w:val="clear" w:color="000000" w:fill="FFFFFF"/>
            <w:noWrap/>
            <w:vAlign w:val="bottom"/>
          </w:tcPr>
          <w:p w14:paraId="3576B28F" w14:textId="1C708607" w:rsidR="003F4C4A" w:rsidRPr="00B47A14" w:rsidRDefault="003F4C4A" w:rsidP="003F4C4A">
            <w:pPr>
              <w:spacing w:after="0" w:line="240" w:lineRule="auto"/>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Household Size (2+ adults)</w:t>
            </w:r>
          </w:p>
        </w:tc>
        <w:tc>
          <w:tcPr>
            <w:tcW w:w="622" w:type="dxa"/>
            <w:tcBorders>
              <w:top w:val="nil"/>
              <w:left w:val="single" w:sz="12" w:space="0" w:color="auto"/>
              <w:bottom w:val="nil"/>
              <w:right w:val="nil"/>
            </w:tcBorders>
            <w:shd w:val="clear" w:color="000000" w:fill="FFFFFF"/>
            <w:noWrap/>
          </w:tcPr>
          <w:p w14:paraId="25ACDC36" w14:textId="77777777" w:rsidR="003F4C4A" w:rsidRPr="00B47A14" w:rsidRDefault="003F4C4A" w:rsidP="003F4C4A">
            <w:pPr>
              <w:spacing w:after="0" w:line="240" w:lineRule="auto"/>
              <w:jc w:val="right"/>
              <w:rPr>
                <w:rFonts w:cs="Times New Roman"/>
                <w:sz w:val="20"/>
                <w:szCs w:val="20"/>
              </w:rPr>
            </w:pPr>
          </w:p>
        </w:tc>
        <w:tc>
          <w:tcPr>
            <w:tcW w:w="550" w:type="dxa"/>
            <w:tcBorders>
              <w:top w:val="nil"/>
              <w:left w:val="nil"/>
              <w:bottom w:val="nil"/>
              <w:right w:val="single" w:sz="4" w:space="0" w:color="auto"/>
            </w:tcBorders>
            <w:shd w:val="clear" w:color="000000" w:fill="FFFFFF"/>
            <w:noWrap/>
          </w:tcPr>
          <w:p w14:paraId="7388C94C" w14:textId="77777777" w:rsidR="003F4C4A" w:rsidRPr="00B47A14" w:rsidRDefault="003F4C4A" w:rsidP="003F4C4A">
            <w:pPr>
              <w:spacing w:after="0" w:line="240" w:lineRule="auto"/>
              <w:jc w:val="right"/>
              <w:rPr>
                <w:rFonts w:cs="Times New Roman"/>
                <w:sz w:val="20"/>
                <w:szCs w:val="20"/>
              </w:rPr>
            </w:pPr>
          </w:p>
        </w:tc>
        <w:tc>
          <w:tcPr>
            <w:tcW w:w="622" w:type="dxa"/>
            <w:tcBorders>
              <w:top w:val="nil"/>
              <w:left w:val="nil"/>
              <w:bottom w:val="nil"/>
              <w:right w:val="nil"/>
            </w:tcBorders>
            <w:shd w:val="clear" w:color="000000" w:fill="FFFFFF"/>
            <w:noWrap/>
          </w:tcPr>
          <w:p w14:paraId="619F65F6" w14:textId="77777777" w:rsidR="003F4C4A" w:rsidRPr="00B47A14" w:rsidRDefault="003F4C4A" w:rsidP="003F4C4A">
            <w:pPr>
              <w:spacing w:after="0" w:line="240" w:lineRule="auto"/>
              <w:jc w:val="right"/>
              <w:rPr>
                <w:rFonts w:cs="Times New Roman"/>
                <w:sz w:val="20"/>
                <w:szCs w:val="20"/>
              </w:rPr>
            </w:pPr>
          </w:p>
        </w:tc>
        <w:tc>
          <w:tcPr>
            <w:tcW w:w="552" w:type="dxa"/>
            <w:tcBorders>
              <w:top w:val="nil"/>
              <w:left w:val="nil"/>
              <w:bottom w:val="nil"/>
              <w:right w:val="single" w:sz="4" w:space="0" w:color="auto"/>
            </w:tcBorders>
            <w:shd w:val="clear" w:color="000000" w:fill="FFFFFF"/>
            <w:noWrap/>
          </w:tcPr>
          <w:p w14:paraId="3B178A39"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tcPr>
          <w:p w14:paraId="111E9037" w14:textId="77777777" w:rsidR="003F4C4A" w:rsidRPr="00B47A14" w:rsidRDefault="003F4C4A" w:rsidP="003F4C4A">
            <w:pPr>
              <w:spacing w:after="0" w:line="240" w:lineRule="auto"/>
              <w:jc w:val="right"/>
              <w:rPr>
                <w:rFonts w:cs="Times New Roman"/>
                <w:sz w:val="20"/>
                <w:szCs w:val="20"/>
              </w:rPr>
            </w:pPr>
          </w:p>
        </w:tc>
        <w:tc>
          <w:tcPr>
            <w:tcW w:w="550" w:type="dxa"/>
            <w:tcBorders>
              <w:top w:val="nil"/>
              <w:left w:val="nil"/>
              <w:bottom w:val="nil"/>
              <w:right w:val="single" w:sz="4" w:space="0" w:color="auto"/>
            </w:tcBorders>
            <w:shd w:val="clear" w:color="000000" w:fill="FFFFFF"/>
            <w:noWrap/>
          </w:tcPr>
          <w:p w14:paraId="5C8F49D9"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tcPr>
          <w:p w14:paraId="0010E8B2" w14:textId="77777777" w:rsidR="003F4C4A" w:rsidRPr="00B47A14" w:rsidRDefault="003F4C4A" w:rsidP="003F4C4A">
            <w:pPr>
              <w:spacing w:after="0" w:line="240" w:lineRule="auto"/>
              <w:jc w:val="right"/>
              <w:rPr>
                <w:rFonts w:cs="Times New Roman"/>
                <w:sz w:val="20"/>
                <w:szCs w:val="20"/>
              </w:rPr>
            </w:pPr>
          </w:p>
        </w:tc>
        <w:tc>
          <w:tcPr>
            <w:tcW w:w="642" w:type="dxa"/>
            <w:tcBorders>
              <w:top w:val="nil"/>
              <w:left w:val="nil"/>
              <w:bottom w:val="nil"/>
              <w:right w:val="single" w:sz="4" w:space="0" w:color="auto"/>
            </w:tcBorders>
            <w:shd w:val="clear" w:color="000000" w:fill="FFFFFF"/>
            <w:noWrap/>
          </w:tcPr>
          <w:p w14:paraId="23BBA67E"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tcPr>
          <w:p w14:paraId="70EF0198" w14:textId="77777777" w:rsidR="003F4C4A" w:rsidRPr="00B47A14" w:rsidRDefault="003F4C4A" w:rsidP="003F4C4A">
            <w:pPr>
              <w:spacing w:after="0" w:line="240" w:lineRule="auto"/>
              <w:jc w:val="right"/>
              <w:rPr>
                <w:rFonts w:cs="Times New Roman"/>
                <w:sz w:val="20"/>
                <w:szCs w:val="20"/>
              </w:rPr>
            </w:pPr>
          </w:p>
        </w:tc>
        <w:tc>
          <w:tcPr>
            <w:tcW w:w="541" w:type="dxa"/>
            <w:tcBorders>
              <w:top w:val="nil"/>
              <w:left w:val="nil"/>
              <w:bottom w:val="nil"/>
              <w:right w:val="single" w:sz="4" w:space="0" w:color="auto"/>
            </w:tcBorders>
            <w:shd w:val="clear" w:color="000000" w:fill="FFFFFF"/>
            <w:noWrap/>
          </w:tcPr>
          <w:p w14:paraId="1C1D192F" w14:textId="77777777" w:rsidR="003F4C4A" w:rsidRPr="00B47A14" w:rsidRDefault="003F4C4A" w:rsidP="003F4C4A">
            <w:pPr>
              <w:spacing w:after="0" w:line="240" w:lineRule="auto"/>
              <w:jc w:val="right"/>
              <w:rPr>
                <w:rFonts w:cs="Times New Roman"/>
                <w:sz w:val="20"/>
                <w:szCs w:val="20"/>
              </w:rPr>
            </w:pPr>
          </w:p>
        </w:tc>
        <w:tc>
          <w:tcPr>
            <w:tcW w:w="622" w:type="dxa"/>
            <w:tcBorders>
              <w:top w:val="nil"/>
              <w:left w:val="nil"/>
              <w:bottom w:val="nil"/>
              <w:right w:val="nil"/>
            </w:tcBorders>
            <w:shd w:val="clear" w:color="000000" w:fill="FFFFFF"/>
            <w:noWrap/>
          </w:tcPr>
          <w:p w14:paraId="235BE862" w14:textId="77777777" w:rsidR="003F4C4A" w:rsidRPr="00B47A14" w:rsidRDefault="003F4C4A" w:rsidP="003F4C4A">
            <w:pPr>
              <w:spacing w:after="0" w:line="240" w:lineRule="auto"/>
              <w:jc w:val="right"/>
              <w:rPr>
                <w:rFonts w:cs="Times New Roman"/>
                <w:sz w:val="20"/>
                <w:szCs w:val="20"/>
              </w:rPr>
            </w:pPr>
          </w:p>
        </w:tc>
        <w:tc>
          <w:tcPr>
            <w:tcW w:w="621" w:type="dxa"/>
            <w:tcBorders>
              <w:top w:val="nil"/>
              <w:left w:val="nil"/>
              <w:bottom w:val="nil"/>
              <w:right w:val="single" w:sz="4" w:space="0" w:color="auto"/>
            </w:tcBorders>
            <w:shd w:val="clear" w:color="000000" w:fill="FFFFFF"/>
            <w:noWrap/>
          </w:tcPr>
          <w:p w14:paraId="17EEB5F2"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624" w:type="dxa"/>
            <w:tcBorders>
              <w:top w:val="nil"/>
              <w:left w:val="nil"/>
              <w:bottom w:val="nil"/>
              <w:right w:val="nil"/>
            </w:tcBorders>
            <w:shd w:val="clear" w:color="000000" w:fill="FFFFFF"/>
            <w:noWrap/>
          </w:tcPr>
          <w:p w14:paraId="3BC6BD30" w14:textId="77777777" w:rsidR="003F4C4A" w:rsidRPr="00B47A14" w:rsidRDefault="003F4C4A" w:rsidP="003F4C4A">
            <w:pPr>
              <w:spacing w:after="0" w:line="240" w:lineRule="auto"/>
              <w:jc w:val="right"/>
              <w:rPr>
                <w:rFonts w:cs="Times New Roman"/>
                <w:sz w:val="20"/>
                <w:szCs w:val="20"/>
              </w:rPr>
            </w:pPr>
          </w:p>
        </w:tc>
        <w:tc>
          <w:tcPr>
            <w:tcW w:w="543" w:type="dxa"/>
            <w:tcBorders>
              <w:top w:val="nil"/>
              <w:left w:val="nil"/>
              <w:bottom w:val="nil"/>
              <w:right w:val="single" w:sz="4" w:space="0" w:color="auto"/>
            </w:tcBorders>
            <w:shd w:val="clear" w:color="000000" w:fill="FFFFFF"/>
            <w:noWrap/>
          </w:tcPr>
          <w:p w14:paraId="52549DB9"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630" w:type="dxa"/>
            <w:tcBorders>
              <w:top w:val="nil"/>
              <w:left w:val="nil"/>
              <w:bottom w:val="nil"/>
              <w:right w:val="nil"/>
            </w:tcBorders>
            <w:shd w:val="clear" w:color="000000" w:fill="FFFFFF"/>
            <w:noWrap/>
          </w:tcPr>
          <w:p w14:paraId="1333A065" w14:textId="77777777" w:rsidR="003F4C4A" w:rsidRPr="00B47A14" w:rsidRDefault="003F4C4A" w:rsidP="003F4C4A">
            <w:pPr>
              <w:spacing w:after="0" w:line="240" w:lineRule="auto"/>
              <w:jc w:val="right"/>
              <w:rPr>
                <w:rFonts w:cs="Times New Roman"/>
                <w:sz w:val="20"/>
                <w:szCs w:val="20"/>
              </w:rPr>
            </w:pPr>
          </w:p>
        </w:tc>
        <w:tc>
          <w:tcPr>
            <w:tcW w:w="656" w:type="dxa"/>
            <w:tcBorders>
              <w:top w:val="nil"/>
              <w:left w:val="nil"/>
              <w:bottom w:val="nil"/>
              <w:right w:val="single" w:sz="4" w:space="0" w:color="auto"/>
            </w:tcBorders>
            <w:shd w:val="clear" w:color="000000" w:fill="FFFFFF"/>
            <w:noWrap/>
          </w:tcPr>
          <w:p w14:paraId="3E9D0288"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573" w:type="dxa"/>
            <w:tcBorders>
              <w:top w:val="nil"/>
              <w:left w:val="nil"/>
              <w:bottom w:val="nil"/>
              <w:right w:val="nil"/>
            </w:tcBorders>
            <w:shd w:val="clear" w:color="000000" w:fill="FFFFFF"/>
            <w:noWrap/>
          </w:tcPr>
          <w:p w14:paraId="2876EBF5" w14:textId="77777777" w:rsidR="003F4C4A" w:rsidRPr="00B47A14" w:rsidRDefault="003F4C4A" w:rsidP="003F4C4A">
            <w:pPr>
              <w:spacing w:after="0" w:line="240" w:lineRule="auto"/>
              <w:jc w:val="right"/>
              <w:rPr>
                <w:rFonts w:cs="Times New Roman"/>
                <w:sz w:val="20"/>
                <w:szCs w:val="20"/>
              </w:rPr>
            </w:pPr>
          </w:p>
        </w:tc>
        <w:tc>
          <w:tcPr>
            <w:tcW w:w="491" w:type="dxa"/>
            <w:tcBorders>
              <w:top w:val="nil"/>
              <w:left w:val="nil"/>
              <w:bottom w:val="nil"/>
              <w:right w:val="single" w:sz="12" w:space="0" w:color="auto"/>
            </w:tcBorders>
            <w:shd w:val="clear" w:color="000000" w:fill="FFFFFF"/>
            <w:noWrap/>
          </w:tcPr>
          <w:p w14:paraId="7546D398" w14:textId="77777777" w:rsidR="003F4C4A" w:rsidRPr="00B47A14" w:rsidRDefault="003F4C4A" w:rsidP="003F4C4A">
            <w:pPr>
              <w:spacing w:after="0" w:line="240" w:lineRule="auto"/>
              <w:jc w:val="right"/>
              <w:rPr>
                <w:rFonts w:cs="Times New Roman"/>
                <w:sz w:val="20"/>
                <w:szCs w:val="20"/>
              </w:rPr>
            </w:pPr>
          </w:p>
        </w:tc>
      </w:tr>
      <w:tr w:rsidR="00415E12" w:rsidRPr="00B47A14" w14:paraId="756A7239" w14:textId="77777777" w:rsidTr="004C3CE3">
        <w:trPr>
          <w:gridAfter w:val="1"/>
          <w:wAfter w:w="8" w:type="dxa"/>
          <w:trHeight w:val="20"/>
          <w:jc w:val="center"/>
        </w:trPr>
        <w:tc>
          <w:tcPr>
            <w:tcW w:w="3950" w:type="dxa"/>
            <w:tcBorders>
              <w:top w:val="nil"/>
              <w:left w:val="single" w:sz="12" w:space="0" w:color="auto"/>
              <w:bottom w:val="nil"/>
              <w:right w:val="single" w:sz="12" w:space="0" w:color="auto"/>
            </w:tcBorders>
            <w:shd w:val="clear" w:color="000000" w:fill="FFFFFF"/>
            <w:noWrap/>
            <w:vAlign w:val="bottom"/>
          </w:tcPr>
          <w:p w14:paraId="7781D13E" w14:textId="23D282A0" w:rsidR="003068EC" w:rsidRPr="00B47A14" w:rsidRDefault="003068EC" w:rsidP="003068EC">
            <w:pPr>
              <w:spacing w:after="0" w:line="240" w:lineRule="auto"/>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 xml:space="preserve">       Single Adult </w:t>
            </w:r>
          </w:p>
        </w:tc>
        <w:tc>
          <w:tcPr>
            <w:tcW w:w="622" w:type="dxa"/>
            <w:tcBorders>
              <w:top w:val="nil"/>
              <w:left w:val="single" w:sz="12" w:space="0" w:color="auto"/>
              <w:bottom w:val="nil"/>
              <w:right w:val="nil"/>
            </w:tcBorders>
            <w:shd w:val="clear" w:color="000000" w:fill="FFFFFF"/>
            <w:noWrap/>
          </w:tcPr>
          <w:p w14:paraId="4A45406B" w14:textId="5DEA03EC" w:rsidR="003068EC" w:rsidRPr="00B47A14" w:rsidRDefault="003068EC" w:rsidP="003068EC">
            <w:pPr>
              <w:spacing w:after="0" w:line="240" w:lineRule="auto"/>
              <w:jc w:val="right"/>
              <w:rPr>
                <w:rFonts w:cs="Times New Roman"/>
                <w:sz w:val="20"/>
                <w:szCs w:val="20"/>
              </w:rPr>
            </w:pPr>
            <w:r w:rsidRPr="00B47A14">
              <w:rPr>
                <w:rFonts w:cs="Times New Roman"/>
                <w:sz w:val="20"/>
                <w:szCs w:val="20"/>
              </w:rPr>
              <w:t>--</w:t>
            </w:r>
          </w:p>
        </w:tc>
        <w:tc>
          <w:tcPr>
            <w:tcW w:w="550" w:type="dxa"/>
            <w:tcBorders>
              <w:top w:val="nil"/>
              <w:left w:val="nil"/>
              <w:bottom w:val="nil"/>
              <w:right w:val="single" w:sz="4" w:space="0" w:color="auto"/>
            </w:tcBorders>
            <w:shd w:val="clear" w:color="000000" w:fill="FFFFFF"/>
            <w:noWrap/>
          </w:tcPr>
          <w:p w14:paraId="5DC51D50" w14:textId="77777777" w:rsidR="003068EC" w:rsidRPr="00B47A14" w:rsidRDefault="003068EC" w:rsidP="003068EC">
            <w:pPr>
              <w:spacing w:after="0" w:line="240" w:lineRule="auto"/>
              <w:jc w:val="right"/>
              <w:rPr>
                <w:rFonts w:cs="Times New Roman"/>
                <w:sz w:val="20"/>
                <w:szCs w:val="20"/>
              </w:rPr>
            </w:pPr>
          </w:p>
        </w:tc>
        <w:tc>
          <w:tcPr>
            <w:tcW w:w="622" w:type="dxa"/>
            <w:tcBorders>
              <w:top w:val="nil"/>
              <w:left w:val="nil"/>
              <w:bottom w:val="nil"/>
              <w:right w:val="nil"/>
            </w:tcBorders>
            <w:shd w:val="clear" w:color="000000" w:fill="FFFFFF"/>
            <w:noWrap/>
          </w:tcPr>
          <w:p w14:paraId="6E027B19" w14:textId="75A55FBB" w:rsidR="003068EC" w:rsidRPr="00B47A14" w:rsidRDefault="003068EC" w:rsidP="003068EC">
            <w:pPr>
              <w:spacing w:after="0" w:line="240" w:lineRule="auto"/>
              <w:jc w:val="right"/>
              <w:rPr>
                <w:rFonts w:cs="Times New Roman"/>
                <w:sz w:val="20"/>
                <w:szCs w:val="20"/>
              </w:rPr>
            </w:pPr>
            <w:r w:rsidRPr="00B47A14">
              <w:rPr>
                <w:rFonts w:cs="Times New Roman"/>
                <w:sz w:val="20"/>
                <w:szCs w:val="20"/>
              </w:rPr>
              <w:t>--</w:t>
            </w:r>
          </w:p>
        </w:tc>
        <w:tc>
          <w:tcPr>
            <w:tcW w:w="552" w:type="dxa"/>
            <w:tcBorders>
              <w:top w:val="nil"/>
              <w:left w:val="nil"/>
              <w:bottom w:val="nil"/>
              <w:right w:val="single" w:sz="4" w:space="0" w:color="auto"/>
            </w:tcBorders>
            <w:shd w:val="clear" w:color="000000" w:fill="FFFFFF"/>
            <w:noWrap/>
          </w:tcPr>
          <w:p w14:paraId="703963A4" w14:textId="77777777" w:rsidR="003068EC" w:rsidRPr="00B47A14" w:rsidRDefault="003068EC" w:rsidP="003068EC">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tcPr>
          <w:p w14:paraId="64B08AA1" w14:textId="64567175" w:rsidR="003068EC" w:rsidRPr="00B47A14" w:rsidRDefault="003068EC" w:rsidP="003068EC">
            <w:pPr>
              <w:spacing w:after="0" w:line="240" w:lineRule="auto"/>
              <w:jc w:val="right"/>
              <w:rPr>
                <w:rFonts w:cs="Times New Roman"/>
                <w:sz w:val="20"/>
                <w:szCs w:val="20"/>
              </w:rPr>
            </w:pPr>
            <w:r w:rsidRPr="00B47A14">
              <w:rPr>
                <w:rFonts w:cs="Times New Roman"/>
                <w:sz w:val="20"/>
                <w:szCs w:val="20"/>
              </w:rPr>
              <w:t>--</w:t>
            </w:r>
          </w:p>
        </w:tc>
        <w:tc>
          <w:tcPr>
            <w:tcW w:w="550" w:type="dxa"/>
            <w:tcBorders>
              <w:top w:val="nil"/>
              <w:left w:val="nil"/>
              <w:bottom w:val="nil"/>
              <w:right w:val="single" w:sz="4" w:space="0" w:color="auto"/>
            </w:tcBorders>
            <w:shd w:val="clear" w:color="000000" w:fill="FFFFFF"/>
            <w:noWrap/>
          </w:tcPr>
          <w:p w14:paraId="63C32CA9" w14:textId="77777777" w:rsidR="003068EC" w:rsidRPr="00B47A14" w:rsidRDefault="003068EC" w:rsidP="003068EC">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tcPr>
          <w:p w14:paraId="519537FE" w14:textId="634B7E54" w:rsidR="003068EC" w:rsidRPr="00B47A14" w:rsidRDefault="003068EC" w:rsidP="003068EC">
            <w:pPr>
              <w:spacing w:after="0" w:line="240" w:lineRule="auto"/>
              <w:jc w:val="right"/>
              <w:rPr>
                <w:rFonts w:cs="Times New Roman"/>
                <w:sz w:val="20"/>
                <w:szCs w:val="20"/>
              </w:rPr>
            </w:pPr>
            <w:r w:rsidRPr="00B47A14">
              <w:rPr>
                <w:rFonts w:cs="Times New Roman"/>
                <w:sz w:val="20"/>
                <w:szCs w:val="20"/>
              </w:rPr>
              <w:t>--</w:t>
            </w:r>
          </w:p>
        </w:tc>
        <w:tc>
          <w:tcPr>
            <w:tcW w:w="642" w:type="dxa"/>
            <w:tcBorders>
              <w:top w:val="nil"/>
              <w:left w:val="nil"/>
              <w:bottom w:val="nil"/>
              <w:right w:val="single" w:sz="4" w:space="0" w:color="auto"/>
            </w:tcBorders>
            <w:shd w:val="clear" w:color="000000" w:fill="FFFFFF"/>
            <w:noWrap/>
          </w:tcPr>
          <w:p w14:paraId="6491FAFD" w14:textId="77777777" w:rsidR="003068EC" w:rsidRPr="00B47A14" w:rsidRDefault="003068EC" w:rsidP="003068EC">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vAlign w:val="bottom"/>
          </w:tcPr>
          <w:p w14:paraId="4F56B571" w14:textId="60AD0D6F" w:rsidR="003068EC" w:rsidRPr="00B47A14" w:rsidRDefault="003068EC" w:rsidP="003068EC">
            <w:pPr>
              <w:spacing w:after="0" w:line="240" w:lineRule="auto"/>
              <w:jc w:val="right"/>
              <w:rPr>
                <w:rFonts w:cs="Times New Roman"/>
                <w:sz w:val="20"/>
                <w:szCs w:val="20"/>
              </w:rPr>
            </w:pPr>
            <w:r w:rsidRPr="00B47A14">
              <w:rPr>
                <w:rFonts w:cs="Times New Roman"/>
                <w:color w:val="000000"/>
                <w:sz w:val="20"/>
                <w:szCs w:val="20"/>
              </w:rPr>
              <w:t>-0.45</w:t>
            </w:r>
          </w:p>
        </w:tc>
        <w:tc>
          <w:tcPr>
            <w:tcW w:w="541" w:type="dxa"/>
            <w:tcBorders>
              <w:top w:val="nil"/>
              <w:left w:val="nil"/>
              <w:bottom w:val="nil"/>
              <w:right w:val="single" w:sz="4" w:space="0" w:color="auto"/>
            </w:tcBorders>
            <w:shd w:val="clear" w:color="000000" w:fill="FFFFFF"/>
            <w:noWrap/>
            <w:vAlign w:val="bottom"/>
          </w:tcPr>
          <w:p w14:paraId="4C7BA1B7" w14:textId="366692DD" w:rsidR="003068EC" w:rsidRPr="00B47A14" w:rsidRDefault="003068EC" w:rsidP="003068EC">
            <w:pPr>
              <w:spacing w:after="0" w:line="240" w:lineRule="auto"/>
              <w:jc w:val="right"/>
              <w:rPr>
                <w:rFonts w:cs="Times New Roman"/>
                <w:sz w:val="20"/>
                <w:szCs w:val="20"/>
              </w:rPr>
            </w:pPr>
            <w:r w:rsidRPr="00B47A14">
              <w:rPr>
                <w:rFonts w:cs="Times New Roman"/>
                <w:color w:val="000000"/>
                <w:sz w:val="20"/>
                <w:szCs w:val="20"/>
              </w:rPr>
              <w:t>-2.68</w:t>
            </w:r>
          </w:p>
        </w:tc>
        <w:tc>
          <w:tcPr>
            <w:tcW w:w="622" w:type="dxa"/>
            <w:tcBorders>
              <w:top w:val="nil"/>
              <w:left w:val="nil"/>
              <w:bottom w:val="nil"/>
              <w:right w:val="nil"/>
            </w:tcBorders>
            <w:shd w:val="clear" w:color="000000" w:fill="FFFFFF"/>
            <w:noWrap/>
          </w:tcPr>
          <w:p w14:paraId="3DF7D860" w14:textId="2EC9D0E0" w:rsidR="003068EC" w:rsidRPr="00B47A14" w:rsidRDefault="003068EC" w:rsidP="003068EC">
            <w:pPr>
              <w:spacing w:after="0" w:line="240" w:lineRule="auto"/>
              <w:jc w:val="right"/>
              <w:rPr>
                <w:rFonts w:cs="Times New Roman"/>
                <w:sz w:val="20"/>
                <w:szCs w:val="20"/>
              </w:rPr>
            </w:pPr>
            <w:r w:rsidRPr="00B47A14">
              <w:rPr>
                <w:rFonts w:cs="Times New Roman"/>
                <w:sz w:val="20"/>
                <w:szCs w:val="20"/>
              </w:rPr>
              <w:t>--</w:t>
            </w:r>
          </w:p>
        </w:tc>
        <w:tc>
          <w:tcPr>
            <w:tcW w:w="621" w:type="dxa"/>
            <w:tcBorders>
              <w:top w:val="nil"/>
              <w:left w:val="nil"/>
              <w:bottom w:val="nil"/>
              <w:right w:val="single" w:sz="4" w:space="0" w:color="auto"/>
            </w:tcBorders>
            <w:shd w:val="clear" w:color="000000" w:fill="FFFFFF"/>
            <w:noWrap/>
          </w:tcPr>
          <w:p w14:paraId="6834AE1E" w14:textId="77777777" w:rsidR="003068EC" w:rsidRPr="00B47A14" w:rsidRDefault="003068EC" w:rsidP="003068EC">
            <w:pPr>
              <w:spacing w:after="0" w:line="240" w:lineRule="auto"/>
              <w:jc w:val="right"/>
              <w:rPr>
                <w:rFonts w:eastAsia="Times New Roman" w:cs="Times New Roman"/>
                <w:color w:val="000000"/>
                <w:kern w:val="0"/>
                <w:sz w:val="20"/>
                <w:szCs w:val="20"/>
                <w14:ligatures w14:val="none"/>
              </w:rPr>
            </w:pPr>
          </w:p>
        </w:tc>
        <w:tc>
          <w:tcPr>
            <w:tcW w:w="624" w:type="dxa"/>
            <w:tcBorders>
              <w:top w:val="nil"/>
              <w:left w:val="nil"/>
              <w:bottom w:val="nil"/>
              <w:right w:val="nil"/>
            </w:tcBorders>
            <w:shd w:val="clear" w:color="000000" w:fill="FFFFFF"/>
            <w:noWrap/>
          </w:tcPr>
          <w:p w14:paraId="4808AD88" w14:textId="0F5EDF58" w:rsidR="003068EC" w:rsidRPr="00B47A14" w:rsidRDefault="003068EC" w:rsidP="003068EC">
            <w:pPr>
              <w:spacing w:after="0" w:line="240" w:lineRule="auto"/>
              <w:jc w:val="right"/>
              <w:rPr>
                <w:rFonts w:cs="Times New Roman"/>
                <w:sz w:val="20"/>
                <w:szCs w:val="20"/>
              </w:rPr>
            </w:pPr>
            <w:r w:rsidRPr="00B47A14">
              <w:rPr>
                <w:rFonts w:cs="Times New Roman"/>
                <w:sz w:val="20"/>
                <w:szCs w:val="20"/>
              </w:rPr>
              <w:t>--</w:t>
            </w:r>
          </w:p>
        </w:tc>
        <w:tc>
          <w:tcPr>
            <w:tcW w:w="543" w:type="dxa"/>
            <w:tcBorders>
              <w:top w:val="nil"/>
              <w:left w:val="nil"/>
              <w:bottom w:val="nil"/>
              <w:right w:val="single" w:sz="4" w:space="0" w:color="auto"/>
            </w:tcBorders>
            <w:shd w:val="clear" w:color="000000" w:fill="FFFFFF"/>
            <w:noWrap/>
          </w:tcPr>
          <w:p w14:paraId="0FF6252F" w14:textId="77777777" w:rsidR="003068EC" w:rsidRPr="00B47A14" w:rsidRDefault="003068EC" w:rsidP="003068EC">
            <w:pPr>
              <w:spacing w:after="0" w:line="240" w:lineRule="auto"/>
              <w:jc w:val="right"/>
              <w:rPr>
                <w:rFonts w:eastAsia="Times New Roman" w:cs="Times New Roman"/>
                <w:color w:val="000000"/>
                <w:kern w:val="0"/>
                <w:sz w:val="20"/>
                <w:szCs w:val="20"/>
                <w14:ligatures w14:val="none"/>
              </w:rPr>
            </w:pPr>
          </w:p>
        </w:tc>
        <w:tc>
          <w:tcPr>
            <w:tcW w:w="630" w:type="dxa"/>
            <w:tcBorders>
              <w:top w:val="nil"/>
              <w:left w:val="nil"/>
              <w:bottom w:val="nil"/>
              <w:right w:val="nil"/>
            </w:tcBorders>
            <w:shd w:val="clear" w:color="000000" w:fill="FFFFFF"/>
            <w:noWrap/>
          </w:tcPr>
          <w:p w14:paraId="70FD2954" w14:textId="45AAEEC3" w:rsidR="003068EC" w:rsidRPr="00B47A14" w:rsidRDefault="003068EC" w:rsidP="003068EC">
            <w:pPr>
              <w:spacing w:after="0" w:line="240" w:lineRule="auto"/>
              <w:jc w:val="right"/>
              <w:rPr>
                <w:rFonts w:cs="Times New Roman"/>
                <w:sz w:val="20"/>
                <w:szCs w:val="20"/>
              </w:rPr>
            </w:pPr>
            <w:r w:rsidRPr="00B47A14">
              <w:rPr>
                <w:rFonts w:cs="Times New Roman"/>
                <w:sz w:val="20"/>
                <w:szCs w:val="20"/>
              </w:rPr>
              <w:t>--</w:t>
            </w:r>
          </w:p>
        </w:tc>
        <w:tc>
          <w:tcPr>
            <w:tcW w:w="656" w:type="dxa"/>
            <w:tcBorders>
              <w:top w:val="nil"/>
              <w:left w:val="nil"/>
              <w:bottom w:val="nil"/>
              <w:right w:val="single" w:sz="4" w:space="0" w:color="auto"/>
            </w:tcBorders>
            <w:shd w:val="clear" w:color="000000" w:fill="FFFFFF"/>
            <w:noWrap/>
          </w:tcPr>
          <w:p w14:paraId="3B2770A1" w14:textId="77777777" w:rsidR="003068EC" w:rsidRPr="00B47A14" w:rsidRDefault="003068EC" w:rsidP="003068EC">
            <w:pPr>
              <w:spacing w:after="0" w:line="240" w:lineRule="auto"/>
              <w:jc w:val="right"/>
              <w:rPr>
                <w:rFonts w:eastAsia="Times New Roman" w:cs="Times New Roman"/>
                <w:color w:val="000000"/>
                <w:kern w:val="0"/>
                <w:sz w:val="20"/>
                <w:szCs w:val="20"/>
                <w14:ligatures w14:val="none"/>
              </w:rPr>
            </w:pPr>
          </w:p>
        </w:tc>
        <w:tc>
          <w:tcPr>
            <w:tcW w:w="573" w:type="dxa"/>
            <w:tcBorders>
              <w:top w:val="nil"/>
              <w:left w:val="nil"/>
              <w:bottom w:val="nil"/>
              <w:right w:val="nil"/>
            </w:tcBorders>
            <w:shd w:val="clear" w:color="000000" w:fill="FFFFFF"/>
            <w:noWrap/>
          </w:tcPr>
          <w:p w14:paraId="7318A6BA" w14:textId="499686BB" w:rsidR="003068EC" w:rsidRPr="00B47A14" w:rsidRDefault="003068EC" w:rsidP="003068EC">
            <w:pPr>
              <w:spacing w:after="0" w:line="240" w:lineRule="auto"/>
              <w:jc w:val="right"/>
              <w:rPr>
                <w:rFonts w:cs="Times New Roman"/>
                <w:sz w:val="20"/>
                <w:szCs w:val="20"/>
              </w:rPr>
            </w:pPr>
            <w:r w:rsidRPr="00B47A14">
              <w:rPr>
                <w:rFonts w:cs="Times New Roman"/>
                <w:sz w:val="20"/>
                <w:szCs w:val="20"/>
              </w:rPr>
              <w:t>--</w:t>
            </w:r>
          </w:p>
        </w:tc>
        <w:tc>
          <w:tcPr>
            <w:tcW w:w="491" w:type="dxa"/>
            <w:tcBorders>
              <w:top w:val="nil"/>
              <w:left w:val="nil"/>
              <w:bottom w:val="nil"/>
              <w:right w:val="single" w:sz="12" w:space="0" w:color="auto"/>
            </w:tcBorders>
            <w:shd w:val="clear" w:color="000000" w:fill="FFFFFF"/>
            <w:noWrap/>
          </w:tcPr>
          <w:p w14:paraId="13C13066" w14:textId="77777777" w:rsidR="003068EC" w:rsidRPr="00B47A14" w:rsidRDefault="003068EC" w:rsidP="003068EC">
            <w:pPr>
              <w:spacing w:after="0" w:line="240" w:lineRule="auto"/>
              <w:jc w:val="right"/>
              <w:rPr>
                <w:rFonts w:cs="Times New Roman"/>
                <w:sz w:val="20"/>
                <w:szCs w:val="20"/>
              </w:rPr>
            </w:pPr>
          </w:p>
        </w:tc>
      </w:tr>
      <w:tr w:rsidR="00415E12" w:rsidRPr="00B47A14" w14:paraId="4707DDB2" w14:textId="77777777" w:rsidTr="004C3CE3">
        <w:trPr>
          <w:gridAfter w:val="1"/>
          <w:wAfter w:w="8" w:type="dxa"/>
          <w:trHeight w:val="20"/>
          <w:jc w:val="center"/>
        </w:trPr>
        <w:tc>
          <w:tcPr>
            <w:tcW w:w="3950" w:type="dxa"/>
            <w:tcBorders>
              <w:top w:val="nil"/>
              <w:left w:val="single" w:sz="12" w:space="0" w:color="auto"/>
              <w:bottom w:val="nil"/>
              <w:right w:val="single" w:sz="12" w:space="0" w:color="auto"/>
            </w:tcBorders>
            <w:shd w:val="clear" w:color="000000" w:fill="FFFFFF"/>
            <w:noWrap/>
            <w:vAlign w:val="bottom"/>
            <w:hideMark/>
          </w:tcPr>
          <w:p w14:paraId="1CFE69F8" w14:textId="322F77D7" w:rsidR="003068EC" w:rsidRPr="00B47A14" w:rsidRDefault="003068EC" w:rsidP="003068EC">
            <w:pPr>
              <w:spacing w:after="0" w:line="240" w:lineRule="auto"/>
              <w:rPr>
                <w:rFonts w:eastAsia="Times New Roman" w:cs="Times New Roman"/>
                <w:b/>
                <w:bCs/>
                <w:color w:val="000000"/>
                <w:kern w:val="0"/>
                <w:sz w:val="20"/>
                <w:szCs w:val="20"/>
                <w14:ligatures w14:val="none"/>
              </w:rPr>
            </w:pPr>
            <w:r w:rsidRPr="00B47A14">
              <w:rPr>
                <w:rFonts w:eastAsia="Times New Roman" w:cs="Times New Roman"/>
                <w:color w:val="000000"/>
                <w:kern w:val="0"/>
                <w:sz w:val="20"/>
                <w:szCs w:val="20"/>
                <w14:ligatures w14:val="none"/>
              </w:rPr>
              <w:t xml:space="preserve">       Single Adult </w:t>
            </w:r>
            <w:r w:rsidR="00FB4B5D" w:rsidRPr="00B47A14">
              <w:rPr>
                <w:rFonts w:eastAsia="Times New Roman" w:cs="Times New Roman"/>
                <w:color w:val="000000"/>
                <w:kern w:val="0"/>
                <w:sz w:val="20"/>
                <w:szCs w:val="20"/>
                <w14:ligatures w14:val="none"/>
              </w:rPr>
              <w:t xml:space="preserve">* </w:t>
            </w:r>
            <w:r w:rsidR="00A77082">
              <w:rPr>
                <w:rFonts w:eastAsia="Times New Roman" w:cs="Times New Roman"/>
                <w:color w:val="000000"/>
                <w:kern w:val="0"/>
                <w:sz w:val="20"/>
                <w:szCs w:val="20"/>
                <w14:ligatures w14:val="none"/>
              </w:rPr>
              <w:t>During-</w:t>
            </w:r>
            <w:r w:rsidR="00A77082" w:rsidRPr="00B47A14">
              <w:rPr>
                <w:rFonts w:eastAsia="Times New Roman" w:cs="Times New Roman"/>
                <w:color w:val="000000"/>
                <w:kern w:val="0"/>
                <w:sz w:val="20"/>
                <w:szCs w:val="20"/>
                <w14:ligatures w14:val="none"/>
              </w:rPr>
              <w:t xml:space="preserve">COVID </w:t>
            </w:r>
            <w:r w:rsidRPr="00B47A14">
              <w:rPr>
                <w:rFonts w:eastAsia="Times New Roman" w:cs="Times New Roman"/>
                <w:color w:val="000000"/>
                <w:kern w:val="0"/>
                <w:sz w:val="20"/>
                <w:szCs w:val="20"/>
                <w14:ligatures w14:val="none"/>
              </w:rPr>
              <w:t>Effect</w:t>
            </w:r>
          </w:p>
        </w:tc>
        <w:tc>
          <w:tcPr>
            <w:tcW w:w="622" w:type="dxa"/>
            <w:tcBorders>
              <w:top w:val="nil"/>
              <w:left w:val="single" w:sz="12" w:space="0" w:color="auto"/>
              <w:bottom w:val="nil"/>
              <w:right w:val="nil"/>
            </w:tcBorders>
            <w:shd w:val="clear" w:color="000000" w:fill="FFFFFF"/>
            <w:noWrap/>
            <w:vAlign w:val="center"/>
            <w:hideMark/>
          </w:tcPr>
          <w:p w14:paraId="67340B69" w14:textId="55A2074F" w:rsidR="003068EC" w:rsidRPr="00B47A14" w:rsidRDefault="003068EC" w:rsidP="003068E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50" w:type="dxa"/>
            <w:tcBorders>
              <w:top w:val="nil"/>
              <w:left w:val="nil"/>
              <w:bottom w:val="nil"/>
              <w:right w:val="single" w:sz="4" w:space="0" w:color="auto"/>
            </w:tcBorders>
            <w:shd w:val="clear" w:color="000000" w:fill="FFFFFF"/>
            <w:noWrap/>
            <w:hideMark/>
          </w:tcPr>
          <w:p w14:paraId="52A69D73" w14:textId="77777777" w:rsidR="003068EC" w:rsidRPr="00B47A14" w:rsidRDefault="003068EC" w:rsidP="003068EC">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5CF32A9A" w14:textId="43FF3A44" w:rsidR="003068EC" w:rsidRPr="00B47A14" w:rsidRDefault="003068EC" w:rsidP="003068E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52" w:type="dxa"/>
            <w:tcBorders>
              <w:top w:val="nil"/>
              <w:left w:val="nil"/>
              <w:bottom w:val="nil"/>
              <w:right w:val="single" w:sz="4" w:space="0" w:color="auto"/>
            </w:tcBorders>
            <w:shd w:val="clear" w:color="000000" w:fill="FFFFFF"/>
            <w:noWrap/>
            <w:hideMark/>
          </w:tcPr>
          <w:p w14:paraId="77B65060" w14:textId="77777777" w:rsidR="003068EC" w:rsidRPr="00B47A14" w:rsidRDefault="003068EC" w:rsidP="003068EC">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28366B70" w14:textId="316B1101" w:rsidR="003068EC" w:rsidRPr="00B47A14" w:rsidRDefault="003068EC" w:rsidP="003068E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50" w:type="dxa"/>
            <w:tcBorders>
              <w:top w:val="nil"/>
              <w:left w:val="nil"/>
              <w:bottom w:val="nil"/>
              <w:right w:val="single" w:sz="4" w:space="0" w:color="auto"/>
            </w:tcBorders>
            <w:shd w:val="clear" w:color="000000" w:fill="FFFFFF"/>
            <w:noWrap/>
            <w:hideMark/>
          </w:tcPr>
          <w:p w14:paraId="4AC46534" w14:textId="77777777" w:rsidR="003068EC" w:rsidRPr="00B47A14" w:rsidRDefault="003068EC" w:rsidP="003068EC">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6B6B5A99" w14:textId="73782615" w:rsidR="003068EC" w:rsidRPr="00B47A14" w:rsidRDefault="003068EC" w:rsidP="003068E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642" w:type="dxa"/>
            <w:tcBorders>
              <w:top w:val="nil"/>
              <w:left w:val="nil"/>
              <w:bottom w:val="nil"/>
              <w:right w:val="single" w:sz="4" w:space="0" w:color="auto"/>
            </w:tcBorders>
            <w:shd w:val="clear" w:color="000000" w:fill="FFFFFF"/>
            <w:noWrap/>
            <w:hideMark/>
          </w:tcPr>
          <w:p w14:paraId="107F9034" w14:textId="77777777" w:rsidR="003068EC" w:rsidRPr="00B47A14" w:rsidRDefault="003068EC" w:rsidP="003068EC">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08CBCEAB" w14:textId="6359E1D9" w:rsidR="003068EC" w:rsidRPr="00B47A14" w:rsidRDefault="003068EC" w:rsidP="003068E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41" w:type="dxa"/>
            <w:tcBorders>
              <w:top w:val="nil"/>
              <w:left w:val="nil"/>
              <w:bottom w:val="nil"/>
              <w:right w:val="single" w:sz="4" w:space="0" w:color="auto"/>
            </w:tcBorders>
            <w:shd w:val="clear" w:color="000000" w:fill="FFFFFF"/>
            <w:noWrap/>
            <w:hideMark/>
          </w:tcPr>
          <w:p w14:paraId="0DC43D4E" w14:textId="77777777" w:rsidR="003068EC" w:rsidRPr="00B47A14" w:rsidRDefault="003068EC" w:rsidP="003068EC">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3C70A23E" w14:textId="0A3A232B" w:rsidR="003068EC" w:rsidRPr="00B47A14" w:rsidRDefault="003068EC" w:rsidP="003068E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621" w:type="dxa"/>
            <w:tcBorders>
              <w:top w:val="nil"/>
              <w:left w:val="nil"/>
              <w:bottom w:val="nil"/>
              <w:right w:val="single" w:sz="4" w:space="0" w:color="auto"/>
            </w:tcBorders>
            <w:shd w:val="clear" w:color="000000" w:fill="FFFFFF"/>
            <w:noWrap/>
            <w:hideMark/>
          </w:tcPr>
          <w:p w14:paraId="480CF43F" w14:textId="77777777" w:rsidR="003068EC" w:rsidRPr="00B47A14" w:rsidRDefault="003068EC" w:rsidP="003068EC">
            <w:pPr>
              <w:spacing w:after="0" w:line="240" w:lineRule="auto"/>
              <w:jc w:val="right"/>
              <w:rPr>
                <w:rFonts w:eastAsia="Times New Roman" w:cs="Times New Roman"/>
                <w:color w:val="000000"/>
                <w:kern w:val="0"/>
                <w:sz w:val="20"/>
                <w:szCs w:val="20"/>
                <w14:ligatures w14:val="none"/>
              </w:rPr>
            </w:pPr>
          </w:p>
        </w:tc>
        <w:tc>
          <w:tcPr>
            <w:tcW w:w="624" w:type="dxa"/>
            <w:tcBorders>
              <w:top w:val="nil"/>
              <w:left w:val="nil"/>
              <w:bottom w:val="nil"/>
              <w:right w:val="nil"/>
            </w:tcBorders>
            <w:shd w:val="clear" w:color="000000" w:fill="FFFFFF"/>
            <w:noWrap/>
            <w:vAlign w:val="bottom"/>
            <w:hideMark/>
          </w:tcPr>
          <w:p w14:paraId="3402F8EB" w14:textId="51A2887C" w:rsidR="003068EC" w:rsidRPr="00B47A14" w:rsidRDefault="003068EC" w:rsidP="003068EC">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-0.78</w:t>
            </w:r>
          </w:p>
        </w:tc>
        <w:tc>
          <w:tcPr>
            <w:tcW w:w="543" w:type="dxa"/>
            <w:tcBorders>
              <w:top w:val="nil"/>
              <w:left w:val="nil"/>
              <w:bottom w:val="nil"/>
              <w:right w:val="single" w:sz="4" w:space="0" w:color="auto"/>
            </w:tcBorders>
            <w:shd w:val="clear" w:color="000000" w:fill="FFFFFF"/>
            <w:noWrap/>
            <w:vAlign w:val="bottom"/>
            <w:hideMark/>
          </w:tcPr>
          <w:p w14:paraId="711415A7" w14:textId="3114BB91" w:rsidR="003068EC" w:rsidRPr="00B47A14" w:rsidRDefault="003068EC" w:rsidP="003068EC">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-1.49</w:t>
            </w:r>
          </w:p>
        </w:tc>
        <w:tc>
          <w:tcPr>
            <w:tcW w:w="630" w:type="dxa"/>
            <w:tcBorders>
              <w:top w:val="nil"/>
              <w:left w:val="nil"/>
              <w:bottom w:val="nil"/>
              <w:right w:val="nil"/>
            </w:tcBorders>
            <w:shd w:val="clear" w:color="000000" w:fill="FFFFFF"/>
            <w:noWrap/>
            <w:hideMark/>
          </w:tcPr>
          <w:p w14:paraId="2A8F900B" w14:textId="17817A50" w:rsidR="003068EC" w:rsidRPr="00B47A14" w:rsidRDefault="003068EC" w:rsidP="003068E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656" w:type="dxa"/>
            <w:tcBorders>
              <w:top w:val="nil"/>
              <w:left w:val="nil"/>
              <w:bottom w:val="nil"/>
              <w:right w:val="single" w:sz="4" w:space="0" w:color="auto"/>
            </w:tcBorders>
            <w:shd w:val="clear" w:color="000000" w:fill="FFFFFF"/>
            <w:noWrap/>
            <w:hideMark/>
          </w:tcPr>
          <w:p w14:paraId="6095D0E2" w14:textId="77777777" w:rsidR="003068EC" w:rsidRPr="00B47A14" w:rsidRDefault="003068EC" w:rsidP="003068EC">
            <w:pPr>
              <w:spacing w:after="0" w:line="240" w:lineRule="auto"/>
              <w:jc w:val="right"/>
              <w:rPr>
                <w:rFonts w:eastAsia="Times New Roman" w:cs="Times New Roman"/>
                <w:color w:val="000000"/>
                <w:kern w:val="0"/>
                <w:sz w:val="20"/>
                <w:szCs w:val="20"/>
                <w14:ligatures w14:val="none"/>
              </w:rPr>
            </w:pPr>
          </w:p>
        </w:tc>
        <w:tc>
          <w:tcPr>
            <w:tcW w:w="573" w:type="dxa"/>
            <w:tcBorders>
              <w:top w:val="nil"/>
              <w:left w:val="nil"/>
              <w:bottom w:val="nil"/>
              <w:right w:val="nil"/>
            </w:tcBorders>
            <w:shd w:val="clear" w:color="000000" w:fill="FFFFFF"/>
            <w:noWrap/>
            <w:hideMark/>
          </w:tcPr>
          <w:p w14:paraId="6E7B549A" w14:textId="5D3E1AE3" w:rsidR="003068EC" w:rsidRPr="00B47A14" w:rsidRDefault="003068EC" w:rsidP="003068E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491" w:type="dxa"/>
            <w:tcBorders>
              <w:top w:val="nil"/>
              <w:left w:val="nil"/>
              <w:bottom w:val="nil"/>
              <w:right w:val="single" w:sz="12" w:space="0" w:color="auto"/>
            </w:tcBorders>
            <w:shd w:val="clear" w:color="000000" w:fill="FFFFFF"/>
            <w:noWrap/>
            <w:hideMark/>
          </w:tcPr>
          <w:p w14:paraId="0C69845F" w14:textId="77777777" w:rsidR="003068EC" w:rsidRPr="00B47A14" w:rsidRDefault="003068EC" w:rsidP="003068EC">
            <w:pPr>
              <w:spacing w:after="0" w:line="240" w:lineRule="auto"/>
              <w:jc w:val="right"/>
              <w:rPr>
                <w:rFonts w:eastAsia="Times New Roman" w:cs="Times New Roman"/>
                <w:color w:val="000000"/>
                <w:kern w:val="0"/>
                <w:sz w:val="20"/>
                <w:szCs w:val="20"/>
                <w14:ligatures w14:val="none"/>
              </w:rPr>
            </w:pPr>
          </w:p>
        </w:tc>
      </w:tr>
      <w:tr w:rsidR="00415E12" w:rsidRPr="00B47A14" w14:paraId="59B72144" w14:textId="77777777" w:rsidTr="004C3CE3">
        <w:trPr>
          <w:gridAfter w:val="1"/>
          <w:wAfter w:w="8" w:type="dxa"/>
          <w:trHeight w:val="20"/>
          <w:jc w:val="center"/>
        </w:trPr>
        <w:tc>
          <w:tcPr>
            <w:tcW w:w="3950" w:type="dxa"/>
            <w:tcBorders>
              <w:top w:val="nil"/>
              <w:left w:val="single" w:sz="12" w:space="0" w:color="auto"/>
              <w:bottom w:val="nil"/>
              <w:right w:val="single" w:sz="12" w:space="0" w:color="auto"/>
            </w:tcBorders>
            <w:shd w:val="clear" w:color="000000" w:fill="FFFFFF"/>
            <w:noWrap/>
            <w:vAlign w:val="bottom"/>
            <w:hideMark/>
          </w:tcPr>
          <w:p w14:paraId="13D0BD73" w14:textId="77777777" w:rsidR="003F4C4A" w:rsidRPr="00B47A14" w:rsidRDefault="003F4C4A" w:rsidP="003F4C4A">
            <w:pPr>
              <w:spacing w:after="0" w:line="240" w:lineRule="auto"/>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Presence of Children (no children)</w:t>
            </w:r>
          </w:p>
        </w:tc>
        <w:tc>
          <w:tcPr>
            <w:tcW w:w="622" w:type="dxa"/>
            <w:tcBorders>
              <w:top w:val="nil"/>
              <w:left w:val="single" w:sz="12" w:space="0" w:color="auto"/>
              <w:bottom w:val="nil"/>
              <w:right w:val="nil"/>
            </w:tcBorders>
            <w:shd w:val="clear" w:color="000000" w:fill="FFFFFF"/>
            <w:noWrap/>
            <w:hideMark/>
          </w:tcPr>
          <w:p w14:paraId="4A0098B4"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550" w:type="dxa"/>
            <w:tcBorders>
              <w:top w:val="nil"/>
              <w:left w:val="nil"/>
              <w:bottom w:val="nil"/>
              <w:right w:val="single" w:sz="4" w:space="0" w:color="auto"/>
            </w:tcBorders>
            <w:shd w:val="clear" w:color="000000" w:fill="FFFFFF"/>
            <w:noWrap/>
            <w:hideMark/>
          </w:tcPr>
          <w:p w14:paraId="13EF0683"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53D99041"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552" w:type="dxa"/>
            <w:tcBorders>
              <w:top w:val="nil"/>
              <w:left w:val="nil"/>
              <w:bottom w:val="nil"/>
              <w:right w:val="single" w:sz="4" w:space="0" w:color="auto"/>
            </w:tcBorders>
            <w:shd w:val="clear" w:color="000000" w:fill="FFFFFF"/>
            <w:noWrap/>
            <w:hideMark/>
          </w:tcPr>
          <w:p w14:paraId="5C7FDE16"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3077CEFB"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550" w:type="dxa"/>
            <w:tcBorders>
              <w:top w:val="nil"/>
              <w:left w:val="nil"/>
              <w:bottom w:val="nil"/>
              <w:right w:val="single" w:sz="4" w:space="0" w:color="auto"/>
            </w:tcBorders>
            <w:shd w:val="clear" w:color="000000" w:fill="FFFFFF"/>
            <w:noWrap/>
            <w:hideMark/>
          </w:tcPr>
          <w:p w14:paraId="7F4C369E"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29D83786"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642" w:type="dxa"/>
            <w:tcBorders>
              <w:top w:val="nil"/>
              <w:left w:val="nil"/>
              <w:bottom w:val="nil"/>
              <w:right w:val="single" w:sz="4" w:space="0" w:color="auto"/>
            </w:tcBorders>
            <w:shd w:val="clear" w:color="000000" w:fill="FFFFFF"/>
            <w:noWrap/>
            <w:hideMark/>
          </w:tcPr>
          <w:p w14:paraId="66D6C759"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58AA9FF6"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541" w:type="dxa"/>
            <w:tcBorders>
              <w:top w:val="nil"/>
              <w:left w:val="nil"/>
              <w:bottom w:val="nil"/>
              <w:right w:val="single" w:sz="4" w:space="0" w:color="auto"/>
            </w:tcBorders>
            <w:shd w:val="clear" w:color="000000" w:fill="FFFFFF"/>
            <w:noWrap/>
            <w:hideMark/>
          </w:tcPr>
          <w:p w14:paraId="24C77929"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137FD6BD"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621" w:type="dxa"/>
            <w:tcBorders>
              <w:top w:val="nil"/>
              <w:left w:val="nil"/>
              <w:bottom w:val="nil"/>
              <w:right w:val="single" w:sz="4" w:space="0" w:color="auto"/>
            </w:tcBorders>
            <w:shd w:val="clear" w:color="000000" w:fill="FFFFFF"/>
            <w:noWrap/>
            <w:hideMark/>
          </w:tcPr>
          <w:p w14:paraId="2A5DD705"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624" w:type="dxa"/>
            <w:tcBorders>
              <w:top w:val="nil"/>
              <w:left w:val="nil"/>
              <w:bottom w:val="nil"/>
              <w:right w:val="nil"/>
            </w:tcBorders>
            <w:shd w:val="clear" w:color="000000" w:fill="FFFFFF"/>
            <w:noWrap/>
            <w:hideMark/>
          </w:tcPr>
          <w:p w14:paraId="6D0EA3CB"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543" w:type="dxa"/>
            <w:tcBorders>
              <w:top w:val="nil"/>
              <w:left w:val="nil"/>
              <w:bottom w:val="nil"/>
              <w:right w:val="single" w:sz="4" w:space="0" w:color="auto"/>
            </w:tcBorders>
            <w:shd w:val="clear" w:color="000000" w:fill="FFFFFF"/>
            <w:noWrap/>
            <w:hideMark/>
          </w:tcPr>
          <w:p w14:paraId="65AE9FCD"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630" w:type="dxa"/>
            <w:tcBorders>
              <w:top w:val="nil"/>
              <w:left w:val="nil"/>
              <w:bottom w:val="nil"/>
              <w:right w:val="nil"/>
            </w:tcBorders>
            <w:shd w:val="clear" w:color="000000" w:fill="FFFFFF"/>
            <w:noWrap/>
            <w:hideMark/>
          </w:tcPr>
          <w:p w14:paraId="77355B74"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656" w:type="dxa"/>
            <w:tcBorders>
              <w:top w:val="nil"/>
              <w:left w:val="nil"/>
              <w:bottom w:val="nil"/>
              <w:right w:val="single" w:sz="4" w:space="0" w:color="auto"/>
            </w:tcBorders>
            <w:shd w:val="clear" w:color="000000" w:fill="FFFFFF"/>
            <w:noWrap/>
            <w:hideMark/>
          </w:tcPr>
          <w:p w14:paraId="55026521"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573" w:type="dxa"/>
            <w:tcBorders>
              <w:top w:val="nil"/>
              <w:left w:val="nil"/>
              <w:bottom w:val="nil"/>
              <w:right w:val="nil"/>
            </w:tcBorders>
            <w:shd w:val="clear" w:color="000000" w:fill="FFFFFF"/>
            <w:noWrap/>
            <w:hideMark/>
          </w:tcPr>
          <w:p w14:paraId="57EE83B8"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491" w:type="dxa"/>
            <w:tcBorders>
              <w:top w:val="nil"/>
              <w:left w:val="nil"/>
              <w:bottom w:val="nil"/>
              <w:right w:val="single" w:sz="12" w:space="0" w:color="auto"/>
            </w:tcBorders>
            <w:shd w:val="clear" w:color="000000" w:fill="FFFFFF"/>
            <w:noWrap/>
            <w:hideMark/>
          </w:tcPr>
          <w:p w14:paraId="744016C9"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r>
      <w:tr w:rsidR="00415E12" w:rsidRPr="00B47A14" w14:paraId="56E366F7" w14:textId="77777777" w:rsidTr="004C3CE3">
        <w:trPr>
          <w:gridAfter w:val="1"/>
          <w:wAfter w:w="8" w:type="dxa"/>
          <w:trHeight w:val="20"/>
          <w:jc w:val="center"/>
        </w:trPr>
        <w:tc>
          <w:tcPr>
            <w:tcW w:w="3950" w:type="dxa"/>
            <w:tcBorders>
              <w:top w:val="nil"/>
              <w:left w:val="single" w:sz="12" w:space="0" w:color="auto"/>
              <w:bottom w:val="nil"/>
              <w:right w:val="single" w:sz="12" w:space="0" w:color="auto"/>
            </w:tcBorders>
            <w:shd w:val="clear" w:color="000000" w:fill="FFFFFF"/>
            <w:noWrap/>
            <w:vAlign w:val="bottom"/>
            <w:hideMark/>
          </w:tcPr>
          <w:p w14:paraId="61841E78" w14:textId="77777777" w:rsidR="00470E46" w:rsidRPr="00B47A14" w:rsidRDefault="00470E46" w:rsidP="00470E46">
            <w:pPr>
              <w:spacing w:after="0" w:line="240" w:lineRule="auto"/>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 xml:space="preserve">       Children</w:t>
            </w:r>
          </w:p>
        </w:tc>
        <w:tc>
          <w:tcPr>
            <w:tcW w:w="622" w:type="dxa"/>
            <w:tcBorders>
              <w:top w:val="nil"/>
              <w:left w:val="single" w:sz="12" w:space="0" w:color="auto"/>
              <w:bottom w:val="nil"/>
              <w:right w:val="nil"/>
            </w:tcBorders>
            <w:shd w:val="clear" w:color="000000" w:fill="FFFFFF"/>
            <w:noWrap/>
            <w:hideMark/>
          </w:tcPr>
          <w:p w14:paraId="2491C999" w14:textId="01AA7DE9" w:rsidR="00470E46" w:rsidRPr="00B47A14" w:rsidRDefault="00470E46" w:rsidP="00470E46">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50" w:type="dxa"/>
            <w:tcBorders>
              <w:top w:val="nil"/>
              <w:left w:val="nil"/>
              <w:bottom w:val="nil"/>
              <w:right w:val="single" w:sz="4" w:space="0" w:color="auto"/>
            </w:tcBorders>
            <w:shd w:val="clear" w:color="000000" w:fill="FFFFFF"/>
            <w:noWrap/>
            <w:hideMark/>
          </w:tcPr>
          <w:p w14:paraId="07EFAA8F" w14:textId="77777777" w:rsidR="00470E46" w:rsidRPr="00B47A14" w:rsidRDefault="00470E46" w:rsidP="00470E46">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vAlign w:val="bottom"/>
            <w:hideMark/>
          </w:tcPr>
          <w:p w14:paraId="106ED75D" w14:textId="30C0B7D2" w:rsidR="00470E46" w:rsidRPr="00B47A14" w:rsidRDefault="00470E46" w:rsidP="00470E46">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0.16</w:t>
            </w:r>
          </w:p>
        </w:tc>
        <w:tc>
          <w:tcPr>
            <w:tcW w:w="552" w:type="dxa"/>
            <w:tcBorders>
              <w:top w:val="nil"/>
              <w:left w:val="nil"/>
              <w:bottom w:val="nil"/>
              <w:right w:val="single" w:sz="4" w:space="0" w:color="auto"/>
            </w:tcBorders>
            <w:shd w:val="clear" w:color="000000" w:fill="FFFFFF"/>
            <w:noWrap/>
            <w:vAlign w:val="bottom"/>
            <w:hideMark/>
          </w:tcPr>
          <w:p w14:paraId="0748D318" w14:textId="261878C8" w:rsidR="00470E46" w:rsidRPr="00B47A14" w:rsidRDefault="00470E46" w:rsidP="00470E46">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2.98</w:t>
            </w:r>
          </w:p>
        </w:tc>
        <w:tc>
          <w:tcPr>
            <w:tcW w:w="622" w:type="dxa"/>
            <w:tcBorders>
              <w:top w:val="nil"/>
              <w:left w:val="nil"/>
              <w:bottom w:val="nil"/>
              <w:right w:val="nil"/>
            </w:tcBorders>
            <w:shd w:val="clear" w:color="000000" w:fill="FFFFFF"/>
            <w:noWrap/>
            <w:hideMark/>
          </w:tcPr>
          <w:p w14:paraId="0FD6FE10" w14:textId="69760867" w:rsidR="00470E46" w:rsidRPr="00B47A14" w:rsidRDefault="00470E46" w:rsidP="00470E46">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50" w:type="dxa"/>
            <w:tcBorders>
              <w:top w:val="nil"/>
              <w:left w:val="nil"/>
              <w:bottom w:val="nil"/>
              <w:right w:val="single" w:sz="4" w:space="0" w:color="auto"/>
            </w:tcBorders>
            <w:shd w:val="clear" w:color="000000" w:fill="FFFFFF"/>
            <w:noWrap/>
            <w:hideMark/>
          </w:tcPr>
          <w:p w14:paraId="45DD6415" w14:textId="77777777" w:rsidR="00470E46" w:rsidRPr="00B47A14" w:rsidRDefault="00470E46" w:rsidP="00470E46">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59556347" w14:textId="16846091" w:rsidR="00470E46" w:rsidRPr="00B47A14" w:rsidRDefault="00470E46" w:rsidP="00470E46">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642" w:type="dxa"/>
            <w:tcBorders>
              <w:top w:val="nil"/>
              <w:left w:val="nil"/>
              <w:bottom w:val="nil"/>
              <w:right w:val="single" w:sz="4" w:space="0" w:color="auto"/>
            </w:tcBorders>
            <w:shd w:val="clear" w:color="000000" w:fill="FFFFFF"/>
            <w:noWrap/>
            <w:hideMark/>
          </w:tcPr>
          <w:p w14:paraId="3BCE78FA" w14:textId="77777777" w:rsidR="00470E46" w:rsidRPr="00B47A14" w:rsidRDefault="00470E46" w:rsidP="00470E46">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vAlign w:val="bottom"/>
            <w:hideMark/>
          </w:tcPr>
          <w:p w14:paraId="7B03F505" w14:textId="76852675" w:rsidR="00470E46" w:rsidRPr="00B47A14" w:rsidRDefault="00470E46" w:rsidP="00470E46">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0.95</w:t>
            </w:r>
          </w:p>
        </w:tc>
        <w:tc>
          <w:tcPr>
            <w:tcW w:w="541" w:type="dxa"/>
            <w:tcBorders>
              <w:top w:val="nil"/>
              <w:left w:val="nil"/>
              <w:bottom w:val="nil"/>
              <w:right w:val="single" w:sz="4" w:space="0" w:color="auto"/>
            </w:tcBorders>
            <w:shd w:val="clear" w:color="000000" w:fill="FFFFFF"/>
            <w:noWrap/>
            <w:vAlign w:val="bottom"/>
            <w:hideMark/>
          </w:tcPr>
          <w:p w14:paraId="61DBB7BA" w14:textId="33BD476E" w:rsidR="00470E46" w:rsidRPr="00B47A14" w:rsidRDefault="00470E46" w:rsidP="00470E46">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2.79</w:t>
            </w:r>
          </w:p>
        </w:tc>
        <w:tc>
          <w:tcPr>
            <w:tcW w:w="622" w:type="dxa"/>
            <w:tcBorders>
              <w:top w:val="nil"/>
              <w:left w:val="nil"/>
              <w:bottom w:val="nil"/>
              <w:right w:val="nil"/>
            </w:tcBorders>
            <w:shd w:val="clear" w:color="000000" w:fill="FFFFFF"/>
            <w:noWrap/>
            <w:hideMark/>
          </w:tcPr>
          <w:p w14:paraId="45243E99" w14:textId="4F89046E" w:rsidR="00470E46" w:rsidRPr="00B47A14" w:rsidRDefault="00470E46" w:rsidP="00470E46">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621" w:type="dxa"/>
            <w:tcBorders>
              <w:top w:val="nil"/>
              <w:left w:val="nil"/>
              <w:bottom w:val="nil"/>
              <w:right w:val="single" w:sz="4" w:space="0" w:color="auto"/>
            </w:tcBorders>
            <w:shd w:val="clear" w:color="000000" w:fill="FFFFFF"/>
            <w:noWrap/>
            <w:hideMark/>
          </w:tcPr>
          <w:p w14:paraId="1A82603B" w14:textId="77777777" w:rsidR="00470E46" w:rsidRPr="00B47A14" w:rsidRDefault="00470E46" w:rsidP="00470E46">
            <w:pPr>
              <w:spacing w:after="0" w:line="240" w:lineRule="auto"/>
              <w:jc w:val="right"/>
              <w:rPr>
                <w:rFonts w:eastAsia="Times New Roman" w:cs="Times New Roman"/>
                <w:color w:val="000000"/>
                <w:kern w:val="0"/>
                <w:sz w:val="20"/>
                <w:szCs w:val="20"/>
                <w14:ligatures w14:val="none"/>
              </w:rPr>
            </w:pPr>
          </w:p>
        </w:tc>
        <w:tc>
          <w:tcPr>
            <w:tcW w:w="624" w:type="dxa"/>
            <w:tcBorders>
              <w:top w:val="nil"/>
              <w:left w:val="nil"/>
              <w:bottom w:val="nil"/>
              <w:right w:val="nil"/>
            </w:tcBorders>
            <w:shd w:val="clear" w:color="000000" w:fill="FFFFFF"/>
            <w:noWrap/>
            <w:vAlign w:val="bottom"/>
            <w:hideMark/>
          </w:tcPr>
          <w:p w14:paraId="16B27973" w14:textId="413F8DC3" w:rsidR="00470E46" w:rsidRPr="00B47A14" w:rsidRDefault="00470E46" w:rsidP="00470E46">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-0.80</w:t>
            </w:r>
          </w:p>
        </w:tc>
        <w:tc>
          <w:tcPr>
            <w:tcW w:w="543" w:type="dxa"/>
            <w:tcBorders>
              <w:top w:val="nil"/>
              <w:left w:val="nil"/>
              <w:bottom w:val="nil"/>
              <w:right w:val="single" w:sz="4" w:space="0" w:color="auto"/>
            </w:tcBorders>
            <w:shd w:val="clear" w:color="000000" w:fill="FFFFFF"/>
            <w:noWrap/>
            <w:vAlign w:val="bottom"/>
            <w:hideMark/>
          </w:tcPr>
          <w:p w14:paraId="57E9E53A" w14:textId="136D291E" w:rsidR="00470E46" w:rsidRPr="00B47A14" w:rsidRDefault="00470E46" w:rsidP="00470E46">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-1.69</w:t>
            </w:r>
          </w:p>
        </w:tc>
        <w:tc>
          <w:tcPr>
            <w:tcW w:w="630" w:type="dxa"/>
            <w:tcBorders>
              <w:top w:val="nil"/>
              <w:left w:val="nil"/>
              <w:bottom w:val="nil"/>
              <w:right w:val="nil"/>
            </w:tcBorders>
            <w:shd w:val="clear" w:color="000000" w:fill="FFFFFF"/>
            <w:noWrap/>
            <w:hideMark/>
          </w:tcPr>
          <w:p w14:paraId="430BC19B" w14:textId="0C51F5DB" w:rsidR="00470E46" w:rsidRPr="00B47A14" w:rsidRDefault="00470E46" w:rsidP="00470E46">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656" w:type="dxa"/>
            <w:tcBorders>
              <w:top w:val="nil"/>
              <w:left w:val="nil"/>
              <w:bottom w:val="nil"/>
              <w:right w:val="single" w:sz="4" w:space="0" w:color="auto"/>
            </w:tcBorders>
            <w:shd w:val="clear" w:color="000000" w:fill="FFFFFF"/>
            <w:noWrap/>
            <w:hideMark/>
          </w:tcPr>
          <w:p w14:paraId="350F217D" w14:textId="77777777" w:rsidR="00470E46" w:rsidRPr="00B47A14" w:rsidRDefault="00470E46" w:rsidP="00470E46">
            <w:pPr>
              <w:spacing w:after="0" w:line="240" w:lineRule="auto"/>
              <w:jc w:val="right"/>
              <w:rPr>
                <w:rFonts w:eastAsia="Times New Roman" w:cs="Times New Roman"/>
                <w:color w:val="000000"/>
                <w:kern w:val="0"/>
                <w:sz w:val="20"/>
                <w:szCs w:val="20"/>
                <w14:ligatures w14:val="none"/>
              </w:rPr>
            </w:pPr>
          </w:p>
        </w:tc>
        <w:tc>
          <w:tcPr>
            <w:tcW w:w="573" w:type="dxa"/>
            <w:tcBorders>
              <w:top w:val="nil"/>
              <w:left w:val="nil"/>
              <w:bottom w:val="nil"/>
              <w:right w:val="nil"/>
            </w:tcBorders>
            <w:shd w:val="clear" w:color="000000" w:fill="FFFFFF"/>
            <w:noWrap/>
            <w:hideMark/>
          </w:tcPr>
          <w:p w14:paraId="20848B82" w14:textId="3476259E" w:rsidR="00470E46" w:rsidRPr="00B47A14" w:rsidRDefault="00470E46" w:rsidP="00470E46">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491" w:type="dxa"/>
            <w:tcBorders>
              <w:top w:val="nil"/>
              <w:left w:val="nil"/>
              <w:bottom w:val="nil"/>
              <w:right w:val="single" w:sz="12" w:space="0" w:color="auto"/>
            </w:tcBorders>
            <w:shd w:val="clear" w:color="000000" w:fill="FFFFFF"/>
            <w:noWrap/>
            <w:hideMark/>
          </w:tcPr>
          <w:p w14:paraId="17E8BE90" w14:textId="77777777" w:rsidR="00470E46" w:rsidRPr="00B47A14" w:rsidRDefault="00470E46" w:rsidP="00470E46">
            <w:pPr>
              <w:spacing w:after="0" w:line="240" w:lineRule="auto"/>
              <w:jc w:val="right"/>
              <w:rPr>
                <w:rFonts w:eastAsia="Times New Roman" w:cs="Times New Roman"/>
                <w:color w:val="000000"/>
                <w:kern w:val="0"/>
                <w:sz w:val="20"/>
                <w:szCs w:val="20"/>
                <w14:ligatures w14:val="none"/>
              </w:rPr>
            </w:pPr>
          </w:p>
        </w:tc>
      </w:tr>
      <w:tr w:rsidR="00415E12" w:rsidRPr="00B47A14" w14:paraId="68A6CCA2" w14:textId="77777777" w:rsidTr="004C3CE3">
        <w:trPr>
          <w:gridAfter w:val="1"/>
          <w:wAfter w:w="8" w:type="dxa"/>
          <w:trHeight w:val="20"/>
          <w:jc w:val="center"/>
        </w:trPr>
        <w:tc>
          <w:tcPr>
            <w:tcW w:w="3950" w:type="dxa"/>
            <w:tcBorders>
              <w:top w:val="nil"/>
              <w:left w:val="single" w:sz="12" w:space="0" w:color="auto"/>
              <w:bottom w:val="nil"/>
              <w:right w:val="single" w:sz="12" w:space="0" w:color="auto"/>
            </w:tcBorders>
            <w:shd w:val="clear" w:color="000000" w:fill="FFFFFF"/>
            <w:noWrap/>
            <w:vAlign w:val="bottom"/>
            <w:hideMark/>
          </w:tcPr>
          <w:p w14:paraId="6CF1E499" w14:textId="5A53A62F" w:rsidR="00E3422B" w:rsidRPr="00B47A14" w:rsidRDefault="00E3422B" w:rsidP="00E3422B">
            <w:pPr>
              <w:spacing w:after="0" w:line="240" w:lineRule="auto"/>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 xml:space="preserve">       Children *</w:t>
            </w:r>
            <w:r w:rsidR="00FB4B5D">
              <w:rPr>
                <w:rFonts w:eastAsia="Times New Roman" w:cs="Times New Roman"/>
                <w:color w:val="000000"/>
                <w:kern w:val="0"/>
                <w:sz w:val="20"/>
                <w:szCs w:val="20"/>
                <w14:ligatures w14:val="none"/>
              </w:rPr>
              <w:t xml:space="preserve"> </w:t>
            </w:r>
            <w:r w:rsidR="00A77082">
              <w:rPr>
                <w:rFonts w:eastAsia="Times New Roman" w:cs="Times New Roman"/>
                <w:color w:val="000000"/>
                <w:kern w:val="0"/>
                <w:sz w:val="20"/>
                <w:szCs w:val="20"/>
                <w14:ligatures w14:val="none"/>
              </w:rPr>
              <w:t>During-</w:t>
            </w:r>
            <w:r w:rsidR="00A77082" w:rsidRPr="00B47A14">
              <w:rPr>
                <w:rFonts w:eastAsia="Times New Roman" w:cs="Times New Roman"/>
                <w:color w:val="000000"/>
                <w:kern w:val="0"/>
                <w:sz w:val="20"/>
                <w:szCs w:val="20"/>
                <w14:ligatures w14:val="none"/>
              </w:rPr>
              <w:t xml:space="preserve">COVID </w:t>
            </w:r>
            <w:r w:rsidRPr="00B47A14">
              <w:rPr>
                <w:rFonts w:eastAsia="Times New Roman" w:cs="Times New Roman"/>
                <w:color w:val="000000"/>
                <w:kern w:val="0"/>
                <w:sz w:val="20"/>
                <w:szCs w:val="20"/>
                <w14:ligatures w14:val="none"/>
              </w:rPr>
              <w:t>Effect</w:t>
            </w:r>
          </w:p>
        </w:tc>
        <w:tc>
          <w:tcPr>
            <w:tcW w:w="622" w:type="dxa"/>
            <w:tcBorders>
              <w:top w:val="nil"/>
              <w:left w:val="single" w:sz="12" w:space="0" w:color="auto"/>
              <w:bottom w:val="nil"/>
              <w:right w:val="nil"/>
            </w:tcBorders>
            <w:shd w:val="clear" w:color="000000" w:fill="FFFFFF"/>
            <w:noWrap/>
            <w:vAlign w:val="bottom"/>
            <w:hideMark/>
          </w:tcPr>
          <w:p w14:paraId="16DBBDBE" w14:textId="30E153DF" w:rsidR="00E3422B" w:rsidRPr="00B47A14" w:rsidRDefault="00E3422B" w:rsidP="00E3422B">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0.17</w:t>
            </w:r>
          </w:p>
        </w:tc>
        <w:tc>
          <w:tcPr>
            <w:tcW w:w="550" w:type="dxa"/>
            <w:tcBorders>
              <w:top w:val="nil"/>
              <w:left w:val="nil"/>
              <w:bottom w:val="nil"/>
              <w:right w:val="single" w:sz="4" w:space="0" w:color="auto"/>
            </w:tcBorders>
            <w:shd w:val="clear" w:color="000000" w:fill="FFFFFF"/>
            <w:noWrap/>
            <w:vAlign w:val="bottom"/>
            <w:hideMark/>
          </w:tcPr>
          <w:p w14:paraId="070AD4C1" w14:textId="7E1DA034" w:rsidR="00E3422B" w:rsidRPr="00B47A14" w:rsidRDefault="00E3422B" w:rsidP="00E3422B">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1.94</w:t>
            </w:r>
          </w:p>
        </w:tc>
        <w:tc>
          <w:tcPr>
            <w:tcW w:w="622" w:type="dxa"/>
            <w:tcBorders>
              <w:top w:val="nil"/>
              <w:left w:val="nil"/>
              <w:bottom w:val="nil"/>
              <w:right w:val="nil"/>
            </w:tcBorders>
            <w:shd w:val="clear" w:color="000000" w:fill="FFFFFF"/>
            <w:noWrap/>
            <w:hideMark/>
          </w:tcPr>
          <w:p w14:paraId="4590A277" w14:textId="6D7CC0AD" w:rsidR="00E3422B" w:rsidRPr="00B47A14" w:rsidRDefault="00E3422B" w:rsidP="00E3422B">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52" w:type="dxa"/>
            <w:tcBorders>
              <w:top w:val="nil"/>
              <w:left w:val="nil"/>
              <w:bottom w:val="nil"/>
              <w:right w:val="single" w:sz="4" w:space="0" w:color="auto"/>
            </w:tcBorders>
            <w:shd w:val="clear" w:color="000000" w:fill="FFFFFF"/>
            <w:noWrap/>
            <w:hideMark/>
          </w:tcPr>
          <w:p w14:paraId="58B58B77" w14:textId="77777777" w:rsidR="00E3422B" w:rsidRPr="00B47A14" w:rsidRDefault="00E3422B" w:rsidP="00E3422B">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vAlign w:val="bottom"/>
            <w:hideMark/>
          </w:tcPr>
          <w:p w14:paraId="47B44513" w14:textId="01E8A1A1" w:rsidR="00E3422B" w:rsidRPr="00B47A14" w:rsidRDefault="00E3422B" w:rsidP="00E3422B">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0.22</w:t>
            </w:r>
          </w:p>
        </w:tc>
        <w:tc>
          <w:tcPr>
            <w:tcW w:w="550" w:type="dxa"/>
            <w:tcBorders>
              <w:top w:val="nil"/>
              <w:left w:val="nil"/>
              <w:bottom w:val="nil"/>
              <w:right w:val="single" w:sz="4" w:space="0" w:color="auto"/>
            </w:tcBorders>
            <w:shd w:val="clear" w:color="000000" w:fill="FFFFFF"/>
            <w:noWrap/>
            <w:vAlign w:val="bottom"/>
            <w:hideMark/>
          </w:tcPr>
          <w:p w14:paraId="69CAB281" w14:textId="4D61FA27" w:rsidR="00E3422B" w:rsidRPr="00B47A14" w:rsidRDefault="00E3422B" w:rsidP="00E3422B">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2.54</w:t>
            </w:r>
          </w:p>
        </w:tc>
        <w:tc>
          <w:tcPr>
            <w:tcW w:w="622" w:type="dxa"/>
            <w:tcBorders>
              <w:top w:val="nil"/>
              <w:left w:val="nil"/>
              <w:bottom w:val="nil"/>
              <w:right w:val="nil"/>
            </w:tcBorders>
            <w:shd w:val="clear" w:color="000000" w:fill="FFFFFF"/>
            <w:noWrap/>
            <w:hideMark/>
          </w:tcPr>
          <w:p w14:paraId="202EFF71" w14:textId="154E7BDB" w:rsidR="00E3422B" w:rsidRPr="00B47A14" w:rsidRDefault="00E3422B" w:rsidP="00E3422B">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642" w:type="dxa"/>
            <w:tcBorders>
              <w:top w:val="nil"/>
              <w:left w:val="nil"/>
              <w:bottom w:val="nil"/>
              <w:right w:val="single" w:sz="4" w:space="0" w:color="auto"/>
            </w:tcBorders>
            <w:shd w:val="clear" w:color="000000" w:fill="FFFFFF"/>
            <w:noWrap/>
            <w:hideMark/>
          </w:tcPr>
          <w:p w14:paraId="460A6033" w14:textId="77777777" w:rsidR="00E3422B" w:rsidRPr="00B47A14" w:rsidRDefault="00E3422B" w:rsidP="00E3422B">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vAlign w:val="bottom"/>
            <w:hideMark/>
          </w:tcPr>
          <w:p w14:paraId="17196FAD" w14:textId="33220803" w:rsidR="00E3422B" w:rsidRPr="00B47A14" w:rsidRDefault="00E3422B" w:rsidP="00E3422B">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0.48</w:t>
            </w:r>
          </w:p>
        </w:tc>
        <w:tc>
          <w:tcPr>
            <w:tcW w:w="541" w:type="dxa"/>
            <w:tcBorders>
              <w:top w:val="nil"/>
              <w:left w:val="nil"/>
              <w:bottom w:val="nil"/>
              <w:right w:val="single" w:sz="4" w:space="0" w:color="auto"/>
            </w:tcBorders>
            <w:shd w:val="clear" w:color="000000" w:fill="FFFFFF"/>
            <w:noWrap/>
            <w:vAlign w:val="bottom"/>
            <w:hideMark/>
          </w:tcPr>
          <w:p w14:paraId="45DE0FF2" w14:textId="25778570" w:rsidR="00E3422B" w:rsidRPr="00B47A14" w:rsidRDefault="00E3422B" w:rsidP="00E3422B">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1.47</w:t>
            </w:r>
          </w:p>
        </w:tc>
        <w:tc>
          <w:tcPr>
            <w:tcW w:w="622" w:type="dxa"/>
            <w:tcBorders>
              <w:top w:val="nil"/>
              <w:left w:val="nil"/>
              <w:bottom w:val="nil"/>
              <w:right w:val="nil"/>
            </w:tcBorders>
            <w:shd w:val="clear" w:color="000000" w:fill="FFFFFF"/>
            <w:noWrap/>
            <w:hideMark/>
          </w:tcPr>
          <w:p w14:paraId="7316976B" w14:textId="1AE0387F" w:rsidR="00E3422B" w:rsidRPr="00B47A14" w:rsidRDefault="00E3422B" w:rsidP="00E3422B">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621" w:type="dxa"/>
            <w:tcBorders>
              <w:top w:val="nil"/>
              <w:left w:val="nil"/>
              <w:bottom w:val="nil"/>
              <w:right w:val="single" w:sz="4" w:space="0" w:color="auto"/>
            </w:tcBorders>
            <w:shd w:val="clear" w:color="000000" w:fill="FFFFFF"/>
            <w:noWrap/>
            <w:hideMark/>
          </w:tcPr>
          <w:p w14:paraId="44BBE246" w14:textId="77777777" w:rsidR="00E3422B" w:rsidRPr="00B47A14" w:rsidRDefault="00E3422B" w:rsidP="00E3422B">
            <w:pPr>
              <w:spacing w:after="0" w:line="240" w:lineRule="auto"/>
              <w:jc w:val="right"/>
              <w:rPr>
                <w:rFonts w:eastAsia="Times New Roman" w:cs="Times New Roman"/>
                <w:color w:val="000000"/>
                <w:kern w:val="0"/>
                <w:sz w:val="20"/>
                <w:szCs w:val="20"/>
                <w14:ligatures w14:val="none"/>
              </w:rPr>
            </w:pPr>
          </w:p>
        </w:tc>
        <w:tc>
          <w:tcPr>
            <w:tcW w:w="624" w:type="dxa"/>
            <w:tcBorders>
              <w:top w:val="nil"/>
              <w:left w:val="nil"/>
              <w:bottom w:val="nil"/>
              <w:right w:val="nil"/>
            </w:tcBorders>
            <w:shd w:val="clear" w:color="000000" w:fill="FFFFFF"/>
            <w:noWrap/>
            <w:hideMark/>
          </w:tcPr>
          <w:p w14:paraId="76E481C0" w14:textId="1A80154A" w:rsidR="00E3422B" w:rsidRPr="00B47A14" w:rsidRDefault="00E3422B" w:rsidP="00E3422B">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43" w:type="dxa"/>
            <w:tcBorders>
              <w:top w:val="nil"/>
              <w:left w:val="nil"/>
              <w:bottom w:val="nil"/>
              <w:right w:val="single" w:sz="4" w:space="0" w:color="auto"/>
            </w:tcBorders>
            <w:shd w:val="clear" w:color="000000" w:fill="FFFFFF"/>
            <w:noWrap/>
            <w:hideMark/>
          </w:tcPr>
          <w:p w14:paraId="3752994A" w14:textId="3EBD8848" w:rsidR="00E3422B" w:rsidRPr="00B47A14" w:rsidRDefault="00E3422B" w:rsidP="00E3422B">
            <w:pPr>
              <w:spacing w:after="0" w:line="240" w:lineRule="auto"/>
              <w:jc w:val="right"/>
              <w:rPr>
                <w:rFonts w:eastAsia="Times New Roman" w:cs="Times New Roman"/>
                <w:color w:val="000000"/>
                <w:kern w:val="0"/>
                <w:sz w:val="20"/>
                <w:szCs w:val="20"/>
                <w14:ligatures w14:val="none"/>
              </w:rPr>
            </w:pPr>
          </w:p>
        </w:tc>
        <w:tc>
          <w:tcPr>
            <w:tcW w:w="630" w:type="dxa"/>
            <w:tcBorders>
              <w:top w:val="nil"/>
              <w:left w:val="nil"/>
              <w:bottom w:val="nil"/>
              <w:right w:val="nil"/>
            </w:tcBorders>
            <w:shd w:val="clear" w:color="000000" w:fill="FFFFFF"/>
            <w:noWrap/>
            <w:vAlign w:val="bottom"/>
            <w:hideMark/>
          </w:tcPr>
          <w:p w14:paraId="76CF6D24" w14:textId="43FEE3C8" w:rsidR="00E3422B" w:rsidRPr="00B47A14" w:rsidRDefault="00E3422B" w:rsidP="00E3422B">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0.64</w:t>
            </w:r>
          </w:p>
        </w:tc>
        <w:tc>
          <w:tcPr>
            <w:tcW w:w="656" w:type="dxa"/>
            <w:tcBorders>
              <w:top w:val="nil"/>
              <w:left w:val="nil"/>
              <w:bottom w:val="nil"/>
              <w:right w:val="single" w:sz="4" w:space="0" w:color="auto"/>
            </w:tcBorders>
            <w:shd w:val="clear" w:color="000000" w:fill="FFFFFF"/>
            <w:noWrap/>
            <w:vAlign w:val="bottom"/>
            <w:hideMark/>
          </w:tcPr>
          <w:p w14:paraId="0E9B064D" w14:textId="44B3863D" w:rsidR="00E3422B" w:rsidRPr="00B47A14" w:rsidRDefault="00E3422B" w:rsidP="00E3422B">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1.55</w:t>
            </w:r>
          </w:p>
        </w:tc>
        <w:tc>
          <w:tcPr>
            <w:tcW w:w="573" w:type="dxa"/>
            <w:tcBorders>
              <w:top w:val="nil"/>
              <w:left w:val="nil"/>
              <w:bottom w:val="nil"/>
              <w:right w:val="nil"/>
            </w:tcBorders>
            <w:shd w:val="clear" w:color="000000" w:fill="FFFFFF"/>
            <w:noWrap/>
            <w:hideMark/>
          </w:tcPr>
          <w:p w14:paraId="6C4D7423" w14:textId="5FA2FFD9" w:rsidR="00E3422B" w:rsidRPr="00B47A14" w:rsidRDefault="00E3422B" w:rsidP="00E3422B">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491" w:type="dxa"/>
            <w:tcBorders>
              <w:top w:val="nil"/>
              <w:left w:val="nil"/>
              <w:bottom w:val="nil"/>
              <w:right w:val="single" w:sz="12" w:space="0" w:color="auto"/>
            </w:tcBorders>
            <w:shd w:val="clear" w:color="000000" w:fill="FFFFFF"/>
            <w:noWrap/>
            <w:hideMark/>
          </w:tcPr>
          <w:p w14:paraId="726D5D72" w14:textId="77777777" w:rsidR="00E3422B" w:rsidRPr="00B47A14" w:rsidRDefault="00E3422B" w:rsidP="00E3422B">
            <w:pPr>
              <w:spacing w:after="0" w:line="240" w:lineRule="auto"/>
              <w:jc w:val="right"/>
              <w:rPr>
                <w:rFonts w:eastAsia="Times New Roman" w:cs="Times New Roman"/>
                <w:color w:val="000000"/>
                <w:kern w:val="0"/>
                <w:sz w:val="20"/>
                <w:szCs w:val="20"/>
                <w14:ligatures w14:val="none"/>
              </w:rPr>
            </w:pPr>
          </w:p>
        </w:tc>
      </w:tr>
      <w:tr w:rsidR="00415E12" w:rsidRPr="00B47A14" w14:paraId="58C6A91E" w14:textId="77777777" w:rsidTr="004C3CE3">
        <w:trPr>
          <w:gridAfter w:val="1"/>
          <w:wAfter w:w="8" w:type="dxa"/>
          <w:trHeight w:val="20"/>
          <w:jc w:val="center"/>
        </w:trPr>
        <w:tc>
          <w:tcPr>
            <w:tcW w:w="3950" w:type="dxa"/>
            <w:tcBorders>
              <w:top w:val="nil"/>
              <w:left w:val="single" w:sz="12" w:space="0" w:color="auto"/>
              <w:bottom w:val="nil"/>
              <w:right w:val="single" w:sz="12" w:space="0" w:color="auto"/>
            </w:tcBorders>
            <w:shd w:val="clear" w:color="000000" w:fill="FFFFFF"/>
            <w:noWrap/>
            <w:vAlign w:val="bottom"/>
            <w:hideMark/>
          </w:tcPr>
          <w:p w14:paraId="6205442F" w14:textId="77777777" w:rsidR="003F4C4A" w:rsidRPr="00B47A14" w:rsidRDefault="003F4C4A" w:rsidP="003F4C4A">
            <w:pPr>
              <w:spacing w:after="0" w:line="240" w:lineRule="auto"/>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Presence of Retired Adults (none)</w:t>
            </w:r>
          </w:p>
        </w:tc>
        <w:tc>
          <w:tcPr>
            <w:tcW w:w="622" w:type="dxa"/>
            <w:tcBorders>
              <w:top w:val="nil"/>
              <w:left w:val="single" w:sz="12" w:space="0" w:color="auto"/>
              <w:bottom w:val="nil"/>
              <w:right w:val="nil"/>
            </w:tcBorders>
            <w:shd w:val="clear" w:color="000000" w:fill="FFFFFF"/>
            <w:noWrap/>
            <w:hideMark/>
          </w:tcPr>
          <w:p w14:paraId="7F159709"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550" w:type="dxa"/>
            <w:tcBorders>
              <w:top w:val="nil"/>
              <w:left w:val="nil"/>
              <w:bottom w:val="nil"/>
              <w:right w:val="single" w:sz="4" w:space="0" w:color="auto"/>
            </w:tcBorders>
            <w:shd w:val="clear" w:color="000000" w:fill="FFFFFF"/>
            <w:noWrap/>
            <w:hideMark/>
          </w:tcPr>
          <w:p w14:paraId="7A503DE9"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73640768"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552" w:type="dxa"/>
            <w:tcBorders>
              <w:top w:val="nil"/>
              <w:left w:val="nil"/>
              <w:bottom w:val="nil"/>
              <w:right w:val="single" w:sz="4" w:space="0" w:color="auto"/>
            </w:tcBorders>
            <w:shd w:val="clear" w:color="000000" w:fill="FFFFFF"/>
            <w:noWrap/>
            <w:hideMark/>
          </w:tcPr>
          <w:p w14:paraId="5F7D130C"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5C508D59"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550" w:type="dxa"/>
            <w:tcBorders>
              <w:top w:val="nil"/>
              <w:left w:val="nil"/>
              <w:bottom w:val="nil"/>
              <w:right w:val="single" w:sz="4" w:space="0" w:color="auto"/>
            </w:tcBorders>
            <w:shd w:val="clear" w:color="000000" w:fill="FFFFFF"/>
            <w:noWrap/>
            <w:hideMark/>
          </w:tcPr>
          <w:p w14:paraId="194B6EF1"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7DEBE4B2"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642" w:type="dxa"/>
            <w:tcBorders>
              <w:top w:val="nil"/>
              <w:left w:val="nil"/>
              <w:bottom w:val="nil"/>
              <w:right w:val="single" w:sz="4" w:space="0" w:color="auto"/>
            </w:tcBorders>
            <w:shd w:val="clear" w:color="000000" w:fill="FFFFFF"/>
            <w:noWrap/>
            <w:hideMark/>
          </w:tcPr>
          <w:p w14:paraId="5DB17600"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7C08C938"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541" w:type="dxa"/>
            <w:tcBorders>
              <w:top w:val="nil"/>
              <w:left w:val="nil"/>
              <w:bottom w:val="nil"/>
              <w:right w:val="single" w:sz="4" w:space="0" w:color="auto"/>
            </w:tcBorders>
            <w:shd w:val="clear" w:color="000000" w:fill="FFFFFF"/>
            <w:noWrap/>
            <w:hideMark/>
          </w:tcPr>
          <w:p w14:paraId="781C66C5"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749F9677"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621" w:type="dxa"/>
            <w:tcBorders>
              <w:top w:val="nil"/>
              <w:left w:val="nil"/>
              <w:bottom w:val="nil"/>
              <w:right w:val="single" w:sz="4" w:space="0" w:color="auto"/>
            </w:tcBorders>
            <w:shd w:val="clear" w:color="000000" w:fill="FFFFFF"/>
            <w:noWrap/>
            <w:hideMark/>
          </w:tcPr>
          <w:p w14:paraId="295C39A9"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624" w:type="dxa"/>
            <w:tcBorders>
              <w:top w:val="nil"/>
              <w:left w:val="nil"/>
              <w:bottom w:val="nil"/>
              <w:right w:val="nil"/>
            </w:tcBorders>
            <w:shd w:val="clear" w:color="000000" w:fill="FFFFFF"/>
            <w:noWrap/>
            <w:hideMark/>
          </w:tcPr>
          <w:p w14:paraId="521CC78F"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543" w:type="dxa"/>
            <w:tcBorders>
              <w:top w:val="nil"/>
              <w:left w:val="nil"/>
              <w:bottom w:val="nil"/>
              <w:right w:val="single" w:sz="4" w:space="0" w:color="auto"/>
            </w:tcBorders>
            <w:shd w:val="clear" w:color="000000" w:fill="FFFFFF"/>
            <w:noWrap/>
            <w:hideMark/>
          </w:tcPr>
          <w:p w14:paraId="35209782"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630" w:type="dxa"/>
            <w:tcBorders>
              <w:top w:val="nil"/>
              <w:left w:val="nil"/>
              <w:bottom w:val="nil"/>
              <w:right w:val="nil"/>
            </w:tcBorders>
            <w:shd w:val="clear" w:color="000000" w:fill="FFFFFF"/>
            <w:noWrap/>
            <w:hideMark/>
          </w:tcPr>
          <w:p w14:paraId="3E6138E8"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656" w:type="dxa"/>
            <w:tcBorders>
              <w:top w:val="nil"/>
              <w:left w:val="nil"/>
              <w:bottom w:val="nil"/>
              <w:right w:val="single" w:sz="4" w:space="0" w:color="auto"/>
            </w:tcBorders>
            <w:shd w:val="clear" w:color="000000" w:fill="FFFFFF"/>
            <w:noWrap/>
            <w:hideMark/>
          </w:tcPr>
          <w:p w14:paraId="32D0FE97"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573" w:type="dxa"/>
            <w:tcBorders>
              <w:top w:val="nil"/>
              <w:left w:val="nil"/>
              <w:bottom w:val="nil"/>
              <w:right w:val="nil"/>
            </w:tcBorders>
            <w:shd w:val="clear" w:color="000000" w:fill="FFFFFF"/>
            <w:noWrap/>
            <w:hideMark/>
          </w:tcPr>
          <w:p w14:paraId="16C3A653"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491" w:type="dxa"/>
            <w:tcBorders>
              <w:top w:val="nil"/>
              <w:left w:val="nil"/>
              <w:bottom w:val="nil"/>
              <w:right w:val="single" w:sz="12" w:space="0" w:color="auto"/>
            </w:tcBorders>
            <w:shd w:val="clear" w:color="000000" w:fill="FFFFFF"/>
            <w:noWrap/>
            <w:hideMark/>
          </w:tcPr>
          <w:p w14:paraId="6AD06BDB"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r>
      <w:tr w:rsidR="00415E12" w:rsidRPr="00B47A14" w14:paraId="7E1369D6" w14:textId="77777777" w:rsidTr="004C3CE3">
        <w:trPr>
          <w:gridAfter w:val="1"/>
          <w:wAfter w:w="8" w:type="dxa"/>
          <w:trHeight w:val="20"/>
          <w:jc w:val="center"/>
        </w:trPr>
        <w:tc>
          <w:tcPr>
            <w:tcW w:w="3950" w:type="dxa"/>
            <w:tcBorders>
              <w:top w:val="nil"/>
              <w:left w:val="single" w:sz="12" w:space="0" w:color="auto"/>
              <w:bottom w:val="nil"/>
              <w:right w:val="single" w:sz="12" w:space="0" w:color="auto"/>
            </w:tcBorders>
            <w:shd w:val="clear" w:color="000000" w:fill="FFFFFF"/>
            <w:noWrap/>
            <w:vAlign w:val="bottom"/>
            <w:hideMark/>
          </w:tcPr>
          <w:p w14:paraId="5852C7C7" w14:textId="77777777" w:rsidR="00791096" w:rsidRPr="00B47A14" w:rsidRDefault="00791096" w:rsidP="00791096">
            <w:pPr>
              <w:spacing w:after="0" w:line="240" w:lineRule="auto"/>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 xml:space="preserve">       Retired Adults</w:t>
            </w:r>
          </w:p>
        </w:tc>
        <w:tc>
          <w:tcPr>
            <w:tcW w:w="622" w:type="dxa"/>
            <w:tcBorders>
              <w:top w:val="nil"/>
              <w:left w:val="single" w:sz="12" w:space="0" w:color="auto"/>
              <w:bottom w:val="nil"/>
              <w:right w:val="nil"/>
            </w:tcBorders>
            <w:shd w:val="clear" w:color="000000" w:fill="FFFFFF"/>
            <w:noWrap/>
            <w:hideMark/>
          </w:tcPr>
          <w:p w14:paraId="7AC6FC00" w14:textId="68CF673E" w:rsidR="00791096" w:rsidRPr="00B47A14" w:rsidRDefault="00791096" w:rsidP="00791096">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50" w:type="dxa"/>
            <w:tcBorders>
              <w:top w:val="nil"/>
              <w:left w:val="nil"/>
              <w:bottom w:val="nil"/>
              <w:right w:val="single" w:sz="4" w:space="0" w:color="auto"/>
            </w:tcBorders>
            <w:shd w:val="clear" w:color="000000" w:fill="FFFFFF"/>
            <w:noWrap/>
            <w:hideMark/>
          </w:tcPr>
          <w:p w14:paraId="3EBE7C9E" w14:textId="77B8B01A" w:rsidR="00791096" w:rsidRPr="00B47A14" w:rsidRDefault="00791096" w:rsidP="00791096">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vAlign w:val="bottom"/>
            <w:hideMark/>
          </w:tcPr>
          <w:p w14:paraId="2CBF938A" w14:textId="5A56E874" w:rsidR="00791096" w:rsidRPr="00B47A14" w:rsidRDefault="00791096" w:rsidP="00791096">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0.29</w:t>
            </w:r>
          </w:p>
        </w:tc>
        <w:tc>
          <w:tcPr>
            <w:tcW w:w="552" w:type="dxa"/>
            <w:tcBorders>
              <w:top w:val="nil"/>
              <w:left w:val="nil"/>
              <w:bottom w:val="nil"/>
              <w:right w:val="single" w:sz="4" w:space="0" w:color="auto"/>
            </w:tcBorders>
            <w:shd w:val="clear" w:color="000000" w:fill="FFFFFF"/>
            <w:noWrap/>
            <w:vAlign w:val="bottom"/>
            <w:hideMark/>
          </w:tcPr>
          <w:p w14:paraId="4C8BDC50" w14:textId="2259FB83" w:rsidR="00791096" w:rsidRPr="00B47A14" w:rsidRDefault="00791096" w:rsidP="00791096">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3.00</w:t>
            </w:r>
          </w:p>
        </w:tc>
        <w:tc>
          <w:tcPr>
            <w:tcW w:w="622" w:type="dxa"/>
            <w:tcBorders>
              <w:top w:val="nil"/>
              <w:left w:val="nil"/>
              <w:bottom w:val="nil"/>
              <w:right w:val="nil"/>
            </w:tcBorders>
            <w:shd w:val="clear" w:color="000000" w:fill="FFFFFF"/>
            <w:noWrap/>
            <w:hideMark/>
          </w:tcPr>
          <w:p w14:paraId="2C8FD855" w14:textId="48236FA1" w:rsidR="00791096" w:rsidRPr="00B47A14" w:rsidRDefault="00791096" w:rsidP="00791096">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50" w:type="dxa"/>
            <w:tcBorders>
              <w:top w:val="nil"/>
              <w:left w:val="nil"/>
              <w:bottom w:val="nil"/>
              <w:right w:val="single" w:sz="4" w:space="0" w:color="auto"/>
            </w:tcBorders>
            <w:shd w:val="clear" w:color="000000" w:fill="FFFFFF"/>
            <w:noWrap/>
            <w:hideMark/>
          </w:tcPr>
          <w:p w14:paraId="256B049B" w14:textId="77777777" w:rsidR="00791096" w:rsidRPr="00B47A14" w:rsidRDefault="00791096" w:rsidP="00791096">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159C6BFA" w14:textId="10F3B201" w:rsidR="00791096" w:rsidRPr="00B47A14" w:rsidRDefault="00791096" w:rsidP="00791096">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642" w:type="dxa"/>
            <w:tcBorders>
              <w:top w:val="nil"/>
              <w:left w:val="nil"/>
              <w:bottom w:val="nil"/>
              <w:right w:val="single" w:sz="4" w:space="0" w:color="auto"/>
            </w:tcBorders>
            <w:shd w:val="clear" w:color="000000" w:fill="FFFFFF"/>
            <w:noWrap/>
            <w:hideMark/>
          </w:tcPr>
          <w:p w14:paraId="2CE71C1B" w14:textId="77777777" w:rsidR="00791096" w:rsidRPr="00B47A14" w:rsidRDefault="00791096" w:rsidP="00791096">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392DF9D2" w14:textId="4D94C9AE" w:rsidR="00791096" w:rsidRPr="00B47A14" w:rsidRDefault="00791096" w:rsidP="00791096">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41" w:type="dxa"/>
            <w:tcBorders>
              <w:top w:val="nil"/>
              <w:left w:val="nil"/>
              <w:bottom w:val="nil"/>
              <w:right w:val="single" w:sz="4" w:space="0" w:color="auto"/>
            </w:tcBorders>
            <w:shd w:val="clear" w:color="000000" w:fill="FFFFFF"/>
            <w:noWrap/>
            <w:hideMark/>
          </w:tcPr>
          <w:p w14:paraId="33D5C81A" w14:textId="6009EFE0" w:rsidR="00791096" w:rsidRPr="00B47A14" w:rsidRDefault="00791096" w:rsidP="00791096">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2B6A6CFB" w14:textId="5ECC41B2" w:rsidR="00791096" w:rsidRPr="00B47A14" w:rsidRDefault="00791096" w:rsidP="00791096">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621" w:type="dxa"/>
            <w:tcBorders>
              <w:top w:val="nil"/>
              <w:left w:val="nil"/>
              <w:bottom w:val="nil"/>
              <w:right w:val="single" w:sz="4" w:space="0" w:color="auto"/>
            </w:tcBorders>
            <w:shd w:val="clear" w:color="000000" w:fill="FFFFFF"/>
            <w:noWrap/>
            <w:hideMark/>
          </w:tcPr>
          <w:p w14:paraId="2CE3A35D" w14:textId="77777777" w:rsidR="00791096" w:rsidRPr="00B47A14" w:rsidRDefault="00791096" w:rsidP="00791096">
            <w:pPr>
              <w:spacing w:after="0" w:line="240" w:lineRule="auto"/>
              <w:jc w:val="right"/>
              <w:rPr>
                <w:rFonts w:eastAsia="Times New Roman" w:cs="Times New Roman"/>
                <w:color w:val="000000"/>
                <w:kern w:val="0"/>
                <w:sz w:val="20"/>
                <w:szCs w:val="20"/>
                <w14:ligatures w14:val="none"/>
              </w:rPr>
            </w:pPr>
          </w:p>
        </w:tc>
        <w:tc>
          <w:tcPr>
            <w:tcW w:w="624" w:type="dxa"/>
            <w:tcBorders>
              <w:top w:val="nil"/>
              <w:left w:val="nil"/>
              <w:bottom w:val="nil"/>
              <w:right w:val="nil"/>
            </w:tcBorders>
            <w:shd w:val="clear" w:color="000000" w:fill="FFFFFF"/>
            <w:noWrap/>
            <w:hideMark/>
          </w:tcPr>
          <w:p w14:paraId="33FEF9E2" w14:textId="147EA6B4" w:rsidR="00791096" w:rsidRPr="00B47A14" w:rsidRDefault="00791096" w:rsidP="00791096">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43" w:type="dxa"/>
            <w:tcBorders>
              <w:top w:val="nil"/>
              <w:left w:val="nil"/>
              <w:bottom w:val="nil"/>
              <w:right w:val="single" w:sz="4" w:space="0" w:color="auto"/>
            </w:tcBorders>
            <w:shd w:val="clear" w:color="000000" w:fill="FFFFFF"/>
            <w:noWrap/>
            <w:hideMark/>
          </w:tcPr>
          <w:p w14:paraId="57C5176F" w14:textId="77777777" w:rsidR="00791096" w:rsidRPr="00B47A14" w:rsidRDefault="00791096" w:rsidP="00791096">
            <w:pPr>
              <w:spacing w:after="0" w:line="240" w:lineRule="auto"/>
              <w:jc w:val="right"/>
              <w:rPr>
                <w:rFonts w:eastAsia="Times New Roman" w:cs="Times New Roman"/>
                <w:color w:val="000000"/>
                <w:kern w:val="0"/>
                <w:sz w:val="20"/>
                <w:szCs w:val="20"/>
                <w14:ligatures w14:val="none"/>
              </w:rPr>
            </w:pPr>
          </w:p>
        </w:tc>
        <w:tc>
          <w:tcPr>
            <w:tcW w:w="630" w:type="dxa"/>
            <w:tcBorders>
              <w:top w:val="nil"/>
              <w:left w:val="nil"/>
              <w:bottom w:val="nil"/>
              <w:right w:val="nil"/>
            </w:tcBorders>
            <w:shd w:val="clear" w:color="000000" w:fill="FFFFFF"/>
            <w:noWrap/>
            <w:hideMark/>
          </w:tcPr>
          <w:p w14:paraId="3F20F057" w14:textId="50A78B18" w:rsidR="00791096" w:rsidRPr="00B47A14" w:rsidRDefault="00791096" w:rsidP="00791096">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656" w:type="dxa"/>
            <w:tcBorders>
              <w:top w:val="nil"/>
              <w:left w:val="nil"/>
              <w:bottom w:val="nil"/>
              <w:right w:val="single" w:sz="4" w:space="0" w:color="auto"/>
            </w:tcBorders>
            <w:shd w:val="clear" w:color="000000" w:fill="FFFFFF"/>
            <w:noWrap/>
            <w:hideMark/>
          </w:tcPr>
          <w:p w14:paraId="6DB10C79" w14:textId="77777777" w:rsidR="00791096" w:rsidRPr="00B47A14" w:rsidRDefault="00791096" w:rsidP="00791096">
            <w:pPr>
              <w:spacing w:after="0" w:line="240" w:lineRule="auto"/>
              <w:jc w:val="right"/>
              <w:rPr>
                <w:rFonts w:eastAsia="Times New Roman" w:cs="Times New Roman"/>
                <w:color w:val="000000"/>
                <w:kern w:val="0"/>
                <w:sz w:val="20"/>
                <w:szCs w:val="20"/>
                <w14:ligatures w14:val="none"/>
              </w:rPr>
            </w:pPr>
          </w:p>
        </w:tc>
        <w:tc>
          <w:tcPr>
            <w:tcW w:w="573" w:type="dxa"/>
            <w:tcBorders>
              <w:top w:val="nil"/>
              <w:left w:val="nil"/>
              <w:bottom w:val="nil"/>
              <w:right w:val="nil"/>
            </w:tcBorders>
            <w:shd w:val="clear" w:color="000000" w:fill="FFFFFF"/>
            <w:noWrap/>
            <w:hideMark/>
          </w:tcPr>
          <w:p w14:paraId="3C387A1D" w14:textId="19895FC4" w:rsidR="00791096" w:rsidRPr="00B47A14" w:rsidRDefault="00791096" w:rsidP="00791096">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491" w:type="dxa"/>
            <w:tcBorders>
              <w:top w:val="nil"/>
              <w:left w:val="nil"/>
              <w:bottom w:val="nil"/>
              <w:right w:val="single" w:sz="12" w:space="0" w:color="auto"/>
            </w:tcBorders>
            <w:shd w:val="clear" w:color="000000" w:fill="FFFFFF"/>
            <w:noWrap/>
            <w:hideMark/>
          </w:tcPr>
          <w:p w14:paraId="5DB183A0" w14:textId="77777777" w:rsidR="00791096" w:rsidRPr="00B47A14" w:rsidRDefault="00791096" w:rsidP="00791096">
            <w:pPr>
              <w:spacing w:after="0" w:line="240" w:lineRule="auto"/>
              <w:jc w:val="right"/>
              <w:rPr>
                <w:rFonts w:eastAsia="Times New Roman" w:cs="Times New Roman"/>
                <w:color w:val="000000"/>
                <w:kern w:val="0"/>
                <w:sz w:val="20"/>
                <w:szCs w:val="20"/>
                <w14:ligatures w14:val="none"/>
              </w:rPr>
            </w:pPr>
          </w:p>
        </w:tc>
      </w:tr>
      <w:tr w:rsidR="00415E12" w:rsidRPr="00B47A14" w14:paraId="778FA179" w14:textId="77777777" w:rsidTr="004C3CE3">
        <w:trPr>
          <w:gridAfter w:val="1"/>
          <w:wAfter w:w="8" w:type="dxa"/>
          <w:trHeight w:val="20"/>
          <w:jc w:val="center"/>
        </w:trPr>
        <w:tc>
          <w:tcPr>
            <w:tcW w:w="3950" w:type="dxa"/>
            <w:tcBorders>
              <w:top w:val="nil"/>
              <w:left w:val="single" w:sz="12" w:space="0" w:color="auto"/>
              <w:bottom w:val="nil"/>
              <w:right w:val="single" w:sz="12" w:space="0" w:color="auto"/>
            </w:tcBorders>
            <w:shd w:val="clear" w:color="000000" w:fill="FFFFFF"/>
            <w:noWrap/>
            <w:vAlign w:val="bottom"/>
            <w:hideMark/>
          </w:tcPr>
          <w:p w14:paraId="49D03958" w14:textId="277A9D4A" w:rsidR="00312FE7" w:rsidRPr="00B47A14" w:rsidRDefault="00312FE7" w:rsidP="00312FE7">
            <w:pPr>
              <w:spacing w:after="0" w:line="240" w:lineRule="auto"/>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 xml:space="preserve">       Retired Adults *</w:t>
            </w:r>
            <w:r w:rsidR="00FB4B5D">
              <w:rPr>
                <w:rFonts w:eastAsia="Times New Roman" w:cs="Times New Roman"/>
                <w:color w:val="000000"/>
                <w:kern w:val="0"/>
                <w:sz w:val="20"/>
                <w:szCs w:val="20"/>
                <w14:ligatures w14:val="none"/>
              </w:rPr>
              <w:t xml:space="preserve"> </w:t>
            </w:r>
            <w:r w:rsidR="00A77082">
              <w:rPr>
                <w:rFonts w:eastAsia="Times New Roman" w:cs="Times New Roman"/>
                <w:color w:val="000000"/>
                <w:kern w:val="0"/>
                <w:sz w:val="20"/>
                <w:szCs w:val="20"/>
                <w14:ligatures w14:val="none"/>
              </w:rPr>
              <w:t>During-</w:t>
            </w:r>
            <w:r w:rsidR="00A77082" w:rsidRPr="00B47A14">
              <w:rPr>
                <w:rFonts w:eastAsia="Times New Roman" w:cs="Times New Roman"/>
                <w:color w:val="000000"/>
                <w:kern w:val="0"/>
                <w:sz w:val="20"/>
                <w:szCs w:val="20"/>
                <w14:ligatures w14:val="none"/>
              </w:rPr>
              <w:t xml:space="preserve">COVID </w:t>
            </w:r>
            <w:r w:rsidRPr="00B47A14">
              <w:rPr>
                <w:rFonts w:eastAsia="Times New Roman" w:cs="Times New Roman"/>
                <w:color w:val="000000"/>
                <w:kern w:val="0"/>
                <w:sz w:val="20"/>
                <w:szCs w:val="20"/>
                <w14:ligatures w14:val="none"/>
              </w:rPr>
              <w:t>Effect</w:t>
            </w:r>
          </w:p>
        </w:tc>
        <w:tc>
          <w:tcPr>
            <w:tcW w:w="622" w:type="dxa"/>
            <w:tcBorders>
              <w:top w:val="nil"/>
              <w:left w:val="single" w:sz="12" w:space="0" w:color="auto"/>
              <w:bottom w:val="nil"/>
              <w:right w:val="nil"/>
            </w:tcBorders>
            <w:shd w:val="clear" w:color="000000" w:fill="FFFFFF"/>
            <w:noWrap/>
            <w:vAlign w:val="bottom"/>
            <w:hideMark/>
          </w:tcPr>
          <w:p w14:paraId="5434AF86" w14:textId="1F1A44F1" w:rsidR="00312FE7" w:rsidRPr="00B47A14" w:rsidRDefault="00312FE7" w:rsidP="00312FE7">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0.26</w:t>
            </w:r>
          </w:p>
        </w:tc>
        <w:tc>
          <w:tcPr>
            <w:tcW w:w="550" w:type="dxa"/>
            <w:tcBorders>
              <w:top w:val="nil"/>
              <w:left w:val="nil"/>
              <w:bottom w:val="nil"/>
              <w:right w:val="single" w:sz="4" w:space="0" w:color="auto"/>
            </w:tcBorders>
            <w:shd w:val="clear" w:color="000000" w:fill="FFFFFF"/>
            <w:noWrap/>
            <w:vAlign w:val="bottom"/>
            <w:hideMark/>
          </w:tcPr>
          <w:p w14:paraId="043E7742" w14:textId="4774A9CD" w:rsidR="00312FE7" w:rsidRPr="00B47A14" w:rsidRDefault="00312FE7" w:rsidP="00312FE7">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1.82</w:t>
            </w:r>
          </w:p>
        </w:tc>
        <w:tc>
          <w:tcPr>
            <w:tcW w:w="622" w:type="dxa"/>
            <w:tcBorders>
              <w:top w:val="nil"/>
              <w:left w:val="nil"/>
              <w:bottom w:val="nil"/>
              <w:right w:val="nil"/>
            </w:tcBorders>
            <w:shd w:val="clear" w:color="000000" w:fill="FFFFFF"/>
            <w:noWrap/>
            <w:vAlign w:val="bottom"/>
            <w:hideMark/>
          </w:tcPr>
          <w:p w14:paraId="6B71CEB4" w14:textId="3A2FA594" w:rsidR="00312FE7" w:rsidRPr="00B47A14" w:rsidRDefault="00312FE7" w:rsidP="00312FE7">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0.29</w:t>
            </w:r>
          </w:p>
        </w:tc>
        <w:tc>
          <w:tcPr>
            <w:tcW w:w="552" w:type="dxa"/>
            <w:tcBorders>
              <w:top w:val="nil"/>
              <w:left w:val="nil"/>
              <w:bottom w:val="nil"/>
              <w:right w:val="single" w:sz="4" w:space="0" w:color="auto"/>
            </w:tcBorders>
            <w:shd w:val="clear" w:color="000000" w:fill="FFFFFF"/>
            <w:noWrap/>
            <w:vAlign w:val="bottom"/>
            <w:hideMark/>
          </w:tcPr>
          <w:p w14:paraId="0813C448" w14:textId="2115A480" w:rsidR="00312FE7" w:rsidRPr="00B47A14" w:rsidRDefault="00312FE7" w:rsidP="00312FE7">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1.85</w:t>
            </w:r>
          </w:p>
        </w:tc>
        <w:tc>
          <w:tcPr>
            <w:tcW w:w="622" w:type="dxa"/>
            <w:tcBorders>
              <w:top w:val="nil"/>
              <w:left w:val="nil"/>
              <w:bottom w:val="nil"/>
              <w:right w:val="nil"/>
            </w:tcBorders>
            <w:shd w:val="clear" w:color="000000" w:fill="FFFFFF"/>
            <w:noWrap/>
            <w:hideMark/>
          </w:tcPr>
          <w:p w14:paraId="795DBF6A" w14:textId="3671F34D" w:rsidR="00312FE7" w:rsidRPr="00B47A14" w:rsidRDefault="00312FE7" w:rsidP="00312FE7">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50" w:type="dxa"/>
            <w:tcBorders>
              <w:top w:val="nil"/>
              <w:left w:val="nil"/>
              <w:bottom w:val="nil"/>
              <w:right w:val="single" w:sz="4" w:space="0" w:color="auto"/>
            </w:tcBorders>
            <w:shd w:val="clear" w:color="000000" w:fill="FFFFFF"/>
            <w:noWrap/>
            <w:hideMark/>
          </w:tcPr>
          <w:p w14:paraId="1C854DBB" w14:textId="4C8FAEDB" w:rsidR="00312FE7" w:rsidRPr="00B47A14" w:rsidRDefault="00312FE7" w:rsidP="00312FE7">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4103BB1A" w14:textId="7F97BA6E" w:rsidR="00312FE7" w:rsidRPr="00B47A14" w:rsidRDefault="00312FE7" w:rsidP="00312FE7">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642" w:type="dxa"/>
            <w:tcBorders>
              <w:top w:val="nil"/>
              <w:left w:val="nil"/>
              <w:bottom w:val="nil"/>
              <w:right w:val="single" w:sz="4" w:space="0" w:color="auto"/>
            </w:tcBorders>
            <w:shd w:val="clear" w:color="000000" w:fill="FFFFFF"/>
            <w:noWrap/>
            <w:hideMark/>
          </w:tcPr>
          <w:p w14:paraId="472DA8D1" w14:textId="77777777" w:rsidR="00312FE7" w:rsidRPr="00B47A14" w:rsidRDefault="00312FE7" w:rsidP="00312FE7">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3DB221A2" w14:textId="4FFA181B" w:rsidR="00312FE7" w:rsidRPr="00B47A14" w:rsidRDefault="00312FE7" w:rsidP="00312FE7">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41" w:type="dxa"/>
            <w:tcBorders>
              <w:top w:val="nil"/>
              <w:left w:val="nil"/>
              <w:bottom w:val="nil"/>
              <w:right w:val="single" w:sz="4" w:space="0" w:color="auto"/>
            </w:tcBorders>
            <w:shd w:val="clear" w:color="000000" w:fill="FFFFFF"/>
            <w:noWrap/>
            <w:hideMark/>
          </w:tcPr>
          <w:p w14:paraId="75C1172B" w14:textId="77777777" w:rsidR="00312FE7" w:rsidRPr="00B47A14" w:rsidRDefault="00312FE7" w:rsidP="00312FE7">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vAlign w:val="bottom"/>
            <w:hideMark/>
          </w:tcPr>
          <w:p w14:paraId="0BA2CC3A" w14:textId="7E317B1C" w:rsidR="00312FE7" w:rsidRPr="00B47A14" w:rsidRDefault="00312FE7" w:rsidP="00312FE7">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0.36</w:t>
            </w:r>
          </w:p>
        </w:tc>
        <w:tc>
          <w:tcPr>
            <w:tcW w:w="621" w:type="dxa"/>
            <w:tcBorders>
              <w:top w:val="nil"/>
              <w:left w:val="nil"/>
              <w:bottom w:val="nil"/>
              <w:right w:val="single" w:sz="4" w:space="0" w:color="auto"/>
            </w:tcBorders>
            <w:shd w:val="clear" w:color="000000" w:fill="FFFFFF"/>
            <w:noWrap/>
            <w:vAlign w:val="bottom"/>
            <w:hideMark/>
          </w:tcPr>
          <w:p w14:paraId="7F818D6E" w14:textId="60E4A0CF" w:rsidR="00312FE7" w:rsidRPr="00B47A14" w:rsidRDefault="00312FE7" w:rsidP="00312FE7">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1.45</w:t>
            </w:r>
          </w:p>
        </w:tc>
        <w:tc>
          <w:tcPr>
            <w:tcW w:w="624" w:type="dxa"/>
            <w:tcBorders>
              <w:top w:val="nil"/>
              <w:left w:val="nil"/>
              <w:bottom w:val="nil"/>
              <w:right w:val="nil"/>
            </w:tcBorders>
            <w:shd w:val="clear" w:color="000000" w:fill="FFFFFF"/>
            <w:noWrap/>
            <w:hideMark/>
          </w:tcPr>
          <w:p w14:paraId="281BB64A" w14:textId="293FCFEB" w:rsidR="00312FE7" w:rsidRPr="00B47A14" w:rsidRDefault="00312FE7" w:rsidP="00312FE7">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43" w:type="dxa"/>
            <w:tcBorders>
              <w:top w:val="nil"/>
              <w:left w:val="nil"/>
              <w:bottom w:val="nil"/>
              <w:right w:val="single" w:sz="4" w:space="0" w:color="auto"/>
            </w:tcBorders>
            <w:shd w:val="clear" w:color="000000" w:fill="FFFFFF"/>
            <w:noWrap/>
            <w:hideMark/>
          </w:tcPr>
          <w:p w14:paraId="4A2CFC24" w14:textId="10183FDE" w:rsidR="00312FE7" w:rsidRPr="00B47A14" w:rsidRDefault="00312FE7" w:rsidP="00312FE7">
            <w:pPr>
              <w:spacing w:after="0" w:line="240" w:lineRule="auto"/>
              <w:jc w:val="right"/>
              <w:rPr>
                <w:rFonts w:eastAsia="Times New Roman" w:cs="Times New Roman"/>
                <w:color w:val="000000"/>
                <w:kern w:val="0"/>
                <w:sz w:val="20"/>
                <w:szCs w:val="20"/>
                <w14:ligatures w14:val="none"/>
              </w:rPr>
            </w:pPr>
          </w:p>
        </w:tc>
        <w:tc>
          <w:tcPr>
            <w:tcW w:w="630" w:type="dxa"/>
            <w:tcBorders>
              <w:top w:val="nil"/>
              <w:left w:val="nil"/>
              <w:bottom w:val="nil"/>
              <w:right w:val="nil"/>
            </w:tcBorders>
            <w:shd w:val="clear" w:color="000000" w:fill="FFFFFF"/>
            <w:noWrap/>
            <w:hideMark/>
          </w:tcPr>
          <w:p w14:paraId="3AD1C0F4" w14:textId="5993FB9D" w:rsidR="00312FE7" w:rsidRPr="00B47A14" w:rsidRDefault="00312FE7" w:rsidP="00312FE7">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656" w:type="dxa"/>
            <w:tcBorders>
              <w:top w:val="nil"/>
              <w:left w:val="nil"/>
              <w:bottom w:val="nil"/>
              <w:right w:val="single" w:sz="4" w:space="0" w:color="auto"/>
            </w:tcBorders>
            <w:shd w:val="clear" w:color="000000" w:fill="FFFFFF"/>
            <w:noWrap/>
            <w:hideMark/>
          </w:tcPr>
          <w:p w14:paraId="1BE41C3F" w14:textId="77777777" w:rsidR="00312FE7" w:rsidRPr="00B47A14" w:rsidRDefault="00312FE7" w:rsidP="00312FE7">
            <w:pPr>
              <w:spacing w:after="0" w:line="240" w:lineRule="auto"/>
              <w:jc w:val="right"/>
              <w:rPr>
                <w:rFonts w:eastAsia="Times New Roman" w:cs="Times New Roman"/>
                <w:color w:val="000000"/>
                <w:kern w:val="0"/>
                <w:sz w:val="20"/>
                <w:szCs w:val="20"/>
                <w14:ligatures w14:val="none"/>
              </w:rPr>
            </w:pPr>
          </w:p>
        </w:tc>
        <w:tc>
          <w:tcPr>
            <w:tcW w:w="573" w:type="dxa"/>
            <w:tcBorders>
              <w:top w:val="nil"/>
              <w:left w:val="nil"/>
              <w:bottom w:val="nil"/>
              <w:right w:val="nil"/>
            </w:tcBorders>
            <w:shd w:val="clear" w:color="000000" w:fill="FFFFFF"/>
            <w:noWrap/>
            <w:vAlign w:val="bottom"/>
            <w:hideMark/>
          </w:tcPr>
          <w:p w14:paraId="191C5AEE" w14:textId="401CD66D" w:rsidR="00312FE7" w:rsidRPr="00B47A14" w:rsidRDefault="00312FE7" w:rsidP="00312FE7">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-0.44</w:t>
            </w:r>
          </w:p>
        </w:tc>
        <w:tc>
          <w:tcPr>
            <w:tcW w:w="491" w:type="dxa"/>
            <w:tcBorders>
              <w:top w:val="nil"/>
              <w:left w:val="nil"/>
              <w:bottom w:val="nil"/>
              <w:right w:val="single" w:sz="12" w:space="0" w:color="auto"/>
            </w:tcBorders>
            <w:shd w:val="clear" w:color="000000" w:fill="FFFFFF"/>
            <w:noWrap/>
            <w:vAlign w:val="bottom"/>
            <w:hideMark/>
          </w:tcPr>
          <w:p w14:paraId="6FD91F38" w14:textId="114016CC" w:rsidR="00312FE7" w:rsidRPr="00B47A14" w:rsidRDefault="00312FE7" w:rsidP="00312FE7">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-2.93</w:t>
            </w:r>
          </w:p>
        </w:tc>
      </w:tr>
      <w:tr w:rsidR="00415E12" w:rsidRPr="00B47A14" w14:paraId="60A198F2" w14:textId="77777777" w:rsidTr="004C3CE3">
        <w:trPr>
          <w:gridAfter w:val="1"/>
          <w:wAfter w:w="8" w:type="dxa"/>
          <w:trHeight w:val="20"/>
          <w:jc w:val="center"/>
        </w:trPr>
        <w:tc>
          <w:tcPr>
            <w:tcW w:w="3950" w:type="dxa"/>
            <w:tcBorders>
              <w:top w:val="nil"/>
              <w:left w:val="single" w:sz="12" w:space="0" w:color="auto"/>
              <w:bottom w:val="nil"/>
              <w:right w:val="single" w:sz="12" w:space="0" w:color="auto"/>
            </w:tcBorders>
            <w:shd w:val="clear" w:color="000000" w:fill="FFFFFF"/>
            <w:noWrap/>
            <w:vAlign w:val="bottom"/>
            <w:hideMark/>
          </w:tcPr>
          <w:p w14:paraId="2D941789" w14:textId="77777777" w:rsidR="003F4C4A" w:rsidRPr="00B47A14" w:rsidRDefault="003F4C4A" w:rsidP="003F4C4A">
            <w:pPr>
              <w:spacing w:after="0" w:line="240" w:lineRule="auto"/>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Employment (at least one worker)</w:t>
            </w:r>
          </w:p>
        </w:tc>
        <w:tc>
          <w:tcPr>
            <w:tcW w:w="622" w:type="dxa"/>
            <w:tcBorders>
              <w:top w:val="nil"/>
              <w:left w:val="single" w:sz="12" w:space="0" w:color="auto"/>
              <w:bottom w:val="nil"/>
              <w:right w:val="nil"/>
            </w:tcBorders>
            <w:shd w:val="clear" w:color="000000" w:fill="FFFFFF"/>
            <w:noWrap/>
            <w:hideMark/>
          </w:tcPr>
          <w:p w14:paraId="2557AA2E"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550" w:type="dxa"/>
            <w:tcBorders>
              <w:top w:val="nil"/>
              <w:left w:val="nil"/>
              <w:bottom w:val="nil"/>
              <w:right w:val="single" w:sz="4" w:space="0" w:color="auto"/>
            </w:tcBorders>
            <w:shd w:val="clear" w:color="000000" w:fill="FFFFFF"/>
            <w:noWrap/>
            <w:hideMark/>
          </w:tcPr>
          <w:p w14:paraId="2F285E29"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3AB10E41"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552" w:type="dxa"/>
            <w:tcBorders>
              <w:top w:val="nil"/>
              <w:left w:val="nil"/>
              <w:bottom w:val="nil"/>
              <w:right w:val="single" w:sz="4" w:space="0" w:color="auto"/>
            </w:tcBorders>
            <w:shd w:val="clear" w:color="000000" w:fill="FFFFFF"/>
            <w:noWrap/>
            <w:hideMark/>
          </w:tcPr>
          <w:p w14:paraId="357CB8C4"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0CC9194A"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550" w:type="dxa"/>
            <w:tcBorders>
              <w:top w:val="nil"/>
              <w:left w:val="nil"/>
              <w:bottom w:val="nil"/>
              <w:right w:val="single" w:sz="4" w:space="0" w:color="auto"/>
            </w:tcBorders>
            <w:shd w:val="clear" w:color="000000" w:fill="FFFFFF"/>
            <w:noWrap/>
            <w:hideMark/>
          </w:tcPr>
          <w:p w14:paraId="19DBD672"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21BE8D7C"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642" w:type="dxa"/>
            <w:tcBorders>
              <w:top w:val="nil"/>
              <w:left w:val="nil"/>
              <w:bottom w:val="nil"/>
              <w:right w:val="single" w:sz="4" w:space="0" w:color="auto"/>
            </w:tcBorders>
            <w:shd w:val="clear" w:color="000000" w:fill="FFFFFF"/>
            <w:noWrap/>
            <w:hideMark/>
          </w:tcPr>
          <w:p w14:paraId="26469F1F"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7E533044"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541" w:type="dxa"/>
            <w:tcBorders>
              <w:top w:val="nil"/>
              <w:left w:val="nil"/>
              <w:bottom w:val="nil"/>
              <w:right w:val="single" w:sz="4" w:space="0" w:color="auto"/>
            </w:tcBorders>
            <w:shd w:val="clear" w:color="000000" w:fill="FFFFFF"/>
            <w:noWrap/>
            <w:hideMark/>
          </w:tcPr>
          <w:p w14:paraId="586F8FE5"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4AF0334F"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621" w:type="dxa"/>
            <w:tcBorders>
              <w:top w:val="nil"/>
              <w:left w:val="nil"/>
              <w:bottom w:val="nil"/>
              <w:right w:val="single" w:sz="4" w:space="0" w:color="auto"/>
            </w:tcBorders>
            <w:shd w:val="clear" w:color="000000" w:fill="FFFFFF"/>
            <w:noWrap/>
            <w:hideMark/>
          </w:tcPr>
          <w:p w14:paraId="7BED45D9"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624" w:type="dxa"/>
            <w:tcBorders>
              <w:top w:val="nil"/>
              <w:left w:val="nil"/>
              <w:bottom w:val="nil"/>
              <w:right w:val="nil"/>
            </w:tcBorders>
            <w:shd w:val="clear" w:color="000000" w:fill="FFFFFF"/>
            <w:noWrap/>
            <w:hideMark/>
          </w:tcPr>
          <w:p w14:paraId="589D821A"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543" w:type="dxa"/>
            <w:tcBorders>
              <w:top w:val="nil"/>
              <w:left w:val="nil"/>
              <w:bottom w:val="nil"/>
              <w:right w:val="single" w:sz="4" w:space="0" w:color="auto"/>
            </w:tcBorders>
            <w:shd w:val="clear" w:color="000000" w:fill="FFFFFF"/>
            <w:noWrap/>
            <w:hideMark/>
          </w:tcPr>
          <w:p w14:paraId="2D950B6B"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630" w:type="dxa"/>
            <w:tcBorders>
              <w:top w:val="nil"/>
              <w:left w:val="nil"/>
              <w:bottom w:val="nil"/>
              <w:right w:val="nil"/>
            </w:tcBorders>
            <w:shd w:val="clear" w:color="000000" w:fill="FFFFFF"/>
            <w:noWrap/>
            <w:hideMark/>
          </w:tcPr>
          <w:p w14:paraId="49E3D7E5"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656" w:type="dxa"/>
            <w:tcBorders>
              <w:top w:val="nil"/>
              <w:left w:val="nil"/>
              <w:bottom w:val="nil"/>
              <w:right w:val="single" w:sz="4" w:space="0" w:color="auto"/>
            </w:tcBorders>
            <w:shd w:val="clear" w:color="000000" w:fill="FFFFFF"/>
            <w:noWrap/>
            <w:hideMark/>
          </w:tcPr>
          <w:p w14:paraId="44DE45BB"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573" w:type="dxa"/>
            <w:tcBorders>
              <w:top w:val="nil"/>
              <w:left w:val="nil"/>
              <w:bottom w:val="nil"/>
              <w:right w:val="nil"/>
            </w:tcBorders>
            <w:shd w:val="clear" w:color="000000" w:fill="FFFFFF"/>
            <w:noWrap/>
            <w:hideMark/>
          </w:tcPr>
          <w:p w14:paraId="1E25F319"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491" w:type="dxa"/>
            <w:tcBorders>
              <w:top w:val="nil"/>
              <w:left w:val="nil"/>
              <w:bottom w:val="nil"/>
              <w:right w:val="single" w:sz="12" w:space="0" w:color="auto"/>
            </w:tcBorders>
            <w:shd w:val="clear" w:color="000000" w:fill="FFFFFF"/>
            <w:noWrap/>
            <w:hideMark/>
          </w:tcPr>
          <w:p w14:paraId="30EBC998"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r>
      <w:tr w:rsidR="00415E12" w:rsidRPr="00B47A14" w14:paraId="15CBACF8" w14:textId="77777777" w:rsidTr="004C3CE3">
        <w:trPr>
          <w:gridAfter w:val="1"/>
          <w:wAfter w:w="8" w:type="dxa"/>
          <w:trHeight w:val="20"/>
          <w:jc w:val="center"/>
        </w:trPr>
        <w:tc>
          <w:tcPr>
            <w:tcW w:w="3950" w:type="dxa"/>
            <w:tcBorders>
              <w:top w:val="nil"/>
              <w:left w:val="single" w:sz="12" w:space="0" w:color="auto"/>
              <w:bottom w:val="nil"/>
              <w:right w:val="single" w:sz="12" w:space="0" w:color="auto"/>
            </w:tcBorders>
            <w:shd w:val="clear" w:color="000000" w:fill="FFFFFF"/>
            <w:noWrap/>
            <w:vAlign w:val="bottom"/>
            <w:hideMark/>
          </w:tcPr>
          <w:p w14:paraId="327555C1" w14:textId="77777777" w:rsidR="003068EC" w:rsidRPr="00B47A14" w:rsidRDefault="003068EC" w:rsidP="003068EC">
            <w:pPr>
              <w:spacing w:after="0" w:line="240" w:lineRule="auto"/>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 xml:space="preserve">       No Workers</w:t>
            </w:r>
          </w:p>
        </w:tc>
        <w:tc>
          <w:tcPr>
            <w:tcW w:w="622" w:type="dxa"/>
            <w:tcBorders>
              <w:top w:val="nil"/>
              <w:left w:val="single" w:sz="12" w:space="0" w:color="auto"/>
              <w:bottom w:val="nil"/>
              <w:right w:val="nil"/>
            </w:tcBorders>
            <w:shd w:val="clear" w:color="000000" w:fill="FFFFFF"/>
            <w:noWrap/>
            <w:hideMark/>
          </w:tcPr>
          <w:p w14:paraId="5A679EC9" w14:textId="3ED35220" w:rsidR="003068EC" w:rsidRPr="00B47A14" w:rsidRDefault="003068EC" w:rsidP="003068E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50" w:type="dxa"/>
            <w:tcBorders>
              <w:top w:val="nil"/>
              <w:left w:val="nil"/>
              <w:bottom w:val="nil"/>
              <w:right w:val="single" w:sz="4" w:space="0" w:color="auto"/>
            </w:tcBorders>
            <w:shd w:val="clear" w:color="000000" w:fill="FFFFFF"/>
            <w:noWrap/>
            <w:hideMark/>
          </w:tcPr>
          <w:p w14:paraId="54435E68" w14:textId="77777777" w:rsidR="003068EC" w:rsidRPr="00B47A14" w:rsidRDefault="003068EC" w:rsidP="003068EC">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3789B05F" w14:textId="162A2682" w:rsidR="003068EC" w:rsidRPr="00B47A14" w:rsidRDefault="003068EC" w:rsidP="003068E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52" w:type="dxa"/>
            <w:tcBorders>
              <w:top w:val="nil"/>
              <w:left w:val="nil"/>
              <w:bottom w:val="nil"/>
              <w:right w:val="single" w:sz="4" w:space="0" w:color="auto"/>
            </w:tcBorders>
            <w:shd w:val="clear" w:color="000000" w:fill="FFFFFF"/>
            <w:noWrap/>
            <w:hideMark/>
          </w:tcPr>
          <w:p w14:paraId="383FF844" w14:textId="77777777" w:rsidR="003068EC" w:rsidRPr="00B47A14" w:rsidRDefault="003068EC" w:rsidP="003068EC">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vAlign w:val="bottom"/>
            <w:hideMark/>
          </w:tcPr>
          <w:p w14:paraId="092414AF" w14:textId="15693EEF" w:rsidR="003068EC" w:rsidRPr="00B47A14" w:rsidRDefault="003068EC" w:rsidP="003068EC">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0.14</w:t>
            </w:r>
          </w:p>
        </w:tc>
        <w:tc>
          <w:tcPr>
            <w:tcW w:w="550" w:type="dxa"/>
            <w:tcBorders>
              <w:top w:val="nil"/>
              <w:left w:val="nil"/>
              <w:bottom w:val="nil"/>
              <w:right w:val="single" w:sz="4" w:space="0" w:color="auto"/>
            </w:tcBorders>
            <w:shd w:val="clear" w:color="000000" w:fill="FFFFFF"/>
            <w:noWrap/>
            <w:vAlign w:val="bottom"/>
            <w:hideMark/>
          </w:tcPr>
          <w:p w14:paraId="483A3818" w14:textId="770237C0" w:rsidR="003068EC" w:rsidRPr="00B47A14" w:rsidRDefault="003068EC" w:rsidP="003068EC">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2.33</w:t>
            </w:r>
          </w:p>
        </w:tc>
        <w:tc>
          <w:tcPr>
            <w:tcW w:w="622" w:type="dxa"/>
            <w:tcBorders>
              <w:top w:val="nil"/>
              <w:left w:val="nil"/>
              <w:bottom w:val="nil"/>
              <w:right w:val="nil"/>
            </w:tcBorders>
            <w:shd w:val="clear" w:color="000000" w:fill="FFFFFF"/>
            <w:noWrap/>
            <w:hideMark/>
          </w:tcPr>
          <w:p w14:paraId="7C86C53C" w14:textId="1C385DB6" w:rsidR="003068EC" w:rsidRPr="00B47A14" w:rsidRDefault="003068EC" w:rsidP="003068E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642" w:type="dxa"/>
            <w:tcBorders>
              <w:top w:val="nil"/>
              <w:left w:val="nil"/>
              <w:bottom w:val="nil"/>
              <w:right w:val="single" w:sz="4" w:space="0" w:color="auto"/>
            </w:tcBorders>
            <w:shd w:val="clear" w:color="000000" w:fill="FFFFFF"/>
            <w:noWrap/>
            <w:hideMark/>
          </w:tcPr>
          <w:p w14:paraId="59498ACD" w14:textId="77777777" w:rsidR="003068EC" w:rsidRPr="00B47A14" w:rsidRDefault="003068EC" w:rsidP="003068EC">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755ECBFC" w14:textId="10ED82DB" w:rsidR="003068EC" w:rsidRPr="00B47A14" w:rsidRDefault="003068EC" w:rsidP="003068E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41" w:type="dxa"/>
            <w:tcBorders>
              <w:top w:val="nil"/>
              <w:left w:val="nil"/>
              <w:bottom w:val="nil"/>
              <w:right w:val="single" w:sz="4" w:space="0" w:color="auto"/>
            </w:tcBorders>
            <w:shd w:val="clear" w:color="000000" w:fill="FFFFFF"/>
            <w:noWrap/>
            <w:hideMark/>
          </w:tcPr>
          <w:p w14:paraId="50C489DE" w14:textId="77777777" w:rsidR="003068EC" w:rsidRPr="00B47A14" w:rsidRDefault="003068EC" w:rsidP="003068EC">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1EE9E54A" w14:textId="61A1A1B6" w:rsidR="003068EC" w:rsidRPr="00B47A14" w:rsidRDefault="003068EC" w:rsidP="003068E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621" w:type="dxa"/>
            <w:tcBorders>
              <w:top w:val="nil"/>
              <w:left w:val="nil"/>
              <w:bottom w:val="nil"/>
              <w:right w:val="single" w:sz="4" w:space="0" w:color="auto"/>
            </w:tcBorders>
            <w:shd w:val="clear" w:color="000000" w:fill="FFFFFF"/>
            <w:noWrap/>
            <w:hideMark/>
          </w:tcPr>
          <w:p w14:paraId="0E0E00FB" w14:textId="77777777" w:rsidR="003068EC" w:rsidRPr="00B47A14" w:rsidRDefault="003068EC" w:rsidP="003068EC">
            <w:pPr>
              <w:spacing w:after="0" w:line="240" w:lineRule="auto"/>
              <w:jc w:val="right"/>
              <w:rPr>
                <w:rFonts w:eastAsia="Times New Roman" w:cs="Times New Roman"/>
                <w:color w:val="000000"/>
                <w:kern w:val="0"/>
                <w:sz w:val="20"/>
                <w:szCs w:val="20"/>
                <w14:ligatures w14:val="none"/>
              </w:rPr>
            </w:pPr>
          </w:p>
        </w:tc>
        <w:tc>
          <w:tcPr>
            <w:tcW w:w="624" w:type="dxa"/>
            <w:tcBorders>
              <w:top w:val="nil"/>
              <w:left w:val="nil"/>
              <w:bottom w:val="nil"/>
              <w:right w:val="nil"/>
            </w:tcBorders>
            <w:shd w:val="clear" w:color="000000" w:fill="FFFFFF"/>
            <w:noWrap/>
            <w:hideMark/>
          </w:tcPr>
          <w:p w14:paraId="4A486065" w14:textId="09933B21" w:rsidR="003068EC" w:rsidRPr="00B47A14" w:rsidRDefault="003068EC" w:rsidP="003068E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43" w:type="dxa"/>
            <w:tcBorders>
              <w:top w:val="nil"/>
              <w:left w:val="nil"/>
              <w:bottom w:val="nil"/>
              <w:right w:val="single" w:sz="4" w:space="0" w:color="auto"/>
            </w:tcBorders>
            <w:shd w:val="clear" w:color="000000" w:fill="FFFFFF"/>
            <w:noWrap/>
            <w:hideMark/>
          </w:tcPr>
          <w:p w14:paraId="55A6D9E8" w14:textId="77777777" w:rsidR="003068EC" w:rsidRPr="00B47A14" w:rsidRDefault="003068EC" w:rsidP="003068EC">
            <w:pPr>
              <w:spacing w:after="0" w:line="240" w:lineRule="auto"/>
              <w:jc w:val="right"/>
              <w:rPr>
                <w:rFonts w:eastAsia="Times New Roman" w:cs="Times New Roman"/>
                <w:color w:val="000000"/>
                <w:kern w:val="0"/>
                <w:sz w:val="20"/>
                <w:szCs w:val="20"/>
                <w14:ligatures w14:val="none"/>
              </w:rPr>
            </w:pPr>
          </w:p>
        </w:tc>
        <w:tc>
          <w:tcPr>
            <w:tcW w:w="630" w:type="dxa"/>
            <w:tcBorders>
              <w:top w:val="nil"/>
              <w:left w:val="nil"/>
              <w:bottom w:val="nil"/>
              <w:right w:val="nil"/>
            </w:tcBorders>
            <w:shd w:val="clear" w:color="000000" w:fill="FFFFFF"/>
            <w:noWrap/>
            <w:hideMark/>
          </w:tcPr>
          <w:p w14:paraId="7D02839A" w14:textId="4B30CAC6" w:rsidR="003068EC" w:rsidRPr="00B47A14" w:rsidRDefault="003068EC" w:rsidP="003068E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656" w:type="dxa"/>
            <w:tcBorders>
              <w:top w:val="nil"/>
              <w:left w:val="nil"/>
              <w:bottom w:val="nil"/>
              <w:right w:val="single" w:sz="4" w:space="0" w:color="auto"/>
            </w:tcBorders>
            <w:shd w:val="clear" w:color="000000" w:fill="FFFFFF"/>
            <w:noWrap/>
            <w:hideMark/>
          </w:tcPr>
          <w:p w14:paraId="647FA17B" w14:textId="77777777" w:rsidR="003068EC" w:rsidRPr="00B47A14" w:rsidRDefault="003068EC" w:rsidP="003068EC">
            <w:pPr>
              <w:spacing w:after="0" w:line="240" w:lineRule="auto"/>
              <w:jc w:val="right"/>
              <w:rPr>
                <w:rFonts w:eastAsia="Times New Roman" w:cs="Times New Roman"/>
                <w:color w:val="000000"/>
                <w:kern w:val="0"/>
                <w:sz w:val="20"/>
                <w:szCs w:val="20"/>
                <w14:ligatures w14:val="none"/>
              </w:rPr>
            </w:pPr>
          </w:p>
        </w:tc>
        <w:tc>
          <w:tcPr>
            <w:tcW w:w="573" w:type="dxa"/>
            <w:tcBorders>
              <w:top w:val="nil"/>
              <w:left w:val="nil"/>
              <w:bottom w:val="nil"/>
              <w:right w:val="nil"/>
            </w:tcBorders>
            <w:shd w:val="clear" w:color="000000" w:fill="FFFFFF"/>
            <w:noWrap/>
            <w:vAlign w:val="bottom"/>
            <w:hideMark/>
          </w:tcPr>
          <w:p w14:paraId="0F62D350" w14:textId="3F4F0BB2" w:rsidR="003068EC" w:rsidRPr="00B47A14" w:rsidRDefault="003068EC" w:rsidP="003068EC">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-0.38</w:t>
            </w:r>
          </w:p>
        </w:tc>
        <w:tc>
          <w:tcPr>
            <w:tcW w:w="491" w:type="dxa"/>
            <w:tcBorders>
              <w:top w:val="nil"/>
              <w:left w:val="nil"/>
              <w:bottom w:val="nil"/>
              <w:right w:val="single" w:sz="12" w:space="0" w:color="auto"/>
            </w:tcBorders>
            <w:shd w:val="clear" w:color="000000" w:fill="FFFFFF"/>
            <w:noWrap/>
            <w:vAlign w:val="bottom"/>
            <w:hideMark/>
          </w:tcPr>
          <w:p w14:paraId="5D515F8E" w14:textId="1D23DC4E" w:rsidR="003068EC" w:rsidRPr="00B47A14" w:rsidRDefault="003068EC" w:rsidP="003068EC">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-5.58</w:t>
            </w:r>
          </w:p>
        </w:tc>
      </w:tr>
      <w:tr w:rsidR="00415E12" w:rsidRPr="00B47A14" w14:paraId="26962A85" w14:textId="77777777" w:rsidTr="004C3CE3">
        <w:trPr>
          <w:gridAfter w:val="1"/>
          <w:wAfter w:w="8" w:type="dxa"/>
          <w:trHeight w:val="20"/>
          <w:jc w:val="center"/>
        </w:trPr>
        <w:tc>
          <w:tcPr>
            <w:tcW w:w="3950" w:type="dxa"/>
            <w:tcBorders>
              <w:top w:val="nil"/>
              <w:left w:val="single" w:sz="12" w:space="0" w:color="auto"/>
              <w:bottom w:val="nil"/>
              <w:right w:val="single" w:sz="12" w:space="0" w:color="auto"/>
            </w:tcBorders>
            <w:shd w:val="clear" w:color="000000" w:fill="FFFFFF"/>
            <w:noWrap/>
            <w:vAlign w:val="bottom"/>
            <w:hideMark/>
          </w:tcPr>
          <w:p w14:paraId="0F6AD15B" w14:textId="77777777" w:rsidR="003F4C4A" w:rsidRPr="00B47A14" w:rsidRDefault="003F4C4A" w:rsidP="003F4C4A">
            <w:pPr>
              <w:spacing w:after="0" w:line="240" w:lineRule="auto"/>
              <w:rPr>
                <w:rFonts w:eastAsia="Times New Roman" w:cs="Times New Roman"/>
                <w:b/>
                <w:bCs/>
                <w:color w:val="000000"/>
                <w:kern w:val="0"/>
                <w:sz w:val="20"/>
                <w:szCs w:val="20"/>
                <w14:ligatures w14:val="none"/>
              </w:rPr>
            </w:pPr>
            <w:r w:rsidRPr="00B47A14">
              <w:rPr>
                <w:rFonts w:eastAsia="Times New Roman" w:cs="Times New Roman"/>
                <w:b/>
                <w:bCs/>
                <w:color w:val="000000"/>
                <w:kern w:val="0"/>
                <w:sz w:val="20"/>
                <w:szCs w:val="20"/>
                <w14:ligatures w14:val="none"/>
              </w:rPr>
              <w:t xml:space="preserve">Household Sociodemographic Characteristics </w:t>
            </w:r>
          </w:p>
        </w:tc>
        <w:tc>
          <w:tcPr>
            <w:tcW w:w="622" w:type="dxa"/>
            <w:tcBorders>
              <w:top w:val="nil"/>
              <w:left w:val="single" w:sz="12" w:space="0" w:color="auto"/>
              <w:bottom w:val="nil"/>
              <w:right w:val="nil"/>
            </w:tcBorders>
            <w:shd w:val="clear" w:color="000000" w:fill="FFFFFF"/>
            <w:noWrap/>
            <w:hideMark/>
          </w:tcPr>
          <w:p w14:paraId="0FEE3766"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550" w:type="dxa"/>
            <w:tcBorders>
              <w:top w:val="nil"/>
              <w:left w:val="nil"/>
              <w:bottom w:val="nil"/>
              <w:right w:val="single" w:sz="4" w:space="0" w:color="auto"/>
            </w:tcBorders>
            <w:shd w:val="clear" w:color="000000" w:fill="FFFFFF"/>
            <w:noWrap/>
            <w:hideMark/>
          </w:tcPr>
          <w:p w14:paraId="40D00564"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076BB628"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552" w:type="dxa"/>
            <w:tcBorders>
              <w:top w:val="nil"/>
              <w:left w:val="nil"/>
              <w:bottom w:val="nil"/>
              <w:right w:val="single" w:sz="4" w:space="0" w:color="auto"/>
            </w:tcBorders>
            <w:shd w:val="clear" w:color="000000" w:fill="FFFFFF"/>
            <w:noWrap/>
            <w:hideMark/>
          </w:tcPr>
          <w:p w14:paraId="4A37D46D"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5ADD46C4"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550" w:type="dxa"/>
            <w:tcBorders>
              <w:top w:val="nil"/>
              <w:left w:val="nil"/>
              <w:bottom w:val="nil"/>
              <w:right w:val="single" w:sz="4" w:space="0" w:color="auto"/>
            </w:tcBorders>
            <w:shd w:val="clear" w:color="000000" w:fill="FFFFFF"/>
            <w:noWrap/>
            <w:hideMark/>
          </w:tcPr>
          <w:p w14:paraId="75F0BFFE"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3002579B"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642" w:type="dxa"/>
            <w:tcBorders>
              <w:top w:val="nil"/>
              <w:left w:val="nil"/>
              <w:bottom w:val="nil"/>
              <w:right w:val="single" w:sz="4" w:space="0" w:color="auto"/>
            </w:tcBorders>
            <w:shd w:val="clear" w:color="000000" w:fill="FFFFFF"/>
            <w:noWrap/>
            <w:hideMark/>
          </w:tcPr>
          <w:p w14:paraId="64E7912D"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22B94A36"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541" w:type="dxa"/>
            <w:tcBorders>
              <w:top w:val="nil"/>
              <w:left w:val="nil"/>
              <w:bottom w:val="nil"/>
              <w:right w:val="single" w:sz="4" w:space="0" w:color="auto"/>
            </w:tcBorders>
            <w:shd w:val="clear" w:color="000000" w:fill="FFFFFF"/>
            <w:noWrap/>
            <w:hideMark/>
          </w:tcPr>
          <w:p w14:paraId="3960AB72"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4C9E063C"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621" w:type="dxa"/>
            <w:tcBorders>
              <w:top w:val="nil"/>
              <w:left w:val="nil"/>
              <w:bottom w:val="nil"/>
              <w:right w:val="single" w:sz="4" w:space="0" w:color="auto"/>
            </w:tcBorders>
            <w:shd w:val="clear" w:color="000000" w:fill="FFFFFF"/>
            <w:noWrap/>
            <w:hideMark/>
          </w:tcPr>
          <w:p w14:paraId="6562131F"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624" w:type="dxa"/>
            <w:tcBorders>
              <w:top w:val="nil"/>
              <w:left w:val="nil"/>
              <w:bottom w:val="nil"/>
              <w:right w:val="nil"/>
            </w:tcBorders>
            <w:shd w:val="clear" w:color="000000" w:fill="FFFFFF"/>
            <w:noWrap/>
            <w:hideMark/>
          </w:tcPr>
          <w:p w14:paraId="7E84789B"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543" w:type="dxa"/>
            <w:tcBorders>
              <w:top w:val="nil"/>
              <w:left w:val="nil"/>
              <w:bottom w:val="nil"/>
              <w:right w:val="single" w:sz="4" w:space="0" w:color="auto"/>
            </w:tcBorders>
            <w:shd w:val="clear" w:color="000000" w:fill="FFFFFF"/>
            <w:noWrap/>
            <w:hideMark/>
          </w:tcPr>
          <w:p w14:paraId="3B13C52D"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630" w:type="dxa"/>
            <w:tcBorders>
              <w:top w:val="nil"/>
              <w:left w:val="nil"/>
              <w:bottom w:val="nil"/>
              <w:right w:val="nil"/>
            </w:tcBorders>
            <w:shd w:val="clear" w:color="000000" w:fill="FFFFFF"/>
            <w:noWrap/>
            <w:hideMark/>
          </w:tcPr>
          <w:p w14:paraId="0080145C"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656" w:type="dxa"/>
            <w:tcBorders>
              <w:top w:val="nil"/>
              <w:left w:val="nil"/>
              <w:bottom w:val="nil"/>
              <w:right w:val="single" w:sz="4" w:space="0" w:color="auto"/>
            </w:tcBorders>
            <w:shd w:val="clear" w:color="000000" w:fill="FFFFFF"/>
            <w:noWrap/>
            <w:hideMark/>
          </w:tcPr>
          <w:p w14:paraId="4C99CC10"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573" w:type="dxa"/>
            <w:tcBorders>
              <w:top w:val="nil"/>
              <w:left w:val="nil"/>
              <w:bottom w:val="nil"/>
              <w:right w:val="nil"/>
            </w:tcBorders>
            <w:shd w:val="clear" w:color="000000" w:fill="FFFFFF"/>
            <w:noWrap/>
            <w:hideMark/>
          </w:tcPr>
          <w:p w14:paraId="433655F5"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491" w:type="dxa"/>
            <w:tcBorders>
              <w:top w:val="nil"/>
              <w:left w:val="nil"/>
              <w:bottom w:val="nil"/>
              <w:right w:val="single" w:sz="12" w:space="0" w:color="auto"/>
            </w:tcBorders>
            <w:shd w:val="clear" w:color="000000" w:fill="FFFFFF"/>
            <w:noWrap/>
            <w:hideMark/>
          </w:tcPr>
          <w:p w14:paraId="168C7CA3"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r>
      <w:tr w:rsidR="00415E12" w:rsidRPr="00B47A14" w14:paraId="6394D455" w14:textId="77777777" w:rsidTr="004C3CE3">
        <w:trPr>
          <w:gridAfter w:val="1"/>
          <w:wAfter w:w="8" w:type="dxa"/>
          <w:trHeight w:val="20"/>
          <w:jc w:val="center"/>
        </w:trPr>
        <w:tc>
          <w:tcPr>
            <w:tcW w:w="3950" w:type="dxa"/>
            <w:tcBorders>
              <w:top w:val="nil"/>
              <w:left w:val="single" w:sz="12" w:space="0" w:color="auto"/>
              <w:bottom w:val="nil"/>
              <w:right w:val="single" w:sz="12" w:space="0" w:color="auto"/>
            </w:tcBorders>
            <w:shd w:val="clear" w:color="000000" w:fill="FFFFFF"/>
            <w:noWrap/>
            <w:vAlign w:val="bottom"/>
            <w:hideMark/>
          </w:tcPr>
          <w:p w14:paraId="69E9F7B9" w14:textId="77777777" w:rsidR="003F4C4A" w:rsidRPr="00B47A14" w:rsidRDefault="003F4C4A" w:rsidP="003F4C4A">
            <w:pPr>
              <w:spacing w:after="0" w:line="240" w:lineRule="auto"/>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Education (less than bachelor’s degree)</w:t>
            </w:r>
          </w:p>
        </w:tc>
        <w:tc>
          <w:tcPr>
            <w:tcW w:w="622" w:type="dxa"/>
            <w:tcBorders>
              <w:top w:val="nil"/>
              <w:left w:val="single" w:sz="12" w:space="0" w:color="auto"/>
              <w:bottom w:val="nil"/>
              <w:right w:val="nil"/>
            </w:tcBorders>
            <w:shd w:val="clear" w:color="000000" w:fill="FFFFFF"/>
            <w:noWrap/>
            <w:hideMark/>
          </w:tcPr>
          <w:p w14:paraId="4FD15204"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550" w:type="dxa"/>
            <w:tcBorders>
              <w:top w:val="nil"/>
              <w:left w:val="nil"/>
              <w:bottom w:val="nil"/>
              <w:right w:val="single" w:sz="4" w:space="0" w:color="auto"/>
            </w:tcBorders>
            <w:shd w:val="clear" w:color="000000" w:fill="FFFFFF"/>
            <w:noWrap/>
            <w:hideMark/>
          </w:tcPr>
          <w:p w14:paraId="2C444D2E"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53519C80"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552" w:type="dxa"/>
            <w:tcBorders>
              <w:top w:val="nil"/>
              <w:left w:val="nil"/>
              <w:bottom w:val="nil"/>
              <w:right w:val="single" w:sz="4" w:space="0" w:color="auto"/>
            </w:tcBorders>
            <w:shd w:val="clear" w:color="000000" w:fill="FFFFFF"/>
            <w:noWrap/>
            <w:hideMark/>
          </w:tcPr>
          <w:p w14:paraId="7CEDBC94"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4768710D"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550" w:type="dxa"/>
            <w:tcBorders>
              <w:top w:val="nil"/>
              <w:left w:val="nil"/>
              <w:bottom w:val="nil"/>
              <w:right w:val="single" w:sz="4" w:space="0" w:color="auto"/>
            </w:tcBorders>
            <w:shd w:val="clear" w:color="000000" w:fill="FFFFFF"/>
            <w:noWrap/>
            <w:hideMark/>
          </w:tcPr>
          <w:p w14:paraId="0CC5E029"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1E352F9B"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642" w:type="dxa"/>
            <w:tcBorders>
              <w:top w:val="nil"/>
              <w:left w:val="nil"/>
              <w:bottom w:val="nil"/>
              <w:right w:val="single" w:sz="4" w:space="0" w:color="auto"/>
            </w:tcBorders>
            <w:shd w:val="clear" w:color="000000" w:fill="FFFFFF"/>
            <w:noWrap/>
            <w:hideMark/>
          </w:tcPr>
          <w:p w14:paraId="79701550"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5BEE8D41"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541" w:type="dxa"/>
            <w:tcBorders>
              <w:top w:val="nil"/>
              <w:left w:val="nil"/>
              <w:bottom w:val="nil"/>
              <w:right w:val="single" w:sz="4" w:space="0" w:color="auto"/>
            </w:tcBorders>
            <w:shd w:val="clear" w:color="000000" w:fill="FFFFFF"/>
            <w:noWrap/>
            <w:hideMark/>
          </w:tcPr>
          <w:p w14:paraId="69ADE5BB"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4F531F15"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621" w:type="dxa"/>
            <w:tcBorders>
              <w:top w:val="nil"/>
              <w:left w:val="nil"/>
              <w:bottom w:val="nil"/>
              <w:right w:val="single" w:sz="4" w:space="0" w:color="auto"/>
            </w:tcBorders>
            <w:shd w:val="clear" w:color="000000" w:fill="FFFFFF"/>
            <w:noWrap/>
            <w:hideMark/>
          </w:tcPr>
          <w:p w14:paraId="42DC54E7"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624" w:type="dxa"/>
            <w:tcBorders>
              <w:top w:val="nil"/>
              <w:left w:val="nil"/>
              <w:bottom w:val="nil"/>
              <w:right w:val="nil"/>
            </w:tcBorders>
            <w:shd w:val="clear" w:color="000000" w:fill="FFFFFF"/>
            <w:noWrap/>
            <w:hideMark/>
          </w:tcPr>
          <w:p w14:paraId="19B1E774"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543" w:type="dxa"/>
            <w:tcBorders>
              <w:top w:val="nil"/>
              <w:left w:val="nil"/>
              <w:bottom w:val="nil"/>
              <w:right w:val="single" w:sz="4" w:space="0" w:color="auto"/>
            </w:tcBorders>
            <w:shd w:val="clear" w:color="000000" w:fill="FFFFFF"/>
            <w:noWrap/>
            <w:hideMark/>
          </w:tcPr>
          <w:p w14:paraId="59091632"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630" w:type="dxa"/>
            <w:tcBorders>
              <w:top w:val="nil"/>
              <w:left w:val="nil"/>
              <w:bottom w:val="nil"/>
              <w:right w:val="nil"/>
            </w:tcBorders>
            <w:shd w:val="clear" w:color="000000" w:fill="FFFFFF"/>
            <w:noWrap/>
            <w:hideMark/>
          </w:tcPr>
          <w:p w14:paraId="4CA559D3"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656" w:type="dxa"/>
            <w:tcBorders>
              <w:top w:val="nil"/>
              <w:left w:val="nil"/>
              <w:bottom w:val="nil"/>
              <w:right w:val="single" w:sz="4" w:space="0" w:color="auto"/>
            </w:tcBorders>
            <w:shd w:val="clear" w:color="000000" w:fill="FFFFFF"/>
            <w:noWrap/>
            <w:hideMark/>
          </w:tcPr>
          <w:p w14:paraId="7E73CF70"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573" w:type="dxa"/>
            <w:tcBorders>
              <w:top w:val="nil"/>
              <w:left w:val="nil"/>
              <w:bottom w:val="nil"/>
              <w:right w:val="nil"/>
            </w:tcBorders>
            <w:shd w:val="clear" w:color="000000" w:fill="FFFFFF"/>
            <w:noWrap/>
            <w:hideMark/>
          </w:tcPr>
          <w:p w14:paraId="3BE9E915"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c>
          <w:tcPr>
            <w:tcW w:w="491" w:type="dxa"/>
            <w:tcBorders>
              <w:top w:val="nil"/>
              <w:left w:val="nil"/>
              <w:bottom w:val="nil"/>
              <w:right w:val="single" w:sz="12" w:space="0" w:color="auto"/>
            </w:tcBorders>
            <w:shd w:val="clear" w:color="000000" w:fill="FFFFFF"/>
            <w:noWrap/>
            <w:hideMark/>
          </w:tcPr>
          <w:p w14:paraId="179FABF7" w14:textId="77777777" w:rsidR="003F4C4A" w:rsidRPr="00B47A14" w:rsidRDefault="003F4C4A" w:rsidP="003F4C4A">
            <w:pPr>
              <w:spacing w:after="0" w:line="240" w:lineRule="auto"/>
              <w:jc w:val="right"/>
              <w:rPr>
                <w:rFonts w:eastAsia="Times New Roman" w:cs="Times New Roman"/>
                <w:color w:val="000000"/>
                <w:kern w:val="0"/>
                <w:sz w:val="20"/>
                <w:szCs w:val="20"/>
                <w14:ligatures w14:val="none"/>
              </w:rPr>
            </w:pPr>
          </w:p>
        </w:tc>
      </w:tr>
      <w:tr w:rsidR="00415E12" w:rsidRPr="00B47A14" w14:paraId="5604E503" w14:textId="77777777" w:rsidTr="004C3CE3">
        <w:trPr>
          <w:gridAfter w:val="1"/>
          <w:wAfter w:w="8" w:type="dxa"/>
          <w:trHeight w:val="20"/>
          <w:jc w:val="center"/>
        </w:trPr>
        <w:tc>
          <w:tcPr>
            <w:tcW w:w="3950" w:type="dxa"/>
            <w:tcBorders>
              <w:top w:val="nil"/>
              <w:left w:val="single" w:sz="12" w:space="0" w:color="auto"/>
              <w:bottom w:val="nil"/>
              <w:right w:val="single" w:sz="12" w:space="0" w:color="auto"/>
            </w:tcBorders>
            <w:shd w:val="clear" w:color="000000" w:fill="FFFFFF"/>
            <w:noWrap/>
            <w:vAlign w:val="bottom"/>
            <w:hideMark/>
          </w:tcPr>
          <w:p w14:paraId="5FA2A428" w14:textId="6CA5ECBB" w:rsidR="00312FE7" w:rsidRPr="00B47A14" w:rsidRDefault="00312FE7" w:rsidP="00312FE7">
            <w:pPr>
              <w:spacing w:after="0" w:line="240" w:lineRule="auto"/>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 xml:space="preserve">       Bachelor</w:t>
            </w:r>
            <w:r w:rsidR="004A258E">
              <w:rPr>
                <w:rFonts w:eastAsia="Times New Roman" w:cs="Times New Roman"/>
                <w:color w:val="000000"/>
                <w:kern w:val="0"/>
                <w:sz w:val="20"/>
                <w:szCs w:val="20"/>
                <w14:ligatures w14:val="none"/>
              </w:rPr>
              <w:t>’</w:t>
            </w:r>
            <w:r w:rsidRPr="00B47A14">
              <w:rPr>
                <w:rFonts w:eastAsia="Times New Roman" w:cs="Times New Roman"/>
                <w:color w:val="000000"/>
                <w:kern w:val="0"/>
                <w:sz w:val="20"/>
                <w:szCs w:val="20"/>
                <w14:ligatures w14:val="none"/>
              </w:rPr>
              <w:t>s degree</w:t>
            </w:r>
          </w:p>
        </w:tc>
        <w:tc>
          <w:tcPr>
            <w:tcW w:w="622" w:type="dxa"/>
            <w:tcBorders>
              <w:top w:val="nil"/>
              <w:left w:val="single" w:sz="12" w:space="0" w:color="auto"/>
              <w:bottom w:val="nil"/>
              <w:right w:val="nil"/>
            </w:tcBorders>
            <w:shd w:val="clear" w:color="000000" w:fill="FFFFFF"/>
            <w:noWrap/>
            <w:hideMark/>
          </w:tcPr>
          <w:p w14:paraId="7D808638" w14:textId="24C88400" w:rsidR="00312FE7" w:rsidRPr="00B47A14" w:rsidRDefault="00312FE7" w:rsidP="00312FE7">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50" w:type="dxa"/>
            <w:tcBorders>
              <w:top w:val="nil"/>
              <w:left w:val="nil"/>
              <w:bottom w:val="nil"/>
              <w:right w:val="single" w:sz="4" w:space="0" w:color="auto"/>
            </w:tcBorders>
            <w:shd w:val="clear" w:color="000000" w:fill="FFFFFF"/>
            <w:noWrap/>
            <w:hideMark/>
          </w:tcPr>
          <w:p w14:paraId="46A9FD91" w14:textId="77777777" w:rsidR="00312FE7" w:rsidRPr="00B47A14" w:rsidRDefault="00312FE7" w:rsidP="00312FE7">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02717AD2" w14:textId="39A7742E" w:rsidR="00312FE7" w:rsidRPr="00B47A14" w:rsidRDefault="00312FE7" w:rsidP="00312FE7">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52" w:type="dxa"/>
            <w:tcBorders>
              <w:top w:val="nil"/>
              <w:left w:val="nil"/>
              <w:bottom w:val="nil"/>
              <w:right w:val="single" w:sz="4" w:space="0" w:color="auto"/>
            </w:tcBorders>
            <w:shd w:val="clear" w:color="000000" w:fill="FFFFFF"/>
            <w:noWrap/>
            <w:hideMark/>
          </w:tcPr>
          <w:p w14:paraId="56818748" w14:textId="77777777" w:rsidR="00312FE7" w:rsidRPr="00B47A14" w:rsidRDefault="00312FE7" w:rsidP="00312FE7">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422FA974" w14:textId="50C28B58" w:rsidR="00312FE7" w:rsidRPr="00B47A14" w:rsidRDefault="00312FE7" w:rsidP="00312FE7">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50" w:type="dxa"/>
            <w:tcBorders>
              <w:top w:val="nil"/>
              <w:left w:val="nil"/>
              <w:bottom w:val="nil"/>
              <w:right w:val="single" w:sz="4" w:space="0" w:color="auto"/>
            </w:tcBorders>
            <w:shd w:val="clear" w:color="000000" w:fill="FFFFFF"/>
            <w:noWrap/>
            <w:hideMark/>
          </w:tcPr>
          <w:p w14:paraId="39849EE2" w14:textId="77777777" w:rsidR="00312FE7" w:rsidRPr="00B47A14" w:rsidRDefault="00312FE7" w:rsidP="00312FE7">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2FD0127A" w14:textId="3584FCF7" w:rsidR="00312FE7" w:rsidRPr="00B47A14" w:rsidRDefault="00312FE7" w:rsidP="00312FE7">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642" w:type="dxa"/>
            <w:tcBorders>
              <w:top w:val="nil"/>
              <w:left w:val="nil"/>
              <w:bottom w:val="nil"/>
              <w:right w:val="single" w:sz="4" w:space="0" w:color="auto"/>
            </w:tcBorders>
            <w:shd w:val="clear" w:color="000000" w:fill="FFFFFF"/>
            <w:noWrap/>
            <w:hideMark/>
          </w:tcPr>
          <w:p w14:paraId="5C61AC02" w14:textId="49E96047" w:rsidR="00312FE7" w:rsidRPr="00B47A14" w:rsidRDefault="00312FE7" w:rsidP="00312FE7">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vAlign w:val="bottom"/>
            <w:hideMark/>
          </w:tcPr>
          <w:p w14:paraId="2A10B2D4" w14:textId="01700AAE" w:rsidR="00312FE7" w:rsidRPr="00B47A14" w:rsidRDefault="00312FE7" w:rsidP="00312FE7">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-0.24</w:t>
            </w:r>
          </w:p>
        </w:tc>
        <w:tc>
          <w:tcPr>
            <w:tcW w:w="541" w:type="dxa"/>
            <w:tcBorders>
              <w:top w:val="nil"/>
              <w:left w:val="nil"/>
              <w:bottom w:val="nil"/>
              <w:right w:val="single" w:sz="4" w:space="0" w:color="auto"/>
            </w:tcBorders>
            <w:shd w:val="clear" w:color="000000" w:fill="FFFFFF"/>
            <w:noWrap/>
            <w:vAlign w:val="bottom"/>
            <w:hideMark/>
          </w:tcPr>
          <w:p w14:paraId="5DA92A48" w14:textId="0870D450" w:rsidR="00312FE7" w:rsidRPr="00B47A14" w:rsidRDefault="00312FE7" w:rsidP="00312FE7">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-1.33</w:t>
            </w:r>
          </w:p>
        </w:tc>
        <w:tc>
          <w:tcPr>
            <w:tcW w:w="622" w:type="dxa"/>
            <w:tcBorders>
              <w:top w:val="nil"/>
              <w:left w:val="nil"/>
              <w:bottom w:val="nil"/>
              <w:right w:val="nil"/>
            </w:tcBorders>
            <w:shd w:val="clear" w:color="000000" w:fill="FFFFFF"/>
            <w:noWrap/>
            <w:hideMark/>
          </w:tcPr>
          <w:p w14:paraId="3DC7FFFF" w14:textId="7C6303B3" w:rsidR="00312FE7" w:rsidRPr="00B47A14" w:rsidRDefault="00312FE7" w:rsidP="00312FE7">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621" w:type="dxa"/>
            <w:tcBorders>
              <w:top w:val="nil"/>
              <w:left w:val="nil"/>
              <w:bottom w:val="nil"/>
              <w:right w:val="single" w:sz="4" w:space="0" w:color="auto"/>
            </w:tcBorders>
            <w:shd w:val="clear" w:color="000000" w:fill="FFFFFF"/>
            <w:noWrap/>
            <w:hideMark/>
          </w:tcPr>
          <w:p w14:paraId="3CB4AC6F" w14:textId="77777777" w:rsidR="00312FE7" w:rsidRPr="00B47A14" w:rsidRDefault="00312FE7" w:rsidP="00312FE7">
            <w:pPr>
              <w:spacing w:after="0" w:line="240" w:lineRule="auto"/>
              <w:jc w:val="right"/>
              <w:rPr>
                <w:rFonts w:eastAsia="Times New Roman" w:cs="Times New Roman"/>
                <w:color w:val="000000"/>
                <w:kern w:val="0"/>
                <w:sz w:val="20"/>
                <w:szCs w:val="20"/>
                <w14:ligatures w14:val="none"/>
              </w:rPr>
            </w:pPr>
          </w:p>
        </w:tc>
        <w:tc>
          <w:tcPr>
            <w:tcW w:w="624" w:type="dxa"/>
            <w:tcBorders>
              <w:top w:val="nil"/>
              <w:left w:val="nil"/>
              <w:bottom w:val="nil"/>
              <w:right w:val="nil"/>
            </w:tcBorders>
            <w:shd w:val="clear" w:color="000000" w:fill="FFFFFF"/>
            <w:noWrap/>
            <w:hideMark/>
          </w:tcPr>
          <w:p w14:paraId="7A47ED25" w14:textId="63AB15F8" w:rsidR="00312FE7" w:rsidRPr="00B47A14" w:rsidRDefault="00312FE7" w:rsidP="00312FE7">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43" w:type="dxa"/>
            <w:tcBorders>
              <w:top w:val="nil"/>
              <w:left w:val="nil"/>
              <w:bottom w:val="nil"/>
              <w:right w:val="single" w:sz="4" w:space="0" w:color="auto"/>
            </w:tcBorders>
            <w:shd w:val="clear" w:color="000000" w:fill="FFFFFF"/>
            <w:noWrap/>
            <w:hideMark/>
          </w:tcPr>
          <w:p w14:paraId="3461A7F1" w14:textId="77777777" w:rsidR="00312FE7" w:rsidRPr="00B47A14" w:rsidRDefault="00312FE7" w:rsidP="00312FE7">
            <w:pPr>
              <w:spacing w:after="0" w:line="240" w:lineRule="auto"/>
              <w:jc w:val="right"/>
              <w:rPr>
                <w:rFonts w:eastAsia="Times New Roman" w:cs="Times New Roman"/>
                <w:color w:val="000000"/>
                <w:kern w:val="0"/>
                <w:sz w:val="20"/>
                <w:szCs w:val="20"/>
                <w14:ligatures w14:val="none"/>
              </w:rPr>
            </w:pPr>
          </w:p>
        </w:tc>
        <w:tc>
          <w:tcPr>
            <w:tcW w:w="630" w:type="dxa"/>
            <w:tcBorders>
              <w:top w:val="nil"/>
              <w:left w:val="nil"/>
              <w:bottom w:val="nil"/>
              <w:right w:val="nil"/>
            </w:tcBorders>
            <w:shd w:val="clear" w:color="000000" w:fill="FFFFFF"/>
            <w:noWrap/>
            <w:hideMark/>
          </w:tcPr>
          <w:p w14:paraId="21749A00" w14:textId="26D291C5" w:rsidR="00312FE7" w:rsidRPr="00B47A14" w:rsidRDefault="00312FE7" w:rsidP="00312FE7">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656" w:type="dxa"/>
            <w:tcBorders>
              <w:top w:val="nil"/>
              <w:left w:val="nil"/>
              <w:bottom w:val="nil"/>
              <w:right w:val="single" w:sz="4" w:space="0" w:color="auto"/>
            </w:tcBorders>
            <w:shd w:val="clear" w:color="000000" w:fill="FFFFFF"/>
            <w:noWrap/>
            <w:hideMark/>
          </w:tcPr>
          <w:p w14:paraId="1144B67D" w14:textId="77777777" w:rsidR="00312FE7" w:rsidRPr="00B47A14" w:rsidRDefault="00312FE7" w:rsidP="00312FE7">
            <w:pPr>
              <w:spacing w:after="0" w:line="240" w:lineRule="auto"/>
              <w:jc w:val="right"/>
              <w:rPr>
                <w:rFonts w:eastAsia="Times New Roman" w:cs="Times New Roman"/>
                <w:color w:val="000000"/>
                <w:kern w:val="0"/>
                <w:sz w:val="20"/>
                <w:szCs w:val="20"/>
                <w14:ligatures w14:val="none"/>
              </w:rPr>
            </w:pPr>
          </w:p>
        </w:tc>
        <w:tc>
          <w:tcPr>
            <w:tcW w:w="573" w:type="dxa"/>
            <w:tcBorders>
              <w:top w:val="nil"/>
              <w:left w:val="nil"/>
              <w:bottom w:val="nil"/>
              <w:right w:val="nil"/>
            </w:tcBorders>
            <w:shd w:val="clear" w:color="000000" w:fill="FFFFFF"/>
            <w:noWrap/>
            <w:hideMark/>
          </w:tcPr>
          <w:p w14:paraId="14198DA3" w14:textId="5FFF25DA" w:rsidR="00312FE7" w:rsidRPr="00B47A14" w:rsidRDefault="00312FE7" w:rsidP="00312FE7">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491" w:type="dxa"/>
            <w:tcBorders>
              <w:top w:val="nil"/>
              <w:left w:val="nil"/>
              <w:bottom w:val="nil"/>
              <w:right w:val="single" w:sz="12" w:space="0" w:color="auto"/>
            </w:tcBorders>
            <w:shd w:val="clear" w:color="000000" w:fill="FFFFFF"/>
            <w:noWrap/>
            <w:hideMark/>
          </w:tcPr>
          <w:p w14:paraId="335B70D8" w14:textId="77777777" w:rsidR="00312FE7" w:rsidRPr="00B47A14" w:rsidRDefault="00312FE7" w:rsidP="00312FE7">
            <w:pPr>
              <w:spacing w:after="0" w:line="240" w:lineRule="auto"/>
              <w:jc w:val="right"/>
              <w:rPr>
                <w:rFonts w:eastAsia="Times New Roman" w:cs="Times New Roman"/>
                <w:color w:val="000000"/>
                <w:kern w:val="0"/>
                <w:sz w:val="20"/>
                <w:szCs w:val="20"/>
                <w14:ligatures w14:val="none"/>
              </w:rPr>
            </w:pPr>
          </w:p>
        </w:tc>
      </w:tr>
      <w:tr w:rsidR="00415E12" w:rsidRPr="00B47A14" w14:paraId="14316F64" w14:textId="77777777" w:rsidTr="004C3CE3">
        <w:trPr>
          <w:gridAfter w:val="1"/>
          <w:wAfter w:w="8" w:type="dxa"/>
          <w:trHeight w:val="20"/>
          <w:jc w:val="center"/>
        </w:trPr>
        <w:tc>
          <w:tcPr>
            <w:tcW w:w="3950" w:type="dxa"/>
            <w:tcBorders>
              <w:top w:val="nil"/>
              <w:left w:val="single" w:sz="12" w:space="0" w:color="auto"/>
              <w:bottom w:val="nil"/>
              <w:right w:val="single" w:sz="12" w:space="0" w:color="auto"/>
            </w:tcBorders>
            <w:shd w:val="clear" w:color="000000" w:fill="FFFFFF"/>
            <w:noWrap/>
            <w:vAlign w:val="bottom"/>
          </w:tcPr>
          <w:p w14:paraId="5967E556" w14:textId="6C9F5356" w:rsidR="00517B4E" w:rsidRPr="00B47A14" w:rsidRDefault="00517B4E" w:rsidP="00517B4E">
            <w:pPr>
              <w:spacing w:after="0" w:line="240" w:lineRule="auto"/>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 xml:space="preserve">       Bachelor</w:t>
            </w:r>
            <w:r w:rsidR="004A258E">
              <w:rPr>
                <w:rFonts w:eastAsia="Times New Roman" w:cs="Times New Roman"/>
                <w:color w:val="000000"/>
                <w:kern w:val="0"/>
                <w:sz w:val="20"/>
                <w:szCs w:val="20"/>
                <w14:ligatures w14:val="none"/>
              </w:rPr>
              <w:t>’</w:t>
            </w:r>
            <w:r w:rsidRPr="00B47A14">
              <w:rPr>
                <w:rFonts w:eastAsia="Times New Roman" w:cs="Times New Roman"/>
                <w:color w:val="000000"/>
                <w:kern w:val="0"/>
                <w:sz w:val="20"/>
                <w:szCs w:val="20"/>
                <w14:ligatures w14:val="none"/>
              </w:rPr>
              <w:t>s degree * Children</w:t>
            </w:r>
          </w:p>
        </w:tc>
        <w:tc>
          <w:tcPr>
            <w:tcW w:w="622" w:type="dxa"/>
            <w:tcBorders>
              <w:top w:val="nil"/>
              <w:left w:val="single" w:sz="12" w:space="0" w:color="auto"/>
              <w:bottom w:val="nil"/>
              <w:right w:val="nil"/>
            </w:tcBorders>
            <w:shd w:val="clear" w:color="000000" w:fill="FFFFFF"/>
            <w:noWrap/>
          </w:tcPr>
          <w:p w14:paraId="01D5FFD8" w14:textId="4AFD7DC0" w:rsidR="00517B4E" w:rsidRPr="00B47A14" w:rsidRDefault="00517B4E" w:rsidP="00517B4E">
            <w:pPr>
              <w:spacing w:after="0" w:line="240" w:lineRule="auto"/>
              <w:jc w:val="right"/>
              <w:rPr>
                <w:rFonts w:cs="Times New Roman"/>
                <w:sz w:val="20"/>
                <w:szCs w:val="20"/>
              </w:rPr>
            </w:pPr>
            <w:r w:rsidRPr="00B47A14">
              <w:rPr>
                <w:rFonts w:cs="Times New Roman"/>
                <w:sz w:val="20"/>
                <w:szCs w:val="20"/>
              </w:rPr>
              <w:t>--</w:t>
            </w:r>
          </w:p>
        </w:tc>
        <w:tc>
          <w:tcPr>
            <w:tcW w:w="550" w:type="dxa"/>
            <w:tcBorders>
              <w:top w:val="nil"/>
              <w:left w:val="nil"/>
              <w:bottom w:val="nil"/>
              <w:right w:val="single" w:sz="4" w:space="0" w:color="auto"/>
            </w:tcBorders>
            <w:shd w:val="clear" w:color="000000" w:fill="FFFFFF"/>
            <w:noWrap/>
          </w:tcPr>
          <w:p w14:paraId="09C4AEA7" w14:textId="77777777" w:rsidR="00517B4E" w:rsidRPr="00B47A14" w:rsidRDefault="00517B4E" w:rsidP="00517B4E">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tcPr>
          <w:p w14:paraId="596D0473" w14:textId="481C68B5" w:rsidR="00517B4E" w:rsidRPr="00B47A14" w:rsidRDefault="00517B4E" w:rsidP="00517B4E">
            <w:pPr>
              <w:spacing w:after="0" w:line="240" w:lineRule="auto"/>
              <w:jc w:val="right"/>
              <w:rPr>
                <w:rFonts w:cs="Times New Roman"/>
                <w:sz w:val="20"/>
                <w:szCs w:val="20"/>
              </w:rPr>
            </w:pPr>
            <w:r w:rsidRPr="00B47A14">
              <w:rPr>
                <w:rFonts w:cs="Times New Roman"/>
                <w:sz w:val="20"/>
                <w:szCs w:val="20"/>
              </w:rPr>
              <w:t>--</w:t>
            </w:r>
          </w:p>
        </w:tc>
        <w:tc>
          <w:tcPr>
            <w:tcW w:w="552" w:type="dxa"/>
            <w:tcBorders>
              <w:top w:val="nil"/>
              <w:left w:val="nil"/>
              <w:bottom w:val="nil"/>
              <w:right w:val="single" w:sz="4" w:space="0" w:color="auto"/>
            </w:tcBorders>
            <w:shd w:val="clear" w:color="000000" w:fill="FFFFFF"/>
            <w:noWrap/>
          </w:tcPr>
          <w:p w14:paraId="4650A10F" w14:textId="77777777" w:rsidR="00517B4E" w:rsidRPr="00B47A14" w:rsidRDefault="00517B4E" w:rsidP="00517B4E">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tcPr>
          <w:p w14:paraId="1E3F9F95" w14:textId="15366718" w:rsidR="00517B4E" w:rsidRPr="00B47A14" w:rsidRDefault="00517B4E" w:rsidP="00517B4E">
            <w:pPr>
              <w:spacing w:after="0" w:line="240" w:lineRule="auto"/>
              <w:jc w:val="right"/>
              <w:rPr>
                <w:rFonts w:cs="Times New Roman"/>
                <w:sz w:val="20"/>
                <w:szCs w:val="20"/>
              </w:rPr>
            </w:pPr>
            <w:r w:rsidRPr="00B47A14">
              <w:rPr>
                <w:rFonts w:cs="Times New Roman"/>
                <w:sz w:val="20"/>
                <w:szCs w:val="20"/>
              </w:rPr>
              <w:t>--</w:t>
            </w:r>
          </w:p>
        </w:tc>
        <w:tc>
          <w:tcPr>
            <w:tcW w:w="550" w:type="dxa"/>
            <w:tcBorders>
              <w:top w:val="nil"/>
              <w:left w:val="nil"/>
              <w:bottom w:val="nil"/>
              <w:right w:val="single" w:sz="4" w:space="0" w:color="auto"/>
            </w:tcBorders>
            <w:shd w:val="clear" w:color="000000" w:fill="FFFFFF"/>
            <w:noWrap/>
          </w:tcPr>
          <w:p w14:paraId="09D9D686" w14:textId="77777777" w:rsidR="00517B4E" w:rsidRPr="00B47A14" w:rsidRDefault="00517B4E" w:rsidP="00517B4E">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tcPr>
          <w:p w14:paraId="0507796C" w14:textId="079F189B" w:rsidR="00517B4E" w:rsidRPr="00B47A14" w:rsidRDefault="00517B4E" w:rsidP="00517B4E">
            <w:pPr>
              <w:spacing w:after="0" w:line="240" w:lineRule="auto"/>
              <w:jc w:val="right"/>
              <w:rPr>
                <w:rFonts w:cs="Times New Roman"/>
                <w:sz w:val="20"/>
                <w:szCs w:val="20"/>
              </w:rPr>
            </w:pPr>
            <w:r w:rsidRPr="00B47A14">
              <w:rPr>
                <w:rFonts w:cs="Times New Roman"/>
                <w:sz w:val="20"/>
                <w:szCs w:val="20"/>
              </w:rPr>
              <w:t>--</w:t>
            </w:r>
          </w:p>
        </w:tc>
        <w:tc>
          <w:tcPr>
            <w:tcW w:w="642" w:type="dxa"/>
            <w:tcBorders>
              <w:top w:val="nil"/>
              <w:left w:val="nil"/>
              <w:bottom w:val="nil"/>
              <w:right w:val="single" w:sz="4" w:space="0" w:color="auto"/>
            </w:tcBorders>
            <w:shd w:val="clear" w:color="000000" w:fill="FFFFFF"/>
            <w:noWrap/>
          </w:tcPr>
          <w:p w14:paraId="0AC9D431" w14:textId="77777777" w:rsidR="00517B4E" w:rsidRPr="00B47A14" w:rsidRDefault="00517B4E" w:rsidP="00517B4E">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vAlign w:val="bottom"/>
          </w:tcPr>
          <w:p w14:paraId="7BDE18DD" w14:textId="3E3D2310" w:rsidR="00517B4E" w:rsidRPr="00B47A14" w:rsidRDefault="00517B4E" w:rsidP="00517B4E">
            <w:pPr>
              <w:spacing w:after="0" w:line="240" w:lineRule="auto"/>
              <w:jc w:val="right"/>
              <w:rPr>
                <w:rFonts w:cs="Times New Roman"/>
                <w:color w:val="000000"/>
                <w:sz w:val="20"/>
                <w:szCs w:val="20"/>
              </w:rPr>
            </w:pPr>
            <w:r w:rsidRPr="00B47A14">
              <w:rPr>
                <w:rFonts w:cs="Times New Roman"/>
                <w:color w:val="000000"/>
                <w:sz w:val="20"/>
                <w:szCs w:val="20"/>
              </w:rPr>
              <w:t>0.48</w:t>
            </w:r>
          </w:p>
        </w:tc>
        <w:tc>
          <w:tcPr>
            <w:tcW w:w="541" w:type="dxa"/>
            <w:tcBorders>
              <w:top w:val="nil"/>
              <w:left w:val="nil"/>
              <w:bottom w:val="nil"/>
              <w:right w:val="single" w:sz="4" w:space="0" w:color="auto"/>
            </w:tcBorders>
            <w:shd w:val="clear" w:color="000000" w:fill="FFFFFF"/>
            <w:noWrap/>
            <w:vAlign w:val="bottom"/>
          </w:tcPr>
          <w:p w14:paraId="126CD7EA" w14:textId="4A76FA3F" w:rsidR="00517B4E" w:rsidRPr="00B47A14" w:rsidRDefault="00517B4E" w:rsidP="00517B4E">
            <w:pPr>
              <w:spacing w:after="0" w:line="240" w:lineRule="auto"/>
              <w:jc w:val="right"/>
              <w:rPr>
                <w:rFonts w:cs="Times New Roman"/>
                <w:color w:val="000000"/>
                <w:sz w:val="20"/>
                <w:szCs w:val="20"/>
              </w:rPr>
            </w:pPr>
            <w:r w:rsidRPr="00B47A14">
              <w:rPr>
                <w:rFonts w:cs="Times New Roman"/>
                <w:color w:val="000000"/>
                <w:sz w:val="20"/>
                <w:szCs w:val="20"/>
              </w:rPr>
              <w:t>1.50</w:t>
            </w:r>
          </w:p>
        </w:tc>
        <w:tc>
          <w:tcPr>
            <w:tcW w:w="622" w:type="dxa"/>
            <w:tcBorders>
              <w:top w:val="nil"/>
              <w:left w:val="nil"/>
              <w:bottom w:val="nil"/>
              <w:right w:val="nil"/>
            </w:tcBorders>
            <w:shd w:val="clear" w:color="000000" w:fill="FFFFFF"/>
            <w:noWrap/>
          </w:tcPr>
          <w:p w14:paraId="74A3E8C6" w14:textId="08B8FFFA" w:rsidR="00517B4E" w:rsidRPr="00B47A14" w:rsidRDefault="00517B4E" w:rsidP="00517B4E">
            <w:pPr>
              <w:spacing w:after="0" w:line="240" w:lineRule="auto"/>
              <w:jc w:val="right"/>
              <w:rPr>
                <w:rFonts w:cs="Times New Roman"/>
                <w:sz w:val="20"/>
                <w:szCs w:val="20"/>
              </w:rPr>
            </w:pPr>
            <w:r w:rsidRPr="00B47A14">
              <w:rPr>
                <w:rFonts w:cs="Times New Roman"/>
                <w:sz w:val="20"/>
                <w:szCs w:val="20"/>
              </w:rPr>
              <w:t>--</w:t>
            </w:r>
          </w:p>
        </w:tc>
        <w:tc>
          <w:tcPr>
            <w:tcW w:w="621" w:type="dxa"/>
            <w:tcBorders>
              <w:top w:val="nil"/>
              <w:left w:val="nil"/>
              <w:bottom w:val="nil"/>
              <w:right w:val="single" w:sz="4" w:space="0" w:color="auto"/>
            </w:tcBorders>
            <w:shd w:val="clear" w:color="000000" w:fill="FFFFFF"/>
            <w:noWrap/>
          </w:tcPr>
          <w:p w14:paraId="4F25D9AF" w14:textId="77777777" w:rsidR="00517B4E" w:rsidRPr="00B47A14" w:rsidRDefault="00517B4E" w:rsidP="00517B4E">
            <w:pPr>
              <w:spacing w:after="0" w:line="240" w:lineRule="auto"/>
              <w:jc w:val="right"/>
              <w:rPr>
                <w:rFonts w:eastAsia="Times New Roman" w:cs="Times New Roman"/>
                <w:color w:val="000000"/>
                <w:kern w:val="0"/>
                <w:sz w:val="20"/>
                <w:szCs w:val="20"/>
                <w14:ligatures w14:val="none"/>
              </w:rPr>
            </w:pPr>
          </w:p>
        </w:tc>
        <w:tc>
          <w:tcPr>
            <w:tcW w:w="624" w:type="dxa"/>
            <w:tcBorders>
              <w:top w:val="nil"/>
              <w:left w:val="nil"/>
              <w:bottom w:val="nil"/>
              <w:right w:val="nil"/>
            </w:tcBorders>
            <w:shd w:val="clear" w:color="000000" w:fill="FFFFFF"/>
            <w:noWrap/>
          </w:tcPr>
          <w:p w14:paraId="7A1CDBD2" w14:textId="1CD730DF" w:rsidR="00517B4E" w:rsidRPr="00B47A14" w:rsidRDefault="00517B4E" w:rsidP="00517B4E">
            <w:pPr>
              <w:spacing w:after="0" w:line="240" w:lineRule="auto"/>
              <w:jc w:val="right"/>
              <w:rPr>
                <w:rFonts w:cs="Times New Roman"/>
                <w:sz w:val="20"/>
                <w:szCs w:val="20"/>
              </w:rPr>
            </w:pPr>
            <w:r w:rsidRPr="00B47A14">
              <w:rPr>
                <w:rFonts w:cs="Times New Roman"/>
                <w:sz w:val="20"/>
                <w:szCs w:val="20"/>
              </w:rPr>
              <w:t>--</w:t>
            </w:r>
          </w:p>
        </w:tc>
        <w:tc>
          <w:tcPr>
            <w:tcW w:w="543" w:type="dxa"/>
            <w:tcBorders>
              <w:top w:val="nil"/>
              <w:left w:val="nil"/>
              <w:bottom w:val="nil"/>
              <w:right w:val="single" w:sz="4" w:space="0" w:color="auto"/>
            </w:tcBorders>
            <w:shd w:val="clear" w:color="000000" w:fill="FFFFFF"/>
            <w:noWrap/>
          </w:tcPr>
          <w:p w14:paraId="402A11E8" w14:textId="77777777" w:rsidR="00517B4E" w:rsidRPr="00B47A14" w:rsidRDefault="00517B4E" w:rsidP="00517B4E">
            <w:pPr>
              <w:spacing w:after="0" w:line="240" w:lineRule="auto"/>
              <w:jc w:val="right"/>
              <w:rPr>
                <w:rFonts w:eastAsia="Times New Roman" w:cs="Times New Roman"/>
                <w:color w:val="000000"/>
                <w:kern w:val="0"/>
                <w:sz w:val="20"/>
                <w:szCs w:val="20"/>
                <w14:ligatures w14:val="none"/>
              </w:rPr>
            </w:pPr>
          </w:p>
        </w:tc>
        <w:tc>
          <w:tcPr>
            <w:tcW w:w="630" w:type="dxa"/>
            <w:tcBorders>
              <w:top w:val="nil"/>
              <w:left w:val="nil"/>
              <w:bottom w:val="nil"/>
              <w:right w:val="nil"/>
            </w:tcBorders>
            <w:shd w:val="clear" w:color="000000" w:fill="FFFFFF"/>
            <w:noWrap/>
          </w:tcPr>
          <w:p w14:paraId="28FDCC9F" w14:textId="27825A08" w:rsidR="00517B4E" w:rsidRPr="00B47A14" w:rsidRDefault="00517B4E" w:rsidP="00517B4E">
            <w:pPr>
              <w:spacing w:after="0" w:line="240" w:lineRule="auto"/>
              <w:jc w:val="right"/>
              <w:rPr>
                <w:rFonts w:cs="Times New Roman"/>
                <w:sz w:val="20"/>
                <w:szCs w:val="20"/>
              </w:rPr>
            </w:pPr>
            <w:r w:rsidRPr="00B47A14">
              <w:rPr>
                <w:rFonts w:cs="Times New Roman"/>
                <w:sz w:val="20"/>
                <w:szCs w:val="20"/>
              </w:rPr>
              <w:t>--</w:t>
            </w:r>
          </w:p>
        </w:tc>
        <w:tc>
          <w:tcPr>
            <w:tcW w:w="656" w:type="dxa"/>
            <w:tcBorders>
              <w:top w:val="nil"/>
              <w:left w:val="nil"/>
              <w:bottom w:val="nil"/>
              <w:right w:val="single" w:sz="4" w:space="0" w:color="auto"/>
            </w:tcBorders>
            <w:shd w:val="clear" w:color="000000" w:fill="FFFFFF"/>
            <w:noWrap/>
          </w:tcPr>
          <w:p w14:paraId="2B9FB359" w14:textId="77777777" w:rsidR="00517B4E" w:rsidRPr="00B47A14" w:rsidRDefault="00517B4E" w:rsidP="00517B4E">
            <w:pPr>
              <w:spacing w:after="0" w:line="240" w:lineRule="auto"/>
              <w:jc w:val="right"/>
              <w:rPr>
                <w:rFonts w:eastAsia="Times New Roman" w:cs="Times New Roman"/>
                <w:color w:val="000000"/>
                <w:kern w:val="0"/>
                <w:sz w:val="20"/>
                <w:szCs w:val="20"/>
                <w14:ligatures w14:val="none"/>
              </w:rPr>
            </w:pPr>
          </w:p>
        </w:tc>
        <w:tc>
          <w:tcPr>
            <w:tcW w:w="573" w:type="dxa"/>
            <w:tcBorders>
              <w:top w:val="nil"/>
              <w:left w:val="nil"/>
              <w:bottom w:val="nil"/>
              <w:right w:val="nil"/>
            </w:tcBorders>
            <w:shd w:val="clear" w:color="000000" w:fill="FFFFFF"/>
            <w:noWrap/>
          </w:tcPr>
          <w:p w14:paraId="28B03107" w14:textId="4EC4AA5D" w:rsidR="00517B4E" w:rsidRPr="00B47A14" w:rsidRDefault="00517B4E" w:rsidP="00517B4E">
            <w:pPr>
              <w:spacing w:after="0" w:line="240" w:lineRule="auto"/>
              <w:jc w:val="right"/>
              <w:rPr>
                <w:rFonts w:cs="Times New Roman"/>
                <w:sz w:val="20"/>
                <w:szCs w:val="20"/>
              </w:rPr>
            </w:pPr>
            <w:r w:rsidRPr="00B47A14">
              <w:rPr>
                <w:rFonts w:cs="Times New Roman"/>
                <w:sz w:val="20"/>
                <w:szCs w:val="20"/>
              </w:rPr>
              <w:t>--</w:t>
            </w:r>
          </w:p>
        </w:tc>
        <w:tc>
          <w:tcPr>
            <w:tcW w:w="491" w:type="dxa"/>
            <w:tcBorders>
              <w:top w:val="nil"/>
              <w:left w:val="nil"/>
              <w:bottom w:val="nil"/>
              <w:right w:val="single" w:sz="12" w:space="0" w:color="auto"/>
            </w:tcBorders>
            <w:shd w:val="clear" w:color="000000" w:fill="FFFFFF"/>
            <w:noWrap/>
          </w:tcPr>
          <w:p w14:paraId="0A55AF44" w14:textId="77777777" w:rsidR="00517B4E" w:rsidRPr="00B47A14" w:rsidRDefault="00517B4E" w:rsidP="00517B4E">
            <w:pPr>
              <w:spacing w:after="0" w:line="240" w:lineRule="auto"/>
              <w:jc w:val="right"/>
              <w:rPr>
                <w:rFonts w:eastAsia="Times New Roman" w:cs="Times New Roman"/>
                <w:color w:val="000000"/>
                <w:kern w:val="0"/>
                <w:sz w:val="20"/>
                <w:szCs w:val="20"/>
                <w14:ligatures w14:val="none"/>
              </w:rPr>
            </w:pPr>
          </w:p>
        </w:tc>
      </w:tr>
      <w:tr w:rsidR="00415E12" w:rsidRPr="00B47A14" w14:paraId="0633B8B5" w14:textId="77777777" w:rsidTr="004C3CE3">
        <w:trPr>
          <w:gridAfter w:val="1"/>
          <w:wAfter w:w="8" w:type="dxa"/>
          <w:trHeight w:val="20"/>
          <w:jc w:val="center"/>
        </w:trPr>
        <w:tc>
          <w:tcPr>
            <w:tcW w:w="3950" w:type="dxa"/>
            <w:tcBorders>
              <w:top w:val="nil"/>
              <w:left w:val="single" w:sz="12" w:space="0" w:color="auto"/>
              <w:bottom w:val="nil"/>
              <w:right w:val="single" w:sz="12" w:space="0" w:color="auto"/>
            </w:tcBorders>
            <w:shd w:val="clear" w:color="000000" w:fill="FFFFFF"/>
            <w:noWrap/>
            <w:vAlign w:val="bottom"/>
            <w:hideMark/>
          </w:tcPr>
          <w:p w14:paraId="14D27610" w14:textId="1A522705" w:rsidR="00F85CDC" w:rsidRPr="00B47A14" w:rsidRDefault="00F85CDC" w:rsidP="00F85CDC">
            <w:pPr>
              <w:spacing w:after="0" w:line="240" w:lineRule="auto"/>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 xml:space="preserve">       Bachelor</w:t>
            </w:r>
            <w:r w:rsidR="004A258E">
              <w:rPr>
                <w:rFonts w:eastAsia="Times New Roman" w:cs="Times New Roman"/>
                <w:color w:val="000000"/>
                <w:kern w:val="0"/>
                <w:sz w:val="20"/>
                <w:szCs w:val="20"/>
                <w14:ligatures w14:val="none"/>
              </w:rPr>
              <w:t>’</w:t>
            </w:r>
            <w:r w:rsidRPr="00B47A14">
              <w:rPr>
                <w:rFonts w:eastAsia="Times New Roman" w:cs="Times New Roman"/>
                <w:color w:val="000000"/>
                <w:kern w:val="0"/>
                <w:sz w:val="20"/>
                <w:szCs w:val="20"/>
                <w14:ligatures w14:val="none"/>
              </w:rPr>
              <w:t>s degree *</w:t>
            </w:r>
            <w:r w:rsidR="00FB4B5D">
              <w:rPr>
                <w:rFonts w:eastAsia="Times New Roman" w:cs="Times New Roman"/>
                <w:color w:val="000000"/>
                <w:kern w:val="0"/>
                <w:sz w:val="20"/>
                <w:szCs w:val="20"/>
                <w14:ligatures w14:val="none"/>
              </w:rPr>
              <w:t xml:space="preserve"> </w:t>
            </w:r>
            <w:r w:rsidR="00A77082">
              <w:rPr>
                <w:rFonts w:eastAsia="Times New Roman" w:cs="Times New Roman"/>
                <w:color w:val="000000"/>
                <w:kern w:val="0"/>
                <w:sz w:val="20"/>
                <w:szCs w:val="20"/>
                <w14:ligatures w14:val="none"/>
              </w:rPr>
              <w:t>During-</w:t>
            </w:r>
            <w:r w:rsidR="00A77082" w:rsidRPr="00B47A14">
              <w:rPr>
                <w:rFonts w:eastAsia="Times New Roman" w:cs="Times New Roman"/>
                <w:color w:val="000000"/>
                <w:kern w:val="0"/>
                <w:sz w:val="20"/>
                <w:szCs w:val="20"/>
                <w14:ligatures w14:val="none"/>
              </w:rPr>
              <w:t xml:space="preserve">COVID </w:t>
            </w:r>
            <w:r w:rsidRPr="00B47A14">
              <w:rPr>
                <w:rFonts w:eastAsia="Times New Roman" w:cs="Times New Roman"/>
                <w:color w:val="000000"/>
                <w:kern w:val="0"/>
                <w:sz w:val="20"/>
                <w:szCs w:val="20"/>
                <w14:ligatures w14:val="none"/>
              </w:rPr>
              <w:t>Effect</w:t>
            </w:r>
          </w:p>
        </w:tc>
        <w:tc>
          <w:tcPr>
            <w:tcW w:w="622" w:type="dxa"/>
            <w:tcBorders>
              <w:top w:val="nil"/>
              <w:left w:val="single" w:sz="12" w:space="0" w:color="auto"/>
              <w:bottom w:val="nil"/>
              <w:right w:val="nil"/>
            </w:tcBorders>
            <w:shd w:val="clear" w:color="000000" w:fill="FFFFFF"/>
            <w:noWrap/>
            <w:hideMark/>
          </w:tcPr>
          <w:p w14:paraId="690812B6" w14:textId="183663B3"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50" w:type="dxa"/>
            <w:tcBorders>
              <w:top w:val="nil"/>
              <w:left w:val="nil"/>
              <w:bottom w:val="nil"/>
              <w:right w:val="single" w:sz="4" w:space="0" w:color="auto"/>
            </w:tcBorders>
            <w:shd w:val="clear" w:color="000000" w:fill="FFFFFF"/>
            <w:noWrap/>
            <w:hideMark/>
          </w:tcPr>
          <w:p w14:paraId="75C2B438" w14:textId="77777777" w:rsidR="00F85CDC" w:rsidRPr="00B47A14" w:rsidRDefault="00F85CDC" w:rsidP="00F85CDC">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4988BBF5" w14:textId="5D754C2C"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52" w:type="dxa"/>
            <w:tcBorders>
              <w:top w:val="nil"/>
              <w:left w:val="nil"/>
              <w:bottom w:val="nil"/>
              <w:right w:val="single" w:sz="4" w:space="0" w:color="auto"/>
            </w:tcBorders>
            <w:shd w:val="clear" w:color="000000" w:fill="FFFFFF"/>
            <w:noWrap/>
            <w:hideMark/>
          </w:tcPr>
          <w:p w14:paraId="1D9F8A56" w14:textId="77777777" w:rsidR="00F85CDC" w:rsidRPr="00B47A14" w:rsidRDefault="00F85CDC" w:rsidP="00F85CDC">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0C8AC10A" w14:textId="03569C65"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50" w:type="dxa"/>
            <w:tcBorders>
              <w:top w:val="nil"/>
              <w:left w:val="nil"/>
              <w:bottom w:val="nil"/>
              <w:right w:val="single" w:sz="4" w:space="0" w:color="auto"/>
            </w:tcBorders>
            <w:shd w:val="clear" w:color="000000" w:fill="FFFFFF"/>
            <w:noWrap/>
            <w:hideMark/>
          </w:tcPr>
          <w:p w14:paraId="421C4E29" w14:textId="77777777" w:rsidR="00F85CDC" w:rsidRPr="00B47A14" w:rsidRDefault="00F85CDC" w:rsidP="00F85CDC">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52EF5735" w14:textId="0B906CBE"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642" w:type="dxa"/>
            <w:tcBorders>
              <w:top w:val="nil"/>
              <w:left w:val="nil"/>
              <w:bottom w:val="nil"/>
              <w:right w:val="single" w:sz="4" w:space="0" w:color="auto"/>
            </w:tcBorders>
            <w:shd w:val="clear" w:color="000000" w:fill="FFFFFF"/>
            <w:noWrap/>
            <w:hideMark/>
          </w:tcPr>
          <w:p w14:paraId="42F15DB3" w14:textId="77777777" w:rsidR="00F85CDC" w:rsidRPr="00B47A14" w:rsidRDefault="00F85CDC" w:rsidP="00F85CDC">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40A486E0" w14:textId="5F1C7864"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41" w:type="dxa"/>
            <w:tcBorders>
              <w:top w:val="nil"/>
              <w:left w:val="nil"/>
              <w:bottom w:val="nil"/>
              <w:right w:val="single" w:sz="4" w:space="0" w:color="auto"/>
            </w:tcBorders>
            <w:shd w:val="clear" w:color="000000" w:fill="FFFFFF"/>
            <w:noWrap/>
            <w:hideMark/>
          </w:tcPr>
          <w:p w14:paraId="02D719F8" w14:textId="77777777" w:rsidR="00F85CDC" w:rsidRPr="00B47A14" w:rsidRDefault="00F85CDC" w:rsidP="00F85CDC">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110BE35D" w14:textId="54F97ED6"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621" w:type="dxa"/>
            <w:tcBorders>
              <w:top w:val="nil"/>
              <w:left w:val="nil"/>
              <w:bottom w:val="nil"/>
              <w:right w:val="single" w:sz="4" w:space="0" w:color="auto"/>
            </w:tcBorders>
            <w:shd w:val="clear" w:color="000000" w:fill="FFFFFF"/>
            <w:noWrap/>
            <w:hideMark/>
          </w:tcPr>
          <w:p w14:paraId="101E16F8" w14:textId="77777777" w:rsidR="00F85CDC" w:rsidRPr="00B47A14" w:rsidRDefault="00F85CDC" w:rsidP="00F85CDC">
            <w:pPr>
              <w:spacing w:after="0" w:line="240" w:lineRule="auto"/>
              <w:jc w:val="right"/>
              <w:rPr>
                <w:rFonts w:eastAsia="Times New Roman" w:cs="Times New Roman"/>
                <w:color w:val="000000"/>
                <w:kern w:val="0"/>
                <w:sz w:val="20"/>
                <w:szCs w:val="20"/>
                <w14:ligatures w14:val="none"/>
              </w:rPr>
            </w:pPr>
          </w:p>
        </w:tc>
        <w:tc>
          <w:tcPr>
            <w:tcW w:w="624" w:type="dxa"/>
            <w:tcBorders>
              <w:top w:val="nil"/>
              <w:left w:val="nil"/>
              <w:bottom w:val="nil"/>
              <w:right w:val="nil"/>
            </w:tcBorders>
            <w:shd w:val="clear" w:color="000000" w:fill="FFFFFF"/>
            <w:noWrap/>
            <w:hideMark/>
          </w:tcPr>
          <w:p w14:paraId="6D63EAB4" w14:textId="77777777" w:rsidR="00F85CDC" w:rsidRPr="00B47A14" w:rsidRDefault="00F85CDC" w:rsidP="00F85CDC">
            <w:pPr>
              <w:spacing w:after="0" w:line="240" w:lineRule="auto"/>
              <w:jc w:val="right"/>
              <w:rPr>
                <w:rFonts w:eastAsia="Times New Roman" w:cs="Times New Roman"/>
                <w:color w:val="000000"/>
                <w:kern w:val="0"/>
                <w:sz w:val="20"/>
                <w:szCs w:val="20"/>
                <w14:ligatures w14:val="none"/>
              </w:rPr>
            </w:pPr>
          </w:p>
        </w:tc>
        <w:tc>
          <w:tcPr>
            <w:tcW w:w="543" w:type="dxa"/>
            <w:tcBorders>
              <w:top w:val="nil"/>
              <w:left w:val="nil"/>
              <w:bottom w:val="nil"/>
              <w:right w:val="single" w:sz="4" w:space="0" w:color="auto"/>
            </w:tcBorders>
            <w:shd w:val="clear" w:color="000000" w:fill="FFFFFF"/>
            <w:noWrap/>
            <w:hideMark/>
          </w:tcPr>
          <w:p w14:paraId="2D2FE797" w14:textId="77777777" w:rsidR="00F85CDC" w:rsidRPr="00B47A14" w:rsidRDefault="00F85CDC" w:rsidP="00F85CDC">
            <w:pPr>
              <w:spacing w:after="0" w:line="240" w:lineRule="auto"/>
              <w:jc w:val="right"/>
              <w:rPr>
                <w:rFonts w:eastAsia="Times New Roman" w:cs="Times New Roman"/>
                <w:color w:val="000000"/>
                <w:kern w:val="0"/>
                <w:sz w:val="20"/>
                <w:szCs w:val="20"/>
                <w14:ligatures w14:val="none"/>
              </w:rPr>
            </w:pPr>
          </w:p>
        </w:tc>
        <w:tc>
          <w:tcPr>
            <w:tcW w:w="630" w:type="dxa"/>
            <w:tcBorders>
              <w:top w:val="nil"/>
              <w:left w:val="nil"/>
              <w:bottom w:val="nil"/>
              <w:right w:val="nil"/>
            </w:tcBorders>
            <w:shd w:val="clear" w:color="000000" w:fill="FFFFFF"/>
            <w:noWrap/>
            <w:vAlign w:val="bottom"/>
            <w:hideMark/>
          </w:tcPr>
          <w:p w14:paraId="21D44A6C" w14:textId="339F2DA7"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0.41</w:t>
            </w:r>
          </w:p>
        </w:tc>
        <w:tc>
          <w:tcPr>
            <w:tcW w:w="656" w:type="dxa"/>
            <w:tcBorders>
              <w:top w:val="nil"/>
              <w:left w:val="nil"/>
              <w:bottom w:val="nil"/>
              <w:right w:val="single" w:sz="4" w:space="0" w:color="auto"/>
            </w:tcBorders>
            <w:shd w:val="clear" w:color="000000" w:fill="FFFFFF"/>
            <w:noWrap/>
            <w:vAlign w:val="bottom"/>
            <w:hideMark/>
          </w:tcPr>
          <w:p w14:paraId="6837DE69" w14:textId="36B7BD81"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1.47</w:t>
            </w:r>
          </w:p>
        </w:tc>
        <w:tc>
          <w:tcPr>
            <w:tcW w:w="573" w:type="dxa"/>
            <w:tcBorders>
              <w:top w:val="nil"/>
              <w:left w:val="nil"/>
              <w:bottom w:val="nil"/>
              <w:right w:val="nil"/>
            </w:tcBorders>
            <w:shd w:val="clear" w:color="000000" w:fill="FFFFFF"/>
            <w:noWrap/>
            <w:hideMark/>
          </w:tcPr>
          <w:p w14:paraId="425C3F6E" w14:textId="7715C99B"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491" w:type="dxa"/>
            <w:tcBorders>
              <w:top w:val="nil"/>
              <w:left w:val="nil"/>
              <w:bottom w:val="nil"/>
              <w:right w:val="single" w:sz="12" w:space="0" w:color="auto"/>
            </w:tcBorders>
            <w:shd w:val="clear" w:color="000000" w:fill="FFFFFF"/>
            <w:noWrap/>
            <w:hideMark/>
          </w:tcPr>
          <w:p w14:paraId="67FA3E45" w14:textId="77777777" w:rsidR="00F85CDC" w:rsidRPr="00B47A14" w:rsidRDefault="00F85CDC" w:rsidP="00F85CDC">
            <w:pPr>
              <w:spacing w:after="0" w:line="240" w:lineRule="auto"/>
              <w:jc w:val="right"/>
              <w:rPr>
                <w:rFonts w:eastAsia="Times New Roman" w:cs="Times New Roman"/>
                <w:color w:val="000000"/>
                <w:kern w:val="0"/>
                <w:sz w:val="20"/>
                <w:szCs w:val="20"/>
                <w14:ligatures w14:val="none"/>
              </w:rPr>
            </w:pPr>
          </w:p>
        </w:tc>
      </w:tr>
      <w:tr w:rsidR="00415E12" w:rsidRPr="00B47A14" w14:paraId="3F7BE38A" w14:textId="77777777" w:rsidTr="004C3CE3">
        <w:trPr>
          <w:gridAfter w:val="1"/>
          <w:wAfter w:w="8" w:type="dxa"/>
          <w:trHeight w:val="20"/>
          <w:jc w:val="center"/>
        </w:trPr>
        <w:tc>
          <w:tcPr>
            <w:tcW w:w="3950" w:type="dxa"/>
            <w:tcBorders>
              <w:top w:val="nil"/>
              <w:left w:val="single" w:sz="12" w:space="0" w:color="auto"/>
              <w:bottom w:val="nil"/>
              <w:right w:val="single" w:sz="12" w:space="0" w:color="auto"/>
            </w:tcBorders>
            <w:shd w:val="clear" w:color="000000" w:fill="FFFFFF"/>
            <w:noWrap/>
            <w:vAlign w:val="bottom"/>
            <w:hideMark/>
          </w:tcPr>
          <w:p w14:paraId="0941B0DA" w14:textId="77777777" w:rsidR="00F85CDC" w:rsidRPr="00B47A14" w:rsidRDefault="00F85CDC" w:rsidP="00F85CDC">
            <w:pPr>
              <w:spacing w:after="0" w:line="240" w:lineRule="auto"/>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 xml:space="preserve">       Graduate degree</w:t>
            </w:r>
          </w:p>
        </w:tc>
        <w:tc>
          <w:tcPr>
            <w:tcW w:w="622" w:type="dxa"/>
            <w:tcBorders>
              <w:top w:val="nil"/>
              <w:left w:val="single" w:sz="12" w:space="0" w:color="auto"/>
              <w:bottom w:val="nil"/>
              <w:right w:val="nil"/>
            </w:tcBorders>
            <w:shd w:val="clear" w:color="000000" w:fill="FFFFFF"/>
            <w:noWrap/>
            <w:vAlign w:val="bottom"/>
            <w:hideMark/>
          </w:tcPr>
          <w:p w14:paraId="382A5E68" w14:textId="11A71655"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-0.28</w:t>
            </w:r>
          </w:p>
        </w:tc>
        <w:tc>
          <w:tcPr>
            <w:tcW w:w="550" w:type="dxa"/>
            <w:tcBorders>
              <w:top w:val="nil"/>
              <w:left w:val="nil"/>
              <w:bottom w:val="nil"/>
              <w:right w:val="single" w:sz="4" w:space="0" w:color="auto"/>
            </w:tcBorders>
            <w:shd w:val="clear" w:color="000000" w:fill="FFFFFF"/>
            <w:noWrap/>
            <w:vAlign w:val="bottom"/>
            <w:hideMark/>
          </w:tcPr>
          <w:p w14:paraId="4C7492FF" w14:textId="5B8EA8EB"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-4.51</w:t>
            </w:r>
          </w:p>
        </w:tc>
        <w:tc>
          <w:tcPr>
            <w:tcW w:w="622" w:type="dxa"/>
            <w:tcBorders>
              <w:top w:val="nil"/>
              <w:left w:val="nil"/>
              <w:bottom w:val="nil"/>
              <w:right w:val="nil"/>
            </w:tcBorders>
            <w:shd w:val="clear" w:color="000000" w:fill="FFFFFF"/>
            <w:noWrap/>
            <w:vAlign w:val="bottom"/>
            <w:hideMark/>
          </w:tcPr>
          <w:p w14:paraId="2F382AF6" w14:textId="3F2A2253"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-0.17</w:t>
            </w:r>
          </w:p>
        </w:tc>
        <w:tc>
          <w:tcPr>
            <w:tcW w:w="552" w:type="dxa"/>
            <w:tcBorders>
              <w:top w:val="nil"/>
              <w:left w:val="nil"/>
              <w:bottom w:val="nil"/>
              <w:right w:val="single" w:sz="4" w:space="0" w:color="auto"/>
            </w:tcBorders>
            <w:shd w:val="clear" w:color="000000" w:fill="FFFFFF"/>
            <w:noWrap/>
            <w:vAlign w:val="bottom"/>
            <w:hideMark/>
          </w:tcPr>
          <w:p w14:paraId="18D4EF8B" w14:textId="45D733E7"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-3.50</w:t>
            </w:r>
          </w:p>
        </w:tc>
        <w:tc>
          <w:tcPr>
            <w:tcW w:w="622" w:type="dxa"/>
            <w:tcBorders>
              <w:top w:val="nil"/>
              <w:left w:val="nil"/>
              <w:bottom w:val="nil"/>
              <w:right w:val="nil"/>
            </w:tcBorders>
            <w:shd w:val="clear" w:color="000000" w:fill="FFFFFF"/>
            <w:noWrap/>
            <w:hideMark/>
          </w:tcPr>
          <w:p w14:paraId="3BF6689C" w14:textId="1B53B478"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50" w:type="dxa"/>
            <w:tcBorders>
              <w:top w:val="nil"/>
              <w:left w:val="nil"/>
              <w:bottom w:val="nil"/>
              <w:right w:val="single" w:sz="4" w:space="0" w:color="auto"/>
            </w:tcBorders>
            <w:shd w:val="clear" w:color="000000" w:fill="FFFFFF"/>
            <w:noWrap/>
            <w:hideMark/>
          </w:tcPr>
          <w:p w14:paraId="7717FC97" w14:textId="77777777" w:rsidR="00F85CDC" w:rsidRPr="00B47A14" w:rsidRDefault="00F85CDC" w:rsidP="00F85CDC">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vAlign w:val="bottom"/>
            <w:hideMark/>
          </w:tcPr>
          <w:p w14:paraId="6E42177A" w14:textId="669C3432"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-0.13</w:t>
            </w:r>
          </w:p>
        </w:tc>
        <w:tc>
          <w:tcPr>
            <w:tcW w:w="642" w:type="dxa"/>
            <w:tcBorders>
              <w:top w:val="nil"/>
              <w:left w:val="nil"/>
              <w:bottom w:val="nil"/>
              <w:right w:val="single" w:sz="4" w:space="0" w:color="auto"/>
            </w:tcBorders>
            <w:shd w:val="clear" w:color="000000" w:fill="FFFFFF"/>
            <w:noWrap/>
            <w:vAlign w:val="bottom"/>
            <w:hideMark/>
          </w:tcPr>
          <w:p w14:paraId="788B8F70" w14:textId="278F2CC2"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-2.42</w:t>
            </w:r>
          </w:p>
        </w:tc>
        <w:tc>
          <w:tcPr>
            <w:tcW w:w="622" w:type="dxa"/>
            <w:tcBorders>
              <w:top w:val="nil"/>
              <w:left w:val="nil"/>
              <w:bottom w:val="nil"/>
              <w:right w:val="nil"/>
            </w:tcBorders>
            <w:shd w:val="clear" w:color="000000" w:fill="FFFFFF"/>
            <w:noWrap/>
            <w:vAlign w:val="bottom"/>
            <w:hideMark/>
          </w:tcPr>
          <w:p w14:paraId="1D0AC017" w14:textId="3721DCE0"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-0.32</w:t>
            </w:r>
          </w:p>
        </w:tc>
        <w:tc>
          <w:tcPr>
            <w:tcW w:w="541" w:type="dxa"/>
            <w:tcBorders>
              <w:top w:val="nil"/>
              <w:left w:val="nil"/>
              <w:bottom w:val="nil"/>
              <w:right w:val="single" w:sz="4" w:space="0" w:color="auto"/>
            </w:tcBorders>
            <w:shd w:val="clear" w:color="000000" w:fill="FFFFFF"/>
            <w:noWrap/>
            <w:vAlign w:val="bottom"/>
            <w:hideMark/>
          </w:tcPr>
          <w:p w14:paraId="4077E455" w14:textId="488FC050"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-1.49</w:t>
            </w:r>
          </w:p>
        </w:tc>
        <w:tc>
          <w:tcPr>
            <w:tcW w:w="622" w:type="dxa"/>
            <w:tcBorders>
              <w:top w:val="nil"/>
              <w:left w:val="nil"/>
              <w:bottom w:val="nil"/>
              <w:right w:val="nil"/>
            </w:tcBorders>
            <w:shd w:val="clear" w:color="000000" w:fill="FFFFFF"/>
            <w:noWrap/>
            <w:hideMark/>
          </w:tcPr>
          <w:p w14:paraId="527F70A3" w14:textId="764C1E86"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621" w:type="dxa"/>
            <w:tcBorders>
              <w:top w:val="nil"/>
              <w:left w:val="nil"/>
              <w:bottom w:val="nil"/>
              <w:right w:val="single" w:sz="4" w:space="0" w:color="auto"/>
            </w:tcBorders>
            <w:shd w:val="clear" w:color="000000" w:fill="FFFFFF"/>
            <w:noWrap/>
            <w:hideMark/>
          </w:tcPr>
          <w:p w14:paraId="7E10FC4C" w14:textId="613BF6C2" w:rsidR="00F85CDC" w:rsidRPr="00B47A14" w:rsidRDefault="00F85CDC" w:rsidP="00F85CDC">
            <w:pPr>
              <w:spacing w:after="0" w:line="240" w:lineRule="auto"/>
              <w:jc w:val="right"/>
              <w:rPr>
                <w:rFonts w:eastAsia="Times New Roman" w:cs="Times New Roman"/>
                <w:color w:val="000000"/>
                <w:kern w:val="0"/>
                <w:sz w:val="20"/>
                <w:szCs w:val="20"/>
                <w14:ligatures w14:val="none"/>
              </w:rPr>
            </w:pPr>
          </w:p>
        </w:tc>
        <w:tc>
          <w:tcPr>
            <w:tcW w:w="624" w:type="dxa"/>
            <w:tcBorders>
              <w:top w:val="nil"/>
              <w:left w:val="nil"/>
              <w:bottom w:val="nil"/>
              <w:right w:val="nil"/>
            </w:tcBorders>
            <w:shd w:val="clear" w:color="000000" w:fill="FFFFFF"/>
            <w:noWrap/>
            <w:hideMark/>
          </w:tcPr>
          <w:p w14:paraId="6CABDCB4" w14:textId="3BC4439F"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43" w:type="dxa"/>
            <w:tcBorders>
              <w:top w:val="nil"/>
              <w:left w:val="nil"/>
              <w:bottom w:val="nil"/>
              <w:right w:val="single" w:sz="4" w:space="0" w:color="auto"/>
            </w:tcBorders>
            <w:shd w:val="clear" w:color="000000" w:fill="FFFFFF"/>
            <w:noWrap/>
            <w:hideMark/>
          </w:tcPr>
          <w:p w14:paraId="183ED137" w14:textId="77777777" w:rsidR="00F85CDC" w:rsidRPr="00B47A14" w:rsidRDefault="00F85CDC" w:rsidP="00F85CDC">
            <w:pPr>
              <w:spacing w:after="0" w:line="240" w:lineRule="auto"/>
              <w:jc w:val="right"/>
              <w:rPr>
                <w:rFonts w:eastAsia="Times New Roman" w:cs="Times New Roman"/>
                <w:color w:val="000000"/>
                <w:kern w:val="0"/>
                <w:sz w:val="20"/>
                <w:szCs w:val="20"/>
                <w14:ligatures w14:val="none"/>
              </w:rPr>
            </w:pPr>
          </w:p>
        </w:tc>
        <w:tc>
          <w:tcPr>
            <w:tcW w:w="630" w:type="dxa"/>
            <w:tcBorders>
              <w:top w:val="nil"/>
              <w:left w:val="nil"/>
              <w:bottom w:val="nil"/>
              <w:right w:val="nil"/>
            </w:tcBorders>
            <w:shd w:val="clear" w:color="000000" w:fill="FFFFFF"/>
            <w:noWrap/>
            <w:hideMark/>
          </w:tcPr>
          <w:p w14:paraId="3CECED25" w14:textId="390A95BD"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656" w:type="dxa"/>
            <w:tcBorders>
              <w:top w:val="nil"/>
              <w:left w:val="nil"/>
              <w:bottom w:val="nil"/>
              <w:right w:val="single" w:sz="4" w:space="0" w:color="auto"/>
            </w:tcBorders>
            <w:shd w:val="clear" w:color="000000" w:fill="FFFFFF"/>
            <w:noWrap/>
            <w:hideMark/>
          </w:tcPr>
          <w:p w14:paraId="685266D3" w14:textId="77777777" w:rsidR="00F85CDC" w:rsidRPr="00B47A14" w:rsidRDefault="00F85CDC" w:rsidP="00F85CDC">
            <w:pPr>
              <w:spacing w:after="0" w:line="240" w:lineRule="auto"/>
              <w:jc w:val="right"/>
              <w:rPr>
                <w:rFonts w:eastAsia="Times New Roman" w:cs="Times New Roman"/>
                <w:color w:val="000000"/>
                <w:kern w:val="0"/>
                <w:sz w:val="20"/>
                <w:szCs w:val="20"/>
                <w14:ligatures w14:val="none"/>
              </w:rPr>
            </w:pPr>
          </w:p>
        </w:tc>
        <w:tc>
          <w:tcPr>
            <w:tcW w:w="573" w:type="dxa"/>
            <w:tcBorders>
              <w:top w:val="nil"/>
              <w:left w:val="nil"/>
              <w:bottom w:val="nil"/>
              <w:right w:val="nil"/>
            </w:tcBorders>
            <w:shd w:val="clear" w:color="000000" w:fill="FFFFFF"/>
            <w:noWrap/>
            <w:hideMark/>
          </w:tcPr>
          <w:p w14:paraId="3C3FAA4F" w14:textId="589408B1"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491" w:type="dxa"/>
            <w:tcBorders>
              <w:top w:val="nil"/>
              <w:left w:val="nil"/>
              <w:bottom w:val="nil"/>
              <w:right w:val="single" w:sz="12" w:space="0" w:color="auto"/>
            </w:tcBorders>
            <w:shd w:val="clear" w:color="000000" w:fill="FFFFFF"/>
            <w:noWrap/>
            <w:hideMark/>
          </w:tcPr>
          <w:p w14:paraId="717563A0" w14:textId="77777777" w:rsidR="00F85CDC" w:rsidRPr="00B47A14" w:rsidRDefault="00F85CDC" w:rsidP="00F85CDC">
            <w:pPr>
              <w:spacing w:after="0" w:line="240" w:lineRule="auto"/>
              <w:jc w:val="right"/>
              <w:rPr>
                <w:rFonts w:eastAsia="Times New Roman" w:cs="Times New Roman"/>
                <w:color w:val="000000"/>
                <w:kern w:val="0"/>
                <w:sz w:val="20"/>
                <w:szCs w:val="20"/>
                <w14:ligatures w14:val="none"/>
              </w:rPr>
            </w:pPr>
          </w:p>
        </w:tc>
      </w:tr>
      <w:tr w:rsidR="00415E12" w:rsidRPr="00B47A14" w14:paraId="2FD056E6" w14:textId="77777777" w:rsidTr="004C3CE3">
        <w:trPr>
          <w:gridAfter w:val="1"/>
          <w:wAfter w:w="8" w:type="dxa"/>
          <w:trHeight w:val="20"/>
          <w:jc w:val="center"/>
        </w:trPr>
        <w:tc>
          <w:tcPr>
            <w:tcW w:w="3950" w:type="dxa"/>
            <w:tcBorders>
              <w:top w:val="nil"/>
              <w:left w:val="single" w:sz="12" w:space="0" w:color="auto"/>
              <w:bottom w:val="nil"/>
              <w:right w:val="single" w:sz="12" w:space="0" w:color="auto"/>
            </w:tcBorders>
            <w:shd w:val="clear" w:color="000000" w:fill="FFFFFF"/>
            <w:noWrap/>
            <w:vAlign w:val="bottom"/>
          </w:tcPr>
          <w:p w14:paraId="20CF25FF" w14:textId="060D9C2D" w:rsidR="00517B4E" w:rsidRPr="00B47A14" w:rsidRDefault="00517B4E" w:rsidP="00517B4E">
            <w:pPr>
              <w:spacing w:after="0" w:line="240" w:lineRule="auto"/>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 xml:space="preserve">       Graduate degree * Children</w:t>
            </w:r>
          </w:p>
        </w:tc>
        <w:tc>
          <w:tcPr>
            <w:tcW w:w="622" w:type="dxa"/>
            <w:tcBorders>
              <w:top w:val="nil"/>
              <w:left w:val="single" w:sz="12" w:space="0" w:color="auto"/>
              <w:bottom w:val="nil"/>
              <w:right w:val="nil"/>
            </w:tcBorders>
            <w:shd w:val="clear" w:color="000000" w:fill="FFFFFF"/>
            <w:noWrap/>
          </w:tcPr>
          <w:p w14:paraId="45F17543" w14:textId="576A3EE3" w:rsidR="00517B4E" w:rsidRPr="00B47A14" w:rsidRDefault="00517B4E" w:rsidP="00517B4E">
            <w:pPr>
              <w:spacing w:after="0" w:line="240" w:lineRule="auto"/>
              <w:jc w:val="right"/>
              <w:rPr>
                <w:rFonts w:cs="Times New Roman"/>
                <w:color w:val="000000"/>
                <w:sz w:val="20"/>
                <w:szCs w:val="20"/>
              </w:rPr>
            </w:pPr>
            <w:r w:rsidRPr="00B47A14">
              <w:rPr>
                <w:rFonts w:cs="Times New Roman"/>
                <w:sz w:val="20"/>
                <w:szCs w:val="20"/>
              </w:rPr>
              <w:t>--</w:t>
            </w:r>
          </w:p>
        </w:tc>
        <w:tc>
          <w:tcPr>
            <w:tcW w:w="550" w:type="dxa"/>
            <w:tcBorders>
              <w:top w:val="nil"/>
              <w:left w:val="nil"/>
              <w:bottom w:val="nil"/>
              <w:right w:val="single" w:sz="4" w:space="0" w:color="auto"/>
            </w:tcBorders>
            <w:shd w:val="clear" w:color="000000" w:fill="FFFFFF"/>
            <w:noWrap/>
          </w:tcPr>
          <w:p w14:paraId="5B2C6C12" w14:textId="77777777" w:rsidR="00517B4E" w:rsidRPr="00B47A14" w:rsidRDefault="00517B4E" w:rsidP="00517B4E">
            <w:pPr>
              <w:spacing w:after="0" w:line="240" w:lineRule="auto"/>
              <w:jc w:val="right"/>
              <w:rPr>
                <w:rFonts w:cs="Times New Roman"/>
                <w:color w:val="000000"/>
                <w:sz w:val="20"/>
                <w:szCs w:val="20"/>
              </w:rPr>
            </w:pPr>
          </w:p>
        </w:tc>
        <w:tc>
          <w:tcPr>
            <w:tcW w:w="622" w:type="dxa"/>
            <w:tcBorders>
              <w:top w:val="nil"/>
              <w:left w:val="nil"/>
              <w:bottom w:val="nil"/>
              <w:right w:val="nil"/>
            </w:tcBorders>
            <w:shd w:val="clear" w:color="000000" w:fill="FFFFFF"/>
            <w:noWrap/>
          </w:tcPr>
          <w:p w14:paraId="523ADB7C" w14:textId="56EBC931" w:rsidR="00517B4E" w:rsidRPr="00B47A14" w:rsidRDefault="00517B4E" w:rsidP="00517B4E">
            <w:pPr>
              <w:spacing w:after="0" w:line="240" w:lineRule="auto"/>
              <w:jc w:val="right"/>
              <w:rPr>
                <w:rFonts w:cs="Times New Roman"/>
                <w:color w:val="000000"/>
                <w:sz w:val="20"/>
                <w:szCs w:val="20"/>
              </w:rPr>
            </w:pPr>
            <w:r w:rsidRPr="00B47A14">
              <w:rPr>
                <w:rFonts w:cs="Times New Roman"/>
                <w:sz w:val="20"/>
                <w:szCs w:val="20"/>
              </w:rPr>
              <w:t>--</w:t>
            </w:r>
          </w:p>
        </w:tc>
        <w:tc>
          <w:tcPr>
            <w:tcW w:w="552" w:type="dxa"/>
            <w:tcBorders>
              <w:top w:val="nil"/>
              <w:left w:val="nil"/>
              <w:bottom w:val="nil"/>
              <w:right w:val="single" w:sz="4" w:space="0" w:color="auto"/>
            </w:tcBorders>
            <w:shd w:val="clear" w:color="000000" w:fill="FFFFFF"/>
            <w:noWrap/>
          </w:tcPr>
          <w:p w14:paraId="370301EF" w14:textId="77777777" w:rsidR="00517B4E" w:rsidRPr="00B47A14" w:rsidRDefault="00517B4E" w:rsidP="00517B4E">
            <w:pPr>
              <w:spacing w:after="0" w:line="240" w:lineRule="auto"/>
              <w:jc w:val="right"/>
              <w:rPr>
                <w:rFonts w:cs="Times New Roman"/>
                <w:color w:val="000000"/>
                <w:sz w:val="20"/>
                <w:szCs w:val="20"/>
              </w:rPr>
            </w:pPr>
          </w:p>
        </w:tc>
        <w:tc>
          <w:tcPr>
            <w:tcW w:w="622" w:type="dxa"/>
            <w:tcBorders>
              <w:top w:val="nil"/>
              <w:left w:val="nil"/>
              <w:bottom w:val="nil"/>
              <w:right w:val="nil"/>
            </w:tcBorders>
            <w:shd w:val="clear" w:color="000000" w:fill="FFFFFF"/>
            <w:noWrap/>
          </w:tcPr>
          <w:p w14:paraId="096DF828" w14:textId="3BD69146" w:rsidR="00517B4E" w:rsidRPr="00B47A14" w:rsidRDefault="00517B4E" w:rsidP="00517B4E">
            <w:pPr>
              <w:spacing w:after="0" w:line="240" w:lineRule="auto"/>
              <w:jc w:val="right"/>
              <w:rPr>
                <w:rFonts w:cs="Times New Roman"/>
                <w:sz w:val="20"/>
                <w:szCs w:val="20"/>
              </w:rPr>
            </w:pPr>
            <w:r w:rsidRPr="00B47A14">
              <w:rPr>
                <w:rFonts w:cs="Times New Roman"/>
                <w:sz w:val="20"/>
                <w:szCs w:val="20"/>
              </w:rPr>
              <w:t>--</w:t>
            </w:r>
          </w:p>
        </w:tc>
        <w:tc>
          <w:tcPr>
            <w:tcW w:w="550" w:type="dxa"/>
            <w:tcBorders>
              <w:top w:val="nil"/>
              <w:left w:val="nil"/>
              <w:bottom w:val="nil"/>
              <w:right w:val="single" w:sz="4" w:space="0" w:color="auto"/>
            </w:tcBorders>
            <w:shd w:val="clear" w:color="000000" w:fill="FFFFFF"/>
            <w:noWrap/>
          </w:tcPr>
          <w:p w14:paraId="5AD5D133" w14:textId="77777777" w:rsidR="00517B4E" w:rsidRPr="00B47A14" w:rsidRDefault="00517B4E" w:rsidP="00517B4E">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tcPr>
          <w:p w14:paraId="57C773FB" w14:textId="7D53F8FC" w:rsidR="00517B4E" w:rsidRPr="00B47A14" w:rsidRDefault="00517B4E" w:rsidP="00517B4E">
            <w:pPr>
              <w:spacing w:after="0" w:line="240" w:lineRule="auto"/>
              <w:jc w:val="right"/>
              <w:rPr>
                <w:rFonts w:cs="Times New Roman"/>
                <w:color w:val="000000"/>
                <w:sz w:val="20"/>
                <w:szCs w:val="20"/>
              </w:rPr>
            </w:pPr>
            <w:r w:rsidRPr="00B47A14">
              <w:rPr>
                <w:rFonts w:cs="Times New Roman"/>
                <w:sz w:val="20"/>
                <w:szCs w:val="20"/>
              </w:rPr>
              <w:t>--</w:t>
            </w:r>
          </w:p>
        </w:tc>
        <w:tc>
          <w:tcPr>
            <w:tcW w:w="642" w:type="dxa"/>
            <w:tcBorders>
              <w:top w:val="nil"/>
              <w:left w:val="nil"/>
              <w:bottom w:val="nil"/>
              <w:right w:val="single" w:sz="4" w:space="0" w:color="auto"/>
            </w:tcBorders>
            <w:shd w:val="clear" w:color="000000" w:fill="FFFFFF"/>
            <w:noWrap/>
          </w:tcPr>
          <w:p w14:paraId="19B957F3" w14:textId="77777777" w:rsidR="00517B4E" w:rsidRPr="00B47A14" w:rsidRDefault="00517B4E" w:rsidP="00517B4E">
            <w:pPr>
              <w:spacing w:after="0" w:line="240" w:lineRule="auto"/>
              <w:jc w:val="right"/>
              <w:rPr>
                <w:rFonts w:cs="Times New Roman"/>
                <w:color w:val="000000"/>
                <w:sz w:val="20"/>
                <w:szCs w:val="20"/>
              </w:rPr>
            </w:pPr>
          </w:p>
        </w:tc>
        <w:tc>
          <w:tcPr>
            <w:tcW w:w="622" w:type="dxa"/>
            <w:tcBorders>
              <w:top w:val="nil"/>
              <w:left w:val="nil"/>
              <w:bottom w:val="nil"/>
              <w:right w:val="nil"/>
            </w:tcBorders>
            <w:shd w:val="clear" w:color="000000" w:fill="FFFFFF"/>
            <w:noWrap/>
            <w:vAlign w:val="bottom"/>
          </w:tcPr>
          <w:p w14:paraId="766FD11A" w14:textId="16A5E5C6" w:rsidR="00517B4E" w:rsidRPr="00B47A14" w:rsidRDefault="00517B4E" w:rsidP="00517B4E">
            <w:pPr>
              <w:spacing w:after="0" w:line="240" w:lineRule="auto"/>
              <w:jc w:val="right"/>
              <w:rPr>
                <w:rFonts w:cs="Times New Roman"/>
                <w:color w:val="000000"/>
                <w:sz w:val="20"/>
                <w:szCs w:val="20"/>
              </w:rPr>
            </w:pPr>
            <w:r w:rsidRPr="00B47A14">
              <w:rPr>
                <w:rFonts w:cs="Times New Roman"/>
                <w:color w:val="000000"/>
                <w:sz w:val="20"/>
                <w:szCs w:val="20"/>
              </w:rPr>
              <w:t>0.56</w:t>
            </w:r>
          </w:p>
        </w:tc>
        <w:tc>
          <w:tcPr>
            <w:tcW w:w="541" w:type="dxa"/>
            <w:tcBorders>
              <w:top w:val="nil"/>
              <w:left w:val="nil"/>
              <w:bottom w:val="nil"/>
              <w:right w:val="single" w:sz="4" w:space="0" w:color="auto"/>
            </w:tcBorders>
            <w:shd w:val="clear" w:color="000000" w:fill="FFFFFF"/>
            <w:noWrap/>
            <w:vAlign w:val="bottom"/>
          </w:tcPr>
          <w:p w14:paraId="3AB5CBC1" w14:textId="756C94F9" w:rsidR="00517B4E" w:rsidRPr="00B47A14" w:rsidRDefault="00517B4E" w:rsidP="00517B4E">
            <w:pPr>
              <w:spacing w:after="0" w:line="240" w:lineRule="auto"/>
              <w:jc w:val="right"/>
              <w:rPr>
                <w:rFonts w:cs="Times New Roman"/>
                <w:color w:val="000000"/>
                <w:sz w:val="20"/>
                <w:szCs w:val="20"/>
              </w:rPr>
            </w:pPr>
            <w:r w:rsidRPr="00B47A14">
              <w:rPr>
                <w:rFonts w:cs="Times New Roman"/>
                <w:color w:val="000000"/>
                <w:sz w:val="20"/>
                <w:szCs w:val="20"/>
              </w:rPr>
              <w:t>1.74</w:t>
            </w:r>
          </w:p>
        </w:tc>
        <w:tc>
          <w:tcPr>
            <w:tcW w:w="622" w:type="dxa"/>
            <w:tcBorders>
              <w:top w:val="nil"/>
              <w:left w:val="nil"/>
              <w:bottom w:val="nil"/>
              <w:right w:val="nil"/>
            </w:tcBorders>
            <w:shd w:val="clear" w:color="000000" w:fill="FFFFFF"/>
            <w:noWrap/>
          </w:tcPr>
          <w:p w14:paraId="6B5687F2" w14:textId="7EDAFD19" w:rsidR="00517B4E" w:rsidRPr="00B47A14" w:rsidRDefault="00517B4E" w:rsidP="00517B4E">
            <w:pPr>
              <w:spacing w:after="0" w:line="240" w:lineRule="auto"/>
              <w:jc w:val="right"/>
              <w:rPr>
                <w:rFonts w:cs="Times New Roman"/>
                <w:sz w:val="20"/>
                <w:szCs w:val="20"/>
              </w:rPr>
            </w:pPr>
            <w:r w:rsidRPr="00B47A14">
              <w:rPr>
                <w:rFonts w:cs="Times New Roman"/>
                <w:sz w:val="20"/>
                <w:szCs w:val="20"/>
              </w:rPr>
              <w:t>--</w:t>
            </w:r>
          </w:p>
        </w:tc>
        <w:tc>
          <w:tcPr>
            <w:tcW w:w="621" w:type="dxa"/>
            <w:tcBorders>
              <w:top w:val="nil"/>
              <w:left w:val="nil"/>
              <w:bottom w:val="nil"/>
              <w:right w:val="single" w:sz="4" w:space="0" w:color="auto"/>
            </w:tcBorders>
            <w:shd w:val="clear" w:color="000000" w:fill="FFFFFF"/>
            <w:noWrap/>
          </w:tcPr>
          <w:p w14:paraId="71AA5123" w14:textId="77777777" w:rsidR="00517B4E" w:rsidRPr="00B47A14" w:rsidRDefault="00517B4E" w:rsidP="00517B4E">
            <w:pPr>
              <w:spacing w:after="0" w:line="240" w:lineRule="auto"/>
              <w:jc w:val="right"/>
              <w:rPr>
                <w:rFonts w:eastAsia="Times New Roman" w:cs="Times New Roman"/>
                <w:color w:val="000000"/>
                <w:kern w:val="0"/>
                <w:sz w:val="20"/>
                <w:szCs w:val="20"/>
                <w14:ligatures w14:val="none"/>
              </w:rPr>
            </w:pPr>
          </w:p>
        </w:tc>
        <w:tc>
          <w:tcPr>
            <w:tcW w:w="624" w:type="dxa"/>
            <w:tcBorders>
              <w:top w:val="nil"/>
              <w:left w:val="nil"/>
              <w:bottom w:val="nil"/>
              <w:right w:val="nil"/>
            </w:tcBorders>
            <w:shd w:val="clear" w:color="000000" w:fill="FFFFFF"/>
            <w:noWrap/>
          </w:tcPr>
          <w:p w14:paraId="2DF7A03B" w14:textId="7629CB4C" w:rsidR="00517B4E" w:rsidRPr="00B47A14" w:rsidRDefault="00517B4E" w:rsidP="00517B4E">
            <w:pPr>
              <w:spacing w:after="0" w:line="240" w:lineRule="auto"/>
              <w:jc w:val="right"/>
              <w:rPr>
                <w:rFonts w:cs="Times New Roman"/>
                <w:sz w:val="20"/>
                <w:szCs w:val="20"/>
              </w:rPr>
            </w:pPr>
            <w:r w:rsidRPr="00B47A14">
              <w:rPr>
                <w:rFonts w:cs="Times New Roman"/>
                <w:sz w:val="20"/>
                <w:szCs w:val="20"/>
              </w:rPr>
              <w:t>--</w:t>
            </w:r>
          </w:p>
        </w:tc>
        <w:tc>
          <w:tcPr>
            <w:tcW w:w="543" w:type="dxa"/>
            <w:tcBorders>
              <w:top w:val="nil"/>
              <w:left w:val="nil"/>
              <w:bottom w:val="nil"/>
              <w:right w:val="single" w:sz="4" w:space="0" w:color="auto"/>
            </w:tcBorders>
            <w:shd w:val="clear" w:color="000000" w:fill="FFFFFF"/>
            <w:noWrap/>
          </w:tcPr>
          <w:p w14:paraId="0FCABC4C" w14:textId="77777777" w:rsidR="00517B4E" w:rsidRPr="00B47A14" w:rsidRDefault="00517B4E" w:rsidP="00517B4E">
            <w:pPr>
              <w:spacing w:after="0" w:line="240" w:lineRule="auto"/>
              <w:jc w:val="right"/>
              <w:rPr>
                <w:rFonts w:eastAsia="Times New Roman" w:cs="Times New Roman"/>
                <w:color w:val="000000"/>
                <w:kern w:val="0"/>
                <w:sz w:val="20"/>
                <w:szCs w:val="20"/>
                <w14:ligatures w14:val="none"/>
              </w:rPr>
            </w:pPr>
          </w:p>
        </w:tc>
        <w:tc>
          <w:tcPr>
            <w:tcW w:w="630" w:type="dxa"/>
            <w:tcBorders>
              <w:top w:val="nil"/>
              <w:left w:val="nil"/>
              <w:bottom w:val="nil"/>
              <w:right w:val="nil"/>
            </w:tcBorders>
            <w:shd w:val="clear" w:color="000000" w:fill="FFFFFF"/>
            <w:noWrap/>
          </w:tcPr>
          <w:p w14:paraId="6FA6604F" w14:textId="28947572" w:rsidR="00517B4E" w:rsidRPr="00B47A14" w:rsidRDefault="00517B4E" w:rsidP="00517B4E">
            <w:pPr>
              <w:spacing w:after="0" w:line="240" w:lineRule="auto"/>
              <w:jc w:val="right"/>
              <w:rPr>
                <w:rFonts w:cs="Times New Roman"/>
                <w:sz w:val="20"/>
                <w:szCs w:val="20"/>
              </w:rPr>
            </w:pPr>
            <w:r w:rsidRPr="00B47A14">
              <w:rPr>
                <w:rFonts w:cs="Times New Roman"/>
                <w:sz w:val="20"/>
                <w:szCs w:val="20"/>
              </w:rPr>
              <w:t>--</w:t>
            </w:r>
          </w:p>
        </w:tc>
        <w:tc>
          <w:tcPr>
            <w:tcW w:w="656" w:type="dxa"/>
            <w:tcBorders>
              <w:top w:val="nil"/>
              <w:left w:val="nil"/>
              <w:bottom w:val="nil"/>
              <w:right w:val="single" w:sz="4" w:space="0" w:color="auto"/>
            </w:tcBorders>
            <w:shd w:val="clear" w:color="000000" w:fill="FFFFFF"/>
            <w:noWrap/>
          </w:tcPr>
          <w:p w14:paraId="5CC9B973" w14:textId="77777777" w:rsidR="00517B4E" w:rsidRPr="00B47A14" w:rsidRDefault="00517B4E" w:rsidP="00517B4E">
            <w:pPr>
              <w:spacing w:after="0" w:line="240" w:lineRule="auto"/>
              <w:jc w:val="right"/>
              <w:rPr>
                <w:rFonts w:eastAsia="Times New Roman" w:cs="Times New Roman"/>
                <w:color w:val="000000"/>
                <w:kern w:val="0"/>
                <w:sz w:val="20"/>
                <w:szCs w:val="20"/>
                <w14:ligatures w14:val="none"/>
              </w:rPr>
            </w:pPr>
          </w:p>
        </w:tc>
        <w:tc>
          <w:tcPr>
            <w:tcW w:w="573" w:type="dxa"/>
            <w:tcBorders>
              <w:top w:val="nil"/>
              <w:left w:val="nil"/>
              <w:bottom w:val="nil"/>
              <w:right w:val="nil"/>
            </w:tcBorders>
            <w:shd w:val="clear" w:color="000000" w:fill="FFFFFF"/>
            <w:noWrap/>
          </w:tcPr>
          <w:p w14:paraId="41DC4945" w14:textId="626A6649" w:rsidR="00517B4E" w:rsidRPr="00B47A14" w:rsidRDefault="00517B4E" w:rsidP="00517B4E">
            <w:pPr>
              <w:spacing w:after="0" w:line="240" w:lineRule="auto"/>
              <w:jc w:val="right"/>
              <w:rPr>
                <w:rFonts w:cs="Times New Roman"/>
                <w:sz w:val="20"/>
                <w:szCs w:val="20"/>
              </w:rPr>
            </w:pPr>
            <w:r w:rsidRPr="00B47A14">
              <w:rPr>
                <w:rFonts w:cs="Times New Roman"/>
                <w:sz w:val="20"/>
                <w:szCs w:val="20"/>
              </w:rPr>
              <w:t>--</w:t>
            </w:r>
          </w:p>
        </w:tc>
        <w:tc>
          <w:tcPr>
            <w:tcW w:w="491" w:type="dxa"/>
            <w:tcBorders>
              <w:top w:val="nil"/>
              <w:left w:val="nil"/>
              <w:bottom w:val="nil"/>
              <w:right w:val="single" w:sz="12" w:space="0" w:color="auto"/>
            </w:tcBorders>
            <w:shd w:val="clear" w:color="000000" w:fill="FFFFFF"/>
            <w:noWrap/>
          </w:tcPr>
          <w:p w14:paraId="3AF3A366" w14:textId="77777777" w:rsidR="00517B4E" w:rsidRPr="00B47A14" w:rsidRDefault="00517B4E" w:rsidP="00517B4E">
            <w:pPr>
              <w:spacing w:after="0" w:line="240" w:lineRule="auto"/>
              <w:jc w:val="right"/>
              <w:rPr>
                <w:rFonts w:eastAsia="Times New Roman" w:cs="Times New Roman"/>
                <w:color w:val="000000"/>
                <w:kern w:val="0"/>
                <w:sz w:val="20"/>
                <w:szCs w:val="20"/>
                <w14:ligatures w14:val="none"/>
              </w:rPr>
            </w:pPr>
          </w:p>
        </w:tc>
      </w:tr>
      <w:tr w:rsidR="00415E12" w:rsidRPr="00B47A14" w14:paraId="375B828D" w14:textId="77777777" w:rsidTr="004C3CE3">
        <w:trPr>
          <w:gridAfter w:val="1"/>
          <w:wAfter w:w="8" w:type="dxa"/>
          <w:trHeight w:val="20"/>
          <w:jc w:val="center"/>
        </w:trPr>
        <w:tc>
          <w:tcPr>
            <w:tcW w:w="3950" w:type="dxa"/>
            <w:tcBorders>
              <w:top w:val="nil"/>
              <w:left w:val="single" w:sz="12" w:space="0" w:color="auto"/>
              <w:bottom w:val="nil"/>
              <w:right w:val="single" w:sz="12" w:space="0" w:color="auto"/>
            </w:tcBorders>
            <w:shd w:val="clear" w:color="000000" w:fill="FFFFFF"/>
            <w:noWrap/>
            <w:vAlign w:val="bottom"/>
            <w:hideMark/>
          </w:tcPr>
          <w:p w14:paraId="0ED50D10" w14:textId="72D547E9" w:rsidR="00F85CDC" w:rsidRPr="00B47A14" w:rsidRDefault="00F85CDC" w:rsidP="00F85CDC">
            <w:pPr>
              <w:spacing w:after="0" w:line="240" w:lineRule="auto"/>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 xml:space="preserve">       Graduate degree *</w:t>
            </w:r>
            <w:r w:rsidR="00FB4B5D">
              <w:rPr>
                <w:rFonts w:eastAsia="Times New Roman" w:cs="Times New Roman"/>
                <w:color w:val="000000"/>
                <w:kern w:val="0"/>
                <w:sz w:val="20"/>
                <w:szCs w:val="20"/>
                <w14:ligatures w14:val="none"/>
              </w:rPr>
              <w:t xml:space="preserve"> </w:t>
            </w:r>
            <w:r w:rsidR="00A77082">
              <w:rPr>
                <w:rFonts w:eastAsia="Times New Roman" w:cs="Times New Roman"/>
                <w:color w:val="000000"/>
                <w:kern w:val="0"/>
                <w:sz w:val="20"/>
                <w:szCs w:val="20"/>
                <w14:ligatures w14:val="none"/>
              </w:rPr>
              <w:t>During-</w:t>
            </w:r>
            <w:r w:rsidR="00A77082" w:rsidRPr="00B47A14">
              <w:rPr>
                <w:rFonts w:eastAsia="Times New Roman" w:cs="Times New Roman"/>
                <w:color w:val="000000"/>
                <w:kern w:val="0"/>
                <w:sz w:val="20"/>
                <w:szCs w:val="20"/>
                <w14:ligatures w14:val="none"/>
              </w:rPr>
              <w:t xml:space="preserve">COVID </w:t>
            </w:r>
            <w:r w:rsidRPr="00B47A14">
              <w:rPr>
                <w:rFonts w:eastAsia="Times New Roman" w:cs="Times New Roman"/>
                <w:color w:val="000000"/>
                <w:kern w:val="0"/>
                <w:sz w:val="20"/>
                <w:szCs w:val="20"/>
                <w14:ligatures w14:val="none"/>
              </w:rPr>
              <w:t>Effect</w:t>
            </w:r>
          </w:p>
        </w:tc>
        <w:tc>
          <w:tcPr>
            <w:tcW w:w="622" w:type="dxa"/>
            <w:tcBorders>
              <w:top w:val="nil"/>
              <w:left w:val="single" w:sz="12" w:space="0" w:color="auto"/>
              <w:bottom w:val="nil"/>
              <w:right w:val="nil"/>
            </w:tcBorders>
            <w:shd w:val="clear" w:color="000000" w:fill="FFFFFF"/>
            <w:noWrap/>
            <w:hideMark/>
          </w:tcPr>
          <w:p w14:paraId="1E62CFD1" w14:textId="1E1026C5"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50" w:type="dxa"/>
            <w:tcBorders>
              <w:top w:val="nil"/>
              <w:left w:val="nil"/>
              <w:bottom w:val="nil"/>
              <w:right w:val="single" w:sz="4" w:space="0" w:color="auto"/>
            </w:tcBorders>
            <w:shd w:val="clear" w:color="000000" w:fill="FFFFFF"/>
            <w:noWrap/>
            <w:hideMark/>
          </w:tcPr>
          <w:p w14:paraId="4FCB56D2" w14:textId="77777777" w:rsidR="00F85CDC" w:rsidRPr="00B47A14" w:rsidRDefault="00F85CDC" w:rsidP="00F85CDC">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46CEA495" w14:textId="225157BC"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52" w:type="dxa"/>
            <w:tcBorders>
              <w:top w:val="nil"/>
              <w:left w:val="nil"/>
              <w:bottom w:val="nil"/>
              <w:right w:val="single" w:sz="4" w:space="0" w:color="auto"/>
            </w:tcBorders>
            <w:shd w:val="clear" w:color="000000" w:fill="FFFFFF"/>
            <w:noWrap/>
            <w:hideMark/>
          </w:tcPr>
          <w:p w14:paraId="008CD05C" w14:textId="77777777" w:rsidR="00F85CDC" w:rsidRPr="00B47A14" w:rsidRDefault="00F85CDC" w:rsidP="00F85CDC">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3521FFF0" w14:textId="7418B9DF"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50" w:type="dxa"/>
            <w:tcBorders>
              <w:top w:val="nil"/>
              <w:left w:val="nil"/>
              <w:bottom w:val="nil"/>
              <w:right w:val="single" w:sz="4" w:space="0" w:color="auto"/>
            </w:tcBorders>
            <w:shd w:val="clear" w:color="000000" w:fill="FFFFFF"/>
            <w:noWrap/>
            <w:hideMark/>
          </w:tcPr>
          <w:p w14:paraId="74645B99" w14:textId="77777777" w:rsidR="00F85CDC" w:rsidRPr="00B47A14" w:rsidRDefault="00F85CDC" w:rsidP="00F85CDC">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491AF7E0" w14:textId="2E9DD852"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642" w:type="dxa"/>
            <w:tcBorders>
              <w:top w:val="nil"/>
              <w:left w:val="nil"/>
              <w:bottom w:val="nil"/>
              <w:right w:val="single" w:sz="4" w:space="0" w:color="auto"/>
            </w:tcBorders>
            <w:shd w:val="clear" w:color="000000" w:fill="FFFFFF"/>
            <w:noWrap/>
            <w:hideMark/>
          </w:tcPr>
          <w:p w14:paraId="2AA43534" w14:textId="788092A2" w:rsidR="00F85CDC" w:rsidRPr="00B47A14" w:rsidRDefault="00F85CDC" w:rsidP="00F85CDC">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7899C3C9" w14:textId="0C1EFC61"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41" w:type="dxa"/>
            <w:tcBorders>
              <w:top w:val="nil"/>
              <w:left w:val="nil"/>
              <w:bottom w:val="nil"/>
              <w:right w:val="single" w:sz="4" w:space="0" w:color="auto"/>
            </w:tcBorders>
            <w:shd w:val="clear" w:color="000000" w:fill="FFFFFF"/>
            <w:noWrap/>
            <w:hideMark/>
          </w:tcPr>
          <w:p w14:paraId="3DF8E331" w14:textId="1BC4D322" w:rsidR="00F85CDC" w:rsidRPr="00B47A14" w:rsidRDefault="00F85CDC" w:rsidP="00F85CDC">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10309B4E" w14:textId="5DA2A255"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621" w:type="dxa"/>
            <w:tcBorders>
              <w:top w:val="nil"/>
              <w:left w:val="nil"/>
              <w:bottom w:val="nil"/>
              <w:right w:val="single" w:sz="4" w:space="0" w:color="auto"/>
            </w:tcBorders>
            <w:shd w:val="clear" w:color="000000" w:fill="FFFFFF"/>
            <w:noWrap/>
            <w:hideMark/>
          </w:tcPr>
          <w:p w14:paraId="33C2C445" w14:textId="433A76DD" w:rsidR="00F85CDC" w:rsidRPr="00B47A14" w:rsidRDefault="00F85CDC" w:rsidP="00F85CDC">
            <w:pPr>
              <w:spacing w:after="0" w:line="240" w:lineRule="auto"/>
              <w:jc w:val="right"/>
              <w:rPr>
                <w:rFonts w:eastAsia="Times New Roman" w:cs="Times New Roman"/>
                <w:color w:val="000000"/>
                <w:kern w:val="0"/>
                <w:sz w:val="20"/>
                <w:szCs w:val="20"/>
                <w14:ligatures w14:val="none"/>
              </w:rPr>
            </w:pPr>
          </w:p>
        </w:tc>
        <w:tc>
          <w:tcPr>
            <w:tcW w:w="624" w:type="dxa"/>
            <w:tcBorders>
              <w:top w:val="nil"/>
              <w:left w:val="nil"/>
              <w:bottom w:val="nil"/>
              <w:right w:val="nil"/>
            </w:tcBorders>
            <w:shd w:val="clear" w:color="000000" w:fill="FFFFFF"/>
            <w:noWrap/>
            <w:hideMark/>
          </w:tcPr>
          <w:p w14:paraId="51F0691A" w14:textId="77777777" w:rsidR="00F85CDC" w:rsidRPr="00B47A14" w:rsidRDefault="00F85CDC" w:rsidP="00F85CDC">
            <w:pPr>
              <w:spacing w:after="0" w:line="240" w:lineRule="auto"/>
              <w:jc w:val="right"/>
              <w:rPr>
                <w:rFonts w:eastAsia="Times New Roman" w:cs="Times New Roman"/>
                <w:color w:val="000000"/>
                <w:kern w:val="0"/>
                <w:sz w:val="20"/>
                <w:szCs w:val="20"/>
                <w14:ligatures w14:val="none"/>
              </w:rPr>
            </w:pPr>
          </w:p>
        </w:tc>
        <w:tc>
          <w:tcPr>
            <w:tcW w:w="543" w:type="dxa"/>
            <w:tcBorders>
              <w:top w:val="nil"/>
              <w:left w:val="nil"/>
              <w:bottom w:val="nil"/>
              <w:right w:val="single" w:sz="4" w:space="0" w:color="auto"/>
            </w:tcBorders>
            <w:shd w:val="clear" w:color="000000" w:fill="FFFFFF"/>
            <w:noWrap/>
            <w:hideMark/>
          </w:tcPr>
          <w:p w14:paraId="0EFCE2B7" w14:textId="77777777" w:rsidR="00F85CDC" w:rsidRPr="00B47A14" w:rsidRDefault="00F85CDC" w:rsidP="00F85CDC">
            <w:pPr>
              <w:spacing w:after="0" w:line="240" w:lineRule="auto"/>
              <w:jc w:val="right"/>
              <w:rPr>
                <w:rFonts w:eastAsia="Times New Roman" w:cs="Times New Roman"/>
                <w:color w:val="000000"/>
                <w:kern w:val="0"/>
                <w:sz w:val="20"/>
                <w:szCs w:val="20"/>
                <w14:ligatures w14:val="none"/>
              </w:rPr>
            </w:pPr>
          </w:p>
        </w:tc>
        <w:tc>
          <w:tcPr>
            <w:tcW w:w="630" w:type="dxa"/>
            <w:tcBorders>
              <w:top w:val="nil"/>
              <w:left w:val="nil"/>
              <w:bottom w:val="nil"/>
              <w:right w:val="nil"/>
            </w:tcBorders>
            <w:shd w:val="clear" w:color="000000" w:fill="FFFFFF"/>
            <w:noWrap/>
            <w:vAlign w:val="bottom"/>
            <w:hideMark/>
          </w:tcPr>
          <w:p w14:paraId="169238E9" w14:textId="7F2FCA98"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0.41</w:t>
            </w:r>
          </w:p>
        </w:tc>
        <w:tc>
          <w:tcPr>
            <w:tcW w:w="656" w:type="dxa"/>
            <w:tcBorders>
              <w:top w:val="nil"/>
              <w:left w:val="nil"/>
              <w:bottom w:val="nil"/>
              <w:right w:val="single" w:sz="4" w:space="0" w:color="auto"/>
            </w:tcBorders>
            <w:shd w:val="clear" w:color="000000" w:fill="FFFFFF"/>
            <w:noWrap/>
            <w:vAlign w:val="bottom"/>
            <w:hideMark/>
          </w:tcPr>
          <w:p w14:paraId="029DFF7E" w14:textId="21900315"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1.47</w:t>
            </w:r>
          </w:p>
        </w:tc>
        <w:tc>
          <w:tcPr>
            <w:tcW w:w="573" w:type="dxa"/>
            <w:tcBorders>
              <w:top w:val="nil"/>
              <w:left w:val="nil"/>
              <w:bottom w:val="nil"/>
              <w:right w:val="nil"/>
            </w:tcBorders>
            <w:shd w:val="clear" w:color="000000" w:fill="FFFFFF"/>
            <w:noWrap/>
            <w:hideMark/>
          </w:tcPr>
          <w:p w14:paraId="025F24C6" w14:textId="62352C8F"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491" w:type="dxa"/>
            <w:tcBorders>
              <w:top w:val="nil"/>
              <w:left w:val="nil"/>
              <w:bottom w:val="nil"/>
              <w:right w:val="single" w:sz="12" w:space="0" w:color="auto"/>
            </w:tcBorders>
            <w:shd w:val="clear" w:color="000000" w:fill="FFFFFF"/>
            <w:noWrap/>
            <w:hideMark/>
          </w:tcPr>
          <w:p w14:paraId="1712628D" w14:textId="77777777" w:rsidR="00F85CDC" w:rsidRPr="00B47A14" w:rsidRDefault="00F85CDC" w:rsidP="00F85CDC">
            <w:pPr>
              <w:spacing w:after="0" w:line="240" w:lineRule="auto"/>
              <w:jc w:val="right"/>
              <w:rPr>
                <w:rFonts w:eastAsia="Times New Roman" w:cs="Times New Roman"/>
                <w:color w:val="000000"/>
                <w:kern w:val="0"/>
                <w:sz w:val="20"/>
                <w:szCs w:val="20"/>
                <w14:ligatures w14:val="none"/>
              </w:rPr>
            </w:pPr>
          </w:p>
        </w:tc>
      </w:tr>
      <w:tr w:rsidR="00415E12" w:rsidRPr="00B47A14" w14:paraId="2D90FBB8" w14:textId="77777777" w:rsidTr="004C3CE3">
        <w:trPr>
          <w:gridAfter w:val="1"/>
          <w:wAfter w:w="8" w:type="dxa"/>
          <w:trHeight w:val="20"/>
          <w:jc w:val="center"/>
        </w:trPr>
        <w:tc>
          <w:tcPr>
            <w:tcW w:w="3950" w:type="dxa"/>
            <w:tcBorders>
              <w:top w:val="nil"/>
              <w:left w:val="single" w:sz="12" w:space="0" w:color="auto"/>
              <w:bottom w:val="nil"/>
              <w:right w:val="single" w:sz="12" w:space="0" w:color="auto"/>
            </w:tcBorders>
            <w:shd w:val="clear" w:color="000000" w:fill="FFFFFF"/>
            <w:noWrap/>
            <w:vAlign w:val="bottom"/>
            <w:hideMark/>
          </w:tcPr>
          <w:p w14:paraId="4CAC2A71" w14:textId="77777777" w:rsidR="00F85CDC" w:rsidRPr="00B47A14" w:rsidRDefault="00F85CDC" w:rsidP="00F85CDC">
            <w:pPr>
              <w:spacing w:after="0" w:line="240" w:lineRule="auto"/>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Income (&lt;$50,000)</w:t>
            </w:r>
          </w:p>
        </w:tc>
        <w:tc>
          <w:tcPr>
            <w:tcW w:w="622" w:type="dxa"/>
            <w:tcBorders>
              <w:top w:val="nil"/>
              <w:left w:val="single" w:sz="12" w:space="0" w:color="auto"/>
              <w:bottom w:val="nil"/>
              <w:right w:val="nil"/>
            </w:tcBorders>
            <w:shd w:val="clear" w:color="000000" w:fill="FFFFFF"/>
            <w:noWrap/>
            <w:hideMark/>
          </w:tcPr>
          <w:p w14:paraId="03E502CD" w14:textId="77777777" w:rsidR="00F85CDC" w:rsidRPr="00B47A14" w:rsidRDefault="00F85CDC" w:rsidP="00F85CDC">
            <w:pPr>
              <w:spacing w:after="0" w:line="240" w:lineRule="auto"/>
              <w:jc w:val="right"/>
              <w:rPr>
                <w:rFonts w:eastAsia="Times New Roman" w:cs="Times New Roman"/>
                <w:color w:val="000000"/>
                <w:kern w:val="0"/>
                <w:sz w:val="20"/>
                <w:szCs w:val="20"/>
                <w14:ligatures w14:val="none"/>
              </w:rPr>
            </w:pPr>
          </w:p>
        </w:tc>
        <w:tc>
          <w:tcPr>
            <w:tcW w:w="550" w:type="dxa"/>
            <w:tcBorders>
              <w:top w:val="nil"/>
              <w:left w:val="nil"/>
              <w:bottom w:val="nil"/>
              <w:right w:val="single" w:sz="4" w:space="0" w:color="auto"/>
            </w:tcBorders>
            <w:shd w:val="clear" w:color="000000" w:fill="FFFFFF"/>
            <w:noWrap/>
            <w:hideMark/>
          </w:tcPr>
          <w:p w14:paraId="03A92C79" w14:textId="77777777" w:rsidR="00F85CDC" w:rsidRPr="00B47A14" w:rsidRDefault="00F85CDC" w:rsidP="00F85CDC">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0C1BC1B4" w14:textId="77777777" w:rsidR="00F85CDC" w:rsidRPr="00B47A14" w:rsidRDefault="00F85CDC" w:rsidP="00F85CDC">
            <w:pPr>
              <w:spacing w:after="0" w:line="240" w:lineRule="auto"/>
              <w:jc w:val="right"/>
              <w:rPr>
                <w:rFonts w:eastAsia="Times New Roman" w:cs="Times New Roman"/>
                <w:color w:val="000000"/>
                <w:kern w:val="0"/>
                <w:sz w:val="20"/>
                <w:szCs w:val="20"/>
                <w14:ligatures w14:val="none"/>
              </w:rPr>
            </w:pPr>
          </w:p>
        </w:tc>
        <w:tc>
          <w:tcPr>
            <w:tcW w:w="552" w:type="dxa"/>
            <w:tcBorders>
              <w:top w:val="nil"/>
              <w:left w:val="nil"/>
              <w:bottom w:val="nil"/>
              <w:right w:val="single" w:sz="4" w:space="0" w:color="auto"/>
            </w:tcBorders>
            <w:shd w:val="clear" w:color="000000" w:fill="FFFFFF"/>
            <w:noWrap/>
            <w:hideMark/>
          </w:tcPr>
          <w:p w14:paraId="1FE2BC28" w14:textId="77777777" w:rsidR="00F85CDC" w:rsidRPr="00B47A14" w:rsidRDefault="00F85CDC" w:rsidP="00F85CDC">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585912FC" w14:textId="77777777" w:rsidR="00F85CDC" w:rsidRPr="00B47A14" w:rsidRDefault="00F85CDC" w:rsidP="00F85CDC">
            <w:pPr>
              <w:spacing w:after="0" w:line="240" w:lineRule="auto"/>
              <w:jc w:val="right"/>
              <w:rPr>
                <w:rFonts w:eastAsia="Times New Roman" w:cs="Times New Roman"/>
                <w:color w:val="000000"/>
                <w:kern w:val="0"/>
                <w:sz w:val="20"/>
                <w:szCs w:val="20"/>
                <w14:ligatures w14:val="none"/>
              </w:rPr>
            </w:pPr>
          </w:p>
        </w:tc>
        <w:tc>
          <w:tcPr>
            <w:tcW w:w="550" w:type="dxa"/>
            <w:tcBorders>
              <w:top w:val="nil"/>
              <w:left w:val="nil"/>
              <w:bottom w:val="nil"/>
              <w:right w:val="single" w:sz="4" w:space="0" w:color="auto"/>
            </w:tcBorders>
            <w:shd w:val="clear" w:color="000000" w:fill="FFFFFF"/>
            <w:noWrap/>
            <w:hideMark/>
          </w:tcPr>
          <w:p w14:paraId="6C3A402F" w14:textId="77777777" w:rsidR="00F85CDC" w:rsidRPr="00B47A14" w:rsidRDefault="00F85CDC" w:rsidP="00F85CDC">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11BD47D5" w14:textId="77777777" w:rsidR="00F85CDC" w:rsidRPr="00B47A14" w:rsidRDefault="00F85CDC" w:rsidP="00F85CDC">
            <w:pPr>
              <w:spacing w:after="0" w:line="240" w:lineRule="auto"/>
              <w:jc w:val="right"/>
              <w:rPr>
                <w:rFonts w:eastAsia="Times New Roman" w:cs="Times New Roman"/>
                <w:color w:val="000000"/>
                <w:kern w:val="0"/>
                <w:sz w:val="20"/>
                <w:szCs w:val="20"/>
                <w14:ligatures w14:val="none"/>
              </w:rPr>
            </w:pPr>
          </w:p>
        </w:tc>
        <w:tc>
          <w:tcPr>
            <w:tcW w:w="642" w:type="dxa"/>
            <w:tcBorders>
              <w:top w:val="nil"/>
              <w:left w:val="nil"/>
              <w:bottom w:val="nil"/>
              <w:right w:val="single" w:sz="4" w:space="0" w:color="auto"/>
            </w:tcBorders>
            <w:shd w:val="clear" w:color="000000" w:fill="FFFFFF"/>
            <w:noWrap/>
            <w:hideMark/>
          </w:tcPr>
          <w:p w14:paraId="25797A7E" w14:textId="77777777" w:rsidR="00F85CDC" w:rsidRPr="00B47A14" w:rsidRDefault="00F85CDC" w:rsidP="00F85CDC">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405CEB85" w14:textId="77777777" w:rsidR="00F85CDC" w:rsidRPr="00B47A14" w:rsidRDefault="00F85CDC" w:rsidP="00F85CDC">
            <w:pPr>
              <w:spacing w:after="0" w:line="240" w:lineRule="auto"/>
              <w:jc w:val="right"/>
              <w:rPr>
                <w:rFonts w:eastAsia="Times New Roman" w:cs="Times New Roman"/>
                <w:color w:val="000000"/>
                <w:kern w:val="0"/>
                <w:sz w:val="20"/>
                <w:szCs w:val="20"/>
                <w14:ligatures w14:val="none"/>
              </w:rPr>
            </w:pPr>
          </w:p>
        </w:tc>
        <w:tc>
          <w:tcPr>
            <w:tcW w:w="541" w:type="dxa"/>
            <w:tcBorders>
              <w:top w:val="nil"/>
              <w:left w:val="nil"/>
              <w:bottom w:val="nil"/>
              <w:right w:val="single" w:sz="4" w:space="0" w:color="auto"/>
            </w:tcBorders>
            <w:shd w:val="clear" w:color="000000" w:fill="FFFFFF"/>
            <w:noWrap/>
            <w:hideMark/>
          </w:tcPr>
          <w:p w14:paraId="47C42C8D" w14:textId="77777777" w:rsidR="00F85CDC" w:rsidRPr="00B47A14" w:rsidRDefault="00F85CDC" w:rsidP="00F85CDC">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4BEDF1E4" w14:textId="77777777" w:rsidR="00F85CDC" w:rsidRPr="00B47A14" w:rsidRDefault="00F85CDC" w:rsidP="00F85CDC">
            <w:pPr>
              <w:spacing w:after="0" w:line="240" w:lineRule="auto"/>
              <w:jc w:val="right"/>
              <w:rPr>
                <w:rFonts w:eastAsia="Times New Roman" w:cs="Times New Roman"/>
                <w:color w:val="000000"/>
                <w:kern w:val="0"/>
                <w:sz w:val="20"/>
                <w:szCs w:val="20"/>
                <w14:ligatures w14:val="none"/>
              </w:rPr>
            </w:pPr>
          </w:p>
        </w:tc>
        <w:tc>
          <w:tcPr>
            <w:tcW w:w="621" w:type="dxa"/>
            <w:tcBorders>
              <w:top w:val="nil"/>
              <w:left w:val="nil"/>
              <w:bottom w:val="nil"/>
              <w:right w:val="single" w:sz="4" w:space="0" w:color="auto"/>
            </w:tcBorders>
            <w:shd w:val="clear" w:color="000000" w:fill="FFFFFF"/>
            <w:noWrap/>
            <w:hideMark/>
          </w:tcPr>
          <w:p w14:paraId="02659B69" w14:textId="77777777" w:rsidR="00F85CDC" w:rsidRPr="00B47A14" w:rsidRDefault="00F85CDC" w:rsidP="00F85CDC">
            <w:pPr>
              <w:spacing w:after="0" w:line="240" w:lineRule="auto"/>
              <w:jc w:val="right"/>
              <w:rPr>
                <w:rFonts w:eastAsia="Times New Roman" w:cs="Times New Roman"/>
                <w:color w:val="000000"/>
                <w:kern w:val="0"/>
                <w:sz w:val="20"/>
                <w:szCs w:val="20"/>
                <w14:ligatures w14:val="none"/>
              </w:rPr>
            </w:pPr>
          </w:p>
        </w:tc>
        <w:tc>
          <w:tcPr>
            <w:tcW w:w="624" w:type="dxa"/>
            <w:tcBorders>
              <w:top w:val="nil"/>
              <w:left w:val="nil"/>
              <w:bottom w:val="nil"/>
              <w:right w:val="nil"/>
            </w:tcBorders>
            <w:shd w:val="clear" w:color="000000" w:fill="FFFFFF"/>
            <w:noWrap/>
            <w:hideMark/>
          </w:tcPr>
          <w:p w14:paraId="0F07CDFC" w14:textId="77777777" w:rsidR="00F85CDC" w:rsidRPr="00B47A14" w:rsidRDefault="00F85CDC" w:rsidP="00F85CDC">
            <w:pPr>
              <w:spacing w:after="0" w:line="240" w:lineRule="auto"/>
              <w:jc w:val="right"/>
              <w:rPr>
                <w:rFonts w:eastAsia="Times New Roman" w:cs="Times New Roman"/>
                <w:color w:val="000000"/>
                <w:kern w:val="0"/>
                <w:sz w:val="20"/>
                <w:szCs w:val="20"/>
                <w14:ligatures w14:val="none"/>
              </w:rPr>
            </w:pPr>
          </w:p>
        </w:tc>
        <w:tc>
          <w:tcPr>
            <w:tcW w:w="543" w:type="dxa"/>
            <w:tcBorders>
              <w:top w:val="nil"/>
              <w:left w:val="nil"/>
              <w:bottom w:val="nil"/>
              <w:right w:val="single" w:sz="4" w:space="0" w:color="auto"/>
            </w:tcBorders>
            <w:shd w:val="clear" w:color="000000" w:fill="FFFFFF"/>
            <w:noWrap/>
            <w:hideMark/>
          </w:tcPr>
          <w:p w14:paraId="3975F0ED" w14:textId="77777777" w:rsidR="00F85CDC" w:rsidRPr="00B47A14" w:rsidRDefault="00F85CDC" w:rsidP="00F85CDC">
            <w:pPr>
              <w:spacing w:after="0" w:line="240" w:lineRule="auto"/>
              <w:jc w:val="right"/>
              <w:rPr>
                <w:rFonts w:eastAsia="Times New Roman" w:cs="Times New Roman"/>
                <w:color w:val="000000"/>
                <w:kern w:val="0"/>
                <w:sz w:val="20"/>
                <w:szCs w:val="20"/>
                <w14:ligatures w14:val="none"/>
              </w:rPr>
            </w:pPr>
          </w:p>
        </w:tc>
        <w:tc>
          <w:tcPr>
            <w:tcW w:w="630" w:type="dxa"/>
            <w:tcBorders>
              <w:top w:val="nil"/>
              <w:left w:val="nil"/>
              <w:bottom w:val="nil"/>
              <w:right w:val="nil"/>
            </w:tcBorders>
            <w:shd w:val="clear" w:color="000000" w:fill="FFFFFF"/>
            <w:noWrap/>
            <w:hideMark/>
          </w:tcPr>
          <w:p w14:paraId="7CA87D4D" w14:textId="77777777" w:rsidR="00F85CDC" w:rsidRPr="00B47A14" w:rsidRDefault="00F85CDC" w:rsidP="00F85CDC">
            <w:pPr>
              <w:spacing w:after="0" w:line="240" w:lineRule="auto"/>
              <w:jc w:val="right"/>
              <w:rPr>
                <w:rFonts w:eastAsia="Times New Roman" w:cs="Times New Roman"/>
                <w:color w:val="000000"/>
                <w:kern w:val="0"/>
                <w:sz w:val="20"/>
                <w:szCs w:val="20"/>
                <w14:ligatures w14:val="none"/>
              </w:rPr>
            </w:pPr>
          </w:p>
        </w:tc>
        <w:tc>
          <w:tcPr>
            <w:tcW w:w="656" w:type="dxa"/>
            <w:tcBorders>
              <w:top w:val="nil"/>
              <w:left w:val="nil"/>
              <w:bottom w:val="nil"/>
              <w:right w:val="single" w:sz="4" w:space="0" w:color="auto"/>
            </w:tcBorders>
            <w:shd w:val="clear" w:color="000000" w:fill="FFFFFF"/>
            <w:noWrap/>
            <w:hideMark/>
          </w:tcPr>
          <w:p w14:paraId="66DBDE91" w14:textId="77777777" w:rsidR="00F85CDC" w:rsidRPr="00B47A14" w:rsidRDefault="00F85CDC" w:rsidP="00F85CDC">
            <w:pPr>
              <w:spacing w:after="0" w:line="240" w:lineRule="auto"/>
              <w:jc w:val="right"/>
              <w:rPr>
                <w:rFonts w:eastAsia="Times New Roman" w:cs="Times New Roman"/>
                <w:color w:val="000000"/>
                <w:kern w:val="0"/>
                <w:sz w:val="20"/>
                <w:szCs w:val="20"/>
                <w14:ligatures w14:val="none"/>
              </w:rPr>
            </w:pPr>
          </w:p>
        </w:tc>
        <w:tc>
          <w:tcPr>
            <w:tcW w:w="573" w:type="dxa"/>
            <w:tcBorders>
              <w:top w:val="nil"/>
              <w:left w:val="nil"/>
              <w:bottom w:val="nil"/>
              <w:right w:val="nil"/>
            </w:tcBorders>
            <w:shd w:val="clear" w:color="000000" w:fill="FFFFFF"/>
            <w:noWrap/>
            <w:hideMark/>
          </w:tcPr>
          <w:p w14:paraId="1BF65A96" w14:textId="77777777" w:rsidR="00F85CDC" w:rsidRPr="00B47A14" w:rsidRDefault="00F85CDC" w:rsidP="00F85CDC">
            <w:pPr>
              <w:spacing w:after="0" w:line="240" w:lineRule="auto"/>
              <w:jc w:val="right"/>
              <w:rPr>
                <w:rFonts w:eastAsia="Times New Roman" w:cs="Times New Roman"/>
                <w:color w:val="000000"/>
                <w:kern w:val="0"/>
                <w:sz w:val="20"/>
                <w:szCs w:val="20"/>
                <w14:ligatures w14:val="none"/>
              </w:rPr>
            </w:pPr>
          </w:p>
        </w:tc>
        <w:tc>
          <w:tcPr>
            <w:tcW w:w="491" w:type="dxa"/>
            <w:tcBorders>
              <w:top w:val="nil"/>
              <w:left w:val="nil"/>
              <w:bottom w:val="nil"/>
              <w:right w:val="single" w:sz="12" w:space="0" w:color="auto"/>
            </w:tcBorders>
            <w:shd w:val="clear" w:color="000000" w:fill="FFFFFF"/>
            <w:noWrap/>
            <w:hideMark/>
          </w:tcPr>
          <w:p w14:paraId="54FDF446" w14:textId="77777777" w:rsidR="00F85CDC" w:rsidRPr="00B47A14" w:rsidRDefault="00F85CDC" w:rsidP="00F85CDC">
            <w:pPr>
              <w:spacing w:after="0" w:line="240" w:lineRule="auto"/>
              <w:jc w:val="right"/>
              <w:rPr>
                <w:rFonts w:eastAsia="Times New Roman" w:cs="Times New Roman"/>
                <w:color w:val="000000"/>
                <w:kern w:val="0"/>
                <w:sz w:val="20"/>
                <w:szCs w:val="20"/>
                <w14:ligatures w14:val="none"/>
              </w:rPr>
            </w:pPr>
          </w:p>
        </w:tc>
      </w:tr>
      <w:tr w:rsidR="00415E12" w:rsidRPr="00B47A14" w14:paraId="545DD653" w14:textId="77777777" w:rsidTr="004C3CE3">
        <w:trPr>
          <w:gridAfter w:val="1"/>
          <w:wAfter w:w="8" w:type="dxa"/>
          <w:trHeight w:val="20"/>
          <w:jc w:val="center"/>
        </w:trPr>
        <w:tc>
          <w:tcPr>
            <w:tcW w:w="3950" w:type="dxa"/>
            <w:tcBorders>
              <w:top w:val="nil"/>
              <w:left w:val="single" w:sz="12" w:space="0" w:color="auto"/>
              <w:bottom w:val="nil"/>
              <w:right w:val="single" w:sz="12" w:space="0" w:color="auto"/>
            </w:tcBorders>
            <w:shd w:val="clear" w:color="000000" w:fill="FFFFFF"/>
            <w:noWrap/>
            <w:vAlign w:val="bottom"/>
            <w:hideMark/>
          </w:tcPr>
          <w:p w14:paraId="2E1596F7" w14:textId="77777777" w:rsidR="00F85CDC" w:rsidRPr="00B47A14" w:rsidRDefault="00F85CDC" w:rsidP="00F85CDC">
            <w:pPr>
              <w:spacing w:after="0" w:line="240" w:lineRule="auto"/>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 xml:space="preserve">       $50,000 - $99,999</w:t>
            </w:r>
          </w:p>
        </w:tc>
        <w:tc>
          <w:tcPr>
            <w:tcW w:w="622" w:type="dxa"/>
            <w:tcBorders>
              <w:top w:val="nil"/>
              <w:left w:val="single" w:sz="12" w:space="0" w:color="auto"/>
              <w:bottom w:val="nil"/>
              <w:right w:val="nil"/>
            </w:tcBorders>
            <w:shd w:val="clear" w:color="000000" w:fill="FFFFFF"/>
            <w:noWrap/>
            <w:hideMark/>
          </w:tcPr>
          <w:p w14:paraId="0D4D4266" w14:textId="42F3908D"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50" w:type="dxa"/>
            <w:tcBorders>
              <w:top w:val="nil"/>
              <w:left w:val="nil"/>
              <w:bottom w:val="nil"/>
              <w:right w:val="single" w:sz="4" w:space="0" w:color="auto"/>
            </w:tcBorders>
            <w:shd w:val="clear" w:color="000000" w:fill="FFFFFF"/>
            <w:noWrap/>
            <w:hideMark/>
          </w:tcPr>
          <w:p w14:paraId="67F8ED2A" w14:textId="77777777" w:rsidR="00F85CDC" w:rsidRPr="00B47A14" w:rsidRDefault="00F85CDC" w:rsidP="00F85CDC">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53AF413E" w14:textId="55018D4D"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52" w:type="dxa"/>
            <w:tcBorders>
              <w:top w:val="nil"/>
              <w:left w:val="nil"/>
              <w:bottom w:val="nil"/>
              <w:right w:val="single" w:sz="4" w:space="0" w:color="auto"/>
            </w:tcBorders>
            <w:shd w:val="clear" w:color="000000" w:fill="FFFFFF"/>
            <w:noWrap/>
            <w:hideMark/>
          </w:tcPr>
          <w:p w14:paraId="0566D153" w14:textId="77777777" w:rsidR="00F85CDC" w:rsidRPr="00B47A14" w:rsidRDefault="00F85CDC" w:rsidP="00F85CDC">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547922E9" w14:textId="2A1E7150"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50" w:type="dxa"/>
            <w:tcBorders>
              <w:top w:val="nil"/>
              <w:left w:val="nil"/>
              <w:bottom w:val="nil"/>
              <w:right w:val="single" w:sz="4" w:space="0" w:color="auto"/>
            </w:tcBorders>
            <w:shd w:val="clear" w:color="000000" w:fill="FFFFFF"/>
            <w:noWrap/>
            <w:hideMark/>
          </w:tcPr>
          <w:p w14:paraId="463D229B" w14:textId="77777777" w:rsidR="00F85CDC" w:rsidRPr="00B47A14" w:rsidRDefault="00F85CDC" w:rsidP="00F85CDC">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3265659B" w14:textId="7836C12C"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642" w:type="dxa"/>
            <w:tcBorders>
              <w:top w:val="nil"/>
              <w:left w:val="nil"/>
              <w:bottom w:val="nil"/>
              <w:right w:val="single" w:sz="4" w:space="0" w:color="auto"/>
            </w:tcBorders>
            <w:shd w:val="clear" w:color="000000" w:fill="FFFFFF"/>
            <w:noWrap/>
            <w:hideMark/>
          </w:tcPr>
          <w:p w14:paraId="76F7C837" w14:textId="77777777" w:rsidR="00F85CDC" w:rsidRPr="00B47A14" w:rsidRDefault="00F85CDC" w:rsidP="00F85CDC">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1AC8EF2D" w14:textId="263D1B35"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41" w:type="dxa"/>
            <w:tcBorders>
              <w:top w:val="nil"/>
              <w:left w:val="nil"/>
              <w:bottom w:val="nil"/>
              <w:right w:val="single" w:sz="4" w:space="0" w:color="auto"/>
            </w:tcBorders>
            <w:shd w:val="clear" w:color="000000" w:fill="FFFFFF"/>
            <w:noWrap/>
            <w:hideMark/>
          </w:tcPr>
          <w:p w14:paraId="298C5B4E" w14:textId="77777777" w:rsidR="00F85CDC" w:rsidRPr="00B47A14" w:rsidRDefault="00F85CDC" w:rsidP="00F85CDC">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08977D88" w14:textId="4B95EB56"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621" w:type="dxa"/>
            <w:tcBorders>
              <w:top w:val="nil"/>
              <w:left w:val="nil"/>
              <w:bottom w:val="nil"/>
              <w:right w:val="single" w:sz="4" w:space="0" w:color="auto"/>
            </w:tcBorders>
            <w:shd w:val="clear" w:color="000000" w:fill="FFFFFF"/>
            <w:noWrap/>
            <w:hideMark/>
          </w:tcPr>
          <w:p w14:paraId="36B774BE" w14:textId="77777777" w:rsidR="00F85CDC" w:rsidRPr="00B47A14" w:rsidRDefault="00F85CDC" w:rsidP="00F85CDC">
            <w:pPr>
              <w:spacing w:after="0" w:line="240" w:lineRule="auto"/>
              <w:jc w:val="right"/>
              <w:rPr>
                <w:rFonts w:eastAsia="Times New Roman" w:cs="Times New Roman"/>
                <w:color w:val="000000"/>
                <w:kern w:val="0"/>
                <w:sz w:val="20"/>
                <w:szCs w:val="20"/>
                <w14:ligatures w14:val="none"/>
              </w:rPr>
            </w:pPr>
          </w:p>
        </w:tc>
        <w:tc>
          <w:tcPr>
            <w:tcW w:w="624" w:type="dxa"/>
            <w:tcBorders>
              <w:top w:val="nil"/>
              <w:left w:val="nil"/>
              <w:bottom w:val="nil"/>
              <w:right w:val="nil"/>
            </w:tcBorders>
            <w:shd w:val="clear" w:color="000000" w:fill="FFFFFF"/>
            <w:noWrap/>
            <w:hideMark/>
          </w:tcPr>
          <w:p w14:paraId="3706688D" w14:textId="21924478"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43" w:type="dxa"/>
            <w:tcBorders>
              <w:top w:val="nil"/>
              <w:left w:val="nil"/>
              <w:bottom w:val="nil"/>
              <w:right w:val="single" w:sz="4" w:space="0" w:color="auto"/>
            </w:tcBorders>
            <w:shd w:val="clear" w:color="000000" w:fill="FFFFFF"/>
            <w:noWrap/>
            <w:hideMark/>
          </w:tcPr>
          <w:p w14:paraId="0BE5C6A9" w14:textId="77777777" w:rsidR="00F85CDC" w:rsidRPr="00B47A14" w:rsidRDefault="00F85CDC" w:rsidP="00F85CDC">
            <w:pPr>
              <w:spacing w:after="0" w:line="240" w:lineRule="auto"/>
              <w:jc w:val="right"/>
              <w:rPr>
                <w:rFonts w:eastAsia="Times New Roman" w:cs="Times New Roman"/>
                <w:color w:val="000000"/>
                <w:kern w:val="0"/>
                <w:sz w:val="20"/>
                <w:szCs w:val="20"/>
                <w14:ligatures w14:val="none"/>
              </w:rPr>
            </w:pPr>
          </w:p>
        </w:tc>
        <w:tc>
          <w:tcPr>
            <w:tcW w:w="630" w:type="dxa"/>
            <w:tcBorders>
              <w:top w:val="nil"/>
              <w:left w:val="nil"/>
              <w:bottom w:val="nil"/>
              <w:right w:val="nil"/>
            </w:tcBorders>
            <w:shd w:val="clear" w:color="000000" w:fill="FFFFFF"/>
            <w:noWrap/>
            <w:hideMark/>
          </w:tcPr>
          <w:p w14:paraId="09030848" w14:textId="16F85E30"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656" w:type="dxa"/>
            <w:tcBorders>
              <w:top w:val="nil"/>
              <w:left w:val="nil"/>
              <w:bottom w:val="nil"/>
              <w:right w:val="single" w:sz="4" w:space="0" w:color="auto"/>
            </w:tcBorders>
            <w:shd w:val="clear" w:color="000000" w:fill="FFFFFF"/>
            <w:noWrap/>
            <w:hideMark/>
          </w:tcPr>
          <w:p w14:paraId="54615F30" w14:textId="77777777" w:rsidR="00F85CDC" w:rsidRPr="00B47A14" w:rsidRDefault="00F85CDC" w:rsidP="00F85CDC">
            <w:pPr>
              <w:spacing w:after="0" w:line="240" w:lineRule="auto"/>
              <w:jc w:val="right"/>
              <w:rPr>
                <w:rFonts w:eastAsia="Times New Roman" w:cs="Times New Roman"/>
                <w:color w:val="000000"/>
                <w:kern w:val="0"/>
                <w:sz w:val="20"/>
                <w:szCs w:val="20"/>
                <w14:ligatures w14:val="none"/>
              </w:rPr>
            </w:pPr>
          </w:p>
        </w:tc>
        <w:tc>
          <w:tcPr>
            <w:tcW w:w="573" w:type="dxa"/>
            <w:tcBorders>
              <w:top w:val="nil"/>
              <w:left w:val="nil"/>
              <w:bottom w:val="nil"/>
              <w:right w:val="nil"/>
            </w:tcBorders>
            <w:shd w:val="clear" w:color="000000" w:fill="FFFFFF"/>
            <w:noWrap/>
            <w:vAlign w:val="bottom"/>
            <w:hideMark/>
          </w:tcPr>
          <w:p w14:paraId="368D94A5" w14:textId="70D91446"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-0.18</w:t>
            </w:r>
          </w:p>
        </w:tc>
        <w:tc>
          <w:tcPr>
            <w:tcW w:w="491" w:type="dxa"/>
            <w:tcBorders>
              <w:top w:val="nil"/>
              <w:left w:val="nil"/>
              <w:bottom w:val="nil"/>
              <w:right w:val="single" w:sz="12" w:space="0" w:color="auto"/>
            </w:tcBorders>
            <w:shd w:val="clear" w:color="000000" w:fill="FFFFFF"/>
            <w:noWrap/>
            <w:vAlign w:val="bottom"/>
            <w:hideMark/>
          </w:tcPr>
          <w:p w14:paraId="708C6078" w14:textId="381A24EA"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-1.95</w:t>
            </w:r>
          </w:p>
        </w:tc>
      </w:tr>
      <w:tr w:rsidR="00415E12" w:rsidRPr="00B47A14" w14:paraId="6301F778" w14:textId="77777777" w:rsidTr="004C3CE3">
        <w:trPr>
          <w:gridAfter w:val="1"/>
          <w:wAfter w:w="8" w:type="dxa"/>
          <w:trHeight w:val="20"/>
          <w:jc w:val="center"/>
        </w:trPr>
        <w:tc>
          <w:tcPr>
            <w:tcW w:w="3950" w:type="dxa"/>
            <w:tcBorders>
              <w:top w:val="nil"/>
              <w:left w:val="single" w:sz="12" w:space="0" w:color="auto"/>
              <w:bottom w:val="nil"/>
              <w:right w:val="single" w:sz="12" w:space="0" w:color="auto"/>
            </w:tcBorders>
            <w:shd w:val="clear" w:color="000000" w:fill="FFFFFF"/>
            <w:noWrap/>
            <w:vAlign w:val="bottom"/>
            <w:hideMark/>
          </w:tcPr>
          <w:p w14:paraId="2EF41C60" w14:textId="46B6F8D5" w:rsidR="00F85CDC" w:rsidRPr="00B47A14" w:rsidRDefault="00F85CDC" w:rsidP="00F85CDC">
            <w:pPr>
              <w:spacing w:after="0" w:line="240" w:lineRule="auto"/>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 xml:space="preserve">       $50,000 - $99,999 *</w:t>
            </w:r>
            <w:r w:rsidR="00FB4B5D">
              <w:rPr>
                <w:rFonts w:eastAsia="Times New Roman" w:cs="Times New Roman"/>
                <w:color w:val="000000"/>
                <w:kern w:val="0"/>
                <w:sz w:val="20"/>
                <w:szCs w:val="20"/>
                <w14:ligatures w14:val="none"/>
              </w:rPr>
              <w:t xml:space="preserve"> </w:t>
            </w:r>
            <w:r w:rsidR="00A77082">
              <w:rPr>
                <w:rFonts w:eastAsia="Times New Roman" w:cs="Times New Roman"/>
                <w:color w:val="000000"/>
                <w:kern w:val="0"/>
                <w:sz w:val="20"/>
                <w:szCs w:val="20"/>
                <w14:ligatures w14:val="none"/>
              </w:rPr>
              <w:t>During-</w:t>
            </w:r>
            <w:r w:rsidR="00A77082" w:rsidRPr="00B47A14">
              <w:rPr>
                <w:rFonts w:eastAsia="Times New Roman" w:cs="Times New Roman"/>
                <w:color w:val="000000"/>
                <w:kern w:val="0"/>
                <w:sz w:val="20"/>
                <w:szCs w:val="20"/>
                <w14:ligatures w14:val="none"/>
              </w:rPr>
              <w:t xml:space="preserve">COVID </w:t>
            </w:r>
            <w:r w:rsidRPr="00B47A14">
              <w:rPr>
                <w:rFonts w:eastAsia="Times New Roman" w:cs="Times New Roman"/>
                <w:color w:val="000000"/>
                <w:kern w:val="0"/>
                <w:sz w:val="20"/>
                <w:szCs w:val="20"/>
                <w14:ligatures w14:val="none"/>
              </w:rPr>
              <w:t>Effect</w:t>
            </w:r>
          </w:p>
        </w:tc>
        <w:tc>
          <w:tcPr>
            <w:tcW w:w="622" w:type="dxa"/>
            <w:tcBorders>
              <w:top w:val="nil"/>
              <w:left w:val="single" w:sz="12" w:space="0" w:color="auto"/>
              <w:bottom w:val="nil"/>
              <w:right w:val="nil"/>
            </w:tcBorders>
            <w:shd w:val="clear" w:color="000000" w:fill="FFFFFF"/>
            <w:noWrap/>
            <w:hideMark/>
          </w:tcPr>
          <w:p w14:paraId="65F149C4" w14:textId="396E7049"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50" w:type="dxa"/>
            <w:tcBorders>
              <w:top w:val="nil"/>
              <w:left w:val="nil"/>
              <w:bottom w:val="nil"/>
              <w:right w:val="single" w:sz="4" w:space="0" w:color="auto"/>
            </w:tcBorders>
            <w:shd w:val="clear" w:color="000000" w:fill="FFFFFF"/>
            <w:noWrap/>
            <w:hideMark/>
          </w:tcPr>
          <w:p w14:paraId="74A7DB90" w14:textId="5CD67CFB" w:rsidR="00F85CDC" w:rsidRPr="00B47A14" w:rsidRDefault="00F85CDC" w:rsidP="00F85CDC">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669F0AB6" w14:textId="32AF7AE8"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52" w:type="dxa"/>
            <w:tcBorders>
              <w:top w:val="nil"/>
              <w:left w:val="nil"/>
              <w:bottom w:val="nil"/>
              <w:right w:val="single" w:sz="4" w:space="0" w:color="auto"/>
            </w:tcBorders>
            <w:shd w:val="clear" w:color="000000" w:fill="FFFFFF"/>
            <w:noWrap/>
            <w:hideMark/>
          </w:tcPr>
          <w:p w14:paraId="7E6ADB6E" w14:textId="77777777" w:rsidR="00F85CDC" w:rsidRPr="00B47A14" w:rsidRDefault="00F85CDC" w:rsidP="00F85CDC">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6470F9B4" w14:textId="68E1C701"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50" w:type="dxa"/>
            <w:tcBorders>
              <w:top w:val="nil"/>
              <w:left w:val="nil"/>
              <w:bottom w:val="nil"/>
              <w:right w:val="single" w:sz="4" w:space="0" w:color="auto"/>
            </w:tcBorders>
            <w:shd w:val="clear" w:color="000000" w:fill="FFFFFF"/>
            <w:noWrap/>
            <w:hideMark/>
          </w:tcPr>
          <w:p w14:paraId="5D285A36" w14:textId="77777777" w:rsidR="00F85CDC" w:rsidRPr="00B47A14" w:rsidRDefault="00F85CDC" w:rsidP="00F85CDC">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7019B211" w14:textId="629B71EB"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642" w:type="dxa"/>
            <w:tcBorders>
              <w:top w:val="nil"/>
              <w:left w:val="nil"/>
              <w:bottom w:val="nil"/>
              <w:right w:val="single" w:sz="4" w:space="0" w:color="auto"/>
            </w:tcBorders>
            <w:shd w:val="clear" w:color="000000" w:fill="FFFFFF"/>
            <w:noWrap/>
            <w:hideMark/>
          </w:tcPr>
          <w:p w14:paraId="24D117F6" w14:textId="77777777" w:rsidR="00F85CDC" w:rsidRPr="00B47A14" w:rsidRDefault="00F85CDC" w:rsidP="00F85CDC">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0490ED7F" w14:textId="1DD434E9"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41" w:type="dxa"/>
            <w:tcBorders>
              <w:top w:val="nil"/>
              <w:left w:val="nil"/>
              <w:bottom w:val="nil"/>
              <w:right w:val="single" w:sz="4" w:space="0" w:color="auto"/>
            </w:tcBorders>
            <w:shd w:val="clear" w:color="000000" w:fill="FFFFFF"/>
            <w:noWrap/>
            <w:hideMark/>
          </w:tcPr>
          <w:p w14:paraId="46F3CC4C" w14:textId="77777777" w:rsidR="00F85CDC" w:rsidRPr="00B47A14" w:rsidRDefault="00F85CDC" w:rsidP="00F85CDC">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11F14B11" w14:textId="6F3FF785"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621" w:type="dxa"/>
            <w:tcBorders>
              <w:top w:val="nil"/>
              <w:left w:val="nil"/>
              <w:bottom w:val="nil"/>
              <w:right w:val="single" w:sz="4" w:space="0" w:color="auto"/>
            </w:tcBorders>
            <w:shd w:val="clear" w:color="000000" w:fill="FFFFFF"/>
            <w:noWrap/>
            <w:hideMark/>
          </w:tcPr>
          <w:p w14:paraId="70D97B47" w14:textId="77777777" w:rsidR="00F85CDC" w:rsidRPr="00B47A14" w:rsidRDefault="00F85CDC" w:rsidP="00F85CDC">
            <w:pPr>
              <w:spacing w:after="0" w:line="240" w:lineRule="auto"/>
              <w:jc w:val="right"/>
              <w:rPr>
                <w:rFonts w:eastAsia="Times New Roman" w:cs="Times New Roman"/>
                <w:color w:val="000000"/>
                <w:kern w:val="0"/>
                <w:sz w:val="20"/>
                <w:szCs w:val="20"/>
                <w14:ligatures w14:val="none"/>
              </w:rPr>
            </w:pPr>
          </w:p>
        </w:tc>
        <w:tc>
          <w:tcPr>
            <w:tcW w:w="624" w:type="dxa"/>
            <w:tcBorders>
              <w:top w:val="nil"/>
              <w:left w:val="nil"/>
              <w:bottom w:val="nil"/>
              <w:right w:val="nil"/>
            </w:tcBorders>
            <w:shd w:val="clear" w:color="000000" w:fill="FFFFFF"/>
            <w:noWrap/>
            <w:hideMark/>
          </w:tcPr>
          <w:p w14:paraId="625B4428" w14:textId="30E8D424"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43" w:type="dxa"/>
            <w:tcBorders>
              <w:top w:val="nil"/>
              <w:left w:val="nil"/>
              <w:bottom w:val="nil"/>
              <w:right w:val="single" w:sz="4" w:space="0" w:color="auto"/>
            </w:tcBorders>
            <w:shd w:val="clear" w:color="000000" w:fill="FFFFFF"/>
            <w:noWrap/>
            <w:hideMark/>
          </w:tcPr>
          <w:p w14:paraId="6252ABFD" w14:textId="77777777" w:rsidR="00F85CDC" w:rsidRPr="00B47A14" w:rsidRDefault="00F85CDC" w:rsidP="00F85CDC">
            <w:pPr>
              <w:spacing w:after="0" w:line="240" w:lineRule="auto"/>
              <w:jc w:val="right"/>
              <w:rPr>
                <w:rFonts w:eastAsia="Times New Roman" w:cs="Times New Roman"/>
                <w:color w:val="000000"/>
                <w:kern w:val="0"/>
                <w:sz w:val="20"/>
                <w:szCs w:val="20"/>
                <w14:ligatures w14:val="none"/>
              </w:rPr>
            </w:pPr>
          </w:p>
        </w:tc>
        <w:tc>
          <w:tcPr>
            <w:tcW w:w="630" w:type="dxa"/>
            <w:tcBorders>
              <w:top w:val="nil"/>
              <w:left w:val="nil"/>
              <w:bottom w:val="nil"/>
              <w:right w:val="nil"/>
            </w:tcBorders>
            <w:shd w:val="clear" w:color="000000" w:fill="FFFFFF"/>
            <w:noWrap/>
            <w:hideMark/>
          </w:tcPr>
          <w:p w14:paraId="189CF39C" w14:textId="1926D349"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656" w:type="dxa"/>
            <w:tcBorders>
              <w:top w:val="nil"/>
              <w:left w:val="nil"/>
              <w:bottom w:val="nil"/>
              <w:right w:val="single" w:sz="4" w:space="0" w:color="auto"/>
            </w:tcBorders>
            <w:shd w:val="clear" w:color="000000" w:fill="FFFFFF"/>
            <w:noWrap/>
            <w:hideMark/>
          </w:tcPr>
          <w:p w14:paraId="583A7453" w14:textId="77777777" w:rsidR="00F85CDC" w:rsidRPr="00B47A14" w:rsidRDefault="00F85CDC" w:rsidP="00F85CDC">
            <w:pPr>
              <w:spacing w:after="0" w:line="240" w:lineRule="auto"/>
              <w:jc w:val="right"/>
              <w:rPr>
                <w:rFonts w:eastAsia="Times New Roman" w:cs="Times New Roman"/>
                <w:color w:val="000000"/>
                <w:kern w:val="0"/>
                <w:sz w:val="20"/>
                <w:szCs w:val="20"/>
                <w14:ligatures w14:val="none"/>
              </w:rPr>
            </w:pPr>
          </w:p>
        </w:tc>
        <w:tc>
          <w:tcPr>
            <w:tcW w:w="573" w:type="dxa"/>
            <w:tcBorders>
              <w:top w:val="nil"/>
              <w:left w:val="nil"/>
              <w:bottom w:val="nil"/>
              <w:right w:val="nil"/>
            </w:tcBorders>
            <w:shd w:val="clear" w:color="000000" w:fill="FFFFFF"/>
            <w:noWrap/>
            <w:vAlign w:val="bottom"/>
            <w:hideMark/>
          </w:tcPr>
          <w:p w14:paraId="558D6706" w14:textId="154F1DDF"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-0.23</w:t>
            </w:r>
          </w:p>
        </w:tc>
        <w:tc>
          <w:tcPr>
            <w:tcW w:w="491" w:type="dxa"/>
            <w:tcBorders>
              <w:top w:val="nil"/>
              <w:left w:val="nil"/>
              <w:bottom w:val="nil"/>
              <w:right w:val="single" w:sz="12" w:space="0" w:color="auto"/>
            </w:tcBorders>
            <w:shd w:val="clear" w:color="000000" w:fill="FFFFFF"/>
            <w:noWrap/>
            <w:vAlign w:val="bottom"/>
            <w:hideMark/>
          </w:tcPr>
          <w:p w14:paraId="2CB626F9" w14:textId="1AAD0EA5"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-1.78</w:t>
            </w:r>
          </w:p>
        </w:tc>
      </w:tr>
      <w:tr w:rsidR="00415E12" w:rsidRPr="00B47A14" w14:paraId="0511BE13" w14:textId="77777777" w:rsidTr="004C3CE3">
        <w:trPr>
          <w:gridAfter w:val="1"/>
          <w:wAfter w:w="8" w:type="dxa"/>
          <w:trHeight w:val="20"/>
          <w:jc w:val="center"/>
        </w:trPr>
        <w:tc>
          <w:tcPr>
            <w:tcW w:w="3950" w:type="dxa"/>
            <w:tcBorders>
              <w:top w:val="nil"/>
              <w:left w:val="single" w:sz="12" w:space="0" w:color="auto"/>
              <w:right w:val="single" w:sz="12" w:space="0" w:color="auto"/>
            </w:tcBorders>
            <w:shd w:val="clear" w:color="000000" w:fill="FFFFFF"/>
            <w:noWrap/>
            <w:vAlign w:val="bottom"/>
            <w:hideMark/>
          </w:tcPr>
          <w:p w14:paraId="5D7FAEB4" w14:textId="77777777" w:rsidR="00F85CDC" w:rsidRPr="00B47A14" w:rsidRDefault="00F85CDC" w:rsidP="00F85CDC">
            <w:pPr>
              <w:spacing w:after="0" w:line="240" w:lineRule="auto"/>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 xml:space="preserve">       $100,000+</w:t>
            </w:r>
          </w:p>
        </w:tc>
        <w:tc>
          <w:tcPr>
            <w:tcW w:w="622" w:type="dxa"/>
            <w:tcBorders>
              <w:top w:val="nil"/>
              <w:left w:val="single" w:sz="12" w:space="0" w:color="auto"/>
              <w:right w:val="nil"/>
            </w:tcBorders>
            <w:shd w:val="clear" w:color="000000" w:fill="FFFFFF"/>
            <w:noWrap/>
            <w:hideMark/>
          </w:tcPr>
          <w:p w14:paraId="065E0FC1" w14:textId="3CD50548"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50" w:type="dxa"/>
            <w:tcBorders>
              <w:top w:val="nil"/>
              <w:left w:val="nil"/>
              <w:right w:val="single" w:sz="4" w:space="0" w:color="auto"/>
            </w:tcBorders>
            <w:shd w:val="clear" w:color="000000" w:fill="FFFFFF"/>
            <w:noWrap/>
            <w:hideMark/>
          </w:tcPr>
          <w:p w14:paraId="618F02DA" w14:textId="5338767E" w:rsidR="00F85CDC" w:rsidRPr="00B47A14" w:rsidRDefault="00F85CDC" w:rsidP="00F85CDC">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right w:val="nil"/>
            </w:tcBorders>
            <w:shd w:val="clear" w:color="000000" w:fill="FFFFFF"/>
            <w:noWrap/>
            <w:hideMark/>
          </w:tcPr>
          <w:p w14:paraId="466D57B0" w14:textId="2CEB5BA8"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52" w:type="dxa"/>
            <w:tcBorders>
              <w:top w:val="nil"/>
              <w:left w:val="nil"/>
              <w:right w:val="single" w:sz="4" w:space="0" w:color="auto"/>
            </w:tcBorders>
            <w:shd w:val="clear" w:color="000000" w:fill="FFFFFF"/>
            <w:noWrap/>
            <w:hideMark/>
          </w:tcPr>
          <w:p w14:paraId="6BC9C364" w14:textId="5C280173" w:rsidR="00F85CDC" w:rsidRPr="00B47A14" w:rsidRDefault="00F85CDC" w:rsidP="00F85CDC">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right w:val="nil"/>
            </w:tcBorders>
            <w:shd w:val="clear" w:color="000000" w:fill="FFFFFF"/>
            <w:noWrap/>
            <w:hideMark/>
          </w:tcPr>
          <w:p w14:paraId="3659C5F8" w14:textId="13E0A4B9"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50" w:type="dxa"/>
            <w:tcBorders>
              <w:top w:val="nil"/>
              <w:left w:val="nil"/>
              <w:right w:val="single" w:sz="4" w:space="0" w:color="auto"/>
            </w:tcBorders>
            <w:shd w:val="clear" w:color="000000" w:fill="FFFFFF"/>
            <w:noWrap/>
            <w:hideMark/>
          </w:tcPr>
          <w:p w14:paraId="2D0C91A3" w14:textId="2C1C11C5" w:rsidR="00F85CDC" w:rsidRPr="00B47A14" w:rsidRDefault="00F85CDC" w:rsidP="00F85CDC">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right w:val="nil"/>
            </w:tcBorders>
            <w:shd w:val="clear" w:color="000000" w:fill="FFFFFF"/>
            <w:noWrap/>
            <w:vAlign w:val="bottom"/>
            <w:hideMark/>
          </w:tcPr>
          <w:p w14:paraId="563BEC2F" w14:textId="25E203CA"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0.15</w:t>
            </w:r>
          </w:p>
        </w:tc>
        <w:tc>
          <w:tcPr>
            <w:tcW w:w="642" w:type="dxa"/>
            <w:tcBorders>
              <w:top w:val="nil"/>
              <w:left w:val="nil"/>
              <w:right w:val="single" w:sz="4" w:space="0" w:color="auto"/>
            </w:tcBorders>
            <w:shd w:val="clear" w:color="000000" w:fill="FFFFFF"/>
            <w:noWrap/>
            <w:vAlign w:val="bottom"/>
            <w:hideMark/>
          </w:tcPr>
          <w:p w14:paraId="53E0BC56" w14:textId="362AAFB8"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2.71</w:t>
            </w:r>
          </w:p>
        </w:tc>
        <w:tc>
          <w:tcPr>
            <w:tcW w:w="622" w:type="dxa"/>
            <w:tcBorders>
              <w:top w:val="nil"/>
              <w:left w:val="nil"/>
              <w:right w:val="nil"/>
            </w:tcBorders>
            <w:shd w:val="clear" w:color="000000" w:fill="FFFFFF"/>
            <w:noWrap/>
            <w:vAlign w:val="bottom"/>
            <w:hideMark/>
          </w:tcPr>
          <w:p w14:paraId="6FA61358" w14:textId="0DA49FA9"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1.21</w:t>
            </w:r>
          </w:p>
        </w:tc>
        <w:tc>
          <w:tcPr>
            <w:tcW w:w="541" w:type="dxa"/>
            <w:tcBorders>
              <w:top w:val="nil"/>
              <w:left w:val="nil"/>
              <w:right w:val="single" w:sz="4" w:space="0" w:color="auto"/>
            </w:tcBorders>
            <w:shd w:val="clear" w:color="000000" w:fill="FFFFFF"/>
            <w:noWrap/>
            <w:vAlign w:val="bottom"/>
            <w:hideMark/>
          </w:tcPr>
          <w:p w14:paraId="51410A95" w14:textId="7B8698B3"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4.99</w:t>
            </w:r>
          </w:p>
        </w:tc>
        <w:tc>
          <w:tcPr>
            <w:tcW w:w="622" w:type="dxa"/>
            <w:tcBorders>
              <w:top w:val="nil"/>
              <w:left w:val="nil"/>
              <w:right w:val="nil"/>
            </w:tcBorders>
            <w:shd w:val="clear" w:color="000000" w:fill="FFFFFF"/>
            <w:noWrap/>
            <w:hideMark/>
          </w:tcPr>
          <w:p w14:paraId="473FDA75" w14:textId="56161D97"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621" w:type="dxa"/>
            <w:tcBorders>
              <w:top w:val="nil"/>
              <w:left w:val="nil"/>
              <w:right w:val="single" w:sz="4" w:space="0" w:color="auto"/>
            </w:tcBorders>
            <w:shd w:val="clear" w:color="000000" w:fill="FFFFFF"/>
            <w:noWrap/>
            <w:hideMark/>
          </w:tcPr>
          <w:p w14:paraId="77AC9CA8" w14:textId="77777777" w:rsidR="00F85CDC" w:rsidRPr="00B47A14" w:rsidRDefault="00F85CDC" w:rsidP="00F85CDC">
            <w:pPr>
              <w:spacing w:after="0" w:line="240" w:lineRule="auto"/>
              <w:jc w:val="right"/>
              <w:rPr>
                <w:rFonts w:eastAsia="Times New Roman" w:cs="Times New Roman"/>
                <w:color w:val="000000"/>
                <w:kern w:val="0"/>
                <w:sz w:val="20"/>
                <w:szCs w:val="20"/>
                <w14:ligatures w14:val="none"/>
              </w:rPr>
            </w:pPr>
          </w:p>
        </w:tc>
        <w:tc>
          <w:tcPr>
            <w:tcW w:w="624" w:type="dxa"/>
            <w:tcBorders>
              <w:top w:val="nil"/>
              <w:left w:val="nil"/>
              <w:right w:val="nil"/>
            </w:tcBorders>
            <w:shd w:val="clear" w:color="000000" w:fill="FFFFFF"/>
            <w:noWrap/>
            <w:hideMark/>
          </w:tcPr>
          <w:p w14:paraId="3402D749" w14:textId="49D28AFD"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43" w:type="dxa"/>
            <w:tcBorders>
              <w:top w:val="nil"/>
              <w:left w:val="nil"/>
              <w:right w:val="single" w:sz="4" w:space="0" w:color="auto"/>
            </w:tcBorders>
            <w:shd w:val="clear" w:color="000000" w:fill="FFFFFF"/>
            <w:noWrap/>
            <w:hideMark/>
          </w:tcPr>
          <w:p w14:paraId="6C09E7E7" w14:textId="77777777" w:rsidR="00F85CDC" w:rsidRPr="00B47A14" w:rsidRDefault="00F85CDC" w:rsidP="00F85CDC">
            <w:pPr>
              <w:spacing w:after="0" w:line="240" w:lineRule="auto"/>
              <w:jc w:val="right"/>
              <w:rPr>
                <w:rFonts w:eastAsia="Times New Roman" w:cs="Times New Roman"/>
                <w:color w:val="000000"/>
                <w:kern w:val="0"/>
                <w:sz w:val="20"/>
                <w:szCs w:val="20"/>
                <w14:ligatures w14:val="none"/>
              </w:rPr>
            </w:pPr>
          </w:p>
        </w:tc>
        <w:tc>
          <w:tcPr>
            <w:tcW w:w="630" w:type="dxa"/>
            <w:tcBorders>
              <w:top w:val="nil"/>
              <w:left w:val="nil"/>
              <w:right w:val="nil"/>
            </w:tcBorders>
            <w:shd w:val="clear" w:color="000000" w:fill="FFFFFF"/>
            <w:noWrap/>
            <w:hideMark/>
          </w:tcPr>
          <w:p w14:paraId="531287B2" w14:textId="64016E4C"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656" w:type="dxa"/>
            <w:tcBorders>
              <w:top w:val="nil"/>
              <w:left w:val="nil"/>
              <w:right w:val="single" w:sz="4" w:space="0" w:color="auto"/>
            </w:tcBorders>
            <w:shd w:val="clear" w:color="000000" w:fill="FFFFFF"/>
            <w:noWrap/>
            <w:hideMark/>
          </w:tcPr>
          <w:p w14:paraId="08EC9E65" w14:textId="77777777" w:rsidR="00F85CDC" w:rsidRPr="00B47A14" w:rsidRDefault="00F85CDC" w:rsidP="00F85CDC">
            <w:pPr>
              <w:spacing w:after="0" w:line="240" w:lineRule="auto"/>
              <w:jc w:val="right"/>
              <w:rPr>
                <w:rFonts w:eastAsia="Times New Roman" w:cs="Times New Roman"/>
                <w:color w:val="000000"/>
                <w:kern w:val="0"/>
                <w:sz w:val="20"/>
                <w:szCs w:val="20"/>
                <w14:ligatures w14:val="none"/>
              </w:rPr>
            </w:pPr>
          </w:p>
        </w:tc>
        <w:tc>
          <w:tcPr>
            <w:tcW w:w="573" w:type="dxa"/>
            <w:tcBorders>
              <w:top w:val="nil"/>
              <w:left w:val="nil"/>
              <w:right w:val="nil"/>
            </w:tcBorders>
            <w:shd w:val="clear" w:color="000000" w:fill="FFFFFF"/>
            <w:noWrap/>
            <w:vAlign w:val="bottom"/>
            <w:hideMark/>
          </w:tcPr>
          <w:p w14:paraId="78853D4A" w14:textId="5B8B33C5"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-0.22</w:t>
            </w:r>
          </w:p>
        </w:tc>
        <w:tc>
          <w:tcPr>
            <w:tcW w:w="491" w:type="dxa"/>
            <w:tcBorders>
              <w:top w:val="nil"/>
              <w:left w:val="nil"/>
              <w:right w:val="single" w:sz="12" w:space="0" w:color="auto"/>
            </w:tcBorders>
            <w:shd w:val="clear" w:color="000000" w:fill="FFFFFF"/>
            <w:noWrap/>
            <w:vAlign w:val="bottom"/>
            <w:hideMark/>
          </w:tcPr>
          <w:p w14:paraId="2A8D2D5B" w14:textId="775600E3"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-2.38</w:t>
            </w:r>
          </w:p>
        </w:tc>
      </w:tr>
      <w:tr w:rsidR="00415E12" w:rsidRPr="00B47A14" w14:paraId="6BDE74AB" w14:textId="77777777" w:rsidTr="004C3CE3">
        <w:trPr>
          <w:gridAfter w:val="1"/>
          <w:wAfter w:w="8" w:type="dxa"/>
          <w:trHeight w:val="20"/>
          <w:jc w:val="center"/>
        </w:trPr>
        <w:tc>
          <w:tcPr>
            <w:tcW w:w="3950" w:type="dxa"/>
            <w:tcBorders>
              <w:top w:val="nil"/>
              <w:left w:val="single" w:sz="12" w:space="0" w:color="auto"/>
              <w:bottom w:val="single" w:sz="12" w:space="0" w:color="auto"/>
              <w:right w:val="single" w:sz="12" w:space="0" w:color="auto"/>
            </w:tcBorders>
            <w:shd w:val="clear" w:color="000000" w:fill="FFFFFF"/>
            <w:noWrap/>
            <w:vAlign w:val="bottom"/>
            <w:hideMark/>
          </w:tcPr>
          <w:p w14:paraId="14B5935B" w14:textId="680A6C54" w:rsidR="00F85CDC" w:rsidRPr="00B47A14" w:rsidRDefault="00F85CDC" w:rsidP="00F85CDC">
            <w:pPr>
              <w:spacing w:after="0" w:line="240" w:lineRule="auto"/>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 xml:space="preserve">       $100,000+ *</w:t>
            </w:r>
            <w:r w:rsidR="00FB4B5D">
              <w:rPr>
                <w:rFonts w:eastAsia="Times New Roman" w:cs="Times New Roman"/>
                <w:color w:val="000000"/>
                <w:kern w:val="0"/>
                <w:sz w:val="20"/>
                <w:szCs w:val="20"/>
                <w14:ligatures w14:val="none"/>
              </w:rPr>
              <w:t xml:space="preserve"> </w:t>
            </w:r>
            <w:r w:rsidR="00A77082">
              <w:rPr>
                <w:rFonts w:eastAsia="Times New Roman" w:cs="Times New Roman"/>
                <w:color w:val="000000"/>
                <w:kern w:val="0"/>
                <w:sz w:val="20"/>
                <w:szCs w:val="20"/>
                <w14:ligatures w14:val="none"/>
              </w:rPr>
              <w:t>During-</w:t>
            </w:r>
            <w:r w:rsidR="00A77082" w:rsidRPr="00B47A14">
              <w:rPr>
                <w:rFonts w:eastAsia="Times New Roman" w:cs="Times New Roman"/>
                <w:color w:val="000000"/>
                <w:kern w:val="0"/>
                <w:sz w:val="20"/>
                <w:szCs w:val="20"/>
                <w14:ligatures w14:val="none"/>
              </w:rPr>
              <w:t xml:space="preserve">COVID </w:t>
            </w:r>
            <w:r w:rsidRPr="00B47A14">
              <w:rPr>
                <w:rFonts w:eastAsia="Times New Roman" w:cs="Times New Roman"/>
                <w:color w:val="000000"/>
                <w:kern w:val="0"/>
                <w:sz w:val="20"/>
                <w:szCs w:val="20"/>
                <w14:ligatures w14:val="none"/>
              </w:rPr>
              <w:t>Effect</w:t>
            </w:r>
          </w:p>
        </w:tc>
        <w:tc>
          <w:tcPr>
            <w:tcW w:w="622" w:type="dxa"/>
            <w:tcBorders>
              <w:top w:val="nil"/>
              <w:left w:val="single" w:sz="12" w:space="0" w:color="auto"/>
              <w:bottom w:val="single" w:sz="12" w:space="0" w:color="auto"/>
              <w:right w:val="nil"/>
            </w:tcBorders>
            <w:shd w:val="clear" w:color="000000" w:fill="FFFFFF"/>
            <w:noWrap/>
            <w:hideMark/>
          </w:tcPr>
          <w:p w14:paraId="14E2C33B" w14:textId="3E49F1E7"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50" w:type="dxa"/>
            <w:tcBorders>
              <w:top w:val="nil"/>
              <w:left w:val="nil"/>
              <w:bottom w:val="single" w:sz="12" w:space="0" w:color="auto"/>
              <w:right w:val="single" w:sz="4" w:space="0" w:color="auto"/>
            </w:tcBorders>
            <w:shd w:val="clear" w:color="000000" w:fill="FFFFFF"/>
            <w:noWrap/>
            <w:hideMark/>
          </w:tcPr>
          <w:p w14:paraId="5A68789C" w14:textId="35D200A3" w:rsidR="00F85CDC" w:rsidRPr="00B47A14" w:rsidRDefault="00F85CDC" w:rsidP="00F85CDC">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single" w:sz="12" w:space="0" w:color="auto"/>
              <w:right w:val="nil"/>
            </w:tcBorders>
            <w:shd w:val="clear" w:color="000000" w:fill="FFFFFF"/>
            <w:noWrap/>
            <w:vAlign w:val="bottom"/>
          </w:tcPr>
          <w:p w14:paraId="74E7F221" w14:textId="33FF8FE2"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0.34</w:t>
            </w:r>
          </w:p>
        </w:tc>
        <w:tc>
          <w:tcPr>
            <w:tcW w:w="552" w:type="dxa"/>
            <w:tcBorders>
              <w:top w:val="nil"/>
              <w:left w:val="nil"/>
              <w:bottom w:val="single" w:sz="12" w:space="0" w:color="auto"/>
              <w:right w:val="single" w:sz="4" w:space="0" w:color="auto"/>
            </w:tcBorders>
            <w:shd w:val="clear" w:color="000000" w:fill="FFFFFF"/>
            <w:noWrap/>
            <w:vAlign w:val="bottom"/>
          </w:tcPr>
          <w:p w14:paraId="0140C6B1" w14:textId="1AAD7B50"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5.44</w:t>
            </w:r>
          </w:p>
        </w:tc>
        <w:tc>
          <w:tcPr>
            <w:tcW w:w="622" w:type="dxa"/>
            <w:tcBorders>
              <w:top w:val="nil"/>
              <w:left w:val="nil"/>
              <w:bottom w:val="single" w:sz="12" w:space="0" w:color="auto"/>
              <w:right w:val="nil"/>
            </w:tcBorders>
            <w:shd w:val="clear" w:color="000000" w:fill="FFFFFF"/>
            <w:noWrap/>
            <w:hideMark/>
          </w:tcPr>
          <w:p w14:paraId="2D131A97" w14:textId="16128EA2"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50" w:type="dxa"/>
            <w:tcBorders>
              <w:top w:val="nil"/>
              <w:left w:val="nil"/>
              <w:bottom w:val="single" w:sz="12" w:space="0" w:color="auto"/>
              <w:right w:val="single" w:sz="4" w:space="0" w:color="auto"/>
            </w:tcBorders>
            <w:shd w:val="clear" w:color="000000" w:fill="FFFFFF"/>
            <w:noWrap/>
            <w:hideMark/>
          </w:tcPr>
          <w:p w14:paraId="50EFE5BA" w14:textId="77777777" w:rsidR="00F85CDC" w:rsidRPr="00B47A14" w:rsidRDefault="00F85CDC" w:rsidP="00F85CDC">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single" w:sz="12" w:space="0" w:color="auto"/>
              <w:right w:val="nil"/>
            </w:tcBorders>
            <w:shd w:val="clear" w:color="000000" w:fill="FFFFFF"/>
            <w:noWrap/>
            <w:hideMark/>
          </w:tcPr>
          <w:p w14:paraId="1E4CF1DE" w14:textId="712DB41A"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642" w:type="dxa"/>
            <w:tcBorders>
              <w:top w:val="nil"/>
              <w:left w:val="nil"/>
              <w:bottom w:val="single" w:sz="12" w:space="0" w:color="auto"/>
              <w:right w:val="single" w:sz="4" w:space="0" w:color="auto"/>
            </w:tcBorders>
            <w:shd w:val="clear" w:color="000000" w:fill="FFFFFF"/>
            <w:noWrap/>
            <w:hideMark/>
          </w:tcPr>
          <w:p w14:paraId="08E792FD" w14:textId="77777777" w:rsidR="00F85CDC" w:rsidRPr="00B47A14" w:rsidRDefault="00F85CDC" w:rsidP="00F85CDC">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single" w:sz="12" w:space="0" w:color="auto"/>
              <w:right w:val="nil"/>
            </w:tcBorders>
            <w:shd w:val="clear" w:color="000000" w:fill="FFFFFF"/>
            <w:noWrap/>
            <w:vAlign w:val="bottom"/>
            <w:hideMark/>
          </w:tcPr>
          <w:p w14:paraId="36FEB65F" w14:textId="28F1B3EB"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0.38</w:t>
            </w:r>
          </w:p>
        </w:tc>
        <w:tc>
          <w:tcPr>
            <w:tcW w:w="541" w:type="dxa"/>
            <w:tcBorders>
              <w:top w:val="nil"/>
              <w:left w:val="nil"/>
              <w:bottom w:val="single" w:sz="12" w:space="0" w:color="auto"/>
              <w:right w:val="single" w:sz="4" w:space="0" w:color="auto"/>
            </w:tcBorders>
            <w:shd w:val="clear" w:color="000000" w:fill="FFFFFF"/>
            <w:noWrap/>
            <w:vAlign w:val="bottom"/>
            <w:hideMark/>
          </w:tcPr>
          <w:p w14:paraId="64A738C5" w14:textId="3D3AD820"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1.29</w:t>
            </w:r>
          </w:p>
        </w:tc>
        <w:tc>
          <w:tcPr>
            <w:tcW w:w="622" w:type="dxa"/>
            <w:tcBorders>
              <w:top w:val="nil"/>
              <w:left w:val="nil"/>
              <w:bottom w:val="single" w:sz="12" w:space="0" w:color="auto"/>
              <w:right w:val="nil"/>
            </w:tcBorders>
            <w:shd w:val="clear" w:color="000000" w:fill="FFFFFF"/>
            <w:noWrap/>
            <w:hideMark/>
          </w:tcPr>
          <w:p w14:paraId="7E39CABC" w14:textId="38DEAF1D"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621" w:type="dxa"/>
            <w:tcBorders>
              <w:top w:val="nil"/>
              <w:left w:val="nil"/>
              <w:bottom w:val="single" w:sz="12" w:space="0" w:color="auto"/>
              <w:right w:val="single" w:sz="4" w:space="0" w:color="auto"/>
            </w:tcBorders>
            <w:shd w:val="clear" w:color="000000" w:fill="FFFFFF"/>
            <w:noWrap/>
            <w:hideMark/>
          </w:tcPr>
          <w:p w14:paraId="0A238117" w14:textId="77777777" w:rsidR="00F85CDC" w:rsidRPr="00B47A14" w:rsidRDefault="00F85CDC" w:rsidP="00F85CDC">
            <w:pPr>
              <w:spacing w:after="0" w:line="240" w:lineRule="auto"/>
              <w:jc w:val="right"/>
              <w:rPr>
                <w:rFonts w:eastAsia="Times New Roman" w:cs="Times New Roman"/>
                <w:color w:val="000000"/>
                <w:kern w:val="0"/>
                <w:sz w:val="20"/>
                <w:szCs w:val="20"/>
                <w14:ligatures w14:val="none"/>
              </w:rPr>
            </w:pPr>
          </w:p>
        </w:tc>
        <w:tc>
          <w:tcPr>
            <w:tcW w:w="624" w:type="dxa"/>
            <w:tcBorders>
              <w:top w:val="nil"/>
              <w:left w:val="nil"/>
              <w:bottom w:val="single" w:sz="12" w:space="0" w:color="auto"/>
              <w:right w:val="nil"/>
            </w:tcBorders>
            <w:shd w:val="clear" w:color="000000" w:fill="FFFFFF"/>
            <w:noWrap/>
            <w:hideMark/>
          </w:tcPr>
          <w:p w14:paraId="0F1C0D53" w14:textId="1D7D3DCA"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43" w:type="dxa"/>
            <w:tcBorders>
              <w:top w:val="nil"/>
              <w:left w:val="nil"/>
              <w:bottom w:val="single" w:sz="12" w:space="0" w:color="auto"/>
              <w:right w:val="single" w:sz="4" w:space="0" w:color="auto"/>
            </w:tcBorders>
            <w:shd w:val="clear" w:color="000000" w:fill="FFFFFF"/>
            <w:noWrap/>
            <w:hideMark/>
          </w:tcPr>
          <w:p w14:paraId="4237E4F2" w14:textId="77777777" w:rsidR="00F85CDC" w:rsidRPr="00B47A14" w:rsidRDefault="00F85CDC" w:rsidP="00F85CDC">
            <w:pPr>
              <w:spacing w:after="0" w:line="240" w:lineRule="auto"/>
              <w:jc w:val="right"/>
              <w:rPr>
                <w:rFonts w:eastAsia="Times New Roman" w:cs="Times New Roman"/>
                <w:color w:val="000000"/>
                <w:kern w:val="0"/>
                <w:sz w:val="20"/>
                <w:szCs w:val="20"/>
                <w14:ligatures w14:val="none"/>
              </w:rPr>
            </w:pPr>
          </w:p>
        </w:tc>
        <w:tc>
          <w:tcPr>
            <w:tcW w:w="630" w:type="dxa"/>
            <w:tcBorders>
              <w:top w:val="nil"/>
              <w:left w:val="nil"/>
              <w:bottom w:val="single" w:sz="12" w:space="0" w:color="auto"/>
              <w:right w:val="nil"/>
            </w:tcBorders>
            <w:shd w:val="clear" w:color="000000" w:fill="FFFFFF"/>
            <w:noWrap/>
            <w:hideMark/>
          </w:tcPr>
          <w:p w14:paraId="7556EFCD" w14:textId="7E16E2A3"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656" w:type="dxa"/>
            <w:tcBorders>
              <w:top w:val="nil"/>
              <w:left w:val="nil"/>
              <w:bottom w:val="single" w:sz="12" w:space="0" w:color="auto"/>
              <w:right w:val="single" w:sz="4" w:space="0" w:color="auto"/>
            </w:tcBorders>
            <w:shd w:val="clear" w:color="000000" w:fill="FFFFFF"/>
            <w:noWrap/>
            <w:hideMark/>
          </w:tcPr>
          <w:p w14:paraId="233A8E26" w14:textId="77777777" w:rsidR="00F85CDC" w:rsidRPr="00B47A14" w:rsidRDefault="00F85CDC" w:rsidP="00F85CDC">
            <w:pPr>
              <w:spacing w:after="0" w:line="240" w:lineRule="auto"/>
              <w:jc w:val="right"/>
              <w:rPr>
                <w:rFonts w:eastAsia="Times New Roman" w:cs="Times New Roman"/>
                <w:color w:val="000000"/>
                <w:kern w:val="0"/>
                <w:sz w:val="20"/>
                <w:szCs w:val="20"/>
                <w14:ligatures w14:val="none"/>
              </w:rPr>
            </w:pPr>
          </w:p>
        </w:tc>
        <w:tc>
          <w:tcPr>
            <w:tcW w:w="573" w:type="dxa"/>
            <w:tcBorders>
              <w:top w:val="nil"/>
              <w:left w:val="nil"/>
              <w:bottom w:val="single" w:sz="12" w:space="0" w:color="auto"/>
              <w:right w:val="nil"/>
            </w:tcBorders>
            <w:shd w:val="clear" w:color="000000" w:fill="FFFFFF"/>
            <w:noWrap/>
            <w:vAlign w:val="bottom"/>
            <w:hideMark/>
          </w:tcPr>
          <w:p w14:paraId="186C1941" w14:textId="3EFE6D54"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-0.26</w:t>
            </w:r>
          </w:p>
        </w:tc>
        <w:tc>
          <w:tcPr>
            <w:tcW w:w="491" w:type="dxa"/>
            <w:tcBorders>
              <w:top w:val="nil"/>
              <w:left w:val="nil"/>
              <w:bottom w:val="single" w:sz="12" w:space="0" w:color="auto"/>
              <w:right w:val="single" w:sz="12" w:space="0" w:color="auto"/>
            </w:tcBorders>
            <w:shd w:val="clear" w:color="000000" w:fill="FFFFFF"/>
            <w:noWrap/>
            <w:vAlign w:val="bottom"/>
            <w:hideMark/>
          </w:tcPr>
          <w:p w14:paraId="0611971A" w14:textId="577FCD63" w:rsidR="00F85CDC" w:rsidRPr="00B47A14" w:rsidRDefault="00F85CDC" w:rsidP="00F85CDC">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-2.10</w:t>
            </w:r>
          </w:p>
        </w:tc>
      </w:tr>
    </w:tbl>
    <w:p w14:paraId="3E774B59" w14:textId="77777777" w:rsidR="001D205A" w:rsidRDefault="001D205A" w:rsidP="00092A50">
      <w:pPr>
        <w:spacing w:after="0" w:line="240" w:lineRule="auto"/>
        <w:jc w:val="both"/>
        <w:rPr>
          <w:rFonts w:cs="Times New Roman"/>
        </w:rPr>
      </w:pPr>
    </w:p>
    <w:p w14:paraId="48342F13" w14:textId="77777777" w:rsidR="00304309" w:rsidRDefault="00304309">
      <w:pPr>
        <w:rPr>
          <w:rFonts w:cs="Times New Roman"/>
        </w:rPr>
      </w:pPr>
    </w:p>
    <w:p w14:paraId="0D707623" w14:textId="7031DF9D" w:rsidR="00304309" w:rsidRDefault="00304309" w:rsidP="00304309">
      <w:pPr>
        <w:spacing w:after="0" w:line="240" w:lineRule="auto"/>
        <w:jc w:val="both"/>
        <w:rPr>
          <w:rFonts w:cs="Times New Roman"/>
          <w:b/>
          <w:bCs/>
        </w:rPr>
      </w:pPr>
      <w:r w:rsidRPr="001D205A">
        <w:rPr>
          <w:rFonts w:cs="Times New Roman"/>
          <w:b/>
          <w:bCs/>
        </w:rPr>
        <w:lastRenderedPageBreak/>
        <w:t>Table 3: Model Estimation Results</w:t>
      </w:r>
      <w:r>
        <w:rPr>
          <w:rFonts w:cs="Times New Roman"/>
          <w:b/>
          <w:bCs/>
        </w:rPr>
        <w:t xml:space="preserve"> (cont.)</w:t>
      </w:r>
    </w:p>
    <w:p w14:paraId="2D8933F9" w14:textId="77777777" w:rsidR="00304309" w:rsidRPr="00304309" w:rsidRDefault="00304309" w:rsidP="00304309">
      <w:pPr>
        <w:spacing w:after="0" w:line="240" w:lineRule="auto"/>
        <w:jc w:val="both"/>
        <w:rPr>
          <w:rFonts w:cs="Times New Roman"/>
          <w:b/>
          <w:bCs/>
        </w:rPr>
      </w:pPr>
    </w:p>
    <w:tbl>
      <w:tblPr>
        <w:tblpPr w:leftFromText="187" w:rightFromText="187" w:vertAnchor="text" w:horzAnchor="margin" w:tblpXSpec="center" w:tblpY="1"/>
        <w:tblW w:w="14312" w:type="dxa"/>
        <w:jc w:val="center"/>
        <w:tblLayout w:type="fixed"/>
        <w:tblCellMar>
          <w:left w:w="29" w:type="dxa"/>
          <w:right w:w="29" w:type="dxa"/>
        </w:tblCellMar>
        <w:tblLook w:val="04A0" w:firstRow="1" w:lastRow="0" w:firstColumn="1" w:lastColumn="0" w:noHBand="0" w:noVBand="1"/>
      </w:tblPr>
      <w:tblGrid>
        <w:gridCol w:w="3590"/>
        <w:gridCol w:w="622"/>
        <w:gridCol w:w="548"/>
        <w:gridCol w:w="622"/>
        <w:gridCol w:w="550"/>
        <w:gridCol w:w="622"/>
        <w:gridCol w:w="548"/>
        <w:gridCol w:w="622"/>
        <w:gridCol w:w="545"/>
        <w:gridCol w:w="622"/>
        <w:gridCol w:w="541"/>
        <w:gridCol w:w="622"/>
        <w:gridCol w:w="621"/>
        <w:gridCol w:w="624"/>
        <w:gridCol w:w="633"/>
        <w:gridCol w:w="694"/>
        <w:gridCol w:w="566"/>
        <w:gridCol w:w="622"/>
        <w:gridCol w:w="491"/>
        <w:gridCol w:w="7"/>
      </w:tblGrid>
      <w:tr w:rsidR="00304309" w:rsidRPr="00B47A14" w14:paraId="19E82455" w14:textId="77777777" w:rsidTr="004C3CE3">
        <w:trPr>
          <w:trHeight w:val="20"/>
          <w:jc w:val="center"/>
        </w:trPr>
        <w:tc>
          <w:tcPr>
            <w:tcW w:w="3590" w:type="dxa"/>
            <w:vMerge w:val="restart"/>
            <w:tcBorders>
              <w:top w:val="single" w:sz="12" w:space="0" w:color="auto"/>
              <w:left w:val="single" w:sz="12" w:space="0" w:color="auto"/>
              <w:bottom w:val="single" w:sz="12" w:space="0" w:color="auto"/>
              <w:right w:val="single" w:sz="12" w:space="0" w:color="auto"/>
            </w:tcBorders>
            <w:shd w:val="clear" w:color="000000" w:fill="FFFFFF"/>
            <w:noWrap/>
            <w:vAlign w:val="center"/>
            <w:hideMark/>
          </w:tcPr>
          <w:p w14:paraId="68110914" w14:textId="77777777" w:rsidR="00304309" w:rsidRPr="00B47A14" w:rsidRDefault="00304309" w:rsidP="0030543A">
            <w:pPr>
              <w:spacing w:after="0" w:line="240" w:lineRule="auto"/>
              <w:jc w:val="center"/>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Variables (base)</w:t>
            </w:r>
          </w:p>
        </w:tc>
        <w:tc>
          <w:tcPr>
            <w:tcW w:w="1170" w:type="dxa"/>
            <w:gridSpan w:val="2"/>
            <w:tcBorders>
              <w:top w:val="single" w:sz="12" w:space="0" w:color="auto"/>
              <w:left w:val="single" w:sz="12" w:space="0" w:color="auto"/>
              <w:bottom w:val="single" w:sz="12" w:space="0" w:color="auto"/>
              <w:right w:val="single" w:sz="4" w:space="0" w:color="000000"/>
            </w:tcBorders>
            <w:shd w:val="clear" w:color="000000" w:fill="FFFFFF"/>
            <w:vAlign w:val="bottom"/>
            <w:hideMark/>
          </w:tcPr>
          <w:p w14:paraId="7096224C" w14:textId="77777777" w:rsidR="00304309" w:rsidRPr="00B47A14" w:rsidRDefault="00304309" w:rsidP="0030543A">
            <w:pPr>
              <w:spacing w:after="0" w:line="240" w:lineRule="auto"/>
              <w:jc w:val="center"/>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Affordability</w:t>
            </w:r>
          </w:p>
        </w:tc>
        <w:tc>
          <w:tcPr>
            <w:tcW w:w="1172" w:type="dxa"/>
            <w:gridSpan w:val="2"/>
            <w:tcBorders>
              <w:top w:val="single" w:sz="12" w:space="0" w:color="auto"/>
              <w:left w:val="nil"/>
              <w:bottom w:val="single" w:sz="12" w:space="0" w:color="auto"/>
              <w:right w:val="single" w:sz="4" w:space="0" w:color="000000"/>
            </w:tcBorders>
            <w:shd w:val="clear" w:color="000000" w:fill="FFFFFF"/>
            <w:vAlign w:val="bottom"/>
            <w:hideMark/>
          </w:tcPr>
          <w:p w14:paraId="4AAEBC3D" w14:textId="1DCBC053" w:rsidR="00304309" w:rsidRPr="00B47A14" w:rsidRDefault="00304309" w:rsidP="0030543A">
            <w:pPr>
              <w:spacing w:after="0" w:line="240" w:lineRule="auto"/>
              <w:jc w:val="center"/>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 xml:space="preserve">Being close to </w:t>
            </w:r>
            <w:r w:rsidR="004A258E">
              <w:rPr>
                <w:rFonts w:eastAsia="Times New Roman" w:cs="Times New Roman"/>
                <w:color w:val="000000"/>
                <w:kern w:val="0"/>
                <w:sz w:val="20"/>
                <w:szCs w:val="20"/>
                <w14:ligatures w14:val="none"/>
              </w:rPr>
              <w:t>f</w:t>
            </w:r>
            <w:r w:rsidRPr="00B47A14">
              <w:rPr>
                <w:rFonts w:eastAsia="Times New Roman" w:cs="Times New Roman"/>
                <w:color w:val="000000"/>
                <w:kern w:val="0"/>
                <w:sz w:val="20"/>
                <w:szCs w:val="20"/>
                <w14:ligatures w14:val="none"/>
              </w:rPr>
              <w:t xml:space="preserve">amily and </w:t>
            </w:r>
            <w:r w:rsidR="004A258E">
              <w:rPr>
                <w:rFonts w:eastAsia="Times New Roman" w:cs="Times New Roman"/>
                <w:color w:val="000000"/>
                <w:kern w:val="0"/>
                <w:sz w:val="20"/>
                <w:szCs w:val="20"/>
                <w14:ligatures w14:val="none"/>
              </w:rPr>
              <w:t>f</w:t>
            </w:r>
            <w:r w:rsidRPr="00B47A14">
              <w:rPr>
                <w:rFonts w:eastAsia="Times New Roman" w:cs="Times New Roman"/>
                <w:color w:val="000000"/>
                <w:kern w:val="0"/>
                <w:sz w:val="20"/>
                <w:szCs w:val="20"/>
                <w14:ligatures w14:val="none"/>
              </w:rPr>
              <w:t>riends</w:t>
            </w:r>
          </w:p>
        </w:tc>
        <w:tc>
          <w:tcPr>
            <w:tcW w:w="1170" w:type="dxa"/>
            <w:gridSpan w:val="2"/>
            <w:tcBorders>
              <w:top w:val="single" w:sz="12" w:space="0" w:color="auto"/>
              <w:left w:val="nil"/>
              <w:bottom w:val="single" w:sz="12" w:space="0" w:color="auto"/>
              <w:right w:val="single" w:sz="4" w:space="0" w:color="000000"/>
            </w:tcBorders>
            <w:shd w:val="clear" w:color="000000" w:fill="FFFFFF"/>
            <w:vAlign w:val="bottom"/>
            <w:hideMark/>
          </w:tcPr>
          <w:p w14:paraId="2C78491A" w14:textId="0EB1728A" w:rsidR="00304309" w:rsidRPr="00B47A14" w:rsidRDefault="00304309" w:rsidP="0030543A">
            <w:pPr>
              <w:spacing w:after="0" w:line="240" w:lineRule="auto"/>
              <w:jc w:val="center"/>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 xml:space="preserve">Access to </w:t>
            </w:r>
            <w:r w:rsidR="004A258E">
              <w:rPr>
                <w:rFonts w:eastAsia="Times New Roman" w:cs="Times New Roman"/>
                <w:color w:val="000000"/>
                <w:kern w:val="0"/>
                <w:sz w:val="20"/>
                <w:szCs w:val="20"/>
                <w14:ligatures w14:val="none"/>
              </w:rPr>
              <w:t>c</w:t>
            </w:r>
            <w:r w:rsidRPr="00B47A14">
              <w:rPr>
                <w:rFonts w:eastAsia="Times New Roman" w:cs="Times New Roman"/>
                <w:color w:val="000000"/>
                <w:kern w:val="0"/>
                <w:sz w:val="20"/>
                <w:szCs w:val="20"/>
                <w14:ligatures w14:val="none"/>
              </w:rPr>
              <w:t xml:space="preserve">ultural </w:t>
            </w:r>
            <w:r w:rsidR="004A258E">
              <w:rPr>
                <w:rFonts w:eastAsia="Times New Roman" w:cs="Times New Roman"/>
                <w:color w:val="000000"/>
                <w:kern w:val="0"/>
                <w:sz w:val="20"/>
                <w:szCs w:val="20"/>
                <w14:ligatures w14:val="none"/>
              </w:rPr>
              <w:t>c</w:t>
            </w:r>
            <w:r w:rsidRPr="00B47A14">
              <w:rPr>
                <w:rFonts w:eastAsia="Times New Roman" w:cs="Times New Roman"/>
                <w:color w:val="000000"/>
                <w:kern w:val="0"/>
                <w:sz w:val="20"/>
                <w:szCs w:val="20"/>
                <w14:ligatures w14:val="none"/>
              </w:rPr>
              <w:t xml:space="preserve">enters and </w:t>
            </w:r>
            <w:r w:rsidR="004A258E">
              <w:rPr>
                <w:rFonts w:eastAsia="Times New Roman" w:cs="Times New Roman"/>
                <w:color w:val="000000"/>
                <w:kern w:val="0"/>
                <w:sz w:val="20"/>
                <w:szCs w:val="20"/>
                <w14:ligatures w14:val="none"/>
              </w:rPr>
              <w:t>a</w:t>
            </w:r>
            <w:r w:rsidRPr="00B47A14">
              <w:rPr>
                <w:rFonts w:eastAsia="Times New Roman" w:cs="Times New Roman"/>
                <w:color w:val="000000"/>
                <w:kern w:val="0"/>
                <w:sz w:val="20"/>
                <w:szCs w:val="20"/>
                <w14:ligatures w14:val="none"/>
              </w:rPr>
              <w:t>ctivities</w:t>
            </w:r>
          </w:p>
        </w:tc>
        <w:tc>
          <w:tcPr>
            <w:tcW w:w="1167" w:type="dxa"/>
            <w:gridSpan w:val="2"/>
            <w:tcBorders>
              <w:top w:val="single" w:sz="12" w:space="0" w:color="auto"/>
              <w:left w:val="nil"/>
              <w:bottom w:val="single" w:sz="12" w:space="0" w:color="auto"/>
              <w:right w:val="single" w:sz="4" w:space="0" w:color="000000"/>
            </w:tcBorders>
            <w:shd w:val="clear" w:color="000000" w:fill="FFFFFF"/>
            <w:vAlign w:val="bottom"/>
            <w:hideMark/>
          </w:tcPr>
          <w:p w14:paraId="1D99353A" w14:textId="77777777" w:rsidR="00304309" w:rsidRPr="00B47A14" w:rsidRDefault="00304309" w:rsidP="0030543A">
            <w:pPr>
              <w:spacing w:after="0" w:line="240" w:lineRule="auto"/>
              <w:jc w:val="center"/>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Being close to the highway</w:t>
            </w:r>
          </w:p>
        </w:tc>
        <w:tc>
          <w:tcPr>
            <w:tcW w:w="1163" w:type="dxa"/>
            <w:gridSpan w:val="2"/>
            <w:tcBorders>
              <w:top w:val="single" w:sz="12" w:space="0" w:color="auto"/>
              <w:left w:val="nil"/>
              <w:bottom w:val="single" w:sz="12" w:space="0" w:color="auto"/>
              <w:right w:val="single" w:sz="4" w:space="0" w:color="000000"/>
            </w:tcBorders>
            <w:shd w:val="clear" w:color="000000" w:fill="FFFFFF"/>
            <w:vAlign w:val="bottom"/>
            <w:hideMark/>
          </w:tcPr>
          <w:p w14:paraId="0869B455" w14:textId="77777777" w:rsidR="00415E12" w:rsidRDefault="00304309" w:rsidP="0030543A">
            <w:pPr>
              <w:spacing w:after="0" w:line="240" w:lineRule="auto"/>
              <w:jc w:val="center"/>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 xml:space="preserve">Quality of schools </w:t>
            </w:r>
          </w:p>
          <w:p w14:paraId="199BB030" w14:textId="28255F97" w:rsidR="00304309" w:rsidRPr="00B47A14" w:rsidRDefault="00304309" w:rsidP="0030543A">
            <w:pPr>
              <w:spacing w:after="0" w:line="240" w:lineRule="auto"/>
              <w:jc w:val="center"/>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w:t>
            </w:r>
            <w:r w:rsidR="003F65A3">
              <w:rPr>
                <w:rFonts w:eastAsia="Times New Roman" w:cs="Times New Roman"/>
                <w:color w:val="000000"/>
                <w:kern w:val="0"/>
                <w:sz w:val="20"/>
                <w:szCs w:val="20"/>
                <w14:ligatures w14:val="none"/>
              </w:rPr>
              <w:t>K</w:t>
            </w:r>
            <w:r w:rsidRPr="00B47A14">
              <w:rPr>
                <w:rFonts w:eastAsia="Times New Roman" w:cs="Times New Roman"/>
                <w:color w:val="000000"/>
                <w:kern w:val="0"/>
                <w:sz w:val="20"/>
                <w:szCs w:val="20"/>
                <w14:ligatures w14:val="none"/>
              </w:rPr>
              <w:t>-12)</w:t>
            </w:r>
          </w:p>
        </w:tc>
        <w:tc>
          <w:tcPr>
            <w:tcW w:w="1243" w:type="dxa"/>
            <w:gridSpan w:val="2"/>
            <w:tcBorders>
              <w:top w:val="single" w:sz="12" w:space="0" w:color="auto"/>
              <w:left w:val="nil"/>
              <w:bottom w:val="single" w:sz="12" w:space="0" w:color="auto"/>
              <w:right w:val="single" w:sz="4" w:space="0" w:color="000000"/>
            </w:tcBorders>
            <w:shd w:val="clear" w:color="000000" w:fill="FFFFFF"/>
            <w:vAlign w:val="bottom"/>
            <w:hideMark/>
          </w:tcPr>
          <w:p w14:paraId="04C2EB2C" w14:textId="77777777" w:rsidR="00304309" w:rsidRPr="00B47A14" w:rsidRDefault="00304309" w:rsidP="0030543A">
            <w:pPr>
              <w:spacing w:after="0" w:line="240" w:lineRule="auto"/>
              <w:jc w:val="center"/>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Having space and separation from others</w:t>
            </w:r>
          </w:p>
        </w:tc>
        <w:tc>
          <w:tcPr>
            <w:tcW w:w="1257" w:type="dxa"/>
            <w:gridSpan w:val="2"/>
            <w:tcBorders>
              <w:top w:val="single" w:sz="12" w:space="0" w:color="auto"/>
              <w:left w:val="nil"/>
              <w:bottom w:val="single" w:sz="12" w:space="0" w:color="auto"/>
              <w:right w:val="single" w:sz="4" w:space="0" w:color="000000"/>
            </w:tcBorders>
            <w:shd w:val="clear" w:color="000000" w:fill="FFFFFF"/>
            <w:vAlign w:val="bottom"/>
            <w:hideMark/>
          </w:tcPr>
          <w:p w14:paraId="44C4A045" w14:textId="77777777" w:rsidR="00304309" w:rsidRPr="00B47A14" w:rsidRDefault="00304309" w:rsidP="0030543A">
            <w:pPr>
              <w:spacing w:after="0" w:line="240" w:lineRule="auto"/>
              <w:jc w:val="center"/>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Being close to public transit</w:t>
            </w:r>
          </w:p>
        </w:tc>
        <w:tc>
          <w:tcPr>
            <w:tcW w:w="1260" w:type="dxa"/>
            <w:gridSpan w:val="2"/>
            <w:tcBorders>
              <w:top w:val="single" w:sz="12" w:space="0" w:color="auto"/>
              <w:left w:val="nil"/>
              <w:bottom w:val="single" w:sz="12" w:space="0" w:color="auto"/>
              <w:right w:val="single" w:sz="4" w:space="0" w:color="000000"/>
            </w:tcBorders>
            <w:shd w:val="clear" w:color="000000" w:fill="FFFFFF"/>
            <w:vAlign w:val="bottom"/>
            <w:hideMark/>
          </w:tcPr>
          <w:p w14:paraId="46455421" w14:textId="77777777" w:rsidR="00304309" w:rsidRPr="00B47A14" w:rsidRDefault="00304309" w:rsidP="0030543A">
            <w:pPr>
              <w:spacing w:after="0" w:line="240" w:lineRule="auto"/>
              <w:jc w:val="center"/>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Having a walkable neighborhood and being near local activities</w:t>
            </w:r>
          </w:p>
        </w:tc>
        <w:tc>
          <w:tcPr>
            <w:tcW w:w="1120" w:type="dxa"/>
            <w:gridSpan w:val="3"/>
            <w:tcBorders>
              <w:top w:val="single" w:sz="12" w:space="0" w:color="auto"/>
              <w:left w:val="nil"/>
              <w:bottom w:val="single" w:sz="12" w:space="0" w:color="auto"/>
              <w:right w:val="single" w:sz="12" w:space="0" w:color="auto"/>
            </w:tcBorders>
            <w:shd w:val="clear" w:color="000000" w:fill="FFFFFF"/>
            <w:vAlign w:val="bottom"/>
            <w:hideMark/>
          </w:tcPr>
          <w:p w14:paraId="6CB94064" w14:textId="77777777" w:rsidR="00304309" w:rsidRPr="00B47A14" w:rsidRDefault="00304309" w:rsidP="0030543A">
            <w:pPr>
              <w:spacing w:after="0" w:line="240" w:lineRule="auto"/>
              <w:jc w:val="center"/>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Being within a reasonably short commute to work</w:t>
            </w:r>
          </w:p>
        </w:tc>
      </w:tr>
      <w:tr w:rsidR="00304309" w:rsidRPr="00B47A14" w14:paraId="5E604AA6" w14:textId="77777777" w:rsidTr="004C3CE3">
        <w:trPr>
          <w:gridAfter w:val="1"/>
          <w:wAfter w:w="7" w:type="dxa"/>
          <w:trHeight w:val="20"/>
          <w:jc w:val="center"/>
        </w:trPr>
        <w:tc>
          <w:tcPr>
            <w:tcW w:w="3590" w:type="dxa"/>
            <w:vMerge/>
            <w:tcBorders>
              <w:top w:val="single" w:sz="8" w:space="0" w:color="000000"/>
              <w:left w:val="single" w:sz="12" w:space="0" w:color="auto"/>
              <w:bottom w:val="single" w:sz="12" w:space="0" w:color="auto"/>
              <w:right w:val="single" w:sz="12" w:space="0" w:color="auto"/>
            </w:tcBorders>
            <w:vAlign w:val="center"/>
            <w:hideMark/>
          </w:tcPr>
          <w:p w14:paraId="79C688D9" w14:textId="77777777" w:rsidR="00304309" w:rsidRPr="00B47A14" w:rsidRDefault="00304309" w:rsidP="0030543A">
            <w:pPr>
              <w:spacing w:after="0" w:line="240" w:lineRule="auto"/>
              <w:rPr>
                <w:rFonts w:eastAsia="Times New Roman" w:cs="Times New Roman"/>
                <w:color w:val="000000"/>
                <w:kern w:val="0"/>
                <w:sz w:val="20"/>
                <w:szCs w:val="20"/>
                <w14:ligatures w14:val="none"/>
              </w:rPr>
            </w:pPr>
          </w:p>
        </w:tc>
        <w:tc>
          <w:tcPr>
            <w:tcW w:w="622" w:type="dxa"/>
            <w:tcBorders>
              <w:top w:val="nil"/>
              <w:left w:val="single" w:sz="12" w:space="0" w:color="auto"/>
              <w:bottom w:val="single" w:sz="12" w:space="0" w:color="auto"/>
              <w:right w:val="nil"/>
            </w:tcBorders>
            <w:shd w:val="clear" w:color="000000" w:fill="FFFFFF"/>
            <w:noWrap/>
            <w:vAlign w:val="bottom"/>
            <w:hideMark/>
          </w:tcPr>
          <w:p w14:paraId="507CE0F8" w14:textId="77777777" w:rsidR="00304309" w:rsidRPr="00B47A14" w:rsidRDefault="00304309" w:rsidP="0030543A">
            <w:pPr>
              <w:spacing w:after="0" w:line="240" w:lineRule="auto"/>
              <w:jc w:val="center"/>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Coeff.</w:t>
            </w:r>
          </w:p>
        </w:tc>
        <w:tc>
          <w:tcPr>
            <w:tcW w:w="548" w:type="dxa"/>
            <w:tcBorders>
              <w:top w:val="nil"/>
              <w:left w:val="nil"/>
              <w:bottom w:val="single" w:sz="12" w:space="0" w:color="auto"/>
              <w:right w:val="single" w:sz="4" w:space="0" w:color="auto"/>
            </w:tcBorders>
            <w:shd w:val="clear" w:color="000000" w:fill="FFFFFF"/>
            <w:noWrap/>
            <w:vAlign w:val="bottom"/>
            <w:hideMark/>
          </w:tcPr>
          <w:p w14:paraId="61CF78E9" w14:textId="77777777" w:rsidR="00304309" w:rsidRPr="00B47A14" w:rsidRDefault="00304309" w:rsidP="0030543A">
            <w:pPr>
              <w:spacing w:after="0" w:line="240" w:lineRule="auto"/>
              <w:jc w:val="center"/>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t-stat</w:t>
            </w:r>
          </w:p>
        </w:tc>
        <w:tc>
          <w:tcPr>
            <w:tcW w:w="622" w:type="dxa"/>
            <w:tcBorders>
              <w:top w:val="nil"/>
              <w:left w:val="nil"/>
              <w:bottom w:val="single" w:sz="12" w:space="0" w:color="auto"/>
              <w:right w:val="nil"/>
            </w:tcBorders>
            <w:shd w:val="clear" w:color="000000" w:fill="FFFFFF"/>
            <w:noWrap/>
            <w:vAlign w:val="bottom"/>
            <w:hideMark/>
          </w:tcPr>
          <w:p w14:paraId="6F5E7548" w14:textId="77777777" w:rsidR="00304309" w:rsidRPr="00B47A14" w:rsidRDefault="00304309" w:rsidP="0030543A">
            <w:pPr>
              <w:spacing w:after="0" w:line="240" w:lineRule="auto"/>
              <w:jc w:val="center"/>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Coeff.</w:t>
            </w:r>
          </w:p>
        </w:tc>
        <w:tc>
          <w:tcPr>
            <w:tcW w:w="550" w:type="dxa"/>
            <w:tcBorders>
              <w:top w:val="nil"/>
              <w:left w:val="nil"/>
              <w:bottom w:val="single" w:sz="12" w:space="0" w:color="auto"/>
              <w:right w:val="single" w:sz="4" w:space="0" w:color="auto"/>
            </w:tcBorders>
            <w:shd w:val="clear" w:color="000000" w:fill="FFFFFF"/>
            <w:noWrap/>
            <w:vAlign w:val="bottom"/>
            <w:hideMark/>
          </w:tcPr>
          <w:p w14:paraId="15C647EA" w14:textId="77777777" w:rsidR="00304309" w:rsidRPr="00B47A14" w:rsidRDefault="00304309" w:rsidP="0030543A">
            <w:pPr>
              <w:spacing w:after="0" w:line="240" w:lineRule="auto"/>
              <w:jc w:val="center"/>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t-stat</w:t>
            </w:r>
          </w:p>
        </w:tc>
        <w:tc>
          <w:tcPr>
            <w:tcW w:w="622" w:type="dxa"/>
            <w:tcBorders>
              <w:top w:val="nil"/>
              <w:left w:val="nil"/>
              <w:bottom w:val="single" w:sz="12" w:space="0" w:color="auto"/>
              <w:right w:val="nil"/>
            </w:tcBorders>
            <w:shd w:val="clear" w:color="000000" w:fill="FFFFFF"/>
            <w:noWrap/>
            <w:vAlign w:val="bottom"/>
            <w:hideMark/>
          </w:tcPr>
          <w:p w14:paraId="72C1A01D" w14:textId="77777777" w:rsidR="00304309" w:rsidRPr="00B47A14" w:rsidRDefault="00304309" w:rsidP="0030543A">
            <w:pPr>
              <w:spacing w:after="0" w:line="240" w:lineRule="auto"/>
              <w:jc w:val="center"/>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Coeff.</w:t>
            </w:r>
          </w:p>
        </w:tc>
        <w:tc>
          <w:tcPr>
            <w:tcW w:w="548" w:type="dxa"/>
            <w:tcBorders>
              <w:top w:val="nil"/>
              <w:left w:val="nil"/>
              <w:bottom w:val="single" w:sz="12" w:space="0" w:color="auto"/>
              <w:right w:val="single" w:sz="4" w:space="0" w:color="auto"/>
            </w:tcBorders>
            <w:shd w:val="clear" w:color="000000" w:fill="FFFFFF"/>
            <w:noWrap/>
            <w:vAlign w:val="bottom"/>
            <w:hideMark/>
          </w:tcPr>
          <w:p w14:paraId="09287D03" w14:textId="77777777" w:rsidR="00304309" w:rsidRPr="00B47A14" w:rsidRDefault="00304309" w:rsidP="0030543A">
            <w:pPr>
              <w:spacing w:after="0" w:line="240" w:lineRule="auto"/>
              <w:jc w:val="center"/>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t-stat</w:t>
            </w:r>
          </w:p>
        </w:tc>
        <w:tc>
          <w:tcPr>
            <w:tcW w:w="622" w:type="dxa"/>
            <w:tcBorders>
              <w:top w:val="nil"/>
              <w:left w:val="nil"/>
              <w:bottom w:val="single" w:sz="12" w:space="0" w:color="auto"/>
              <w:right w:val="nil"/>
            </w:tcBorders>
            <w:shd w:val="clear" w:color="000000" w:fill="FFFFFF"/>
            <w:noWrap/>
            <w:vAlign w:val="bottom"/>
            <w:hideMark/>
          </w:tcPr>
          <w:p w14:paraId="715094F5" w14:textId="77777777" w:rsidR="00304309" w:rsidRPr="00B47A14" w:rsidRDefault="00304309" w:rsidP="0030543A">
            <w:pPr>
              <w:spacing w:after="0" w:line="240" w:lineRule="auto"/>
              <w:jc w:val="center"/>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Coeff.</w:t>
            </w:r>
          </w:p>
        </w:tc>
        <w:tc>
          <w:tcPr>
            <w:tcW w:w="545" w:type="dxa"/>
            <w:tcBorders>
              <w:top w:val="nil"/>
              <w:left w:val="nil"/>
              <w:bottom w:val="single" w:sz="12" w:space="0" w:color="auto"/>
              <w:right w:val="single" w:sz="4" w:space="0" w:color="auto"/>
            </w:tcBorders>
            <w:shd w:val="clear" w:color="000000" w:fill="FFFFFF"/>
            <w:noWrap/>
            <w:vAlign w:val="bottom"/>
            <w:hideMark/>
          </w:tcPr>
          <w:p w14:paraId="3B6F7609" w14:textId="77777777" w:rsidR="00304309" w:rsidRPr="00B47A14" w:rsidRDefault="00304309" w:rsidP="0030543A">
            <w:pPr>
              <w:spacing w:after="0" w:line="240" w:lineRule="auto"/>
              <w:jc w:val="center"/>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t-stat</w:t>
            </w:r>
          </w:p>
        </w:tc>
        <w:tc>
          <w:tcPr>
            <w:tcW w:w="622" w:type="dxa"/>
            <w:tcBorders>
              <w:top w:val="nil"/>
              <w:left w:val="nil"/>
              <w:bottom w:val="single" w:sz="12" w:space="0" w:color="auto"/>
              <w:right w:val="nil"/>
            </w:tcBorders>
            <w:shd w:val="clear" w:color="000000" w:fill="FFFFFF"/>
            <w:noWrap/>
            <w:vAlign w:val="bottom"/>
            <w:hideMark/>
          </w:tcPr>
          <w:p w14:paraId="3E101B00" w14:textId="77777777" w:rsidR="00304309" w:rsidRPr="00B47A14" w:rsidRDefault="00304309" w:rsidP="0030543A">
            <w:pPr>
              <w:spacing w:after="0" w:line="240" w:lineRule="auto"/>
              <w:jc w:val="center"/>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Coeff.</w:t>
            </w:r>
          </w:p>
        </w:tc>
        <w:tc>
          <w:tcPr>
            <w:tcW w:w="541" w:type="dxa"/>
            <w:tcBorders>
              <w:top w:val="nil"/>
              <w:left w:val="nil"/>
              <w:bottom w:val="single" w:sz="12" w:space="0" w:color="auto"/>
              <w:right w:val="single" w:sz="4" w:space="0" w:color="auto"/>
            </w:tcBorders>
            <w:shd w:val="clear" w:color="000000" w:fill="FFFFFF"/>
            <w:noWrap/>
            <w:vAlign w:val="bottom"/>
            <w:hideMark/>
          </w:tcPr>
          <w:p w14:paraId="0AE89FC7" w14:textId="77777777" w:rsidR="00304309" w:rsidRPr="00B47A14" w:rsidRDefault="00304309" w:rsidP="0030543A">
            <w:pPr>
              <w:spacing w:after="0" w:line="240" w:lineRule="auto"/>
              <w:jc w:val="center"/>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t-stat</w:t>
            </w:r>
          </w:p>
        </w:tc>
        <w:tc>
          <w:tcPr>
            <w:tcW w:w="622" w:type="dxa"/>
            <w:tcBorders>
              <w:top w:val="nil"/>
              <w:left w:val="nil"/>
              <w:bottom w:val="single" w:sz="12" w:space="0" w:color="auto"/>
              <w:right w:val="nil"/>
            </w:tcBorders>
            <w:shd w:val="clear" w:color="000000" w:fill="FFFFFF"/>
            <w:noWrap/>
            <w:vAlign w:val="bottom"/>
            <w:hideMark/>
          </w:tcPr>
          <w:p w14:paraId="1946416E" w14:textId="77777777" w:rsidR="00304309" w:rsidRPr="00B47A14" w:rsidRDefault="00304309" w:rsidP="0030543A">
            <w:pPr>
              <w:spacing w:after="0" w:line="240" w:lineRule="auto"/>
              <w:jc w:val="center"/>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Coeff.</w:t>
            </w:r>
          </w:p>
        </w:tc>
        <w:tc>
          <w:tcPr>
            <w:tcW w:w="621" w:type="dxa"/>
            <w:tcBorders>
              <w:top w:val="nil"/>
              <w:left w:val="nil"/>
              <w:bottom w:val="single" w:sz="12" w:space="0" w:color="auto"/>
              <w:right w:val="single" w:sz="4" w:space="0" w:color="auto"/>
            </w:tcBorders>
            <w:shd w:val="clear" w:color="000000" w:fill="FFFFFF"/>
            <w:noWrap/>
            <w:vAlign w:val="bottom"/>
            <w:hideMark/>
          </w:tcPr>
          <w:p w14:paraId="3748CBEA" w14:textId="77777777" w:rsidR="00304309" w:rsidRPr="00B47A14" w:rsidRDefault="00304309" w:rsidP="0030543A">
            <w:pPr>
              <w:spacing w:after="0" w:line="240" w:lineRule="auto"/>
              <w:jc w:val="center"/>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t-stat</w:t>
            </w:r>
          </w:p>
        </w:tc>
        <w:tc>
          <w:tcPr>
            <w:tcW w:w="624" w:type="dxa"/>
            <w:tcBorders>
              <w:top w:val="nil"/>
              <w:left w:val="nil"/>
              <w:bottom w:val="single" w:sz="12" w:space="0" w:color="auto"/>
              <w:right w:val="nil"/>
            </w:tcBorders>
            <w:shd w:val="clear" w:color="000000" w:fill="FFFFFF"/>
            <w:noWrap/>
            <w:vAlign w:val="bottom"/>
            <w:hideMark/>
          </w:tcPr>
          <w:p w14:paraId="7EC39743" w14:textId="77777777" w:rsidR="00304309" w:rsidRPr="00B47A14" w:rsidRDefault="00304309" w:rsidP="0030543A">
            <w:pPr>
              <w:spacing w:after="0" w:line="240" w:lineRule="auto"/>
              <w:jc w:val="center"/>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Coeff.</w:t>
            </w:r>
          </w:p>
        </w:tc>
        <w:tc>
          <w:tcPr>
            <w:tcW w:w="633" w:type="dxa"/>
            <w:tcBorders>
              <w:top w:val="nil"/>
              <w:left w:val="nil"/>
              <w:bottom w:val="single" w:sz="12" w:space="0" w:color="auto"/>
              <w:right w:val="single" w:sz="4" w:space="0" w:color="auto"/>
            </w:tcBorders>
            <w:shd w:val="clear" w:color="000000" w:fill="FFFFFF"/>
            <w:noWrap/>
            <w:vAlign w:val="bottom"/>
            <w:hideMark/>
          </w:tcPr>
          <w:p w14:paraId="308EDB94" w14:textId="77777777" w:rsidR="00304309" w:rsidRPr="00B47A14" w:rsidRDefault="00304309" w:rsidP="0030543A">
            <w:pPr>
              <w:spacing w:after="0" w:line="240" w:lineRule="auto"/>
              <w:jc w:val="center"/>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t-stat</w:t>
            </w:r>
          </w:p>
        </w:tc>
        <w:tc>
          <w:tcPr>
            <w:tcW w:w="694" w:type="dxa"/>
            <w:tcBorders>
              <w:top w:val="nil"/>
              <w:left w:val="nil"/>
              <w:bottom w:val="single" w:sz="12" w:space="0" w:color="auto"/>
              <w:right w:val="nil"/>
            </w:tcBorders>
            <w:shd w:val="clear" w:color="000000" w:fill="FFFFFF"/>
            <w:noWrap/>
            <w:vAlign w:val="bottom"/>
            <w:hideMark/>
          </w:tcPr>
          <w:p w14:paraId="738A8884" w14:textId="77777777" w:rsidR="00304309" w:rsidRPr="00B47A14" w:rsidRDefault="00304309" w:rsidP="0030543A">
            <w:pPr>
              <w:spacing w:after="0" w:line="240" w:lineRule="auto"/>
              <w:jc w:val="center"/>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Coeff.</w:t>
            </w:r>
          </w:p>
        </w:tc>
        <w:tc>
          <w:tcPr>
            <w:tcW w:w="566" w:type="dxa"/>
            <w:tcBorders>
              <w:top w:val="nil"/>
              <w:left w:val="nil"/>
              <w:bottom w:val="single" w:sz="12" w:space="0" w:color="auto"/>
              <w:right w:val="single" w:sz="4" w:space="0" w:color="auto"/>
            </w:tcBorders>
            <w:shd w:val="clear" w:color="000000" w:fill="FFFFFF"/>
            <w:noWrap/>
            <w:vAlign w:val="bottom"/>
            <w:hideMark/>
          </w:tcPr>
          <w:p w14:paraId="24A4224C" w14:textId="77777777" w:rsidR="00304309" w:rsidRPr="00B47A14" w:rsidRDefault="00304309" w:rsidP="0030543A">
            <w:pPr>
              <w:spacing w:after="0" w:line="240" w:lineRule="auto"/>
              <w:jc w:val="center"/>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t-stat</w:t>
            </w:r>
          </w:p>
        </w:tc>
        <w:tc>
          <w:tcPr>
            <w:tcW w:w="622" w:type="dxa"/>
            <w:tcBorders>
              <w:top w:val="nil"/>
              <w:left w:val="nil"/>
              <w:bottom w:val="single" w:sz="12" w:space="0" w:color="auto"/>
              <w:right w:val="nil"/>
            </w:tcBorders>
            <w:shd w:val="clear" w:color="000000" w:fill="FFFFFF"/>
            <w:noWrap/>
            <w:vAlign w:val="bottom"/>
            <w:hideMark/>
          </w:tcPr>
          <w:p w14:paraId="47C47847" w14:textId="77777777" w:rsidR="00304309" w:rsidRPr="00B47A14" w:rsidRDefault="00304309" w:rsidP="0030543A">
            <w:pPr>
              <w:spacing w:after="0" w:line="240" w:lineRule="auto"/>
              <w:jc w:val="center"/>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Coeff.</w:t>
            </w:r>
          </w:p>
        </w:tc>
        <w:tc>
          <w:tcPr>
            <w:tcW w:w="491" w:type="dxa"/>
            <w:tcBorders>
              <w:top w:val="nil"/>
              <w:left w:val="nil"/>
              <w:bottom w:val="single" w:sz="12" w:space="0" w:color="auto"/>
              <w:right w:val="single" w:sz="12" w:space="0" w:color="auto"/>
            </w:tcBorders>
            <w:shd w:val="clear" w:color="000000" w:fill="FFFFFF"/>
            <w:noWrap/>
            <w:vAlign w:val="bottom"/>
            <w:hideMark/>
          </w:tcPr>
          <w:p w14:paraId="57471E3F" w14:textId="77777777" w:rsidR="00304309" w:rsidRPr="00B47A14" w:rsidRDefault="00304309" w:rsidP="0030543A">
            <w:pPr>
              <w:spacing w:after="0" w:line="240" w:lineRule="auto"/>
              <w:jc w:val="center"/>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t-stat</w:t>
            </w:r>
          </w:p>
        </w:tc>
      </w:tr>
      <w:tr w:rsidR="00304309" w:rsidRPr="00B47A14" w14:paraId="2FB35F65" w14:textId="77777777" w:rsidTr="004C3CE3">
        <w:trPr>
          <w:gridAfter w:val="1"/>
          <w:wAfter w:w="7" w:type="dxa"/>
          <w:trHeight w:val="20"/>
          <w:jc w:val="center"/>
        </w:trPr>
        <w:tc>
          <w:tcPr>
            <w:tcW w:w="3590" w:type="dxa"/>
            <w:tcBorders>
              <w:top w:val="single" w:sz="12" w:space="0" w:color="auto"/>
              <w:left w:val="single" w:sz="12" w:space="0" w:color="auto"/>
              <w:bottom w:val="nil"/>
              <w:right w:val="single" w:sz="12" w:space="0" w:color="auto"/>
            </w:tcBorders>
            <w:shd w:val="clear" w:color="000000" w:fill="FFFFFF"/>
            <w:noWrap/>
            <w:vAlign w:val="bottom"/>
            <w:hideMark/>
          </w:tcPr>
          <w:p w14:paraId="20191F53" w14:textId="0585F2C8" w:rsidR="00304309" w:rsidRPr="00B47A14" w:rsidRDefault="00304309" w:rsidP="0030543A">
            <w:pPr>
              <w:spacing w:after="0" w:line="240" w:lineRule="auto"/>
              <w:rPr>
                <w:rFonts w:eastAsia="Times New Roman" w:cs="Times New Roman"/>
                <w:color w:val="000000"/>
                <w:kern w:val="0"/>
                <w:sz w:val="20"/>
                <w:szCs w:val="20"/>
                <w14:ligatures w14:val="none"/>
              </w:rPr>
            </w:pPr>
            <w:r w:rsidRPr="00B47A14">
              <w:rPr>
                <w:rFonts w:eastAsia="Times New Roman" w:cs="Times New Roman"/>
                <w:b/>
                <w:bCs/>
                <w:color w:val="000000"/>
                <w:kern w:val="0"/>
                <w:sz w:val="20"/>
                <w:szCs w:val="20"/>
                <w14:ligatures w14:val="none"/>
              </w:rPr>
              <w:t>Household Sociodemographic Characteristics (cont.)</w:t>
            </w:r>
          </w:p>
        </w:tc>
        <w:tc>
          <w:tcPr>
            <w:tcW w:w="622" w:type="dxa"/>
            <w:tcBorders>
              <w:top w:val="single" w:sz="12" w:space="0" w:color="auto"/>
              <w:left w:val="single" w:sz="12" w:space="0" w:color="auto"/>
              <w:bottom w:val="nil"/>
              <w:right w:val="nil"/>
            </w:tcBorders>
            <w:shd w:val="clear" w:color="000000" w:fill="FFFFFF"/>
            <w:noWrap/>
            <w:hideMark/>
          </w:tcPr>
          <w:p w14:paraId="7ED366A0"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548" w:type="dxa"/>
            <w:tcBorders>
              <w:top w:val="single" w:sz="12" w:space="0" w:color="auto"/>
              <w:left w:val="nil"/>
              <w:bottom w:val="nil"/>
              <w:right w:val="single" w:sz="4" w:space="0" w:color="auto"/>
            </w:tcBorders>
            <w:shd w:val="clear" w:color="000000" w:fill="FFFFFF"/>
            <w:noWrap/>
            <w:hideMark/>
          </w:tcPr>
          <w:p w14:paraId="0F15002A"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622" w:type="dxa"/>
            <w:tcBorders>
              <w:top w:val="single" w:sz="12" w:space="0" w:color="auto"/>
              <w:left w:val="nil"/>
              <w:bottom w:val="nil"/>
              <w:right w:val="nil"/>
            </w:tcBorders>
            <w:shd w:val="clear" w:color="000000" w:fill="FFFFFF"/>
            <w:noWrap/>
            <w:hideMark/>
          </w:tcPr>
          <w:p w14:paraId="33B3FE6F"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550" w:type="dxa"/>
            <w:tcBorders>
              <w:top w:val="single" w:sz="12" w:space="0" w:color="auto"/>
              <w:left w:val="nil"/>
              <w:bottom w:val="nil"/>
              <w:right w:val="single" w:sz="4" w:space="0" w:color="auto"/>
            </w:tcBorders>
            <w:shd w:val="clear" w:color="000000" w:fill="FFFFFF"/>
            <w:noWrap/>
            <w:hideMark/>
          </w:tcPr>
          <w:p w14:paraId="1B34C47D"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622" w:type="dxa"/>
            <w:tcBorders>
              <w:top w:val="single" w:sz="12" w:space="0" w:color="auto"/>
              <w:left w:val="nil"/>
              <w:bottom w:val="nil"/>
              <w:right w:val="nil"/>
            </w:tcBorders>
            <w:shd w:val="clear" w:color="000000" w:fill="FFFFFF"/>
            <w:noWrap/>
            <w:hideMark/>
          </w:tcPr>
          <w:p w14:paraId="5262B2EB"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548" w:type="dxa"/>
            <w:tcBorders>
              <w:top w:val="single" w:sz="12" w:space="0" w:color="auto"/>
              <w:left w:val="nil"/>
              <w:bottom w:val="nil"/>
              <w:right w:val="single" w:sz="4" w:space="0" w:color="auto"/>
            </w:tcBorders>
            <w:shd w:val="clear" w:color="000000" w:fill="FFFFFF"/>
            <w:noWrap/>
            <w:hideMark/>
          </w:tcPr>
          <w:p w14:paraId="2F76D476"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622" w:type="dxa"/>
            <w:tcBorders>
              <w:top w:val="single" w:sz="12" w:space="0" w:color="auto"/>
              <w:left w:val="nil"/>
              <w:bottom w:val="nil"/>
              <w:right w:val="nil"/>
            </w:tcBorders>
            <w:shd w:val="clear" w:color="000000" w:fill="FFFFFF"/>
            <w:noWrap/>
            <w:hideMark/>
          </w:tcPr>
          <w:p w14:paraId="7CC18CB4"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545" w:type="dxa"/>
            <w:tcBorders>
              <w:top w:val="single" w:sz="12" w:space="0" w:color="auto"/>
              <w:left w:val="nil"/>
              <w:bottom w:val="nil"/>
              <w:right w:val="single" w:sz="4" w:space="0" w:color="auto"/>
            </w:tcBorders>
            <w:shd w:val="clear" w:color="000000" w:fill="FFFFFF"/>
            <w:noWrap/>
            <w:hideMark/>
          </w:tcPr>
          <w:p w14:paraId="283FCD6D"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622" w:type="dxa"/>
            <w:tcBorders>
              <w:top w:val="single" w:sz="12" w:space="0" w:color="auto"/>
              <w:left w:val="nil"/>
              <w:bottom w:val="nil"/>
              <w:right w:val="nil"/>
            </w:tcBorders>
            <w:shd w:val="clear" w:color="000000" w:fill="FFFFFF"/>
            <w:noWrap/>
            <w:hideMark/>
          </w:tcPr>
          <w:p w14:paraId="32B8A823"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541" w:type="dxa"/>
            <w:tcBorders>
              <w:top w:val="single" w:sz="12" w:space="0" w:color="auto"/>
              <w:left w:val="nil"/>
              <w:bottom w:val="nil"/>
              <w:right w:val="single" w:sz="4" w:space="0" w:color="auto"/>
            </w:tcBorders>
            <w:shd w:val="clear" w:color="000000" w:fill="FFFFFF"/>
            <w:noWrap/>
            <w:hideMark/>
          </w:tcPr>
          <w:p w14:paraId="711722E0"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622" w:type="dxa"/>
            <w:tcBorders>
              <w:top w:val="single" w:sz="12" w:space="0" w:color="auto"/>
              <w:left w:val="nil"/>
              <w:bottom w:val="nil"/>
              <w:right w:val="nil"/>
            </w:tcBorders>
            <w:shd w:val="clear" w:color="000000" w:fill="FFFFFF"/>
            <w:noWrap/>
            <w:hideMark/>
          </w:tcPr>
          <w:p w14:paraId="1FA1D540"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621" w:type="dxa"/>
            <w:tcBorders>
              <w:top w:val="single" w:sz="12" w:space="0" w:color="auto"/>
              <w:left w:val="nil"/>
              <w:bottom w:val="nil"/>
              <w:right w:val="single" w:sz="4" w:space="0" w:color="auto"/>
            </w:tcBorders>
            <w:shd w:val="clear" w:color="000000" w:fill="FFFFFF"/>
            <w:noWrap/>
            <w:hideMark/>
          </w:tcPr>
          <w:p w14:paraId="1E7EC50E"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624" w:type="dxa"/>
            <w:tcBorders>
              <w:top w:val="single" w:sz="12" w:space="0" w:color="auto"/>
              <w:left w:val="nil"/>
              <w:bottom w:val="nil"/>
              <w:right w:val="nil"/>
            </w:tcBorders>
            <w:shd w:val="clear" w:color="000000" w:fill="FFFFFF"/>
            <w:noWrap/>
            <w:hideMark/>
          </w:tcPr>
          <w:p w14:paraId="005A6489"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633" w:type="dxa"/>
            <w:tcBorders>
              <w:top w:val="single" w:sz="12" w:space="0" w:color="auto"/>
              <w:left w:val="nil"/>
              <w:bottom w:val="nil"/>
              <w:right w:val="single" w:sz="4" w:space="0" w:color="auto"/>
            </w:tcBorders>
            <w:shd w:val="clear" w:color="000000" w:fill="FFFFFF"/>
            <w:noWrap/>
            <w:hideMark/>
          </w:tcPr>
          <w:p w14:paraId="26CF82F5"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694" w:type="dxa"/>
            <w:tcBorders>
              <w:top w:val="single" w:sz="12" w:space="0" w:color="auto"/>
              <w:left w:val="nil"/>
              <w:bottom w:val="nil"/>
              <w:right w:val="nil"/>
            </w:tcBorders>
            <w:shd w:val="clear" w:color="000000" w:fill="FFFFFF"/>
            <w:noWrap/>
            <w:hideMark/>
          </w:tcPr>
          <w:p w14:paraId="01DFCAC6"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566" w:type="dxa"/>
            <w:tcBorders>
              <w:top w:val="single" w:sz="12" w:space="0" w:color="auto"/>
              <w:left w:val="nil"/>
              <w:bottom w:val="nil"/>
              <w:right w:val="single" w:sz="4" w:space="0" w:color="auto"/>
            </w:tcBorders>
            <w:shd w:val="clear" w:color="000000" w:fill="FFFFFF"/>
            <w:noWrap/>
            <w:hideMark/>
          </w:tcPr>
          <w:p w14:paraId="0172C0A9"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622" w:type="dxa"/>
            <w:tcBorders>
              <w:top w:val="single" w:sz="12" w:space="0" w:color="auto"/>
              <w:left w:val="nil"/>
              <w:bottom w:val="nil"/>
              <w:right w:val="nil"/>
            </w:tcBorders>
            <w:shd w:val="clear" w:color="000000" w:fill="FFFFFF"/>
            <w:noWrap/>
            <w:hideMark/>
          </w:tcPr>
          <w:p w14:paraId="2A55C5C0"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491" w:type="dxa"/>
            <w:tcBorders>
              <w:top w:val="single" w:sz="12" w:space="0" w:color="auto"/>
              <w:left w:val="nil"/>
              <w:bottom w:val="nil"/>
              <w:right w:val="single" w:sz="12" w:space="0" w:color="auto"/>
            </w:tcBorders>
            <w:shd w:val="clear" w:color="000000" w:fill="FFFFFF"/>
            <w:noWrap/>
            <w:hideMark/>
          </w:tcPr>
          <w:p w14:paraId="3790239F"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r>
      <w:tr w:rsidR="00304309" w:rsidRPr="00B47A14" w14:paraId="57AB8A0B" w14:textId="77777777" w:rsidTr="004C3CE3">
        <w:trPr>
          <w:gridAfter w:val="1"/>
          <w:wAfter w:w="7" w:type="dxa"/>
          <w:trHeight w:val="20"/>
          <w:jc w:val="center"/>
        </w:trPr>
        <w:tc>
          <w:tcPr>
            <w:tcW w:w="3590" w:type="dxa"/>
            <w:tcBorders>
              <w:top w:val="nil"/>
              <w:left w:val="single" w:sz="12" w:space="0" w:color="auto"/>
              <w:bottom w:val="nil"/>
              <w:right w:val="single" w:sz="12" w:space="0" w:color="auto"/>
            </w:tcBorders>
            <w:shd w:val="clear" w:color="000000" w:fill="FFFFFF"/>
            <w:noWrap/>
            <w:vAlign w:val="bottom"/>
          </w:tcPr>
          <w:p w14:paraId="742F998E" w14:textId="0E590CD6" w:rsidR="00304309" w:rsidRPr="00B47A14" w:rsidRDefault="00304309" w:rsidP="0030543A">
            <w:pPr>
              <w:spacing w:after="0" w:line="240" w:lineRule="auto"/>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Race (White)</w:t>
            </w:r>
          </w:p>
        </w:tc>
        <w:tc>
          <w:tcPr>
            <w:tcW w:w="622" w:type="dxa"/>
            <w:tcBorders>
              <w:top w:val="nil"/>
              <w:left w:val="single" w:sz="12" w:space="0" w:color="auto"/>
              <w:bottom w:val="nil"/>
              <w:right w:val="nil"/>
            </w:tcBorders>
            <w:shd w:val="clear" w:color="000000" w:fill="FFFFFF"/>
            <w:noWrap/>
          </w:tcPr>
          <w:p w14:paraId="6122E554"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548" w:type="dxa"/>
            <w:tcBorders>
              <w:top w:val="nil"/>
              <w:left w:val="nil"/>
              <w:bottom w:val="nil"/>
              <w:right w:val="single" w:sz="4" w:space="0" w:color="auto"/>
            </w:tcBorders>
            <w:shd w:val="clear" w:color="000000" w:fill="FFFFFF"/>
            <w:noWrap/>
          </w:tcPr>
          <w:p w14:paraId="12C4B464"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tcPr>
          <w:p w14:paraId="1F4910E2"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550" w:type="dxa"/>
            <w:tcBorders>
              <w:top w:val="nil"/>
              <w:left w:val="nil"/>
              <w:bottom w:val="nil"/>
              <w:right w:val="single" w:sz="4" w:space="0" w:color="auto"/>
            </w:tcBorders>
            <w:shd w:val="clear" w:color="000000" w:fill="FFFFFF"/>
            <w:noWrap/>
          </w:tcPr>
          <w:p w14:paraId="51197C8D"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tcPr>
          <w:p w14:paraId="59CC0DE1"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548" w:type="dxa"/>
            <w:tcBorders>
              <w:top w:val="nil"/>
              <w:left w:val="nil"/>
              <w:bottom w:val="nil"/>
              <w:right w:val="single" w:sz="4" w:space="0" w:color="auto"/>
            </w:tcBorders>
            <w:shd w:val="clear" w:color="000000" w:fill="FFFFFF"/>
            <w:noWrap/>
          </w:tcPr>
          <w:p w14:paraId="043D56B8"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tcPr>
          <w:p w14:paraId="40348C7D"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545" w:type="dxa"/>
            <w:tcBorders>
              <w:top w:val="nil"/>
              <w:left w:val="nil"/>
              <w:bottom w:val="nil"/>
              <w:right w:val="single" w:sz="4" w:space="0" w:color="auto"/>
            </w:tcBorders>
            <w:shd w:val="clear" w:color="000000" w:fill="FFFFFF"/>
            <w:noWrap/>
          </w:tcPr>
          <w:p w14:paraId="3AFE615D"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tcPr>
          <w:p w14:paraId="4BEA1157"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541" w:type="dxa"/>
            <w:tcBorders>
              <w:top w:val="nil"/>
              <w:left w:val="nil"/>
              <w:bottom w:val="nil"/>
              <w:right w:val="single" w:sz="4" w:space="0" w:color="auto"/>
            </w:tcBorders>
            <w:shd w:val="clear" w:color="000000" w:fill="FFFFFF"/>
            <w:noWrap/>
          </w:tcPr>
          <w:p w14:paraId="6DA8074D"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tcPr>
          <w:p w14:paraId="622D06DD"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621" w:type="dxa"/>
            <w:tcBorders>
              <w:top w:val="nil"/>
              <w:left w:val="nil"/>
              <w:bottom w:val="nil"/>
              <w:right w:val="single" w:sz="4" w:space="0" w:color="auto"/>
            </w:tcBorders>
            <w:shd w:val="clear" w:color="000000" w:fill="FFFFFF"/>
            <w:noWrap/>
          </w:tcPr>
          <w:p w14:paraId="746D29B8"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624" w:type="dxa"/>
            <w:tcBorders>
              <w:top w:val="nil"/>
              <w:left w:val="nil"/>
              <w:bottom w:val="nil"/>
              <w:right w:val="nil"/>
            </w:tcBorders>
            <w:shd w:val="clear" w:color="000000" w:fill="FFFFFF"/>
            <w:noWrap/>
          </w:tcPr>
          <w:p w14:paraId="1AE66518"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633" w:type="dxa"/>
            <w:tcBorders>
              <w:top w:val="nil"/>
              <w:left w:val="nil"/>
              <w:bottom w:val="nil"/>
              <w:right w:val="single" w:sz="4" w:space="0" w:color="auto"/>
            </w:tcBorders>
            <w:shd w:val="clear" w:color="000000" w:fill="FFFFFF"/>
            <w:noWrap/>
          </w:tcPr>
          <w:p w14:paraId="13C0F6E7"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694" w:type="dxa"/>
            <w:tcBorders>
              <w:top w:val="nil"/>
              <w:left w:val="nil"/>
              <w:bottom w:val="nil"/>
              <w:right w:val="nil"/>
            </w:tcBorders>
            <w:shd w:val="clear" w:color="000000" w:fill="FFFFFF"/>
            <w:noWrap/>
          </w:tcPr>
          <w:p w14:paraId="6CCCC3B2"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566" w:type="dxa"/>
            <w:tcBorders>
              <w:top w:val="nil"/>
              <w:left w:val="nil"/>
              <w:bottom w:val="nil"/>
              <w:right w:val="single" w:sz="4" w:space="0" w:color="auto"/>
            </w:tcBorders>
            <w:shd w:val="clear" w:color="000000" w:fill="FFFFFF"/>
            <w:noWrap/>
          </w:tcPr>
          <w:p w14:paraId="067C8452"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tcPr>
          <w:p w14:paraId="71ECEC9E"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491" w:type="dxa"/>
            <w:tcBorders>
              <w:top w:val="nil"/>
              <w:left w:val="nil"/>
              <w:bottom w:val="nil"/>
              <w:right w:val="single" w:sz="12" w:space="0" w:color="auto"/>
            </w:tcBorders>
            <w:shd w:val="clear" w:color="000000" w:fill="FFFFFF"/>
            <w:noWrap/>
          </w:tcPr>
          <w:p w14:paraId="293E5765"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r>
      <w:tr w:rsidR="00791096" w:rsidRPr="00B47A14" w14:paraId="16E0874A" w14:textId="77777777" w:rsidTr="004C3CE3">
        <w:trPr>
          <w:gridAfter w:val="1"/>
          <w:wAfter w:w="7" w:type="dxa"/>
          <w:trHeight w:val="20"/>
          <w:jc w:val="center"/>
        </w:trPr>
        <w:tc>
          <w:tcPr>
            <w:tcW w:w="3590" w:type="dxa"/>
            <w:tcBorders>
              <w:top w:val="nil"/>
              <w:left w:val="single" w:sz="12" w:space="0" w:color="auto"/>
              <w:bottom w:val="nil"/>
              <w:right w:val="single" w:sz="12" w:space="0" w:color="auto"/>
            </w:tcBorders>
            <w:shd w:val="clear" w:color="000000" w:fill="FFFFFF"/>
            <w:noWrap/>
            <w:vAlign w:val="bottom"/>
            <w:hideMark/>
          </w:tcPr>
          <w:p w14:paraId="0F5F7292" w14:textId="77777777" w:rsidR="00791096" w:rsidRPr="00B47A14" w:rsidRDefault="00791096" w:rsidP="00791096">
            <w:pPr>
              <w:spacing w:after="0" w:line="240" w:lineRule="auto"/>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 xml:space="preserve">       Asian</w:t>
            </w:r>
          </w:p>
        </w:tc>
        <w:tc>
          <w:tcPr>
            <w:tcW w:w="622" w:type="dxa"/>
            <w:tcBorders>
              <w:top w:val="nil"/>
              <w:left w:val="single" w:sz="12" w:space="0" w:color="auto"/>
              <w:bottom w:val="nil"/>
              <w:right w:val="nil"/>
            </w:tcBorders>
            <w:shd w:val="clear" w:color="000000" w:fill="FFFFFF"/>
            <w:noWrap/>
            <w:hideMark/>
          </w:tcPr>
          <w:p w14:paraId="5BBB0C73" w14:textId="1D84C21A" w:rsidR="00791096" w:rsidRPr="00B47A14" w:rsidRDefault="00791096" w:rsidP="00791096">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48" w:type="dxa"/>
            <w:tcBorders>
              <w:top w:val="nil"/>
              <w:left w:val="nil"/>
              <w:bottom w:val="nil"/>
              <w:right w:val="single" w:sz="4" w:space="0" w:color="auto"/>
            </w:tcBorders>
            <w:shd w:val="clear" w:color="000000" w:fill="FFFFFF"/>
            <w:noWrap/>
            <w:hideMark/>
          </w:tcPr>
          <w:p w14:paraId="31D98792" w14:textId="09171C97" w:rsidR="00791096" w:rsidRPr="00B47A14" w:rsidRDefault="00791096" w:rsidP="00791096">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0132C62F" w14:textId="77777777" w:rsidR="00791096" w:rsidRPr="00B47A14" w:rsidRDefault="00791096" w:rsidP="00791096">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50" w:type="dxa"/>
            <w:tcBorders>
              <w:top w:val="nil"/>
              <w:left w:val="nil"/>
              <w:bottom w:val="nil"/>
              <w:right w:val="single" w:sz="4" w:space="0" w:color="auto"/>
            </w:tcBorders>
            <w:shd w:val="clear" w:color="000000" w:fill="FFFFFF"/>
            <w:noWrap/>
            <w:hideMark/>
          </w:tcPr>
          <w:p w14:paraId="13E999E5" w14:textId="77777777" w:rsidR="00791096" w:rsidRPr="00B47A14" w:rsidRDefault="00791096" w:rsidP="00791096">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vAlign w:val="bottom"/>
            <w:hideMark/>
          </w:tcPr>
          <w:p w14:paraId="03C1AF1A" w14:textId="5D59BC05" w:rsidR="00791096" w:rsidRPr="00B47A14" w:rsidRDefault="00791096" w:rsidP="00791096">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-0.14</w:t>
            </w:r>
          </w:p>
        </w:tc>
        <w:tc>
          <w:tcPr>
            <w:tcW w:w="548" w:type="dxa"/>
            <w:tcBorders>
              <w:top w:val="nil"/>
              <w:left w:val="nil"/>
              <w:bottom w:val="nil"/>
              <w:right w:val="single" w:sz="4" w:space="0" w:color="auto"/>
            </w:tcBorders>
            <w:shd w:val="clear" w:color="000000" w:fill="FFFFFF"/>
            <w:noWrap/>
            <w:vAlign w:val="bottom"/>
            <w:hideMark/>
          </w:tcPr>
          <w:p w14:paraId="38672D4F" w14:textId="460CAD2C" w:rsidR="00791096" w:rsidRPr="00B47A14" w:rsidRDefault="00791096" w:rsidP="00791096">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-2.02</w:t>
            </w:r>
          </w:p>
        </w:tc>
        <w:tc>
          <w:tcPr>
            <w:tcW w:w="622" w:type="dxa"/>
            <w:tcBorders>
              <w:top w:val="nil"/>
              <w:left w:val="nil"/>
              <w:bottom w:val="nil"/>
              <w:right w:val="nil"/>
            </w:tcBorders>
            <w:shd w:val="clear" w:color="000000" w:fill="FFFFFF"/>
            <w:noWrap/>
            <w:hideMark/>
          </w:tcPr>
          <w:p w14:paraId="6941FC03" w14:textId="77777777" w:rsidR="00791096" w:rsidRPr="00B47A14" w:rsidRDefault="00791096" w:rsidP="00791096">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45" w:type="dxa"/>
            <w:tcBorders>
              <w:top w:val="nil"/>
              <w:left w:val="nil"/>
              <w:bottom w:val="nil"/>
              <w:right w:val="single" w:sz="4" w:space="0" w:color="auto"/>
            </w:tcBorders>
            <w:shd w:val="clear" w:color="000000" w:fill="FFFFFF"/>
            <w:noWrap/>
            <w:hideMark/>
          </w:tcPr>
          <w:p w14:paraId="236DEC30" w14:textId="77777777" w:rsidR="00791096" w:rsidRPr="00B47A14" w:rsidRDefault="00791096" w:rsidP="00791096">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4B0AB2E5" w14:textId="77777777" w:rsidR="00791096" w:rsidRPr="00B47A14" w:rsidRDefault="00791096" w:rsidP="00791096">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41" w:type="dxa"/>
            <w:tcBorders>
              <w:top w:val="nil"/>
              <w:left w:val="nil"/>
              <w:bottom w:val="nil"/>
              <w:right w:val="single" w:sz="4" w:space="0" w:color="auto"/>
            </w:tcBorders>
            <w:shd w:val="clear" w:color="000000" w:fill="FFFFFF"/>
            <w:noWrap/>
            <w:hideMark/>
          </w:tcPr>
          <w:p w14:paraId="747DE3A3" w14:textId="77777777" w:rsidR="00791096" w:rsidRPr="00B47A14" w:rsidRDefault="00791096" w:rsidP="00791096">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vAlign w:val="bottom"/>
            <w:hideMark/>
          </w:tcPr>
          <w:p w14:paraId="1C92EC5D" w14:textId="65C736A8" w:rsidR="00791096" w:rsidRPr="00B47A14" w:rsidRDefault="00791096" w:rsidP="00791096">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-0.29</w:t>
            </w:r>
          </w:p>
        </w:tc>
        <w:tc>
          <w:tcPr>
            <w:tcW w:w="621" w:type="dxa"/>
            <w:tcBorders>
              <w:top w:val="nil"/>
              <w:left w:val="nil"/>
              <w:bottom w:val="nil"/>
              <w:right w:val="single" w:sz="4" w:space="0" w:color="auto"/>
            </w:tcBorders>
            <w:shd w:val="clear" w:color="000000" w:fill="FFFFFF"/>
            <w:noWrap/>
            <w:vAlign w:val="bottom"/>
            <w:hideMark/>
          </w:tcPr>
          <w:p w14:paraId="4B8260E9" w14:textId="673781FF" w:rsidR="00791096" w:rsidRPr="00B47A14" w:rsidRDefault="00791096" w:rsidP="00791096">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-1.54</w:t>
            </w:r>
          </w:p>
        </w:tc>
        <w:tc>
          <w:tcPr>
            <w:tcW w:w="624" w:type="dxa"/>
            <w:tcBorders>
              <w:top w:val="nil"/>
              <w:left w:val="nil"/>
              <w:bottom w:val="nil"/>
              <w:right w:val="nil"/>
            </w:tcBorders>
            <w:shd w:val="clear" w:color="000000" w:fill="FFFFFF"/>
            <w:noWrap/>
            <w:hideMark/>
          </w:tcPr>
          <w:p w14:paraId="63CC9C2A" w14:textId="77777777" w:rsidR="00791096" w:rsidRPr="00B47A14" w:rsidRDefault="00791096" w:rsidP="00791096">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633" w:type="dxa"/>
            <w:tcBorders>
              <w:top w:val="nil"/>
              <w:left w:val="nil"/>
              <w:bottom w:val="nil"/>
              <w:right w:val="single" w:sz="4" w:space="0" w:color="auto"/>
            </w:tcBorders>
            <w:shd w:val="clear" w:color="000000" w:fill="FFFFFF"/>
            <w:noWrap/>
            <w:hideMark/>
          </w:tcPr>
          <w:p w14:paraId="3B8FE913" w14:textId="77777777" w:rsidR="00791096" w:rsidRPr="00B47A14" w:rsidRDefault="00791096" w:rsidP="00791096">
            <w:pPr>
              <w:spacing w:after="0" w:line="240" w:lineRule="auto"/>
              <w:jc w:val="right"/>
              <w:rPr>
                <w:rFonts w:eastAsia="Times New Roman" w:cs="Times New Roman"/>
                <w:color w:val="000000"/>
                <w:kern w:val="0"/>
                <w:sz w:val="20"/>
                <w:szCs w:val="20"/>
                <w14:ligatures w14:val="none"/>
              </w:rPr>
            </w:pPr>
          </w:p>
        </w:tc>
        <w:tc>
          <w:tcPr>
            <w:tcW w:w="694" w:type="dxa"/>
            <w:tcBorders>
              <w:top w:val="nil"/>
              <w:left w:val="nil"/>
              <w:bottom w:val="nil"/>
              <w:right w:val="nil"/>
            </w:tcBorders>
            <w:shd w:val="clear" w:color="000000" w:fill="FFFFFF"/>
            <w:noWrap/>
            <w:vAlign w:val="bottom"/>
            <w:hideMark/>
          </w:tcPr>
          <w:p w14:paraId="1AED545F" w14:textId="33B99C83" w:rsidR="00791096" w:rsidRPr="00B47A14" w:rsidRDefault="00791096" w:rsidP="00791096">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-0.52</w:t>
            </w:r>
          </w:p>
        </w:tc>
        <w:tc>
          <w:tcPr>
            <w:tcW w:w="566" w:type="dxa"/>
            <w:tcBorders>
              <w:top w:val="nil"/>
              <w:left w:val="nil"/>
              <w:bottom w:val="nil"/>
              <w:right w:val="single" w:sz="4" w:space="0" w:color="auto"/>
            </w:tcBorders>
            <w:shd w:val="clear" w:color="000000" w:fill="FFFFFF"/>
            <w:noWrap/>
            <w:vAlign w:val="bottom"/>
            <w:hideMark/>
          </w:tcPr>
          <w:p w14:paraId="1DCA8B84" w14:textId="4DA6C014" w:rsidR="00791096" w:rsidRPr="00B47A14" w:rsidRDefault="00791096" w:rsidP="00791096">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-1.57</w:t>
            </w:r>
          </w:p>
        </w:tc>
        <w:tc>
          <w:tcPr>
            <w:tcW w:w="622" w:type="dxa"/>
            <w:tcBorders>
              <w:top w:val="nil"/>
              <w:left w:val="nil"/>
              <w:bottom w:val="nil"/>
              <w:right w:val="nil"/>
            </w:tcBorders>
            <w:shd w:val="clear" w:color="000000" w:fill="FFFFFF"/>
            <w:noWrap/>
            <w:hideMark/>
          </w:tcPr>
          <w:p w14:paraId="7E5719F8" w14:textId="77777777" w:rsidR="00791096" w:rsidRPr="00B47A14" w:rsidRDefault="00791096" w:rsidP="00791096">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491" w:type="dxa"/>
            <w:tcBorders>
              <w:top w:val="nil"/>
              <w:left w:val="nil"/>
              <w:bottom w:val="nil"/>
              <w:right w:val="single" w:sz="12" w:space="0" w:color="auto"/>
            </w:tcBorders>
            <w:shd w:val="clear" w:color="000000" w:fill="FFFFFF"/>
            <w:noWrap/>
            <w:hideMark/>
          </w:tcPr>
          <w:p w14:paraId="6E8C492F" w14:textId="77777777" w:rsidR="00791096" w:rsidRPr="00B47A14" w:rsidRDefault="00791096" w:rsidP="00791096">
            <w:pPr>
              <w:spacing w:after="0" w:line="240" w:lineRule="auto"/>
              <w:jc w:val="right"/>
              <w:rPr>
                <w:rFonts w:eastAsia="Times New Roman" w:cs="Times New Roman"/>
                <w:color w:val="000000"/>
                <w:kern w:val="0"/>
                <w:sz w:val="20"/>
                <w:szCs w:val="20"/>
                <w14:ligatures w14:val="none"/>
              </w:rPr>
            </w:pPr>
          </w:p>
        </w:tc>
      </w:tr>
      <w:tr w:rsidR="0072015C" w:rsidRPr="00B47A14" w14:paraId="69A8CD66" w14:textId="77777777" w:rsidTr="004C3CE3">
        <w:trPr>
          <w:gridAfter w:val="1"/>
          <w:wAfter w:w="7" w:type="dxa"/>
          <w:trHeight w:val="20"/>
          <w:jc w:val="center"/>
        </w:trPr>
        <w:tc>
          <w:tcPr>
            <w:tcW w:w="3590" w:type="dxa"/>
            <w:tcBorders>
              <w:top w:val="nil"/>
              <w:left w:val="single" w:sz="12" w:space="0" w:color="auto"/>
              <w:bottom w:val="nil"/>
              <w:right w:val="single" w:sz="12" w:space="0" w:color="auto"/>
            </w:tcBorders>
            <w:shd w:val="clear" w:color="000000" w:fill="FFFFFF"/>
            <w:noWrap/>
            <w:vAlign w:val="bottom"/>
            <w:hideMark/>
          </w:tcPr>
          <w:p w14:paraId="3EB2D50F" w14:textId="77777777" w:rsidR="0072015C" w:rsidRPr="00B47A14" w:rsidRDefault="0072015C" w:rsidP="0072015C">
            <w:pPr>
              <w:spacing w:after="0" w:line="240" w:lineRule="auto"/>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 xml:space="preserve">       Black or other</w:t>
            </w:r>
          </w:p>
        </w:tc>
        <w:tc>
          <w:tcPr>
            <w:tcW w:w="622" w:type="dxa"/>
            <w:tcBorders>
              <w:top w:val="nil"/>
              <w:left w:val="single" w:sz="12" w:space="0" w:color="auto"/>
              <w:bottom w:val="nil"/>
              <w:right w:val="nil"/>
            </w:tcBorders>
            <w:shd w:val="clear" w:color="000000" w:fill="FFFFFF"/>
            <w:noWrap/>
            <w:hideMark/>
          </w:tcPr>
          <w:p w14:paraId="6DA47C9C" w14:textId="77777777" w:rsidR="0072015C" w:rsidRPr="00B47A14" w:rsidRDefault="0072015C" w:rsidP="0072015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48" w:type="dxa"/>
            <w:tcBorders>
              <w:top w:val="nil"/>
              <w:left w:val="nil"/>
              <w:bottom w:val="nil"/>
              <w:right w:val="single" w:sz="4" w:space="0" w:color="auto"/>
            </w:tcBorders>
            <w:shd w:val="clear" w:color="000000" w:fill="FFFFFF"/>
            <w:noWrap/>
            <w:hideMark/>
          </w:tcPr>
          <w:p w14:paraId="5A4D568B" w14:textId="77777777" w:rsidR="0072015C" w:rsidRPr="00B47A14" w:rsidRDefault="0072015C" w:rsidP="0072015C">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63FE05A9" w14:textId="77777777" w:rsidR="0072015C" w:rsidRPr="00B47A14" w:rsidRDefault="0072015C" w:rsidP="0072015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50" w:type="dxa"/>
            <w:tcBorders>
              <w:top w:val="nil"/>
              <w:left w:val="nil"/>
              <w:bottom w:val="nil"/>
              <w:right w:val="single" w:sz="4" w:space="0" w:color="auto"/>
            </w:tcBorders>
            <w:shd w:val="clear" w:color="000000" w:fill="FFFFFF"/>
            <w:noWrap/>
            <w:hideMark/>
          </w:tcPr>
          <w:p w14:paraId="232C0534" w14:textId="77777777" w:rsidR="0072015C" w:rsidRPr="00B47A14" w:rsidRDefault="0072015C" w:rsidP="0072015C">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6AD06970" w14:textId="77777777" w:rsidR="0072015C" w:rsidRPr="00B47A14" w:rsidRDefault="0072015C" w:rsidP="0072015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48" w:type="dxa"/>
            <w:tcBorders>
              <w:top w:val="nil"/>
              <w:left w:val="nil"/>
              <w:bottom w:val="nil"/>
              <w:right w:val="single" w:sz="4" w:space="0" w:color="auto"/>
            </w:tcBorders>
            <w:shd w:val="clear" w:color="000000" w:fill="FFFFFF"/>
            <w:noWrap/>
            <w:hideMark/>
          </w:tcPr>
          <w:p w14:paraId="5869EDD0" w14:textId="77777777" w:rsidR="0072015C" w:rsidRPr="00B47A14" w:rsidRDefault="0072015C" w:rsidP="0072015C">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72D535C7" w14:textId="77777777" w:rsidR="0072015C" w:rsidRPr="00B47A14" w:rsidRDefault="0072015C" w:rsidP="0072015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45" w:type="dxa"/>
            <w:tcBorders>
              <w:top w:val="nil"/>
              <w:left w:val="nil"/>
              <w:bottom w:val="nil"/>
              <w:right w:val="single" w:sz="4" w:space="0" w:color="auto"/>
            </w:tcBorders>
            <w:shd w:val="clear" w:color="000000" w:fill="FFFFFF"/>
            <w:noWrap/>
            <w:hideMark/>
          </w:tcPr>
          <w:p w14:paraId="787CFEBD" w14:textId="77777777" w:rsidR="0072015C" w:rsidRPr="00B47A14" w:rsidRDefault="0072015C" w:rsidP="0072015C">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6E4584C7" w14:textId="77777777" w:rsidR="0072015C" w:rsidRPr="00B47A14" w:rsidRDefault="0072015C" w:rsidP="0072015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41" w:type="dxa"/>
            <w:tcBorders>
              <w:top w:val="nil"/>
              <w:left w:val="nil"/>
              <w:bottom w:val="nil"/>
              <w:right w:val="single" w:sz="4" w:space="0" w:color="auto"/>
            </w:tcBorders>
            <w:shd w:val="clear" w:color="000000" w:fill="FFFFFF"/>
            <w:noWrap/>
            <w:hideMark/>
          </w:tcPr>
          <w:p w14:paraId="7C03CAB0" w14:textId="77777777" w:rsidR="0072015C" w:rsidRPr="00B47A14" w:rsidRDefault="0072015C" w:rsidP="0072015C">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3883C0A4" w14:textId="77777777" w:rsidR="0072015C" w:rsidRPr="00B47A14" w:rsidRDefault="0072015C" w:rsidP="0072015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621" w:type="dxa"/>
            <w:tcBorders>
              <w:top w:val="nil"/>
              <w:left w:val="nil"/>
              <w:bottom w:val="nil"/>
              <w:right w:val="single" w:sz="4" w:space="0" w:color="auto"/>
            </w:tcBorders>
            <w:shd w:val="clear" w:color="000000" w:fill="FFFFFF"/>
            <w:noWrap/>
            <w:hideMark/>
          </w:tcPr>
          <w:p w14:paraId="3182336A" w14:textId="77777777" w:rsidR="0072015C" w:rsidRPr="00B47A14" w:rsidRDefault="0072015C" w:rsidP="0072015C">
            <w:pPr>
              <w:spacing w:after="0" w:line="240" w:lineRule="auto"/>
              <w:jc w:val="right"/>
              <w:rPr>
                <w:rFonts w:eastAsia="Times New Roman" w:cs="Times New Roman"/>
                <w:color w:val="000000"/>
                <w:kern w:val="0"/>
                <w:sz w:val="20"/>
                <w:szCs w:val="20"/>
                <w14:ligatures w14:val="none"/>
              </w:rPr>
            </w:pPr>
          </w:p>
        </w:tc>
        <w:tc>
          <w:tcPr>
            <w:tcW w:w="624" w:type="dxa"/>
            <w:tcBorders>
              <w:top w:val="nil"/>
              <w:left w:val="nil"/>
              <w:bottom w:val="nil"/>
              <w:right w:val="nil"/>
            </w:tcBorders>
            <w:shd w:val="clear" w:color="000000" w:fill="FFFFFF"/>
            <w:noWrap/>
            <w:vAlign w:val="bottom"/>
            <w:hideMark/>
          </w:tcPr>
          <w:p w14:paraId="6AFB2932" w14:textId="29CCFAFF" w:rsidR="0072015C" w:rsidRPr="00B47A14" w:rsidRDefault="0072015C" w:rsidP="0072015C">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0.68</w:t>
            </w:r>
          </w:p>
        </w:tc>
        <w:tc>
          <w:tcPr>
            <w:tcW w:w="633" w:type="dxa"/>
            <w:tcBorders>
              <w:top w:val="nil"/>
              <w:left w:val="nil"/>
              <w:bottom w:val="nil"/>
              <w:right w:val="single" w:sz="4" w:space="0" w:color="auto"/>
            </w:tcBorders>
            <w:shd w:val="clear" w:color="000000" w:fill="FFFFFF"/>
            <w:noWrap/>
            <w:vAlign w:val="bottom"/>
            <w:hideMark/>
          </w:tcPr>
          <w:p w14:paraId="40684C24" w14:textId="3D7A14E6" w:rsidR="0072015C" w:rsidRPr="00B47A14" w:rsidRDefault="0072015C" w:rsidP="0072015C">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1.78</w:t>
            </w:r>
          </w:p>
        </w:tc>
        <w:tc>
          <w:tcPr>
            <w:tcW w:w="694" w:type="dxa"/>
            <w:tcBorders>
              <w:top w:val="nil"/>
              <w:left w:val="nil"/>
              <w:bottom w:val="nil"/>
              <w:right w:val="nil"/>
            </w:tcBorders>
            <w:shd w:val="clear" w:color="000000" w:fill="FFFFFF"/>
            <w:noWrap/>
            <w:hideMark/>
          </w:tcPr>
          <w:p w14:paraId="7C3DC6FC" w14:textId="77777777" w:rsidR="0072015C" w:rsidRPr="00B47A14" w:rsidRDefault="0072015C" w:rsidP="0072015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66" w:type="dxa"/>
            <w:tcBorders>
              <w:top w:val="nil"/>
              <w:left w:val="nil"/>
              <w:bottom w:val="nil"/>
              <w:right w:val="single" w:sz="4" w:space="0" w:color="auto"/>
            </w:tcBorders>
            <w:shd w:val="clear" w:color="000000" w:fill="FFFFFF"/>
            <w:noWrap/>
            <w:hideMark/>
          </w:tcPr>
          <w:p w14:paraId="69079D71" w14:textId="77777777" w:rsidR="0072015C" w:rsidRPr="00B47A14" w:rsidRDefault="0072015C" w:rsidP="0072015C">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642FE778" w14:textId="77777777" w:rsidR="0072015C" w:rsidRPr="00B47A14" w:rsidRDefault="0072015C" w:rsidP="0072015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491" w:type="dxa"/>
            <w:tcBorders>
              <w:top w:val="nil"/>
              <w:left w:val="nil"/>
              <w:bottom w:val="nil"/>
              <w:right w:val="single" w:sz="12" w:space="0" w:color="auto"/>
            </w:tcBorders>
            <w:shd w:val="clear" w:color="000000" w:fill="FFFFFF"/>
            <w:noWrap/>
            <w:hideMark/>
          </w:tcPr>
          <w:p w14:paraId="1CCFC442" w14:textId="77777777" w:rsidR="0072015C" w:rsidRPr="00B47A14" w:rsidRDefault="0072015C" w:rsidP="0072015C">
            <w:pPr>
              <w:spacing w:after="0" w:line="240" w:lineRule="auto"/>
              <w:jc w:val="right"/>
              <w:rPr>
                <w:rFonts w:eastAsia="Times New Roman" w:cs="Times New Roman"/>
                <w:color w:val="000000"/>
                <w:kern w:val="0"/>
                <w:sz w:val="20"/>
                <w:szCs w:val="20"/>
                <w14:ligatures w14:val="none"/>
              </w:rPr>
            </w:pPr>
          </w:p>
        </w:tc>
      </w:tr>
      <w:tr w:rsidR="0072015C" w:rsidRPr="00B47A14" w14:paraId="58516645" w14:textId="77777777" w:rsidTr="004C3CE3">
        <w:trPr>
          <w:gridAfter w:val="1"/>
          <w:wAfter w:w="7" w:type="dxa"/>
          <w:trHeight w:val="20"/>
          <w:jc w:val="center"/>
        </w:trPr>
        <w:tc>
          <w:tcPr>
            <w:tcW w:w="3590" w:type="dxa"/>
            <w:tcBorders>
              <w:top w:val="nil"/>
              <w:left w:val="single" w:sz="12" w:space="0" w:color="auto"/>
              <w:bottom w:val="nil"/>
              <w:right w:val="single" w:sz="12" w:space="0" w:color="auto"/>
            </w:tcBorders>
            <w:shd w:val="clear" w:color="000000" w:fill="FFFFFF"/>
            <w:noWrap/>
            <w:vAlign w:val="bottom"/>
            <w:hideMark/>
          </w:tcPr>
          <w:p w14:paraId="0BDCAF74" w14:textId="7BEFF1A0" w:rsidR="0072015C" w:rsidRPr="00B47A14" w:rsidRDefault="0072015C" w:rsidP="0072015C">
            <w:pPr>
              <w:spacing w:after="0" w:line="240" w:lineRule="auto"/>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 xml:space="preserve">       Black or other *</w:t>
            </w:r>
            <w:r w:rsidR="008D52EC">
              <w:rPr>
                <w:rFonts w:eastAsia="Times New Roman" w:cs="Times New Roman"/>
                <w:color w:val="000000"/>
                <w:kern w:val="0"/>
                <w:sz w:val="20"/>
                <w:szCs w:val="20"/>
                <w14:ligatures w14:val="none"/>
              </w:rPr>
              <w:t xml:space="preserve"> </w:t>
            </w:r>
            <w:r w:rsidR="00A77082">
              <w:rPr>
                <w:rFonts w:eastAsia="Times New Roman" w:cs="Times New Roman"/>
                <w:color w:val="000000"/>
                <w:kern w:val="0"/>
                <w:sz w:val="20"/>
                <w:szCs w:val="20"/>
                <w14:ligatures w14:val="none"/>
              </w:rPr>
              <w:t>During-</w:t>
            </w:r>
            <w:r w:rsidR="00A77082" w:rsidRPr="00B47A14">
              <w:rPr>
                <w:rFonts w:eastAsia="Times New Roman" w:cs="Times New Roman"/>
                <w:color w:val="000000"/>
                <w:kern w:val="0"/>
                <w:sz w:val="20"/>
                <w:szCs w:val="20"/>
                <w14:ligatures w14:val="none"/>
              </w:rPr>
              <w:t xml:space="preserve">COVID </w:t>
            </w:r>
            <w:r w:rsidRPr="00B47A14">
              <w:rPr>
                <w:rFonts w:eastAsia="Times New Roman" w:cs="Times New Roman"/>
                <w:color w:val="000000"/>
                <w:kern w:val="0"/>
                <w:sz w:val="20"/>
                <w:szCs w:val="20"/>
                <w14:ligatures w14:val="none"/>
              </w:rPr>
              <w:t>Effect</w:t>
            </w:r>
          </w:p>
        </w:tc>
        <w:tc>
          <w:tcPr>
            <w:tcW w:w="622" w:type="dxa"/>
            <w:tcBorders>
              <w:top w:val="nil"/>
              <w:left w:val="single" w:sz="12" w:space="0" w:color="auto"/>
              <w:bottom w:val="nil"/>
              <w:right w:val="nil"/>
            </w:tcBorders>
            <w:shd w:val="clear" w:color="000000" w:fill="FFFFFF"/>
            <w:noWrap/>
            <w:hideMark/>
          </w:tcPr>
          <w:p w14:paraId="2C43B01C" w14:textId="77777777" w:rsidR="0072015C" w:rsidRPr="00B47A14" w:rsidRDefault="0072015C" w:rsidP="0072015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48" w:type="dxa"/>
            <w:tcBorders>
              <w:top w:val="nil"/>
              <w:left w:val="nil"/>
              <w:bottom w:val="nil"/>
              <w:right w:val="single" w:sz="4" w:space="0" w:color="auto"/>
            </w:tcBorders>
            <w:shd w:val="clear" w:color="000000" w:fill="FFFFFF"/>
            <w:noWrap/>
            <w:hideMark/>
          </w:tcPr>
          <w:p w14:paraId="3BC7FA23" w14:textId="77777777" w:rsidR="0072015C" w:rsidRPr="00B47A14" w:rsidRDefault="0072015C" w:rsidP="0072015C">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01D3F400" w14:textId="77777777" w:rsidR="0072015C" w:rsidRPr="00B47A14" w:rsidRDefault="0072015C" w:rsidP="0072015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50" w:type="dxa"/>
            <w:tcBorders>
              <w:top w:val="nil"/>
              <w:left w:val="nil"/>
              <w:bottom w:val="nil"/>
              <w:right w:val="single" w:sz="4" w:space="0" w:color="auto"/>
            </w:tcBorders>
            <w:shd w:val="clear" w:color="000000" w:fill="FFFFFF"/>
            <w:noWrap/>
            <w:hideMark/>
          </w:tcPr>
          <w:p w14:paraId="3B444AF7" w14:textId="77777777" w:rsidR="0072015C" w:rsidRPr="00B47A14" w:rsidRDefault="0072015C" w:rsidP="0072015C">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45FCAA98" w14:textId="77777777" w:rsidR="0072015C" w:rsidRPr="00B47A14" w:rsidRDefault="0072015C" w:rsidP="0072015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48" w:type="dxa"/>
            <w:tcBorders>
              <w:top w:val="nil"/>
              <w:left w:val="nil"/>
              <w:bottom w:val="nil"/>
              <w:right w:val="single" w:sz="4" w:space="0" w:color="auto"/>
            </w:tcBorders>
            <w:shd w:val="clear" w:color="000000" w:fill="FFFFFF"/>
            <w:noWrap/>
            <w:hideMark/>
          </w:tcPr>
          <w:p w14:paraId="092950EE" w14:textId="77777777" w:rsidR="0072015C" w:rsidRPr="00B47A14" w:rsidRDefault="0072015C" w:rsidP="0072015C">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1112676C" w14:textId="77777777" w:rsidR="0072015C" w:rsidRPr="00B47A14" w:rsidRDefault="0072015C" w:rsidP="0072015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45" w:type="dxa"/>
            <w:tcBorders>
              <w:top w:val="nil"/>
              <w:left w:val="nil"/>
              <w:bottom w:val="nil"/>
              <w:right w:val="single" w:sz="4" w:space="0" w:color="auto"/>
            </w:tcBorders>
            <w:shd w:val="clear" w:color="000000" w:fill="FFFFFF"/>
            <w:noWrap/>
            <w:hideMark/>
          </w:tcPr>
          <w:p w14:paraId="0A164D1D" w14:textId="77777777" w:rsidR="0072015C" w:rsidRPr="00B47A14" w:rsidRDefault="0072015C" w:rsidP="0072015C">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149911D4" w14:textId="77777777" w:rsidR="0072015C" w:rsidRPr="00B47A14" w:rsidRDefault="0072015C" w:rsidP="0072015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41" w:type="dxa"/>
            <w:tcBorders>
              <w:top w:val="nil"/>
              <w:left w:val="nil"/>
              <w:bottom w:val="nil"/>
              <w:right w:val="single" w:sz="4" w:space="0" w:color="auto"/>
            </w:tcBorders>
            <w:shd w:val="clear" w:color="000000" w:fill="FFFFFF"/>
            <w:noWrap/>
            <w:hideMark/>
          </w:tcPr>
          <w:p w14:paraId="4F4D9FA5" w14:textId="77777777" w:rsidR="0072015C" w:rsidRPr="00B47A14" w:rsidRDefault="0072015C" w:rsidP="0072015C">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vAlign w:val="bottom"/>
            <w:hideMark/>
          </w:tcPr>
          <w:p w14:paraId="6FF26E88" w14:textId="0305C39A" w:rsidR="0072015C" w:rsidRPr="00B47A14" w:rsidRDefault="0072015C" w:rsidP="0072015C">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-0.57</w:t>
            </w:r>
          </w:p>
        </w:tc>
        <w:tc>
          <w:tcPr>
            <w:tcW w:w="621" w:type="dxa"/>
            <w:tcBorders>
              <w:top w:val="nil"/>
              <w:left w:val="nil"/>
              <w:bottom w:val="nil"/>
              <w:right w:val="single" w:sz="4" w:space="0" w:color="auto"/>
            </w:tcBorders>
            <w:shd w:val="clear" w:color="000000" w:fill="FFFFFF"/>
            <w:noWrap/>
            <w:vAlign w:val="bottom"/>
            <w:hideMark/>
          </w:tcPr>
          <w:p w14:paraId="42873F55" w14:textId="63BECB6F" w:rsidR="0072015C" w:rsidRPr="00B47A14" w:rsidRDefault="0072015C" w:rsidP="0072015C">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-1.74</w:t>
            </w:r>
          </w:p>
        </w:tc>
        <w:tc>
          <w:tcPr>
            <w:tcW w:w="624" w:type="dxa"/>
            <w:tcBorders>
              <w:top w:val="nil"/>
              <w:left w:val="nil"/>
              <w:bottom w:val="nil"/>
              <w:right w:val="nil"/>
            </w:tcBorders>
            <w:shd w:val="clear" w:color="000000" w:fill="FFFFFF"/>
            <w:noWrap/>
            <w:hideMark/>
          </w:tcPr>
          <w:p w14:paraId="59957752" w14:textId="77777777" w:rsidR="0072015C" w:rsidRPr="00B47A14" w:rsidRDefault="0072015C" w:rsidP="0072015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633" w:type="dxa"/>
            <w:tcBorders>
              <w:top w:val="nil"/>
              <w:left w:val="nil"/>
              <w:bottom w:val="nil"/>
              <w:right w:val="single" w:sz="4" w:space="0" w:color="auto"/>
            </w:tcBorders>
            <w:shd w:val="clear" w:color="000000" w:fill="FFFFFF"/>
            <w:noWrap/>
            <w:hideMark/>
          </w:tcPr>
          <w:p w14:paraId="560F5DA7" w14:textId="77777777" w:rsidR="0072015C" w:rsidRPr="00B47A14" w:rsidRDefault="0072015C" w:rsidP="0072015C">
            <w:pPr>
              <w:spacing w:after="0" w:line="240" w:lineRule="auto"/>
              <w:jc w:val="right"/>
              <w:rPr>
                <w:rFonts w:eastAsia="Times New Roman" w:cs="Times New Roman"/>
                <w:color w:val="000000"/>
                <w:kern w:val="0"/>
                <w:sz w:val="20"/>
                <w:szCs w:val="20"/>
                <w14:ligatures w14:val="none"/>
              </w:rPr>
            </w:pPr>
          </w:p>
        </w:tc>
        <w:tc>
          <w:tcPr>
            <w:tcW w:w="694" w:type="dxa"/>
            <w:tcBorders>
              <w:top w:val="nil"/>
              <w:left w:val="nil"/>
              <w:bottom w:val="nil"/>
              <w:right w:val="nil"/>
            </w:tcBorders>
            <w:shd w:val="clear" w:color="000000" w:fill="FFFFFF"/>
            <w:noWrap/>
            <w:hideMark/>
          </w:tcPr>
          <w:p w14:paraId="2688B9D8" w14:textId="77777777" w:rsidR="0072015C" w:rsidRPr="00B47A14" w:rsidRDefault="0072015C" w:rsidP="0072015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66" w:type="dxa"/>
            <w:tcBorders>
              <w:top w:val="nil"/>
              <w:left w:val="nil"/>
              <w:bottom w:val="nil"/>
              <w:right w:val="single" w:sz="4" w:space="0" w:color="auto"/>
            </w:tcBorders>
            <w:shd w:val="clear" w:color="000000" w:fill="FFFFFF"/>
            <w:noWrap/>
            <w:hideMark/>
          </w:tcPr>
          <w:p w14:paraId="664E55B4" w14:textId="77777777" w:rsidR="0072015C" w:rsidRPr="00B47A14" w:rsidRDefault="0072015C" w:rsidP="0072015C">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663ACA1B" w14:textId="77777777" w:rsidR="0072015C" w:rsidRPr="00B47A14" w:rsidRDefault="0072015C" w:rsidP="0072015C">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491" w:type="dxa"/>
            <w:tcBorders>
              <w:top w:val="nil"/>
              <w:left w:val="nil"/>
              <w:bottom w:val="nil"/>
              <w:right w:val="single" w:sz="12" w:space="0" w:color="auto"/>
            </w:tcBorders>
            <w:shd w:val="clear" w:color="000000" w:fill="FFFFFF"/>
            <w:noWrap/>
            <w:hideMark/>
          </w:tcPr>
          <w:p w14:paraId="78686757" w14:textId="77777777" w:rsidR="0072015C" w:rsidRPr="00B47A14" w:rsidRDefault="0072015C" w:rsidP="0072015C">
            <w:pPr>
              <w:spacing w:after="0" w:line="240" w:lineRule="auto"/>
              <w:jc w:val="right"/>
              <w:rPr>
                <w:rFonts w:eastAsia="Times New Roman" w:cs="Times New Roman"/>
                <w:color w:val="000000"/>
                <w:kern w:val="0"/>
                <w:sz w:val="20"/>
                <w:szCs w:val="20"/>
                <w14:ligatures w14:val="none"/>
              </w:rPr>
            </w:pPr>
          </w:p>
        </w:tc>
      </w:tr>
      <w:tr w:rsidR="00304309" w:rsidRPr="00B47A14" w14:paraId="5965AA29" w14:textId="77777777" w:rsidTr="004C3CE3">
        <w:trPr>
          <w:gridAfter w:val="1"/>
          <w:wAfter w:w="7" w:type="dxa"/>
          <w:trHeight w:val="20"/>
          <w:jc w:val="center"/>
        </w:trPr>
        <w:tc>
          <w:tcPr>
            <w:tcW w:w="3590" w:type="dxa"/>
            <w:tcBorders>
              <w:top w:val="nil"/>
              <w:left w:val="single" w:sz="12" w:space="0" w:color="auto"/>
              <w:bottom w:val="nil"/>
              <w:right w:val="single" w:sz="12" w:space="0" w:color="auto"/>
            </w:tcBorders>
            <w:shd w:val="clear" w:color="000000" w:fill="FFFFFF"/>
            <w:noWrap/>
            <w:vAlign w:val="bottom"/>
            <w:hideMark/>
          </w:tcPr>
          <w:p w14:paraId="45CD5409" w14:textId="77777777" w:rsidR="00304309" w:rsidRPr="00B47A14" w:rsidRDefault="00304309" w:rsidP="0030543A">
            <w:pPr>
              <w:spacing w:after="0" w:line="240" w:lineRule="auto"/>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Ethnicity (not Hispanic)</w:t>
            </w:r>
          </w:p>
        </w:tc>
        <w:tc>
          <w:tcPr>
            <w:tcW w:w="622" w:type="dxa"/>
            <w:tcBorders>
              <w:top w:val="nil"/>
              <w:left w:val="single" w:sz="12" w:space="0" w:color="auto"/>
              <w:bottom w:val="nil"/>
              <w:right w:val="nil"/>
            </w:tcBorders>
            <w:shd w:val="clear" w:color="000000" w:fill="FFFFFF"/>
            <w:noWrap/>
            <w:hideMark/>
          </w:tcPr>
          <w:p w14:paraId="711DB77B"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548" w:type="dxa"/>
            <w:tcBorders>
              <w:top w:val="nil"/>
              <w:left w:val="nil"/>
              <w:bottom w:val="nil"/>
              <w:right w:val="single" w:sz="4" w:space="0" w:color="auto"/>
            </w:tcBorders>
            <w:shd w:val="clear" w:color="000000" w:fill="FFFFFF"/>
            <w:noWrap/>
            <w:hideMark/>
          </w:tcPr>
          <w:p w14:paraId="1C14DE33"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679D0F62"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550" w:type="dxa"/>
            <w:tcBorders>
              <w:top w:val="nil"/>
              <w:left w:val="nil"/>
              <w:bottom w:val="nil"/>
              <w:right w:val="single" w:sz="4" w:space="0" w:color="auto"/>
            </w:tcBorders>
            <w:shd w:val="clear" w:color="000000" w:fill="FFFFFF"/>
            <w:noWrap/>
            <w:hideMark/>
          </w:tcPr>
          <w:p w14:paraId="0F642009"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0F2DAF4C"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548" w:type="dxa"/>
            <w:tcBorders>
              <w:top w:val="nil"/>
              <w:left w:val="nil"/>
              <w:bottom w:val="nil"/>
              <w:right w:val="single" w:sz="4" w:space="0" w:color="auto"/>
            </w:tcBorders>
            <w:shd w:val="clear" w:color="000000" w:fill="FFFFFF"/>
            <w:noWrap/>
            <w:hideMark/>
          </w:tcPr>
          <w:p w14:paraId="66AAA8A9"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3C15421F"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545" w:type="dxa"/>
            <w:tcBorders>
              <w:top w:val="nil"/>
              <w:left w:val="nil"/>
              <w:bottom w:val="nil"/>
              <w:right w:val="single" w:sz="4" w:space="0" w:color="auto"/>
            </w:tcBorders>
            <w:shd w:val="clear" w:color="000000" w:fill="FFFFFF"/>
            <w:noWrap/>
            <w:hideMark/>
          </w:tcPr>
          <w:p w14:paraId="16967A3A"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25DBCA2E"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541" w:type="dxa"/>
            <w:tcBorders>
              <w:top w:val="nil"/>
              <w:left w:val="nil"/>
              <w:bottom w:val="nil"/>
              <w:right w:val="single" w:sz="4" w:space="0" w:color="auto"/>
            </w:tcBorders>
            <w:shd w:val="clear" w:color="000000" w:fill="FFFFFF"/>
            <w:noWrap/>
            <w:hideMark/>
          </w:tcPr>
          <w:p w14:paraId="7BE808A5"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0FA09C27"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621" w:type="dxa"/>
            <w:tcBorders>
              <w:top w:val="nil"/>
              <w:left w:val="nil"/>
              <w:bottom w:val="nil"/>
              <w:right w:val="single" w:sz="4" w:space="0" w:color="auto"/>
            </w:tcBorders>
            <w:shd w:val="clear" w:color="000000" w:fill="FFFFFF"/>
            <w:noWrap/>
            <w:hideMark/>
          </w:tcPr>
          <w:p w14:paraId="1F934189"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624" w:type="dxa"/>
            <w:tcBorders>
              <w:top w:val="nil"/>
              <w:left w:val="nil"/>
              <w:bottom w:val="nil"/>
              <w:right w:val="nil"/>
            </w:tcBorders>
            <w:shd w:val="clear" w:color="000000" w:fill="FFFFFF"/>
            <w:noWrap/>
            <w:hideMark/>
          </w:tcPr>
          <w:p w14:paraId="6F45F58A"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633" w:type="dxa"/>
            <w:tcBorders>
              <w:top w:val="nil"/>
              <w:left w:val="nil"/>
              <w:bottom w:val="nil"/>
              <w:right w:val="single" w:sz="4" w:space="0" w:color="auto"/>
            </w:tcBorders>
            <w:shd w:val="clear" w:color="000000" w:fill="FFFFFF"/>
            <w:noWrap/>
            <w:hideMark/>
          </w:tcPr>
          <w:p w14:paraId="69E9A7FD"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694" w:type="dxa"/>
            <w:tcBorders>
              <w:top w:val="nil"/>
              <w:left w:val="nil"/>
              <w:bottom w:val="nil"/>
              <w:right w:val="nil"/>
            </w:tcBorders>
            <w:shd w:val="clear" w:color="000000" w:fill="FFFFFF"/>
            <w:noWrap/>
            <w:hideMark/>
          </w:tcPr>
          <w:p w14:paraId="43DE94AA"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566" w:type="dxa"/>
            <w:tcBorders>
              <w:top w:val="nil"/>
              <w:left w:val="nil"/>
              <w:bottom w:val="nil"/>
              <w:right w:val="single" w:sz="4" w:space="0" w:color="auto"/>
            </w:tcBorders>
            <w:shd w:val="clear" w:color="000000" w:fill="FFFFFF"/>
            <w:noWrap/>
            <w:hideMark/>
          </w:tcPr>
          <w:p w14:paraId="4CFA0BFC"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2FAA8E4D"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491" w:type="dxa"/>
            <w:tcBorders>
              <w:top w:val="nil"/>
              <w:left w:val="nil"/>
              <w:bottom w:val="nil"/>
              <w:right w:val="single" w:sz="12" w:space="0" w:color="auto"/>
            </w:tcBorders>
            <w:shd w:val="clear" w:color="000000" w:fill="FFFFFF"/>
            <w:noWrap/>
            <w:hideMark/>
          </w:tcPr>
          <w:p w14:paraId="3D21EBF3"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r>
      <w:tr w:rsidR="009A3CCD" w:rsidRPr="00B47A14" w14:paraId="7C201A9C" w14:textId="77777777" w:rsidTr="004C3CE3">
        <w:trPr>
          <w:gridAfter w:val="1"/>
          <w:wAfter w:w="7" w:type="dxa"/>
          <w:trHeight w:val="20"/>
          <w:jc w:val="center"/>
        </w:trPr>
        <w:tc>
          <w:tcPr>
            <w:tcW w:w="3590" w:type="dxa"/>
            <w:tcBorders>
              <w:top w:val="nil"/>
              <w:left w:val="single" w:sz="12" w:space="0" w:color="auto"/>
              <w:bottom w:val="nil"/>
              <w:right w:val="single" w:sz="12" w:space="0" w:color="auto"/>
            </w:tcBorders>
            <w:shd w:val="clear" w:color="000000" w:fill="FFFFFF"/>
            <w:noWrap/>
            <w:vAlign w:val="bottom"/>
            <w:hideMark/>
          </w:tcPr>
          <w:p w14:paraId="2C3DBB6A" w14:textId="77777777" w:rsidR="009A3CCD" w:rsidRPr="00B47A14" w:rsidRDefault="009A3CCD" w:rsidP="009A3CCD">
            <w:pPr>
              <w:spacing w:after="0" w:line="240" w:lineRule="auto"/>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 xml:space="preserve">       Hispanic</w:t>
            </w:r>
          </w:p>
        </w:tc>
        <w:tc>
          <w:tcPr>
            <w:tcW w:w="622" w:type="dxa"/>
            <w:tcBorders>
              <w:top w:val="nil"/>
              <w:left w:val="single" w:sz="12" w:space="0" w:color="auto"/>
              <w:bottom w:val="nil"/>
              <w:right w:val="nil"/>
            </w:tcBorders>
            <w:shd w:val="clear" w:color="000000" w:fill="FFFFFF"/>
            <w:noWrap/>
            <w:hideMark/>
          </w:tcPr>
          <w:p w14:paraId="574BA726" w14:textId="77777777" w:rsidR="009A3CCD" w:rsidRPr="00B47A14" w:rsidRDefault="009A3CCD" w:rsidP="009A3CCD">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48" w:type="dxa"/>
            <w:tcBorders>
              <w:top w:val="nil"/>
              <w:left w:val="nil"/>
              <w:bottom w:val="nil"/>
              <w:right w:val="single" w:sz="4" w:space="0" w:color="auto"/>
            </w:tcBorders>
            <w:shd w:val="clear" w:color="000000" w:fill="FFFFFF"/>
            <w:noWrap/>
            <w:hideMark/>
          </w:tcPr>
          <w:p w14:paraId="0C584E40" w14:textId="77777777" w:rsidR="009A3CCD" w:rsidRPr="00B47A14" w:rsidRDefault="009A3CCD" w:rsidP="009A3CCD">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vAlign w:val="bottom"/>
            <w:hideMark/>
          </w:tcPr>
          <w:p w14:paraId="32BEA0E0" w14:textId="4F43DF24" w:rsidR="009A3CCD" w:rsidRPr="00B47A14" w:rsidRDefault="009A3CCD" w:rsidP="009A3CCD">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0.27</w:t>
            </w:r>
          </w:p>
        </w:tc>
        <w:tc>
          <w:tcPr>
            <w:tcW w:w="550" w:type="dxa"/>
            <w:tcBorders>
              <w:top w:val="nil"/>
              <w:left w:val="nil"/>
              <w:bottom w:val="nil"/>
              <w:right w:val="single" w:sz="4" w:space="0" w:color="auto"/>
            </w:tcBorders>
            <w:shd w:val="clear" w:color="000000" w:fill="FFFFFF"/>
            <w:noWrap/>
            <w:vAlign w:val="bottom"/>
            <w:hideMark/>
          </w:tcPr>
          <w:p w14:paraId="562E90FC" w14:textId="6039574C" w:rsidR="009A3CCD" w:rsidRPr="00B47A14" w:rsidRDefault="009A3CCD" w:rsidP="009A3CCD">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2.45</w:t>
            </w:r>
          </w:p>
        </w:tc>
        <w:tc>
          <w:tcPr>
            <w:tcW w:w="622" w:type="dxa"/>
            <w:tcBorders>
              <w:top w:val="nil"/>
              <w:left w:val="nil"/>
              <w:bottom w:val="nil"/>
              <w:right w:val="nil"/>
            </w:tcBorders>
            <w:shd w:val="clear" w:color="000000" w:fill="FFFFFF"/>
            <w:noWrap/>
            <w:hideMark/>
          </w:tcPr>
          <w:p w14:paraId="537CE4B1" w14:textId="77777777" w:rsidR="009A3CCD" w:rsidRPr="00B47A14" w:rsidRDefault="009A3CCD" w:rsidP="009A3CCD">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48" w:type="dxa"/>
            <w:tcBorders>
              <w:top w:val="nil"/>
              <w:left w:val="nil"/>
              <w:bottom w:val="nil"/>
              <w:right w:val="single" w:sz="4" w:space="0" w:color="auto"/>
            </w:tcBorders>
            <w:shd w:val="clear" w:color="000000" w:fill="FFFFFF"/>
            <w:noWrap/>
            <w:hideMark/>
          </w:tcPr>
          <w:p w14:paraId="795E4FA3" w14:textId="77777777" w:rsidR="009A3CCD" w:rsidRPr="00B47A14" w:rsidRDefault="009A3CCD" w:rsidP="009A3CCD">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32220B4A" w14:textId="77777777" w:rsidR="009A3CCD" w:rsidRPr="00B47A14" w:rsidRDefault="009A3CCD" w:rsidP="009A3CCD">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45" w:type="dxa"/>
            <w:tcBorders>
              <w:top w:val="nil"/>
              <w:left w:val="nil"/>
              <w:bottom w:val="nil"/>
              <w:right w:val="single" w:sz="4" w:space="0" w:color="auto"/>
            </w:tcBorders>
            <w:shd w:val="clear" w:color="000000" w:fill="FFFFFF"/>
            <w:noWrap/>
            <w:hideMark/>
          </w:tcPr>
          <w:p w14:paraId="5F17DF16" w14:textId="77777777" w:rsidR="009A3CCD" w:rsidRPr="00B47A14" w:rsidRDefault="009A3CCD" w:rsidP="009A3CCD">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vAlign w:val="bottom"/>
            <w:hideMark/>
          </w:tcPr>
          <w:p w14:paraId="31D63A97" w14:textId="234B5DC6" w:rsidR="009A3CCD" w:rsidRPr="00B47A14" w:rsidRDefault="009A3CCD" w:rsidP="009A3CCD">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-0.33</w:t>
            </w:r>
          </w:p>
        </w:tc>
        <w:tc>
          <w:tcPr>
            <w:tcW w:w="541" w:type="dxa"/>
            <w:tcBorders>
              <w:top w:val="nil"/>
              <w:left w:val="nil"/>
              <w:bottom w:val="nil"/>
              <w:right w:val="single" w:sz="4" w:space="0" w:color="auto"/>
            </w:tcBorders>
            <w:shd w:val="clear" w:color="000000" w:fill="FFFFFF"/>
            <w:noWrap/>
            <w:vAlign w:val="bottom"/>
            <w:hideMark/>
          </w:tcPr>
          <w:p w14:paraId="02928668" w14:textId="026F9870" w:rsidR="009A3CCD" w:rsidRPr="00B47A14" w:rsidRDefault="009A3CCD" w:rsidP="009A3CCD">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-1.34</w:t>
            </w:r>
          </w:p>
        </w:tc>
        <w:tc>
          <w:tcPr>
            <w:tcW w:w="622" w:type="dxa"/>
            <w:tcBorders>
              <w:top w:val="nil"/>
              <w:left w:val="nil"/>
              <w:bottom w:val="nil"/>
              <w:right w:val="nil"/>
            </w:tcBorders>
            <w:shd w:val="clear" w:color="000000" w:fill="FFFFFF"/>
            <w:noWrap/>
            <w:hideMark/>
          </w:tcPr>
          <w:p w14:paraId="4A3AE533" w14:textId="77777777" w:rsidR="009A3CCD" w:rsidRPr="00B47A14" w:rsidRDefault="009A3CCD" w:rsidP="009A3CCD">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621" w:type="dxa"/>
            <w:tcBorders>
              <w:top w:val="nil"/>
              <w:left w:val="nil"/>
              <w:bottom w:val="nil"/>
              <w:right w:val="single" w:sz="4" w:space="0" w:color="auto"/>
            </w:tcBorders>
            <w:shd w:val="clear" w:color="000000" w:fill="FFFFFF"/>
            <w:noWrap/>
            <w:hideMark/>
          </w:tcPr>
          <w:p w14:paraId="5077AFD1" w14:textId="77777777" w:rsidR="009A3CCD" w:rsidRPr="00B47A14" w:rsidRDefault="009A3CCD" w:rsidP="009A3CCD">
            <w:pPr>
              <w:spacing w:after="0" w:line="240" w:lineRule="auto"/>
              <w:jc w:val="right"/>
              <w:rPr>
                <w:rFonts w:eastAsia="Times New Roman" w:cs="Times New Roman"/>
                <w:color w:val="000000"/>
                <w:kern w:val="0"/>
                <w:sz w:val="20"/>
                <w:szCs w:val="20"/>
                <w14:ligatures w14:val="none"/>
              </w:rPr>
            </w:pPr>
          </w:p>
        </w:tc>
        <w:tc>
          <w:tcPr>
            <w:tcW w:w="624" w:type="dxa"/>
            <w:tcBorders>
              <w:top w:val="nil"/>
              <w:left w:val="nil"/>
              <w:bottom w:val="nil"/>
              <w:right w:val="nil"/>
            </w:tcBorders>
            <w:shd w:val="clear" w:color="000000" w:fill="FFFFFF"/>
            <w:noWrap/>
            <w:hideMark/>
          </w:tcPr>
          <w:p w14:paraId="1AA0D10D" w14:textId="77777777" w:rsidR="009A3CCD" w:rsidRPr="00B47A14" w:rsidRDefault="009A3CCD" w:rsidP="009A3CCD">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633" w:type="dxa"/>
            <w:tcBorders>
              <w:top w:val="nil"/>
              <w:left w:val="nil"/>
              <w:bottom w:val="nil"/>
              <w:right w:val="single" w:sz="4" w:space="0" w:color="auto"/>
            </w:tcBorders>
            <w:shd w:val="clear" w:color="000000" w:fill="FFFFFF"/>
            <w:noWrap/>
            <w:hideMark/>
          </w:tcPr>
          <w:p w14:paraId="26809752" w14:textId="77777777" w:rsidR="009A3CCD" w:rsidRPr="00B47A14" w:rsidRDefault="009A3CCD" w:rsidP="009A3CCD">
            <w:pPr>
              <w:spacing w:after="0" w:line="240" w:lineRule="auto"/>
              <w:jc w:val="right"/>
              <w:rPr>
                <w:rFonts w:eastAsia="Times New Roman" w:cs="Times New Roman"/>
                <w:color w:val="000000"/>
                <w:kern w:val="0"/>
                <w:sz w:val="20"/>
                <w:szCs w:val="20"/>
                <w14:ligatures w14:val="none"/>
              </w:rPr>
            </w:pPr>
          </w:p>
        </w:tc>
        <w:tc>
          <w:tcPr>
            <w:tcW w:w="694" w:type="dxa"/>
            <w:tcBorders>
              <w:top w:val="nil"/>
              <w:left w:val="nil"/>
              <w:bottom w:val="nil"/>
              <w:right w:val="nil"/>
            </w:tcBorders>
            <w:shd w:val="clear" w:color="000000" w:fill="FFFFFF"/>
            <w:noWrap/>
            <w:hideMark/>
          </w:tcPr>
          <w:p w14:paraId="2E39F616" w14:textId="77777777" w:rsidR="009A3CCD" w:rsidRPr="00B47A14" w:rsidRDefault="009A3CCD" w:rsidP="009A3CCD">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66" w:type="dxa"/>
            <w:tcBorders>
              <w:top w:val="nil"/>
              <w:left w:val="nil"/>
              <w:bottom w:val="nil"/>
              <w:right w:val="single" w:sz="4" w:space="0" w:color="auto"/>
            </w:tcBorders>
            <w:shd w:val="clear" w:color="000000" w:fill="FFFFFF"/>
            <w:noWrap/>
            <w:hideMark/>
          </w:tcPr>
          <w:p w14:paraId="00A286E8" w14:textId="77777777" w:rsidR="009A3CCD" w:rsidRPr="00B47A14" w:rsidRDefault="009A3CCD" w:rsidP="009A3CCD">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761E2EBF" w14:textId="77777777" w:rsidR="009A3CCD" w:rsidRPr="00B47A14" w:rsidRDefault="009A3CCD" w:rsidP="009A3CCD">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491" w:type="dxa"/>
            <w:tcBorders>
              <w:top w:val="nil"/>
              <w:left w:val="nil"/>
              <w:bottom w:val="nil"/>
              <w:right w:val="single" w:sz="12" w:space="0" w:color="auto"/>
            </w:tcBorders>
            <w:shd w:val="clear" w:color="000000" w:fill="FFFFFF"/>
            <w:noWrap/>
            <w:hideMark/>
          </w:tcPr>
          <w:p w14:paraId="7EF445A1" w14:textId="77777777" w:rsidR="009A3CCD" w:rsidRPr="00B47A14" w:rsidRDefault="009A3CCD" w:rsidP="009A3CCD">
            <w:pPr>
              <w:spacing w:after="0" w:line="240" w:lineRule="auto"/>
              <w:jc w:val="right"/>
              <w:rPr>
                <w:rFonts w:eastAsia="Times New Roman" w:cs="Times New Roman"/>
                <w:color w:val="000000"/>
                <w:kern w:val="0"/>
                <w:sz w:val="20"/>
                <w:szCs w:val="20"/>
                <w14:ligatures w14:val="none"/>
              </w:rPr>
            </w:pPr>
          </w:p>
        </w:tc>
      </w:tr>
      <w:tr w:rsidR="009A3CCD" w:rsidRPr="00B47A14" w14:paraId="36FC6D4A" w14:textId="77777777" w:rsidTr="004C3CE3">
        <w:trPr>
          <w:gridAfter w:val="1"/>
          <w:wAfter w:w="7" w:type="dxa"/>
          <w:trHeight w:val="20"/>
          <w:jc w:val="center"/>
        </w:trPr>
        <w:tc>
          <w:tcPr>
            <w:tcW w:w="3590" w:type="dxa"/>
            <w:tcBorders>
              <w:top w:val="nil"/>
              <w:left w:val="single" w:sz="12" w:space="0" w:color="auto"/>
              <w:bottom w:val="nil"/>
              <w:right w:val="single" w:sz="12" w:space="0" w:color="auto"/>
            </w:tcBorders>
            <w:shd w:val="clear" w:color="000000" w:fill="FFFFFF"/>
            <w:noWrap/>
            <w:vAlign w:val="bottom"/>
            <w:hideMark/>
          </w:tcPr>
          <w:p w14:paraId="76A9CCE0" w14:textId="780091EA" w:rsidR="009A3CCD" w:rsidRPr="00B47A14" w:rsidRDefault="009A3CCD" w:rsidP="009A3CCD">
            <w:pPr>
              <w:spacing w:after="0" w:line="240" w:lineRule="auto"/>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 xml:space="preserve">       Hispanic *</w:t>
            </w:r>
            <w:r w:rsidR="008D52EC">
              <w:rPr>
                <w:rFonts w:eastAsia="Times New Roman" w:cs="Times New Roman"/>
                <w:color w:val="000000"/>
                <w:kern w:val="0"/>
                <w:sz w:val="20"/>
                <w:szCs w:val="20"/>
                <w14:ligatures w14:val="none"/>
              </w:rPr>
              <w:t xml:space="preserve"> </w:t>
            </w:r>
            <w:r w:rsidR="00A77082">
              <w:rPr>
                <w:rFonts w:eastAsia="Times New Roman" w:cs="Times New Roman"/>
                <w:color w:val="000000"/>
                <w:kern w:val="0"/>
                <w:sz w:val="20"/>
                <w:szCs w:val="20"/>
                <w14:ligatures w14:val="none"/>
              </w:rPr>
              <w:t>During-</w:t>
            </w:r>
            <w:r w:rsidR="00A77082" w:rsidRPr="00B47A14">
              <w:rPr>
                <w:rFonts w:eastAsia="Times New Roman" w:cs="Times New Roman"/>
                <w:color w:val="000000"/>
                <w:kern w:val="0"/>
                <w:sz w:val="20"/>
                <w:szCs w:val="20"/>
                <w14:ligatures w14:val="none"/>
              </w:rPr>
              <w:t xml:space="preserve">COVID </w:t>
            </w:r>
            <w:r w:rsidRPr="00B47A14">
              <w:rPr>
                <w:rFonts w:eastAsia="Times New Roman" w:cs="Times New Roman"/>
                <w:color w:val="000000"/>
                <w:kern w:val="0"/>
                <w:sz w:val="20"/>
                <w:szCs w:val="20"/>
                <w14:ligatures w14:val="none"/>
              </w:rPr>
              <w:t>Effect</w:t>
            </w:r>
          </w:p>
        </w:tc>
        <w:tc>
          <w:tcPr>
            <w:tcW w:w="622" w:type="dxa"/>
            <w:tcBorders>
              <w:top w:val="nil"/>
              <w:left w:val="single" w:sz="12" w:space="0" w:color="auto"/>
              <w:bottom w:val="nil"/>
              <w:right w:val="nil"/>
            </w:tcBorders>
            <w:shd w:val="clear" w:color="000000" w:fill="FFFFFF"/>
            <w:noWrap/>
            <w:hideMark/>
          </w:tcPr>
          <w:p w14:paraId="6B25B777" w14:textId="77777777" w:rsidR="009A3CCD" w:rsidRPr="00B47A14" w:rsidRDefault="009A3CCD" w:rsidP="009A3CCD">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48" w:type="dxa"/>
            <w:tcBorders>
              <w:top w:val="nil"/>
              <w:left w:val="nil"/>
              <w:bottom w:val="nil"/>
              <w:right w:val="single" w:sz="4" w:space="0" w:color="auto"/>
            </w:tcBorders>
            <w:shd w:val="clear" w:color="000000" w:fill="FFFFFF"/>
            <w:noWrap/>
            <w:hideMark/>
          </w:tcPr>
          <w:p w14:paraId="20FC4772" w14:textId="77777777" w:rsidR="009A3CCD" w:rsidRPr="00B47A14" w:rsidRDefault="009A3CCD" w:rsidP="009A3CCD">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vAlign w:val="bottom"/>
            <w:hideMark/>
          </w:tcPr>
          <w:p w14:paraId="094D9398" w14:textId="5B7ED44E" w:rsidR="009A3CCD" w:rsidRPr="00B47A14" w:rsidRDefault="009A3CCD" w:rsidP="009A3CCD">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0.31</w:t>
            </w:r>
          </w:p>
        </w:tc>
        <w:tc>
          <w:tcPr>
            <w:tcW w:w="550" w:type="dxa"/>
            <w:tcBorders>
              <w:top w:val="nil"/>
              <w:left w:val="nil"/>
              <w:bottom w:val="nil"/>
              <w:right w:val="single" w:sz="4" w:space="0" w:color="auto"/>
            </w:tcBorders>
            <w:shd w:val="clear" w:color="000000" w:fill="FFFFFF"/>
            <w:noWrap/>
            <w:vAlign w:val="bottom"/>
            <w:hideMark/>
          </w:tcPr>
          <w:p w14:paraId="0023E406" w14:textId="3D895AE6" w:rsidR="009A3CCD" w:rsidRPr="00B47A14" w:rsidRDefault="009A3CCD" w:rsidP="009A3CCD">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2.22</w:t>
            </w:r>
          </w:p>
        </w:tc>
        <w:tc>
          <w:tcPr>
            <w:tcW w:w="622" w:type="dxa"/>
            <w:tcBorders>
              <w:top w:val="nil"/>
              <w:left w:val="nil"/>
              <w:bottom w:val="nil"/>
              <w:right w:val="nil"/>
            </w:tcBorders>
            <w:shd w:val="clear" w:color="000000" w:fill="FFFFFF"/>
            <w:noWrap/>
            <w:hideMark/>
          </w:tcPr>
          <w:p w14:paraId="7BEF5753" w14:textId="77777777" w:rsidR="009A3CCD" w:rsidRPr="00B47A14" w:rsidRDefault="009A3CCD" w:rsidP="009A3CCD">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48" w:type="dxa"/>
            <w:tcBorders>
              <w:top w:val="nil"/>
              <w:left w:val="nil"/>
              <w:bottom w:val="nil"/>
              <w:right w:val="single" w:sz="4" w:space="0" w:color="auto"/>
            </w:tcBorders>
            <w:shd w:val="clear" w:color="000000" w:fill="FFFFFF"/>
            <w:noWrap/>
            <w:hideMark/>
          </w:tcPr>
          <w:p w14:paraId="27F5FE3F" w14:textId="77777777" w:rsidR="009A3CCD" w:rsidRPr="00B47A14" w:rsidRDefault="009A3CCD" w:rsidP="009A3CCD">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232778C0" w14:textId="77777777" w:rsidR="009A3CCD" w:rsidRPr="00B47A14" w:rsidRDefault="009A3CCD" w:rsidP="009A3CCD">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45" w:type="dxa"/>
            <w:tcBorders>
              <w:top w:val="nil"/>
              <w:left w:val="nil"/>
              <w:bottom w:val="nil"/>
              <w:right w:val="single" w:sz="4" w:space="0" w:color="auto"/>
            </w:tcBorders>
            <w:shd w:val="clear" w:color="000000" w:fill="FFFFFF"/>
            <w:noWrap/>
            <w:hideMark/>
          </w:tcPr>
          <w:p w14:paraId="3C502AA1" w14:textId="77777777" w:rsidR="009A3CCD" w:rsidRPr="00B47A14" w:rsidRDefault="009A3CCD" w:rsidP="009A3CCD">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6A8023E6" w14:textId="77777777" w:rsidR="009A3CCD" w:rsidRPr="00B47A14" w:rsidRDefault="009A3CCD" w:rsidP="009A3CCD">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41" w:type="dxa"/>
            <w:tcBorders>
              <w:top w:val="nil"/>
              <w:left w:val="nil"/>
              <w:bottom w:val="nil"/>
              <w:right w:val="single" w:sz="4" w:space="0" w:color="auto"/>
            </w:tcBorders>
            <w:shd w:val="clear" w:color="000000" w:fill="FFFFFF"/>
            <w:noWrap/>
            <w:hideMark/>
          </w:tcPr>
          <w:p w14:paraId="50EE1E59" w14:textId="77777777" w:rsidR="009A3CCD" w:rsidRPr="00B47A14" w:rsidRDefault="009A3CCD" w:rsidP="009A3CCD">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5A0F1678" w14:textId="77777777" w:rsidR="009A3CCD" w:rsidRPr="00B47A14" w:rsidRDefault="009A3CCD" w:rsidP="009A3CCD">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621" w:type="dxa"/>
            <w:tcBorders>
              <w:top w:val="nil"/>
              <w:left w:val="nil"/>
              <w:bottom w:val="nil"/>
              <w:right w:val="single" w:sz="4" w:space="0" w:color="auto"/>
            </w:tcBorders>
            <w:shd w:val="clear" w:color="000000" w:fill="FFFFFF"/>
            <w:noWrap/>
            <w:hideMark/>
          </w:tcPr>
          <w:p w14:paraId="0FDDE724" w14:textId="77777777" w:rsidR="009A3CCD" w:rsidRPr="00B47A14" w:rsidRDefault="009A3CCD" w:rsidP="009A3CCD">
            <w:pPr>
              <w:spacing w:after="0" w:line="240" w:lineRule="auto"/>
              <w:jc w:val="right"/>
              <w:rPr>
                <w:rFonts w:eastAsia="Times New Roman" w:cs="Times New Roman"/>
                <w:color w:val="000000"/>
                <w:kern w:val="0"/>
                <w:sz w:val="20"/>
                <w:szCs w:val="20"/>
                <w14:ligatures w14:val="none"/>
              </w:rPr>
            </w:pPr>
          </w:p>
        </w:tc>
        <w:tc>
          <w:tcPr>
            <w:tcW w:w="624" w:type="dxa"/>
            <w:tcBorders>
              <w:top w:val="nil"/>
              <w:left w:val="nil"/>
              <w:bottom w:val="nil"/>
              <w:right w:val="nil"/>
            </w:tcBorders>
            <w:shd w:val="clear" w:color="000000" w:fill="FFFFFF"/>
            <w:noWrap/>
            <w:hideMark/>
          </w:tcPr>
          <w:p w14:paraId="4EF918FC" w14:textId="77777777" w:rsidR="009A3CCD" w:rsidRPr="00B47A14" w:rsidRDefault="009A3CCD" w:rsidP="009A3CCD">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633" w:type="dxa"/>
            <w:tcBorders>
              <w:top w:val="nil"/>
              <w:left w:val="nil"/>
              <w:bottom w:val="nil"/>
              <w:right w:val="single" w:sz="4" w:space="0" w:color="auto"/>
            </w:tcBorders>
            <w:shd w:val="clear" w:color="000000" w:fill="FFFFFF"/>
            <w:noWrap/>
            <w:hideMark/>
          </w:tcPr>
          <w:p w14:paraId="45404B45" w14:textId="77777777" w:rsidR="009A3CCD" w:rsidRPr="00B47A14" w:rsidRDefault="009A3CCD" w:rsidP="009A3CCD">
            <w:pPr>
              <w:spacing w:after="0" w:line="240" w:lineRule="auto"/>
              <w:jc w:val="right"/>
              <w:rPr>
                <w:rFonts w:eastAsia="Times New Roman" w:cs="Times New Roman"/>
                <w:color w:val="000000"/>
                <w:kern w:val="0"/>
                <w:sz w:val="20"/>
                <w:szCs w:val="20"/>
                <w14:ligatures w14:val="none"/>
              </w:rPr>
            </w:pPr>
          </w:p>
        </w:tc>
        <w:tc>
          <w:tcPr>
            <w:tcW w:w="694" w:type="dxa"/>
            <w:tcBorders>
              <w:top w:val="nil"/>
              <w:left w:val="nil"/>
              <w:bottom w:val="nil"/>
              <w:right w:val="nil"/>
            </w:tcBorders>
            <w:shd w:val="clear" w:color="000000" w:fill="FFFFFF"/>
            <w:noWrap/>
            <w:vAlign w:val="bottom"/>
            <w:hideMark/>
          </w:tcPr>
          <w:p w14:paraId="4E947A18" w14:textId="74DB84BE" w:rsidR="009A3CCD" w:rsidRPr="00B47A14" w:rsidRDefault="009A3CCD" w:rsidP="009A3CCD">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-0.62</w:t>
            </w:r>
          </w:p>
        </w:tc>
        <w:tc>
          <w:tcPr>
            <w:tcW w:w="566" w:type="dxa"/>
            <w:tcBorders>
              <w:top w:val="nil"/>
              <w:left w:val="nil"/>
              <w:bottom w:val="nil"/>
              <w:right w:val="single" w:sz="4" w:space="0" w:color="auto"/>
            </w:tcBorders>
            <w:shd w:val="clear" w:color="000000" w:fill="FFFFFF"/>
            <w:noWrap/>
            <w:vAlign w:val="bottom"/>
            <w:hideMark/>
          </w:tcPr>
          <w:p w14:paraId="311CD75E" w14:textId="6B4A7A14" w:rsidR="009A3CCD" w:rsidRPr="00B47A14" w:rsidRDefault="009A3CCD" w:rsidP="009A3CCD">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-1.48</w:t>
            </w:r>
          </w:p>
        </w:tc>
        <w:tc>
          <w:tcPr>
            <w:tcW w:w="622" w:type="dxa"/>
            <w:tcBorders>
              <w:top w:val="nil"/>
              <w:left w:val="nil"/>
              <w:bottom w:val="nil"/>
              <w:right w:val="nil"/>
            </w:tcBorders>
            <w:shd w:val="clear" w:color="000000" w:fill="FFFFFF"/>
            <w:noWrap/>
            <w:hideMark/>
          </w:tcPr>
          <w:p w14:paraId="3A7EF329" w14:textId="77777777" w:rsidR="009A3CCD" w:rsidRPr="00B47A14" w:rsidRDefault="009A3CCD" w:rsidP="009A3CCD">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491" w:type="dxa"/>
            <w:tcBorders>
              <w:top w:val="nil"/>
              <w:left w:val="nil"/>
              <w:bottom w:val="nil"/>
              <w:right w:val="single" w:sz="12" w:space="0" w:color="auto"/>
            </w:tcBorders>
            <w:shd w:val="clear" w:color="000000" w:fill="FFFFFF"/>
            <w:noWrap/>
            <w:hideMark/>
          </w:tcPr>
          <w:p w14:paraId="334346B5" w14:textId="77777777" w:rsidR="009A3CCD" w:rsidRPr="00B47A14" w:rsidRDefault="009A3CCD" w:rsidP="009A3CCD">
            <w:pPr>
              <w:spacing w:after="0" w:line="240" w:lineRule="auto"/>
              <w:jc w:val="right"/>
              <w:rPr>
                <w:rFonts w:eastAsia="Times New Roman" w:cs="Times New Roman"/>
                <w:color w:val="000000"/>
                <w:kern w:val="0"/>
                <w:sz w:val="20"/>
                <w:szCs w:val="20"/>
                <w14:ligatures w14:val="none"/>
              </w:rPr>
            </w:pPr>
          </w:p>
        </w:tc>
      </w:tr>
      <w:tr w:rsidR="00304309" w:rsidRPr="00B47A14" w14:paraId="3C1D620D" w14:textId="77777777" w:rsidTr="004C3CE3">
        <w:trPr>
          <w:gridAfter w:val="1"/>
          <w:wAfter w:w="7" w:type="dxa"/>
          <w:trHeight w:val="20"/>
          <w:jc w:val="center"/>
        </w:trPr>
        <w:tc>
          <w:tcPr>
            <w:tcW w:w="3590" w:type="dxa"/>
            <w:tcBorders>
              <w:top w:val="nil"/>
              <w:left w:val="single" w:sz="12" w:space="0" w:color="auto"/>
              <w:bottom w:val="nil"/>
              <w:right w:val="single" w:sz="12" w:space="0" w:color="auto"/>
            </w:tcBorders>
            <w:shd w:val="clear" w:color="000000" w:fill="FFFFFF"/>
            <w:noWrap/>
            <w:vAlign w:val="bottom"/>
            <w:hideMark/>
          </w:tcPr>
          <w:p w14:paraId="0CF97A11" w14:textId="77777777" w:rsidR="00304309" w:rsidRPr="00B47A14" w:rsidRDefault="00304309" w:rsidP="0030543A">
            <w:pPr>
              <w:spacing w:after="0" w:line="240" w:lineRule="auto"/>
              <w:rPr>
                <w:rFonts w:eastAsia="Times New Roman" w:cs="Times New Roman"/>
                <w:b/>
                <w:bCs/>
                <w:color w:val="000000"/>
                <w:kern w:val="0"/>
                <w:sz w:val="20"/>
                <w:szCs w:val="20"/>
                <w14:ligatures w14:val="none"/>
              </w:rPr>
            </w:pPr>
            <w:r w:rsidRPr="00B47A14">
              <w:rPr>
                <w:rFonts w:eastAsia="Times New Roman" w:cs="Times New Roman"/>
                <w:b/>
                <w:bCs/>
                <w:color w:val="000000"/>
                <w:kern w:val="0"/>
                <w:sz w:val="20"/>
                <w:szCs w:val="20"/>
                <w14:ligatures w14:val="none"/>
              </w:rPr>
              <w:t xml:space="preserve">Transportation Characteristics </w:t>
            </w:r>
          </w:p>
        </w:tc>
        <w:tc>
          <w:tcPr>
            <w:tcW w:w="622" w:type="dxa"/>
            <w:tcBorders>
              <w:top w:val="nil"/>
              <w:left w:val="single" w:sz="12" w:space="0" w:color="auto"/>
              <w:bottom w:val="nil"/>
              <w:right w:val="nil"/>
            </w:tcBorders>
            <w:shd w:val="clear" w:color="000000" w:fill="FFFFFF"/>
            <w:noWrap/>
            <w:hideMark/>
          </w:tcPr>
          <w:p w14:paraId="59CC8AE8"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548" w:type="dxa"/>
            <w:tcBorders>
              <w:top w:val="nil"/>
              <w:left w:val="nil"/>
              <w:bottom w:val="nil"/>
              <w:right w:val="single" w:sz="4" w:space="0" w:color="auto"/>
            </w:tcBorders>
            <w:shd w:val="clear" w:color="000000" w:fill="FFFFFF"/>
            <w:noWrap/>
            <w:hideMark/>
          </w:tcPr>
          <w:p w14:paraId="16F9D0FB"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08D2F9D7"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550" w:type="dxa"/>
            <w:tcBorders>
              <w:top w:val="nil"/>
              <w:left w:val="nil"/>
              <w:bottom w:val="nil"/>
              <w:right w:val="single" w:sz="4" w:space="0" w:color="auto"/>
            </w:tcBorders>
            <w:shd w:val="clear" w:color="000000" w:fill="FFFFFF"/>
            <w:noWrap/>
            <w:hideMark/>
          </w:tcPr>
          <w:p w14:paraId="20C7599D"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1AC5B1D5"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548" w:type="dxa"/>
            <w:tcBorders>
              <w:top w:val="nil"/>
              <w:left w:val="nil"/>
              <w:bottom w:val="nil"/>
              <w:right w:val="single" w:sz="4" w:space="0" w:color="auto"/>
            </w:tcBorders>
            <w:shd w:val="clear" w:color="000000" w:fill="FFFFFF"/>
            <w:noWrap/>
            <w:hideMark/>
          </w:tcPr>
          <w:p w14:paraId="2D43EB08"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219C63A8"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545" w:type="dxa"/>
            <w:tcBorders>
              <w:top w:val="nil"/>
              <w:left w:val="nil"/>
              <w:bottom w:val="nil"/>
              <w:right w:val="single" w:sz="4" w:space="0" w:color="auto"/>
            </w:tcBorders>
            <w:shd w:val="clear" w:color="000000" w:fill="FFFFFF"/>
            <w:noWrap/>
            <w:hideMark/>
          </w:tcPr>
          <w:p w14:paraId="07A7DE08"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4DFD7CA6"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541" w:type="dxa"/>
            <w:tcBorders>
              <w:top w:val="nil"/>
              <w:left w:val="nil"/>
              <w:bottom w:val="nil"/>
              <w:right w:val="single" w:sz="4" w:space="0" w:color="auto"/>
            </w:tcBorders>
            <w:shd w:val="clear" w:color="000000" w:fill="FFFFFF"/>
            <w:noWrap/>
            <w:hideMark/>
          </w:tcPr>
          <w:p w14:paraId="10A3B86F"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73E742C7"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621" w:type="dxa"/>
            <w:tcBorders>
              <w:top w:val="nil"/>
              <w:left w:val="nil"/>
              <w:bottom w:val="nil"/>
              <w:right w:val="single" w:sz="4" w:space="0" w:color="auto"/>
            </w:tcBorders>
            <w:shd w:val="clear" w:color="000000" w:fill="FFFFFF"/>
            <w:noWrap/>
            <w:hideMark/>
          </w:tcPr>
          <w:p w14:paraId="09F9BEF0"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624" w:type="dxa"/>
            <w:tcBorders>
              <w:top w:val="nil"/>
              <w:left w:val="nil"/>
              <w:bottom w:val="nil"/>
              <w:right w:val="nil"/>
            </w:tcBorders>
            <w:shd w:val="clear" w:color="000000" w:fill="FFFFFF"/>
            <w:noWrap/>
            <w:hideMark/>
          </w:tcPr>
          <w:p w14:paraId="4D1EAD5E"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633" w:type="dxa"/>
            <w:tcBorders>
              <w:top w:val="nil"/>
              <w:left w:val="nil"/>
              <w:bottom w:val="nil"/>
              <w:right w:val="single" w:sz="4" w:space="0" w:color="auto"/>
            </w:tcBorders>
            <w:shd w:val="clear" w:color="000000" w:fill="FFFFFF"/>
            <w:noWrap/>
            <w:hideMark/>
          </w:tcPr>
          <w:p w14:paraId="2CEDC11F"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694" w:type="dxa"/>
            <w:tcBorders>
              <w:top w:val="nil"/>
              <w:left w:val="nil"/>
              <w:bottom w:val="nil"/>
              <w:right w:val="nil"/>
            </w:tcBorders>
            <w:shd w:val="clear" w:color="000000" w:fill="FFFFFF"/>
            <w:noWrap/>
            <w:hideMark/>
          </w:tcPr>
          <w:p w14:paraId="38169129"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566" w:type="dxa"/>
            <w:tcBorders>
              <w:top w:val="nil"/>
              <w:left w:val="nil"/>
              <w:bottom w:val="nil"/>
              <w:right w:val="single" w:sz="4" w:space="0" w:color="auto"/>
            </w:tcBorders>
            <w:shd w:val="clear" w:color="000000" w:fill="FFFFFF"/>
            <w:noWrap/>
            <w:hideMark/>
          </w:tcPr>
          <w:p w14:paraId="54CBB5FF"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2611EB41"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491" w:type="dxa"/>
            <w:tcBorders>
              <w:top w:val="nil"/>
              <w:left w:val="nil"/>
              <w:bottom w:val="nil"/>
              <w:right w:val="single" w:sz="12" w:space="0" w:color="auto"/>
            </w:tcBorders>
            <w:shd w:val="clear" w:color="000000" w:fill="FFFFFF"/>
            <w:noWrap/>
            <w:hideMark/>
          </w:tcPr>
          <w:p w14:paraId="187ADA82"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r>
      <w:tr w:rsidR="00304309" w:rsidRPr="00B47A14" w14:paraId="7C89306C" w14:textId="77777777" w:rsidTr="004C3CE3">
        <w:trPr>
          <w:gridAfter w:val="1"/>
          <w:wAfter w:w="7" w:type="dxa"/>
          <w:trHeight w:val="20"/>
          <w:jc w:val="center"/>
        </w:trPr>
        <w:tc>
          <w:tcPr>
            <w:tcW w:w="3590" w:type="dxa"/>
            <w:tcBorders>
              <w:top w:val="nil"/>
              <w:left w:val="single" w:sz="12" w:space="0" w:color="auto"/>
              <w:bottom w:val="nil"/>
              <w:right w:val="single" w:sz="12" w:space="0" w:color="auto"/>
            </w:tcBorders>
            <w:shd w:val="clear" w:color="000000" w:fill="FFFFFF"/>
            <w:noWrap/>
            <w:vAlign w:val="bottom"/>
            <w:hideMark/>
          </w:tcPr>
          <w:p w14:paraId="4E4768BC" w14:textId="77777777" w:rsidR="00304309" w:rsidRPr="00B47A14" w:rsidRDefault="00304309" w:rsidP="0030543A">
            <w:pPr>
              <w:spacing w:after="0" w:line="240" w:lineRule="auto"/>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Number of household vehicles (none)</w:t>
            </w:r>
          </w:p>
        </w:tc>
        <w:tc>
          <w:tcPr>
            <w:tcW w:w="622" w:type="dxa"/>
            <w:tcBorders>
              <w:top w:val="nil"/>
              <w:left w:val="single" w:sz="12" w:space="0" w:color="auto"/>
              <w:bottom w:val="nil"/>
              <w:right w:val="nil"/>
            </w:tcBorders>
            <w:shd w:val="clear" w:color="000000" w:fill="FFFFFF"/>
            <w:noWrap/>
            <w:hideMark/>
          </w:tcPr>
          <w:p w14:paraId="2489D03C"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548" w:type="dxa"/>
            <w:tcBorders>
              <w:top w:val="nil"/>
              <w:left w:val="nil"/>
              <w:bottom w:val="nil"/>
              <w:right w:val="single" w:sz="4" w:space="0" w:color="auto"/>
            </w:tcBorders>
            <w:shd w:val="clear" w:color="000000" w:fill="FFFFFF"/>
            <w:noWrap/>
            <w:hideMark/>
          </w:tcPr>
          <w:p w14:paraId="560662C4"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4E07D24B"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550" w:type="dxa"/>
            <w:tcBorders>
              <w:top w:val="nil"/>
              <w:left w:val="nil"/>
              <w:bottom w:val="nil"/>
              <w:right w:val="single" w:sz="4" w:space="0" w:color="auto"/>
            </w:tcBorders>
            <w:shd w:val="clear" w:color="000000" w:fill="FFFFFF"/>
            <w:noWrap/>
            <w:hideMark/>
          </w:tcPr>
          <w:p w14:paraId="1D1B5FF7"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3E3D3C9B"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548" w:type="dxa"/>
            <w:tcBorders>
              <w:top w:val="nil"/>
              <w:left w:val="nil"/>
              <w:bottom w:val="nil"/>
              <w:right w:val="single" w:sz="4" w:space="0" w:color="auto"/>
            </w:tcBorders>
            <w:shd w:val="clear" w:color="000000" w:fill="FFFFFF"/>
            <w:noWrap/>
            <w:hideMark/>
          </w:tcPr>
          <w:p w14:paraId="4E4AD0C9"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27389DFD"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545" w:type="dxa"/>
            <w:tcBorders>
              <w:top w:val="nil"/>
              <w:left w:val="nil"/>
              <w:bottom w:val="nil"/>
              <w:right w:val="single" w:sz="4" w:space="0" w:color="auto"/>
            </w:tcBorders>
            <w:shd w:val="clear" w:color="000000" w:fill="FFFFFF"/>
            <w:noWrap/>
            <w:hideMark/>
          </w:tcPr>
          <w:p w14:paraId="4211CD20"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3FF712C7"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541" w:type="dxa"/>
            <w:tcBorders>
              <w:top w:val="nil"/>
              <w:left w:val="nil"/>
              <w:bottom w:val="nil"/>
              <w:right w:val="single" w:sz="4" w:space="0" w:color="auto"/>
            </w:tcBorders>
            <w:shd w:val="clear" w:color="000000" w:fill="FFFFFF"/>
            <w:noWrap/>
            <w:hideMark/>
          </w:tcPr>
          <w:p w14:paraId="04982115"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5B39CC5D"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621" w:type="dxa"/>
            <w:tcBorders>
              <w:top w:val="nil"/>
              <w:left w:val="nil"/>
              <w:bottom w:val="nil"/>
              <w:right w:val="single" w:sz="4" w:space="0" w:color="auto"/>
            </w:tcBorders>
            <w:shd w:val="clear" w:color="000000" w:fill="FFFFFF"/>
            <w:noWrap/>
            <w:hideMark/>
          </w:tcPr>
          <w:p w14:paraId="5361EC4B"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624" w:type="dxa"/>
            <w:tcBorders>
              <w:top w:val="nil"/>
              <w:left w:val="nil"/>
              <w:bottom w:val="nil"/>
              <w:right w:val="nil"/>
            </w:tcBorders>
            <w:shd w:val="clear" w:color="000000" w:fill="FFFFFF"/>
            <w:noWrap/>
            <w:hideMark/>
          </w:tcPr>
          <w:p w14:paraId="6EB2D149"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633" w:type="dxa"/>
            <w:tcBorders>
              <w:top w:val="nil"/>
              <w:left w:val="nil"/>
              <w:bottom w:val="nil"/>
              <w:right w:val="single" w:sz="4" w:space="0" w:color="auto"/>
            </w:tcBorders>
            <w:shd w:val="clear" w:color="000000" w:fill="FFFFFF"/>
            <w:noWrap/>
            <w:hideMark/>
          </w:tcPr>
          <w:p w14:paraId="5D13C7C4"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694" w:type="dxa"/>
            <w:tcBorders>
              <w:top w:val="nil"/>
              <w:left w:val="nil"/>
              <w:bottom w:val="nil"/>
              <w:right w:val="nil"/>
            </w:tcBorders>
            <w:shd w:val="clear" w:color="000000" w:fill="FFFFFF"/>
            <w:noWrap/>
            <w:hideMark/>
          </w:tcPr>
          <w:p w14:paraId="5AE399EB"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566" w:type="dxa"/>
            <w:tcBorders>
              <w:top w:val="nil"/>
              <w:left w:val="nil"/>
              <w:bottom w:val="nil"/>
              <w:right w:val="single" w:sz="4" w:space="0" w:color="auto"/>
            </w:tcBorders>
            <w:shd w:val="clear" w:color="000000" w:fill="FFFFFF"/>
            <w:noWrap/>
            <w:hideMark/>
          </w:tcPr>
          <w:p w14:paraId="6894C5E7"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2E792096"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c>
          <w:tcPr>
            <w:tcW w:w="491" w:type="dxa"/>
            <w:tcBorders>
              <w:top w:val="nil"/>
              <w:left w:val="nil"/>
              <w:bottom w:val="nil"/>
              <w:right w:val="single" w:sz="12" w:space="0" w:color="auto"/>
            </w:tcBorders>
            <w:shd w:val="clear" w:color="000000" w:fill="FFFFFF"/>
            <w:noWrap/>
            <w:hideMark/>
          </w:tcPr>
          <w:p w14:paraId="77E3E305" w14:textId="77777777" w:rsidR="00304309" w:rsidRPr="00B47A14" w:rsidRDefault="00304309" w:rsidP="0030543A">
            <w:pPr>
              <w:spacing w:after="0" w:line="240" w:lineRule="auto"/>
              <w:jc w:val="right"/>
              <w:rPr>
                <w:rFonts w:eastAsia="Times New Roman" w:cs="Times New Roman"/>
                <w:color w:val="000000"/>
                <w:kern w:val="0"/>
                <w:sz w:val="20"/>
                <w:szCs w:val="20"/>
                <w14:ligatures w14:val="none"/>
              </w:rPr>
            </w:pPr>
          </w:p>
        </w:tc>
      </w:tr>
      <w:tr w:rsidR="002A2923" w:rsidRPr="00B47A14" w14:paraId="348E0197" w14:textId="77777777" w:rsidTr="004C3CE3">
        <w:trPr>
          <w:gridAfter w:val="1"/>
          <w:wAfter w:w="7" w:type="dxa"/>
          <w:trHeight w:val="20"/>
          <w:jc w:val="center"/>
        </w:trPr>
        <w:tc>
          <w:tcPr>
            <w:tcW w:w="3590" w:type="dxa"/>
            <w:tcBorders>
              <w:top w:val="nil"/>
              <w:left w:val="single" w:sz="12" w:space="0" w:color="auto"/>
              <w:bottom w:val="nil"/>
              <w:right w:val="single" w:sz="12" w:space="0" w:color="auto"/>
            </w:tcBorders>
            <w:shd w:val="clear" w:color="000000" w:fill="FFFFFF"/>
            <w:noWrap/>
            <w:vAlign w:val="bottom"/>
            <w:hideMark/>
          </w:tcPr>
          <w:p w14:paraId="361397F2" w14:textId="77777777" w:rsidR="002A2923" w:rsidRPr="00B47A14" w:rsidRDefault="002A2923" w:rsidP="002A2923">
            <w:pPr>
              <w:spacing w:after="0" w:line="240" w:lineRule="auto"/>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 xml:space="preserve">       1 vehicle</w:t>
            </w:r>
          </w:p>
        </w:tc>
        <w:tc>
          <w:tcPr>
            <w:tcW w:w="622" w:type="dxa"/>
            <w:tcBorders>
              <w:top w:val="nil"/>
              <w:left w:val="single" w:sz="12" w:space="0" w:color="auto"/>
              <w:bottom w:val="nil"/>
              <w:right w:val="nil"/>
            </w:tcBorders>
            <w:shd w:val="clear" w:color="000000" w:fill="FFFFFF"/>
            <w:noWrap/>
            <w:hideMark/>
          </w:tcPr>
          <w:p w14:paraId="28B8EA5E" w14:textId="77777777" w:rsidR="002A2923" w:rsidRPr="00B47A14" w:rsidRDefault="002A2923" w:rsidP="002A2923">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48" w:type="dxa"/>
            <w:tcBorders>
              <w:top w:val="nil"/>
              <w:left w:val="nil"/>
              <w:bottom w:val="nil"/>
              <w:right w:val="single" w:sz="4" w:space="0" w:color="auto"/>
            </w:tcBorders>
            <w:shd w:val="clear" w:color="000000" w:fill="FFFFFF"/>
            <w:noWrap/>
            <w:hideMark/>
          </w:tcPr>
          <w:p w14:paraId="5903EE9D" w14:textId="77777777" w:rsidR="002A2923" w:rsidRPr="00B47A14" w:rsidRDefault="002A2923" w:rsidP="002A2923">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06E5EE68" w14:textId="77777777" w:rsidR="002A2923" w:rsidRPr="00B47A14" w:rsidRDefault="002A2923" w:rsidP="002A2923">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50" w:type="dxa"/>
            <w:tcBorders>
              <w:top w:val="nil"/>
              <w:left w:val="nil"/>
              <w:bottom w:val="nil"/>
              <w:right w:val="single" w:sz="4" w:space="0" w:color="auto"/>
            </w:tcBorders>
            <w:shd w:val="clear" w:color="000000" w:fill="FFFFFF"/>
            <w:noWrap/>
            <w:hideMark/>
          </w:tcPr>
          <w:p w14:paraId="3DF7B870" w14:textId="77777777" w:rsidR="002A2923" w:rsidRPr="00B47A14" w:rsidRDefault="002A2923" w:rsidP="002A2923">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636B846A" w14:textId="77777777" w:rsidR="002A2923" w:rsidRPr="00B47A14" w:rsidRDefault="002A2923" w:rsidP="002A2923">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48" w:type="dxa"/>
            <w:tcBorders>
              <w:top w:val="nil"/>
              <w:left w:val="nil"/>
              <w:bottom w:val="nil"/>
              <w:right w:val="single" w:sz="4" w:space="0" w:color="auto"/>
            </w:tcBorders>
            <w:shd w:val="clear" w:color="000000" w:fill="FFFFFF"/>
            <w:noWrap/>
            <w:hideMark/>
          </w:tcPr>
          <w:p w14:paraId="2EC3CDA5" w14:textId="77777777" w:rsidR="002A2923" w:rsidRPr="00B47A14" w:rsidRDefault="002A2923" w:rsidP="002A2923">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vAlign w:val="bottom"/>
            <w:hideMark/>
          </w:tcPr>
          <w:p w14:paraId="28B50570" w14:textId="23A29C6F" w:rsidR="002A2923" w:rsidRPr="00B47A14" w:rsidRDefault="002A2923" w:rsidP="002A2923">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0.19</w:t>
            </w:r>
          </w:p>
        </w:tc>
        <w:tc>
          <w:tcPr>
            <w:tcW w:w="545" w:type="dxa"/>
            <w:tcBorders>
              <w:top w:val="nil"/>
              <w:left w:val="nil"/>
              <w:bottom w:val="nil"/>
              <w:right w:val="single" w:sz="4" w:space="0" w:color="auto"/>
            </w:tcBorders>
            <w:shd w:val="clear" w:color="000000" w:fill="FFFFFF"/>
            <w:noWrap/>
            <w:vAlign w:val="bottom"/>
            <w:hideMark/>
          </w:tcPr>
          <w:p w14:paraId="439E7301" w14:textId="3D802DAB" w:rsidR="002A2923" w:rsidRPr="00B47A14" w:rsidRDefault="002A2923" w:rsidP="002A2923">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2.56</w:t>
            </w:r>
          </w:p>
        </w:tc>
        <w:tc>
          <w:tcPr>
            <w:tcW w:w="622" w:type="dxa"/>
            <w:tcBorders>
              <w:top w:val="nil"/>
              <w:left w:val="nil"/>
              <w:bottom w:val="nil"/>
              <w:right w:val="nil"/>
            </w:tcBorders>
            <w:shd w:val="clear" w:color="000000" w:fill="FFFFFF"/>
            <w:noWrap/>
            <w:hideMark/>
          </w:tcPr>
          <w:p w14:paraId="30AEB49F" w14:textId="194FF035" w:rsidR="002A2923" w:rsidRPr="00B47A14" w:rsidRDefault="002A2923" w:rsidP="002A2923">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41" w:type="dxa"/>
            <w:tcBorders>
              <w:top w:val="nil"/>
              <w:left w:val="nil"/>
              <w:bottom w:val="nil"/>
              <w:right w:val="single" w:sz="4" w:space="0" w:color="auto"/>
            </w:tcBorders>
            <w:shd w:val="clear" w:color="000000" w:fill="FFFFFF"/>
            <w:noWrap/>
            <w:hideMark/>
          </w:tcPr>
          <w:p w14:paraId="395407A3" w14:textId="2ABED807" w:rsidR="002A2923" w:rsidRPr="00B47A14" w:rsidRDefault="002A2923" w:rsidP="002A2923">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67B5C3D1" w14:textId="77777777" w:rsidR="002A2923" w:rsidRPr="00B47A14" w:rsidRDefault="002A2923" w:rsidP="002A2923">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621" w:type="dxa"/>
            <w:tcBorders>
              <w:top w:val="nil"/>
              <w:left w:val="nil"/>
              <w:bottom w:val="nil"/>
              <w:right w:val="single" w:sz="4" w:space="0" w:color="auto"/>
            </w:tcBorders>
            <w:shd w:val="clear" w:color="000000" w:fill="FFFFFF"/>
            <w:noWrap/>
            <w:hideMark/>
          </w:tcPr>
          <w:p w14:paraId="43260D54" w14:textId="77777777" w:rsidR="002A2923" w:rsidRPr="00B47A14" w:rsidRDefault="002A2923" w:rsidP="002A2923">
            <w:pPr>
              <w:spacing w:after="0" w:line="240" w:lineRule="auto"/>
              <w:jc w:val="right"/>
              <w:rPr>
                <w:rFonts w:eastAsia="Times New Roman" w:cs="Times New Roman"/>
                <w:color w:val="000000"/>
                <w:kern w:val="0"/>
                <w:sz w:val="20"/>
                <w:szCs w:val="20"/>
                <w14:ligatures w14:val="none"/>
              </w:rPr>
            </w:pPr>
          </w:p>
        </w:tc>
        <w:tc>
          <w:tcPr>
            <w:tcW w:w="624" w:type="dxa"/>
            <w:tcBorders>
              <w:top w:val="nil"/>
              <w:left w:val="nil"/>
              <w:bottom w:val="nil"/>
              <w:right w:val="nil"/>
            </w:tcBorders>
            <w:shd w:val="clear" w:color="000000" w:fill="FFFFFF"/>
            <w:noWrap/>
            <w:vAlign w:val="bottom"/>
            <w:hideMark/>
          </w:tcPr>
          <w:p w14:paraId="25DA38A4" w14:textId="4401788C" w:rsidR="002A2923" w:rsidRPr="00B47A14" w:rsidRDefault="002A2923" w:rsidP="002A2923">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-1.51</w:t>
            </w:r>
          </w:p>
        </w:tc>
        <w:tc>
          <w:tcPr>
            <w:tcW w:w="633" w:type="dxa"/>
            <w:tcBorders>
              <w:top w:val="nil"/>
              <w:left w:val="nil"/>
              <w:bottom w:val="nil"/>
              <w:right w:val="single" w:sz="4" w:space="0" w:color="auto"/>
            </w:tcBorders>
            <w:shd w:val="clear" w:color="000000" w:fill="FFFFFF"/>
            <w:noWrap/>
            <w:vAlign w:val="bottom"/>
            <w:hideMark/>
          </w:tcPr>
          <w:p w14:paraId="3FBBBF59" w14:textId="7DB48BB0" w:rsidR="002A2923" w:rsidRPr="00B47A14" w:rsidRDefault="002A2923" w:rsidP="002A2923">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-1.79</w:t>
            </w:r>
          </w:p>
        </w:tc>
        <w:tc>
          <w:tcPr>
            <w:tcW w:w="694" w:type="dxa"/>
            <w:tcBorders>
              <w:top w:val="nil"/>
              <w:left w:val="nil"/>
              <w:bottom w:val="nil"/>
              <w:right w:val="nil"/>
            </w:tcBorders>
            <w:shd w:val="clear" w:color="000000" w:fill="FFFFFF"/>
            <w:noWrap/>
            <w:vAlign w:val="bottom"/>
            <w:hideMark/>
          </w:tcPr>
          <w:p w14:paraId="20A89605" w14:textId="5049AD0C" w:rsidR="002A2923" w:rsidRPr="00B47A14" w:rsidRDefault="002A2923" w:rsidP="002A2923">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-0.83</w:t>
            </w:r>
          </w:p>
        </w:tc>
        <w:tc>
          <w:tcPr>
            <w:tcW w:w="566" w:type="dxa"/>
            <w:tcBorders>
              <w:top w:val="nil"/>
              <w:left w:val="nil"/>
              <w:bottom w:val="nil"/>
              <w:right w:val="single" w:sz="4" w:space="0" w:color="auto"/>
            </w:tcBorders>
            <w:shd w:val="clear" w:color="000000" w:fill="FFFFFF"/>
            <w:noWrap/>
            <w:vAlign w:val="bottom"/>
            <w:hideMark/>
          </w:tcPr>
          <w:p w14:paraId="7E900BBD" w14:textId="1F968271" w:rsidR="002A2923" w:rsidRPr="00B47A14" w:rsidRDefault="002A2923" w:rsidP="002A2923">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-1.51</w:t>
            </w:r>
          </w:p>
        </w:tc>
        <w:tc>
          <w:tcPr>
            <w:tcW w:w="622" w:type="dxa"/>
            <w:tcBorders>
              <w:top w:val="nil"/>
              <w:left w:val="nil"/>
              <w:bottom w:val="nil"/>
              <w:right w:val="nil"/>
            </w:tcBorders>
            <w:shd w:val="clear" w:color="000000" w:fill="FFFFFF"/>
            <w:noWrap/>
            <w:hideMark/>
          </w:tcPr>
          <w:p w14:paraId="771F4E43" w14:textId="77777777" w:rsidR="002A2923" w:rsidRPr="00B47A14" w:rsidRDefault="002A2923" w:rsidP="002A2923">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491" w:type="dxa"/>
            <w:tcBorders>
              <w:top w:val="nil"/>
              <w:left w:val="nil"/>
              <w:bottom w:val="nil"/>
              <w:right w:val="single" w:sz="12" w:space="0" w:color="auto"/>
            </w:tcBorders>
            <w:shd w:val="clear" w:color="000000" w:fill="FFFFFF"/>
            <w:noWrap/>
            <w:hideMark/>
          </w:tcPr>
          <w:p w14:paraId="070A633E" w14:textId="77777777" w:rsidR="002A2923" w:rsidRPr="00B47A14" w:rsidRDefault="002A2923" w:rsidP="002A2923">
            <w:pPr>
              <w:spacing w:after="0" w:line="240" w:lineRule="auto"/>
              <w:jc w:val="right"/>
              <w:rPr>
                <w:rFonts w:eastAsia="Times New Roman" w:cs="Times New Roman"/>
                <w:color w:val="000000"/>
                <w:kern w:val="0"/>
                <w:sz w:val="20"/>
                <w:szCs w:val="20"/>
                <w14:ligatures w14:val="none"/>
              </w:rPr>
            </w:pPr>
          </w:p>
        </w:tc>
      </w:tr>
      <w:tr w:rsidR="00800D9B" w:rsidRPr="00B47A14" w14:paraId="466A89EC" w14:textId="77777777" w:rsidTr="004C3CE3">
        <w:trPr>
          <w:gridAfter w:val="1"/>
          <w:wAfter w:w="7" w:type="dxa"/>
          <w:trHeight w:val="20"/>
          <w:jc w:val="center"/>
        </w:trPr>
        <w:tc>
          <w:tcPr>
            <w:tcW w:w="3590" w:type="dxa"/>
            <w:tcBorders>
              <w:top w:val="nil"/>
              <w:left w:val="single" w:sz="12" w:space="0" w:color="auto"/>
              <w:bottom w:val="nil"/>
              <w:right w:val="single" w:sz="12" w:space="0" w:color="auto"/>
            </w:tcBorders>
            <w:shd w:val="clear" w:color="000000" w:fill="FFFFFF"/>
            <w:noWrap/>
            <w:vAlign w:val="bottom"/>
            <w:hideMark/>
          </w:tcPr>
          <w:p w14:paraId="7B74ACA9" w14:textId="77777777" w:rsidR="00800D9B" w:rsidRPr="00B47A14" w:rsidRDefault="00800D9B" w:rsidP="00800D9B">
            <w:pPr>
              <w:spacing w:after="0" w:line="240" w:lineRule="auto"/>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 xml:space="preserve">       2 vehicles </w:t>
            </w:r>
          </w:p>
        </w:tc>
        <w:tc>
          <w:tcPr>
            <w:tcW w:w="622" w:type="dxa"/>
            <w:tcBorders>
              <w:top w:val="nil"/>
              <w:left w:val="single" w:sz="12" w:space="0" w:color="auto"/>
              <w:bottom w:val="nil"/>
              <w:right w:val="nil"/>
            </w:tcBorders>
            <w:shd w:val="clear" w:color="000000" w:fill="FFFFFF"/>
            <w:noWrap/>
            <w:hideMark/>
          </w:tcPr>
          <w:p w14:paraId="4610B9CB" w14:textId="77777777" w:rsidR="00800D9B" w:rsidRPr="00B47A14" w:rsidRDefault="00800D9B" w:rsidP="00800D9B">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48" w:type="dxa"/>
            <w:tcBorders>
              <w:top w:val="nil"/>
              <w:left w:val="nil"/>
              <w:bottom w:val="nil"/>
              <w:right w:val="single" w:sz="4" w:space="0" w:color="auto"/>
            </w:tcBorders>
            <w:shd w:val="clear" w:color="000000" w:fill="FFFFFF"/>
            <w:noWrap/>
            <w:hideMark/>
          </w:tcPr>
          <w:p w14:paraId="0AB477E4" w14:textId="77777777" w:rsidR="00800D9B" w:rsidRPr="00B47A14" w:rsidRDefault="00800D9B" w:rsidP="00800D9B">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486822D2" w14:textId="77777777" w:rsidR="00800D9B" w:rsidRPr="00B47A14" w:rsidRDefault="00800D9B" w:rsidP="00800D9B">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50" w:type="dxa"/>
            <w:tcBorders>
              <w:top w:val="nil"/>
              <w:left w:val="nil"/>
              <w:bottom w:val="nil"/>
              <w:right w:val="single" w:sz="4" w:space="0" w:color="auto"/>
            </w:tcBorders>
            <w:shd w:val="clear" w:color="000000" w:fill="FFFFFF"/>
            <w:noWrap/>
            <w:hideMark/>
          </w:tcPr>
          <w:p w14:paraId="5E0CA695" w14:textId="77777777" w:rsidR="00800D9B" w:rsidRPr="00B47A14" w:rsidRDefault="00800D9B" w:rsidP="00800D9B">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hideMark/>
          </w:tcPr>
          <w:p w14:paraId="265F893B" w14:textId="77777777" w:rsidR="00800D9B" w:rsidRPr="00B47A14" w:rsidRDefault="00800D9B" w:rsidP="00800D9B">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48" w:type="dxa"/>
            <w:tcBorders>
              <w:top w:val="nil"/>
              <w:left w:val="nil"/>
              <w:bottom w:val="nil"/>
              <w:right w:val="single" w:sz="4" w:space="0" w:color="auto"/>
            </w:tcBorders>
            <w:shd w:val="clear" w:color="000000" w:fill="FFFFFF"/>
            <w:noWrap/>
            <w:hideMark/>
          </w:tcPr>
          <w:p w14:paraId="3A2073E0" w14:textId="77777777" w:rsidR="00800D9B" w:rsidRPr="00B47A14" w:rsidRDefault="00800D9B" w:rsidP="00800D9B">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vAlign w:val="bottom"/>
            <w:hideMark/>
          </w:tcPr>
          <w:p w14:paraId="0A0A313E" w14:textId="564A7E9C" w:rsidR="00800D9B" w:rsidRPr="00B47A14" w:rsidRDefault="00800D9B" w:rsidP="00800D9B">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0.36</w:t>
            </w:r>
          </w:p>
        </w:tc>
        <w:tc>
          <w:tcPr>
            <w:tcW w:w="545" w:type="dxa"/>
            <w:tcBorders>
              <w:top w:val="nil"/>
              <w:left w:val="nil"/>
              <w:bottom w:val="nil"/>
              <w:right w:val="single" w:sz="4" w:space="0" w:color="auto"/>
            </w:tcBorders>
            <w:shd w:val="clear" w:color="000000" w:fill="FFFFFF"/>
            <w:noWrap/>
            <w:vAlign w:val="bottom"/>
            <w:hideMark/>
          </w:tcPr>
          <w:p w14:paraId="440FDB55" w14:textId="1A99258E" w:rsidR="00800D9B" w:rsidRPr="00B47A14" w:rsidRDefault="00800D9B" w:rsidP="00800D9B">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4.41</w:t>
            </w:r>
          </w:p>
        </w:tc>
        <w:tc>
          <w:tcPr>
            <w:tcW w:w="622" w:type="dxa"/>
            <w:tcBorders>
              <w:top w:val="nil"/>
              <w:left w:val="nil"/>
              <w:bottom w:val="nil"/>
              <w:right w:val="nil"/>
            </w:tcBorders>
            <w:shd w:val="clear" w:color="000000" w:fill="FFFFFF"/>
            <w:noWrap/>
            <w:hideMark/>
          </w:tcPr>
          <w:p w14:paraId="2F5E347B" w14:textId="1AB24FEF" w:rsidR="00800D9B" w:rsidRPr="00B47A14" w:rsidRDefault="00800D9B" w:rsidP="00800D9B">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41" w:type="dxa"/>
            <w:tcBorders>
              <w:top w:val="nil"/>
              <w:left w:val="nil"/>
              <w:bottom w:val="nil"/>
              <w:right w:val="single" w:sz="4" w:space="0" w:color="auto"/>
            </w:tcBorders>
            <w:shd w:val="clear" w:color="000000" w:fill="FFFFFF"/>
            <w:noWrap/>
            <w:hideMark/>
          </w:tcPr>
          <w:p w14:paraId="4C101C0A" w14:textId="45B1557F" w:rsidR="00800D9B" w:rsidRPr="00B47A14" w:rsidRDefault="00800D9B" w:rsidP="00800D9B">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nil"/>
              <w:right w:val="nil"/>
            </w:tcBorders>
            <w:shd w:val="clear" w:color="000000" w:fill="FFFFFF"/>
            <w:noWrap/>
            <w:vAlign w:val="bottom"/>
            <w:hideMark/>
          </w:tcPr>
          <w:p w14:paraId="21107ECE" w14:textId="72531C76" w:rsidR="00800D9B" w:rsidRPr="00B47A14" w:rsidRDefault="00800D9B" w:rsidP="00800D9B">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0.30</w:t>
            </w:r>
          </w:p>
        </w:tc>
        <w:tc>
          <w:tcPr>
            <w:tcW w:w="621" w:type="dxa"/>
            <w:tcBorders>
              <w:top w:val="nil"/>
              <w:left w:val="nil"/>
              <w:bottom w:val="nil"/>
              <w:right w:val="single" w:sz="4" w:space="0" w:color="auto"/>
            </w:tcBorders>
            <w:shd w:val="clear" w:color="000000" w:fill="FFFFFF"/>
            <w:noWrap/>
            <w:vAlign w:val="bottom"/>
            <w:hideMark/>
          </w:tcPr>
          <w:p w14:paraId="10DD7024" w14:textId="0580DA46" w:rsidR="00800D9B" w:rsidRPr="00B47A14" w:rsidRDefault="00800D9B" w:rsidP="00800D9B">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2.00</w:t>
            </w:r>
          </w:p>
        </w:tc>
        <w:tc>
          <w:tcPr>
            <w:tcW w:w="624" w:type="dxa"/>
            <w:tcBorders>
              <w:top w:val="nil"/>
              <w:left w:val="nil"/>
              <w:bottom w:val="nil"/>
              <w:right w:val="nil"/>
            </w:tcBorders>
            <w:shd w:val="clear" w:color="000000" w:fill="FFFFFF"/>
            <w:noWrap/>
            <w:vAlign w:val="bottom"/>
            <w:hideMark/>
          </w:tcPr>
          <w:p w14:paraId="1A23DD9D" w14:textId="0C71AA16" w:rsidR="00800D9B" w:rsidRPr="00B47A14" w:rsidRDefault="00800D9B" w:rsidP="00800D9B">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-1.77</w:t>
            </w:r>
          </w:p>
        </w:tc>
        <w:tc>
          <w:tcPr>
            <w:tcW w:w="633" w:type="dxa"/>
            <w:tcBorders>
              <w:top w:val="nil"/>
              <w:left w:val="nil"/>
              <w:bottom w:val="nil"/>
              <w:right w:val="single" w:sz="4" w:space="0" w:color="auto"/>
            </w:tcBorders>
            <w:shd w:val="clear" w:color="000000" w:fill="FFFFFF"/>
            <w:noWrap/>
            <w:vAlign w:val="bottom"/>
            <w:hideMark/>
          </w:tcPr>
          <w:p w14:paraId="6CF97CEA" w14:textId="564C6178" w:rsidR="00800D9B" w:rsidRPr="00B47A14" w:rsidRDefault="00800D9B" w:rsidP="00800D9B">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-1.83</w:t>
            </w:r>
          </w:p>
        </w:tc>
        <w:tc>
          <w:tcPr>
            <w:tcW w:w="694" w:type="dxa"/>
            <w:tcBorders>
              <w:top w:val="nil"/>
              <w:left w:val="nil"/>
              <w:bottom w:val="nil"/>
              <w:right w:val="nil"/>
            </w:tcBorders>
            <w:shd w:val="clear" w:color="000000" w:fill="FFFFFF"/>
            <w:noWrap/>
            <w:vAlign w:val="bottom"/>
            <w:hideMark/>
          </w:tcPr>
          <w:p w14:paraId="3A3A15A5" w14:textId="02EBC7B1" w:rsidR="00800D9B" w:rsidRPr="00B47A14" w:rsidRDefault="00800D9B" w:rsidP="00800D9B">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-0.93</w:t>
            </w:r>
          </w:p>
        </w:tc>
        <w:tc>
          <w:tcPr>
            <w:tcW w:w="566" w:type="dxa"/>
            <w:tcBorders>
              <w:top w:val="nil"/>
              <w:left w:val="nil"/>
              <w:bottom w:val="nil"/>
              <w:right w:val="single" w:sz="4" w:space="0" w:color="auto"/>
            </w:tcBorders>
            <w:shd w:val="clear" w:color="000000" w:fill="FFFFFF"/>
            <w:noWrap/>
            <w:vAlign w:val="bottom"/>
            <w:hideMark/>
          </w:tcPr>
          <w:p w14:paraId="615D1F80" w14:textId="23297E1B" w:rsidR="00800D9B" w:rsidRPr="00B47A14" w:rsidRDefault="00800D9B" w:rsidP="00800D9B">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-1.55</w:t>
            </w:r>
          </w:p>
        </w:tc>
        <w:tc>
          <w:tcPr>
            <w:tcW w:w="622" w:type="dxa"/>
            <w:tcBorders>
              <w:top w:val="nil"/>
              <w:left w:val="nil"/>
              <w:bottom w:val="nil"/>
              <w:right w:val="nil"/>
            </w:tcBorders>
            <w:shd w:val="clear" w:color="000000" w:fill="FFFFFF"/>
            <w:noWrap/>
            <w:hideMark/>
          </w:tcPr>
          <w:p w14:paraId="4C8E530E" w14:textId="77777777" w:rsidR="00800D9B" w:rsidRPr="00B47A14" w:rsidRDefault="00800D9B" w:rsidP="00800D9B">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491" w:type="dxa"/>
            <w:tcBorders>
              <w:top w:val="nil"/>
              <w:left w:val="nil"/>
              <w:bottom w:val="nil"/>
              <w:right w:val="single" w:sz="12" w:space="0" w:color="auto"/>
            </w:tcBorders>
            <w:shd w:val="clear" w:color="000000" w:fill="FFFFFF"/>
            <w:noWrap/>
            <w:hideMark/>
          </w:tcPr>
          <w:p w14:paraId="0B152CF6" w14:textId="77777777" w:rsidR="00800D9B" w:rsidRPr="00B47A14" w:rsidRDefault="00800D9B" w:rsidP="00800D9B">
            <w:pPr>
              <w:spacing w:after="0" w:line="240" w:lineRule="auto"/>
              <w:jc w:val="right"/>
              <w:rPr>
                <w:rFonts w:eastAsia="Times New Roman" w:cs="Times New Roman"/>
                <w:color w:val="000000"/>
                <w:kern w:val="0"/>
                <w:sz w:val="20"/>
                <w:szCs w:val="20"/>
                <w14:ligatures w14:val="none"/>
              </w:rPr>
            </w:pPr>
          </w:p>
        </w:tc>
      </w:tr>
      <w:tr w:rsidR="00800D9B" w:rsidRPr="00B47A14" w14:paraId="380E2010" w14:textId="77777777" w:rsidTr="004C3CE3">
        <w:trPr>
          <w:gridAfter w:val="1"/>
          <w:wAfter w:w="7" w:type="dxa"/>
          <w:trHeight w:val="20"/>
          <w:jc w:val="center"/>
        </w:trPr>
        <w:tc>
          <w:tcPr>
            <w:tcW w:w="3590" w:type="dxa"/>
            <w:tcBorders>
              <w:top w:val="nil"/>
              <w:left w:val="single" w:sz="12" w:space="0" w:color="auto"/>
              <w:right w:val="single" w:sz="12" w:space="0" w:color="auto"/>
            </w:tcBorders>
            <w:shd w:val="clear" w:color="000000" w:fill="FFFFFF"/>
            <w:noWrap/>
            <w:vAlign w:val="bottom"/>
            <w:hideMark/>
          </w:tcPr>
          <w:p w14:paraId="4506ACB5" w14:textId="77777777" w:rsidR="00800D9B" w:rsidRPr="00B47A14" w:rsidRDefault="00800D9B" w:rsidP="00800D9B">
            <w:pPr>
              <w:spacing w:after="0" w:line="240" w:lineRule="auto"/>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 xml:space="preserve">       3+ vehicles</w:t>
            </w:r>
          </w:p>
        </w:tc>
        <w:tc>
          <w:tcPr>
            <w:tcW w:w="622" w:type="dxa"/>
            <w:tcBorders>
              <w:top w:val="nil"/>
              <w:left w:val="single" w:sz="12" w:space="0" w:color="auto"/>
              <w:right w:val="nil"/>
            </w:tcBorders>
            <w:shd w:val="clear" w:color="000000" w:fill="FFFFFF"/>
            <w:noWrap/>
            <w:hideMark/>
          </w:tcPr>
          <w:p w14:paraId="2C1C85A1" w14:textId="77777777" w:rsidR="00800D9B" w:rsidRPr="00B47A14" w:rsidRDefault="00800D9B" w:rsidP="00800D9B">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48" w:type="dxa"/>
            <w:tcBorders>
              <w:top w:val="nil"/>
              <w:left w:val="nil"/>
              <w:right w:val="single" w:sz="4" w:space="0" w:color="auto"/>
            </w:tcBorders>
            <w:shd w:val="clear" w:color="000000" w:fill="FFFFFF"/>
            <w:noWrap/>
            <w:hideMark/>
          </w:tcPr>
          <w:p w14:paraId="5D3F3E37" w14:textId="77777777" w:rsidR="00800D9B" w:rsidRPr="00B47A14" w:rsidRDefault="00800D9B" w:rsidP="00800D9B">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right w:val="nil"/>
            </w:tcBorders>
            <w:shd w:val="clear" w:color="000000" w:fill="FFFFFF"/>
            <w:noWrap/>
            <w:hideMark/>
          </w:tcPr>
          <w:p w14:paraId="5E429DD1" w14:textId="450BEB53" w:rsidR="00800D9B" w:rsidRPr="00B47A14" w:rsidRDefault="00800D9B" w:rsidP="00800D9B">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50" w:type="dxa"/>
            <w:tcBorders>
              <w:top w:val="nil"/>
              <w:left w:val="nil"/>
              <w:right w:val="single" w:sz="4" w:space="0" w:color="auto"/>
            </w:tcBorders>
            <w:shd w:val="clear" w:color="000000" w:fill="FFFFFF"/>
            <w:noWrap/>
            <w:hideMark/>
          </w:tcPr>
          <w:p w14:paraId="3CAD52F6" w14:textId="754FBBDF" w:rsidR="00800D9B" w:rsidRPr="00B47A14" w:rsidRDefault="00800D9B" w:rsidP="00800D9B">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right w:val="nil"/>
            </w:tcBorders>
            <w:shd w:val="clear" w:color="000000" w:fill="FFFFFF"/>
            <w:noWrap/>
            <w:hideMark/>
          </w:tcPr>
          <w:p w14:paraId="605480C1" w14:textId="77777777" w:rsidR="00800D9B" w:rsidRPr="00B47A14" w:rsidRDefault="00800D9B" w:rsidP="00800D9B">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48" w:type="dxa"/>
            <w:tcBorders>
              <w:top w:val="nil"/>
              <w:left w:val="nil"/>
              <w:right w:val="single" w:sz="4" w:space="0" w:color="auto"/>
            </w:tcBorders>
            <w:shd w:val="clear" w:color="000000" w:fill="FFFFFF"/>
            <w:noWrap/>
            <w:hideMark/>
          </w:tcPr>
          <w:p w14:paraId="24DC60B4" w14:textId="77777777" w:rsidR="00800D9B" w:rsidRPr="00B47A14" w:rsidRDefault="00800D9B" w:rsidP="00800D9B">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right w:val="nil"/>
            </w:tcBorders>
            <w:shd w:val="clear" w:color="000000" w:fill="FFFFFF"/>
            <w:noWrap/>
            <w:vAlign w:val="bottom"/>
            <w:hideMark/>
          </w:tcPr>
          <w:p w14:paraId="3576A525" w14:textId="12ADE2A8" w:rsidR="00800D9B" w:rsidRPr="00B47A14" w:rsidRDefault="00800D9B" w:rsidP="00800D9B">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0.36</w:t>
            </w:r>
          </w:p>
        </w:tc>
        <w:tc>
          <w:tcPr>
            <w:tcW w:w="545" w:type="dxa"/>
            <w:tcBorders>
              <w:top w:val="nil"/>
              <w:left w:val="nil"/>
              <w:right w:val="single" w:sz="4" w:space="0" w:color="auto"/>
            </w:tcBorders>
            <w:shd w:val="clear" w:color="000000" w:fill="FFFFFF"/>
            <w:noWrap/>
            <w:vAlign w:val="bottom"/>
            <w:hideMark/>
          </w:tcPr>
          <w:p w14:paraId="23AA486C" w14:textId="4357612A" w:rsidR="00800D9B" w:rsidRPr="00B47A14" w:rsidRDefault="00800D9B" w:rsidP="00800D9B">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4.41</w:t>
            </w:r>
          </w:p>
        </w:tc>
        <w:tc>
          <w:tcPr>
            <w:tcW w:w="622" w:type="dxa"/>
            <w:tcBorders>
              <w:top w:val="nil"/>
              <w:left w:val="nil"/>
              <w:right w:val="nil"/>
            </w:tcBorders>
            <w:shd w:val="clear" w:color="000000" w:fill="FFFFFF"/>
            <w:noWrap/>
            <w:hideMark/>
          </w:tcPr>
          <w:p w14:paraId="56A911C1" w14:textId="78137B56" w:rsidR="00800D9B" w:rsidRPr="00B47A14" w:rsidRDefault="00800D9B" w:rsidP="00800D9B">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41" w:type="dxa"/>
            <w:tcBorders>
              <w:top w:val="nil"/>
              <w:left w:val="nil"/>
              <w:right w:val="single" w:sz="4" w:space="0" w:color="auto"/>
            </w:tcBorders>
            <w:shd w:val="clear" w:color="000000" w:fill="FFFFFF"/>
            <w:noWrap/>
            <w:hideMark/>
          </w:tcPr>
          <w:p w14:paraId="2F1AEDA2" w14:textId="1E6F8795" w:rsidR="00800D9B" w:rsidRPr="00B47A14" w:rsidRDefault="00800D9B" w:rsidP="00800D9B">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right w:val="nil"/>
            </w:tcBorders>
            <w:shd w:val="clear" w:color="000000" w:fill="FFFFFF"/>
            <w:noWrap/>
            <w:vAlign w:val="bottom"/>
            <w:hideMark/>
          </w:tcPr>
          <w:p w14:paraId="371B357F" w14:textId="4662FFB8" w:rsidR="00800D9B" w:rsidRPr="00B47A14" w:rsidRDefault="00800D9B" w:rsidP="00800D9B">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0.45</w:t>
            </w:r>
          </w:p>
        </w:tc>
        <w:tc>
          <w:tcPr>
            <w:tcW w:w="621" w:type="dxa"/>
            <w:tcBorders>
              <w:top w:val="nil"/>
              <w:left w:val="nil"/>
              <w:right w:val="single" w:sz="4" w:space="0" w:color="auto"/>
            </w:tcBorders>
            <w:shd w:val="clear" w:color="000000" w:fill="FFFFFF"/>
            <w:noWrap/>
            <w:vAlign w:val="bottom"/>
            <w:hideMark/>
          </w:tcPr>
          <w:p w14:paraId="29E01437" w14:textId="13E9DD9A" w:rsidR="00800D9B" w:rsidRPr="00B47A14" w:rsidRDefault="00800D9B" w:rsidP="00800D9B">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1.36</w:t>
            </w:r>
          </w:p>
        </w:tc>
        <w:tc>
          <w:tcPr>
            <w:tcW w:w="624" w:type="dxa"/>
            <w:tcBorders>
              <w:top w:val="nil"/>
              <w:left w:val="nil"/>
              <w:right w:val="nil"/>
            </w:tcBorders>
            <w:shd w:val="clear" w:color="000000" w:fill="FFFFFF"/>
            <w:noWrap/>
            <w:vAlign w:val="bottom"/>
            <w:hideMark/>
          </w:tcPr>
          <w:p w14:paraId="14745BF9" w14:textId="09DD6CEA" w:rsidR="00800D9B" w:rsidRPr="00B47A14" w:rsidRDefault="00800D9B" w:rsidP="00800D9B">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-1.97</w:t>
            </w:r>
          </w:p>
        </w:tc>
        <w:tc>
          <w:tcPr>
            <w:tcW w:w="633" w:type="dxa"/>
            <w:tcBorders>
              <w:top w:val="nil"/>
              <w:left w:val="nil"/>
              <w:right w:val="single" w:sz="4" w:space="0" w:color="auto"/>
            </w:tcBorders>
            <w:shd w:val="clear" w:color="000000" w:fill="FFFFFF"/>
            <w:noWrap/>
            <w:vAlign w:val="bottom"/>
            <w:hideMark/>
          </w:tcPr>
          <w:p w14:paraId="4EF918B4" w14:textId="5F5DD8C0" w:rsidR="00800D9B" w:rsidRPr="00B47A14" w:rsidRDefault="00800D9B" w:rsidP="00800D9B">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-1.81</w:t>
            </w:r>
          </w:p>
        </w:tc>
        <w:tc>
          <w:tcPr>
            <w:tcW w:w="694" w:type="dxa"/>
            <w:tcBorders>
              <w:top w:val="nil"/>
              <w:left w:val="nil"/>
              <w:right w:val="nil"/>
            </w:tcBorders>
            <w:shd w:val="clear" w:color="000000" w:fill="FFFFFF"/>
            <w:noWrap/>
            <w:vAlign w:val="bottom"/>
            <w:hideMark/>
          </w:tcPr>
          <w:p w14:paraId="4535828A" w14:textId="2CB96C57" w:rsidR="00800D9B" w:rsidRPr="00B47A14" w:rsidRDefault="00800D9B" w:rsidP="00800D9B">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-0.93</w:t>
            </w:r>
          </w:p>
        </w:tc>
        <w:tc>
          <w:tcPr>
            <w:tcW w:w="566" w:type="dxa"/>
            <w:tcBorders>
              <w:top w:val="nil"/>
              <w:left w:val="nil"/>
              <w:right w:val="single" w:sz="4" w:space="0" w:color="auto"/>
            </w:tcBorders>
            <w:shd w:val="clear" w:color="000000" w:fill="FFFFFF"/>
            <w:noWrap/>
            <w:vAlign w:val="bottom"/>
            <w:hideMark/>
          </w:tcPr>
          <w:p w14:paraId="30DDB71C" w14:textId="5D7B78C5" w:rsidR="00800D9B" w:rsidRPr="00B47A14" w:rsidRDefault="00800D9B" w:rsidP="00800D9B">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-1.55</w:t>
            </w:r>
          </w:p>
        </w:tc>
        <w:tc>
          <w:tcPr>
            <w:tcW w:w="622" w:type="dxa"/>
            <w:tcBorders>
              <w:top w:val="nil"/>
              <w:left w:val="nil"/>
              <w:right w:val="nil"/>
            </w:tcBorders>
            <w:shd w:val="clear" w:color="000000" w:fill="FFFFFF"/>
            <w:noWrap/>
            <w:hideMark/>
          </w:tcPr>
          <w:p w14:paraId="44C671E2" w14:textId="77777777" w:rsidR="00800D9B" w:rsidRPr="00B47A14" w:rsidRDefault="00800D9B" w:rsidP="00800D9B">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491" w:type="dxa"/>
            <w:tcBorders>
              <w:top w:val="nil"/>
              <w:left w:val="nil"/>
              <w:right w:val="single" w:sz="12" w:space="0" w:color="auto"/>
            </w:tcBorders>
            <w:shd w:val="clear" w:color="000000" w:fill="FFFFFF"/>
            <w:noWrap/>
            <w:hideMark/>
          </w:tcPr>
          <w:p w14:paraId="0C0BB43C" w14:textId="77777777" w:rsidR="00800D9B" w:rsidRPr="00B47A14" w:rsidRDefault="00800D9B" w:rsidP="00800D9B">
            <w:pPr>
              <w:spacing w:after="0" w:line="240" w:lineRule="auto"/>
              <w:jc w:val="right"/>
              <w:rPr>
                <w:rFonts w:eastAsia="Times New Roman" w:cs="Times New Roman"/>
                <w:color w:val="000000"/>
                <w:kern w:val="0"/>
                <w:sz w:val="20"/>
                <w:szCs w:val="20"/>
                <w14:ligatures w14:val="none"/>
              </w:rPr>
            </w:pPr>
          </w:p>
        </w:tc>
      </w:tr>
      <w:tr w:rsidR="00800D9B" w:rsidRPr="00B47A14" w14:paraId="4E55F444" w14:textId="77777777" w:rsidTr="004C3CE3">
        <w:trPr>
          <w:gridAfter w:val="1"/>
          <w:wAfter w:w="7" w:type="dxa"/>
          <w:trHeight w:val="20"/>
          <w:jc w:val="center"/>
        </w:trPr>
        <w:tc>
          <w:tcPr>
            <w:tcW w:w="3590" w:type="dxa"/>
            <w:tcBorders>
              <w:top w:val="nil"/>
              <w:left w:val="single" w:sz="12" w:space="0" w:color="auto"/>
              <w:bottom w:val="single" w:sz="12" w:space="0" w:color="auto"/>
              <w:right w:val="single" w:sz="12" w:space="0" w:color="auto"/>
            </w:tcBorders>
            <w:shd w:val="clear" w:color="000000" w:fill="FFFFFF"/>
            <w:noWrap/>
            <w:vAlign w:val="bottom"/>
            <w:hideMark/>
          </w:tcPr>
          <w:p w14:paraId="10F0DD7B" w14:textId="3342647A" w:rsidR="00800D9B" w:rsidRPr="00B47A14" w:rsidRDefault="00800D9B" w:rsidP="00800D9B">
            <w:pPr>
              <w:spacing w:after="0" w:line="240" w:lineRule="auto"/>
              <w:rPr>
                <w:rFonts w:eastAsia="Times New Roman" w:cs="Times New Roman"/>
                <w:color w:val="000000"/>
                <w:kern w:val="0"/>
                <w:sz w:val="20"/>
                <w:szCs w:val="20"/>
                <w14:ligatures w14:val="none"/>
              </w:rPr>
            </w:pPr>
            <w:r w:rsidRPr="00B47A14">
              <w:rPr>
                <w:rFonts w:eastAsia="Times New Roman" w:cs="Times New Roman"/>
                <w:color w:val="000000"/>
                <w:kern w:val="0"/>
                <w:sz w:val="20"/>
                <w:szCs w:val="20"/>
                <w14:ligatures w14:val="none"/>
              </w:rPr>
              <w:t xml:space="preserve">       3+ vehicles *</w:t>
            </w:r>
            <w:r w:rsidR="008D52EC">
              <w:rPr>
                <w:rFonts w:eastAsia="Times New Roman" w:cs="Times New Roman"/>
                <w:color w:val="000000"/>
                <w:kern w:val="0"/>
                <w:sz w:val="20"/>
                <w:szCs w:val="20"/>
                <w14:ligatures w14:val="none"/>
              </w:rPr>
              <w:t xml:space="preserve"> </w:t>
            </w:r>
            <w:r w:rsidR="00A77082">
              <w:rPr>
                <w:rFonts w:eastAsia="Times New Roman" w:cs="Times New Roman"/>
                <w:color w:val="000000"/>
                <w:kern w:val="0"/>
                <w:sz w:val="20"/>
                <w:szCs w:val="20"/>
                <w14:ligatures w14:val="none"/>
              </w:rPr>
              <w:t>During-</w:t>
            </w:r>
            <w:r w:rsidR="00A77082" w:rsidRPr="00B47A14">
              <w:rPr>
                <w:rFonts w:eastAsia="Times New Roman" w:cs="Times New Roman"/>
                <w:color w:val="000000"/>
                <w:kern w:val="0"/>
                <w:sz w:val="20"/>
                <w:szCs w:val="20"/>
                <w14:ligatures w14:val="none"/>
              </w:rPr>
              <w:t xml:space="preserve">COVID </w:t>
            </w:r>
            <w:r w:rsidRPr="00B47A14">
              <w:rPr>
                <w:rFonts w:eastAsia="Times New Roman" w:cs="Times New Roman"/>
                <w:color w:val="000000"/>
                <w:kern w:val="0"/>
                <w:sz w:val="20"/>
                <w:szCs w:val="20"/>
                <w14:ligatures w14:val="none"/>
              </w:rPr>
              <w:t>Effect</w:t>
            </w:r>
          </w:p>
        </w:tc>
        <w:tc>
          <w:tcPr>
            <w:tcW w:w="622" w:type="dxa"/>
            <w:tcBorders>
              <w:top w:val="nil"/>
              <w:left w:val="single" w:sz="12" w:space="0" w:color="auto"/>
              <w:bottom w:val="single" w:sz="12" w:space="0" w:color="auto"/>
              <w:right w:val="nil"/>
            </w:tcBorders>
            <w:shd w:val="clear" w:color="000000" w:fill="FFFFFF"/>
            <w:noWrap/>
            <w:hideMark/>
          </w:tcPr>
          <w:p w14:paraId="036D7F18" w14:textId="77777777" w:rsidR="00800D9B" w:rsidRPr="00B47A14" w:rsidRDefault="00800D9B" w:rsidP="00800D9B">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48" w:type="dxa"/>
            <w:tcBorders>
              <w:top w:val="nil"/>
              <w:left w:val="nil"/>
              <w:bottom w:val="single" w:sz="12" w:space="0" w:color="auto"/>
              <w:right w:val="single" w:sz="4" w:space="0" w:color="auto"/>
            </w:tcBorders>
            <w:shd w:val="clear" w:color="000000" w:fill="FFFFFF"/>
            <w:noWrap/>
            <w:hideMark/>
          </w:tcPr>
          <w:p w14:paraId="1AB1732B" w14:textId="77777777" w:rsidR="00800D9B" w:rsidRPr="00B47A14" w:rsidRDefault="00800D9B" w:rsidP="00800D9B">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single" w:sz="12" w:space="0" w:color="auto"/>
              <w:right w:val="nil"/>
            </w:tcBorders>
            <w:shd w:val="clear" w:color="000000" w:fill="FFFFFF"/>
            <w:noWrap/>
            <w:hideMark/>
          </w:tcPr>
          <w:p w14:paraId="249BFBFC" w14:textId="4967DEF7" w:rsidR="00800D9B" w:rsidRPr="00B47A14" w:rsidRDefault="00800D9B" w:rsidP="00800D9B">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50" w:type="dxa"/>
            <w:tcBorders>
              <w:top w:val="nil"/>
              <w:left w:val="nil"/>
              <w:bottom w:val="single" w:sz="12" w:space="0" w:color="auto"/>
              <w:right w:val="single" w:sz="4" w:space="0" w:color="auto"/>
            </w:tcBorders>
            <w:shd w:val="clear" w:color="000000" w:fill="FFFFFF"/>
            <w:noWrap/>
            <w:hideMark/>
          </w:tcPr>
          <w:p w14:paraId="0F1EB157" w14:textId="30E17BEE" w:rsidR="00800D9B" w:rsidRPr="00B47A14" w:rsidRDefault="00800D9B" w:rsidP="00800D9B">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single" w:sz="12" w:space="0" w:color="auto"/>
              <w:right w:val="nil"/>
            </w:tcBorders>
            <w:shd w:val="clear" w:color="000000" w:fill="FFFFFF"/>
            <w:noWrap/>
            <w:hideMark/>
          </w:tcPr>
          <w:p w14:paraId="27861253" w14:textId="77777777" w:rsidR="00800D9B" w:rsidRPr="00B47A14" w:rsidRDefault="00800D9B" w:rsidP="00800D9B">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48" w:type="dxa"/>
            <w:tcBorders>
              <w:top w:val="nil"/>
              <w:left w:val="nil"/>
              <w:bottom w:val="single" w:sz="12" w:space="0" w:color="auto"/>
              <w:right w:val="single" w:sz="4" w:space="0" w:color="auto"/>
            </w:tcBorders>
            <w:shd w:val="clear" w:color="000000" w:fill="FFFFFF"/>
            <w:noWrap/>
            <w:hideMark/>
          </w:tcPr>
          <w:p w14:paraId="5D79CB13" w14:textId="77777777" w:rsidR="00800D9B" w:rsidRPr="00B47A14" w:rsidRDefault="00800D9B" w:rsidP="00800D9B">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single" w:sz="12" w:space="0" w:color="auto"/>
              <w:right w:val="nil"/>
            </w:tcBorders>
            <w:shd w:val="clear" w:color="000000" w:fill="FFFFFF"/>
            <w:noWrap/>
            <w:hideMark/>
          </w:tcPr>
          <w:p w14:paraId="24707856" w14:textId="77777777" w:rsidR="00800D9B" w:rsidRPr="00B47A14" w:rsidRDefault="00800D9B" w:rsidP="00800D9B">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45" w:type="dxa"/>
            <w:tcBorders>
              <w:top w:val="nil"/>
              <w:left w:val="nil"/>
              <w:bottom w:val="single" w:sz="12" w:space="0" w:color="auto"/>
              <w:right w:val="single" w:sz="4" w:space="0" w:color="auto"/>
            </w:tcBorders>
            <w:shd w:val="clear" w:color="000000" w:fill="FFFFFF"/>
            <w:noWrap/>
            <w:hideMark/>
          </w:tcPr>
          <w:p w14:paraId="09C54C51" w14:textId="77777777" w:rsidR="00800D9B" w:rsidRPr="00B47A14" w:rsidRDefault="00800D9B" w:rsidP="00800D9B">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single" w:sz="12" w:space="0" w:color="auto"/>
              <w:right w:val="nil"/>
            </w:tcBorders>
            <w:shd w:val="clear" w:color="000000" w:fill="FFFFFF"/>
            <w:noWrap/>
            <w:hideMark/>
          </w:tcPr>
          <w:p w14:paraId="710D876E" w14:textId="77777777" w:rsidR="00800D9B" w:rsidRPr="00B47A14" w:rsidRDefault="00800D9B" w:rsidP="00800D9B">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41" w:type="dxa"/>
            <w:tcBorders>
              <w:top w:val="nil"/>
              <w:left w:val="nil"/>
              <w:bottom w:val="single" w:sz="12" w:space="0" w:color="auto"/>
              <w:right w:val="single" w:sz="4" w:space="0" w:color="auto"/>
            </w:tcBorders>
            <w:shd w:val="clear" w:color="000000" w:fill="FFFFFF"/>
            <w:noWrap/>
            <w:hideMark/>
          </w:tcPr>
          <w:p w14:paraId="2F117628" w14:textId="77777777" w:rsidR="00800D9B" w:rsidRPr="00B47A14" w:rsidRDefault="00800D9B" w:rsidP="00800D9B">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single" w:sz="12" w:space="0" w:color="auto"/>
              <w:right w:val="nil"/>
            </w:tcBorders>
            <w:shd w:val="clear" w:color="000000" w:fill="FFFFFF"/>
            <w:noWrap/>
            <w:vAlign w:val="bottom"/>
            <w:hideMark/>
          </w:tcPr>
          <w:p w14:paraId="4BEEA549" w14:textId="66670A62" w:rsidR="00800D9B" w:rsidRPr="00B47A14" w:rsidRDefault="00800D9B" w:rsidP="00800D9B">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0.41</w:t>
            </w:r>
          </w:p>
        </w:tc>
        <w:tc>
          <w:tcPr>
            <w:tcW w:w="621" w:type="dxa"/>
            <w:tcBorders>
              <w:top w:val="nil"/>
              <w:left w:val="nil"/>
              <w:bottom w:val="single" w:sz="12" w:space="0" w:color="auto"/>
              <w:right w:val="single" w:sz="4" w:space="0" w:color="auto"/>
            </w:tcBorders>
            <w:shd w:val="clear" w:color="000000" w:fill="FFFFFF"/>
            <w:noWrap/>
            <w:vAlign w:val="bottom"/>
            <w:hideMark/>
          </w:tcPr>
          <w:p w14:paraId="1D47C9AC" w14:textId="7F43A017" w:rsidR="00800D9B" w:rsidRPr="00B47A14" w:rsidRDefault="00800D9B" w:rsidP="00800D9B">
            <w:pPr>
              <w:spacing w:after="0" w:line="240" w:lineRule="auto"/>
              <w:jc w:val="right"/>
              <w:rPr>
                <w:rFonts w:eastAsia="Times New Roman" w:cs="Times New Roman"/>
                <w:color w:val="000000"/>
                <w:kern w:val="0"/>
                <w:sz w:val="20"/>
                <w:szCs w:val="20"/>
                <w14:ligatures w14:val="none"/>
              </w:rPr>
            </w:pPr>
            <w:r w:rsidRPr="00B47A14">
              <w:rPr>
                <w:rFonts w:cs="Times New Roman"/>
                <w:color w:val="000000"/>
                <w:sz w:val="20"/>
                <w:szCs w:val="20"/>
              </w:rPr>
              <w:t>1.28</w:t>
            </w:r>
          </w:p>
        </w:tc>
        <w:tc>
          <w:tcPr>
            <w:tcW w:w="624" w:type="dxa"/>
            <w:tcBorders>
              <w:top w:val="nil"/>
              <w:left w:val="nil"/>
              <w:bottom w:val="single" w:sz="12" w:space="0" w:color="auto"/>
              <w:right w:val="nil"/>
            </w:tcBorders>
            <w:shd w:val="clear" w:color="000000" w:fill="FFFFFF"/>
            <w:noWrap/>
            <w:hideMark/>
          </w:tcPr>
          <w:p w14:paraId="66109164" w14:textId="77777777" w:rsidR="00800D9B" w:rsidRPr="00B47A14" w:rsidRDefault="00800D9B" w:rsidP="00800D9B">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633" w:type="dxa"/>
            <w:tcBorders>
              <w:top w:val="nil"/>
              <w:left w:val="nil"/>
              <w:bottom w:val="single" w:sz="12" w:space="0" w:color="auto"/>
              <w:right w:val="single" w:sz="4" w:space="0" w:color="auto"/>
            </w:tcBorders>
            <w:shd w:val="clear" w:color="000000" w:fill="FFFFFF"/>
            <w:noWrap/>
            <w:hideMark/>
          </w:tcPr>
          <w:p w14:paraId="24A6953A" w14:textId="77777777" w:rsidR="00800D9B" w:rsidRPr="00B47A14" w:rsidRDefault="00800D9B" w:rsidP="00800D9B">
            <w:pPr>
              <w:spacing w:after="0" w:line="240" w:lineRule="auto"/>
              <w:jc w:val="right"/>
              <w:rPr>
                <w:rFonts w:eastAsia="Times New Roman" w:cs="Times New Roman"/>
                <w:color w:val="000000"/>
                <w:kern w:val="0"/>
                <w:sz w:val="20"/>
                <w:szCs w:val="20"/>
                <w14:ligatures w14:val="none"/>
              </w:rPr>
            </w:pPr>
          </w:p>
        </w:tc>
        <w:tc>
          <w:tcPr>
            <w:tcW w:w="694" w:type="dxa"/>
            <w:tcBorders>
              <w:top w:val="nil"/>
              <w:left w:val="nil"/>
              <w:bottom w:val="single" w:sz="12" w:space="0" w:color="auto"/>
              <w:right w:val="nil"/>
            </w:tcBorders>
            <w:shd w:val="clear" w:color="000000" w:fill="FFFFFF"/>
            <w:noWrap/>
            <w:hideMark/>
          </w:tcPr>
          <w:p w14:paraId="25B79B21" w14:textId="77777777" w:rsidR="00800D9B" w:rsidRPr="00B47A14" w:rsidRDefault="00800D9B" w:rsidP="00800D9B">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566" w:type="dxa"/>
            <w:tcBorders>
              <w:top w:val="nil"/>
              <w:left w:val="nil"/>
              <w:bottom w:val="single" w:sz="12" w:space="0" w:color="auto"/>
              <w:right w:val="single" w:sz="4" w:space="0" w:color="auto"/>
            </w:tcBorders>
            <w:shd w:val="clear" w:color="000000" w:fill="FFFFFF"/>
            <w:noWrap/>
            <w:hideMark/>
          </w:tcPr>
          <w:p w14:paraId="0FC6F84A" w14:textId="77777777" w:rsidR="00800D9B" w:rsidRPr="00B47A14" w:rsidRDefault="00800D9B" w:rsidP="00800D9B">
            <w:pPr>
              <w:spacing w:after="0" w:line="240" w:lineRule="auto"/>
              <w:jc w:val="right"/>
              <w:rPr>
                <w:rFonts w:eastAsia="Times New Roman" w:cs="Times New Roman"/>
                <w:color w:val="000000"/>
                <w:kern w:val="0"/>
                <w:sz w:val="20"/>
                <w:szCs w:val="20"/>
                <w14:ligatures w14:val="none"/>
              </w:rPr>
            </w:pPr>
          </w:p>
        </w:tc>
        <w:tc>
          <w:tcPr>
            <w:tcW w:w="622" w:type="dxa"/>
            <w:tcBorders>
              <w:top w:val="nil"/>
              <w:left w:val="nil"/>
              <w:bottom w:val="single" w:sz="12" w:space="0" w:color="auto"/>
              <w:right w:val="nil"/>
            </w:tcBorders>
            <w:shd w:val="clear" w:color="000000" w:fill="FFFFFF"/>
            <w:noWrap/>
            <w:hideMark/>
          </w:tcPr>
          <w:p w14:paraId="5F2FE44E" w14:textId="77777777" w:rsidR="00800D9B" w:rsidRPr="00B47A14" w:rsidRDefault="00800D9B" w:rsidP="00800D9B">
            <w:pPr>
              <w:spacing w:after="0" w:line="240" w:lineRule="auto"/>
              <w:jc w:val="right"/>
              <w:rPr>
                <w:rFonts w:eastAsia="Times New Roman" w:cs="Times New Roman"/>
                <w:color w:val="000000"/>
                <w:kern w:val="0"/>
                <w:sz w:val="20"/>
                <w:szCs w:val="20"/>
                <w14:ligatures w14:val="none"/>
              </w:rPr>
            </w:pPr>
            <w:r w:rsidRPr="00B47A14">
              <w:rPr>
                <w:rFonts w:cs="Times New Roman"/>
                <w:sz w:val="20"/>
                <w:szCs w:val="20"/>
              </w:rPr>
              <w:t>--</w:t>
            </w:r>
          </w:p>
        </w:tc>
        <w:tc>
          <w:tcPr>
            <w:tcW w:w="491" w:type="dxa"/>
            <w:tcBorders>
              <w:top w:val="nil"/>
              <w:left w:val="nil"/>
              <w:bottom w:val="single" w:sz="12" w:space="0" w:color="auto"/>
              <w:right w:val="single" w:sz="12" w:space="0" w:color="auto"/>
            </w:tcBorders>
            <w:shd w:val="clear" w:color="000000" w:fill="FFFFFF"/>
            <w:noWrap/>
            <w:hideMark/>
          </w:tcPr>
          <w:p w14:paraId="4B5671BB" w14:textId="77777777" w:rsidR="00800D9B" w:rsidRPr="00B47A14" w:rsidRDefault="00800D9B" w:rsidP="00800D9B">
            <w:pPr>
              <w:spacing w:after="0" w:line="240" w:lineRule="auto"/>
              <w:jc w:val="right"/>
              <w:rPr>
                <w:rFonts w:eastAsia="Times New Roman" w:cs="Times New Roman"/>
                <w:color w:val="000000"/>
                <w:kern w:val="0"/>
                <w:sz w:val="20"/>
                <w:szCs w:val="20"/>
                <w14:ligatures w14:val="none"/>
              </w:rPr>
            </w:pPr>
          </w:p>
        </w:tc>
      </w:tr>
    </w:tbl>
    <w:p w14:paraId="13F4853F" w14:textId="0C48621A" w:rsidR="00737417" w:rsidRDefault="00E202EB" w:rsidP="000B75C1">
      <w:pPr>
        <w:spacing w:after="0" w:line="240" w:lineRule="auto"/>
        <w:rPr>
          <w:b/>
          <w:bCs/>
        </w:rPr>
      </w:pPr>
      <w:r>
        <w:rPr>
          <w:rFonts w:cs="Times New Roman"/>
        </w:rPr>
        <w:br w:type="page"/>
      </w:r>
      <w:bookmarkEnd w:id="6"/>
      <w:r w:rsidR="00737417">
        <w:rPr>
          <w:b/>
          <w:bCs/>
        </w:rPr>
        <w:lastRenderedPageBreak/>
        <w:t xml:space="preserve">Table 4: Implied </w:t>
      </w:r>
      <w:r w:rsidR="00E62A98">
        <w:rPr>
          <w:b/>
          <w:bCs/>
        </w:rPr>
        <w:t>Error Covariance Matrix</w:t>
      </w:r>
    </w:p>
    <w:p w14:paraId="26A88ED7" w14:textId="77777777" w:rsidR="00737417" w:rsidRPr="004A258E" w:rsidRDefault="00737417" w:rsidP="000B75C1">
      <w:pPr>
        <w:spacing w:after="0" w:line="240" w:lineRule="auto"/>
      </w:pPr>
    </w:p>
    <w:tbl>
      <w:tblPr>
        <w:tblW w:w="13099" w:type="dxa"/>
        <w:jc w:val="center"/>
        <w:tblLook w:val="04A0" w:firstRow="1" w:lastRow="0" w:firstColumn="1" w:lastColumn="0" w:noHBand="0" w:noVBand="1"/>
      </w:tblPr>
      <w:tblGrid>
        <w:gridCol w:w="3675"/>
        <w:gridCol w:w="1339"/>
        <w:gridCol w:w="1271"/>
        <w:gridCol w:w="1170"/>
        <w:gridCol w:w="963"/>
        <w:gridCol w:w="946"/>
        <w:gridCol w:w="1116"/>
        <w:gridCol w:w="928"/>
        <w:gridCol w:w="1691"/>
      </w:tblGrid>
      <w:tr w:rsidR="00737417" w:rsidRPr="00902D0F" w14:paraId="598CEB11" w14:textId="77777777" w:rsidTr="004A258E">
        <w:trPr>
          <w:trHeight w:val="1152"/>
          <w:jc w:val="center"/>
        </w:trPr>
        <w:tc>
          <w:tcPr>
            <w:tcW w:w="3675" w:type="dxa"/>
            <w:tcBorders>
              <w:top w:val="single" w:sz="12" w:space="0" w:color="auto"/>
              <w:left w:val="single" w:sz="12" w:space="0" w:color="auto"/>
              <w:bottom w:val="single" w:sz="12" w:space="0" w:color="auto"/>
              <w:right w:val="single" w:sz="12" w:space="0" w:color="auto"/>
            </w:tcBorders>
            <w:shd w:val="clear" w:color="000000" w:fill="FFFFFF"/>
            <w:noWrap/>
            <w:tcMar>
              <w:left w:w="58" w:type="dxa"/>
              <w:right w:w="58" w:type="dxa"/>
            </w:tcMar>
            <w:vAlign w:val="center"/>
            <w:hideMark/>
          </w:tcPr>
          <w:p w14:paraId="2B7C967D" w14:textId="77777777" w:rsidR="00737417" w:rsidRPr="00902D0F" w:rsidRDefault="00737417" w:rsidP="0030543A">
            <w:pPr>
              <w:spacing w:after="0" w:line="240" w:lineRule="auto"/>
              <w:rPr>
                <w:rFonts w:eastAsia="Times New Roman" w:cs="Times New Roman"/>
                <w:b/>
                <w:bCs/>
                <w:color w:val="000000"/>
                <w:kern w:val="0"/>
                <w:sz w:val="20"/>
                <w:szCs w:val="20"/>
                <w14:ligatures w14:val="none"/>
              </w:rPr>
            </w:pPr>
            <w:r w:rsidRPr="004641E1">
              <w:rPr>
                <w:rFonts w:eastAsia="Times New Roman" w:cs="Times New Roman"/>
                <w:b/>
                <w:bCs/>
                <w:color w:val="000000"/>
                <w:kern w:val="0"/>
                <w:sz w:val="20"/>
                <w:szCs w:val="20"/>
                <w14:ligatures w14:val="none"/>
              </w:rPr>
              <w:t>Housing Factors</w:t>
            </w:r>
          </w:p>
        </w:tc>
        <w:tc>
          <w:tcPr>
            <w:tcW w:w="1339" w:type="dxa"/>
            <w:tcBorders>
              <w:top w:val="single" w:sz="12" w:space="0" w:color="auto"/>
              <w:left w:val="single" w:sz="12" w:space="0" w:color="auto"/>
              <w:bottom w:val="single" w:sz="12" w:space="0" w:color="auto"/>
              <w:right w:val="single" w:sz="4" w:space="0" w:color="auto"/>
            </w:tcBorders>
            <w:shd w:val="clear" w:color="000000" w:fill="FFFFFF"/>
            <w:tcMar>
              <w:left w:w="58" w:type="dxa"/>
              <w:right w:w="58" w:type="dxa"/>
            </w:tcMar>
            <w:vAlign w:val="center"/>
            <w:hideMark/>
          </w:tcPr>
          <w:p w14:paraId="65A5FEB8" w14:textId="77777777" w:rsidR="00737417" w:rsidRPr="00902D0F" w:rsidRDefault="00737417" w:rsidP="0030543A">
            <w:pPr>
              <w:spacing w:after="0" w:line="240" w:lineRule="auto"/>
              <w:jc w:val="center"/>
              <w:rPr>
                <w:rFonts w:eastAsia="Times New Roman" w:cs="Times New Roman"/>
                <w:b/>
                <w:bCs/>
                <w:color w:val="000000"/>
                <w:kern w:val="0"/>
                <w:sz w:val="20"/>
                <w:szCs w:val="20"/>
                <w14:ligatures w14:val="none"/>
              </w:rPr>
            </w:pPr>
            <w:r w:rsidRPr="00902D0F">
              <w:rPr>
                <w:rFonts w:eastAsia="Times New Roman" w:cs="Times New Roman"/>
                <w:b/>
                <w:bCs/>
                <w:color w:val="000000"/>
                <w:kern w:val="0"/>
                <w:sz w:val="20"/>
                <w:szCs w:val="20"/>
                <w14:ligatures w14:val="none"/>
              </w:rPr>
              <w:t>Affordability</w:t>
            </w:r>
          </w:p>
        </w:tc>
        <w:tc>
          <w:tcPr>
            <w:tcW w:w="1271" w:type="dxa"/>
            <w:tcBorders>
              <w:top w:val="single" w:sz="12" w:space="0" w:color="auto"/>
              <w:left w:val="nil"/>
              <w:bottom w:val="single" w:sz="12" w:space="0" w:color="auto"/>
              <w:right w:val="single" w:sz="4" w:space="0" w:color="auto"/>
            </w:tcBorders>
            <w:shd w:val="clear" w:color="000000" w:fill="FFFFFF"/>
            <w:tcMar>
              <w:left w:w="58" w:type="dxa"/>
              <w:right w:w="58" w:type="dxa"/>
            </w:tcMar>
            <w:vAlign w:val="center"/>
            <w:hideMark/>
          </w:tcPr>
          <w:p w14:paraId="2C29B35C" w14:textId="31B069B2" w:rsidR="00737417" w:rsidRPr="00902D0F" w:rsidRDefault="00737417" w:rsidP="0030543A">
            <w:pPr>
              <w:spacing w:after="0" w:line="240" w:lineRule="auto"/>
              <w:jc w:val="center"/>
              <w:rPr>
                <w:rFonts w:eastAsia="Times New Roman" w:cs="Times New Roman"/>
                <w:b/>
                <w:bCs/>
                <w:color w:val="000000"/>
                <w:kern w:val="0"/>
                <w:sz w:val="20"/>
                <w:szCs w:val="20"/>
                <w14:ligatures w14:val="none"/>
              </w:rPr>
            </w:pPr>
            <w:r w:rsidRPr="00902D0F">
              <w:rPr>
                <w:rFonts w:eastAsia="Times New Roman" w:cs="Times New Roman"/>
                <w:b/>
                <w:bCs/>
                <w:color w:val="000000"/>
                <w:kern w:val="0"/>
                <w:sz w:val="20"/>
                <w:szCs w:val="20"/>
                <w14:ligatures w14:val="none"/>
              </w:rPr>
              <w:t xml:space="preserve">Being close to </w:t>
            </w:r>
            <w:r w:rsidR="004A258E">
              <w:rPr>
                <w:rFonts w:eastAsia="Times New Roman" w:cs="Times New Roman"/>
                <w:b/>
                <w:bCs/>
                <w:color w:val="000000"/>
                <w:kern w:val="0"/>
                <w:sz w:val="20"/>
                <w:szCs w:val="20"/>
                <w14:ligatures w14:val="none"/>
              </w:rPr>
              <w:t>f</w:t>
            </w:r>
            <w:r w:rsidRPr="00902D0F">
              <w:rPr>
                <w:rFonts w:eastAsia="Times New Roman" w:cs="Times New Roman"/>
                <w:b/>
                <w:bCs/>
                <w:color w:val="000000"/>
                <w:kern w:val="0"/>
                <w:sz w:val="20"/>
                <w:szCs w:val="20"/>
                <w14:ligatures w14:val="none"/>
              </w:rPr>
              <w:t>amily and</w:t>
            </w:r>
            <w:r w:rsidR="004A258E">
              <w:rPr>
                <w:rFonts w:eastAsia="Times New Roman" w:cs="Times New Roman"/>
                <w:b/>
                <w:bCs/>
                <w:color w:val="000000"/>
                <w:kern w:val="0"/>
                <w:sz w:val="20"/>
                <w:szCs w:val="20"/>
                <w14:ligatures w14:val="none"/>
              </w:rPr>
              <w:t xml:space="preserve"> f</w:t>
            </w:r>
            <w:r w:rsidRPr="00902D0F">
              <w:rPr>
                <w:rFonts w:eastAsia="Times New Roman" w:cs="Times New Roman"/>
                <w:b/>
                <w:bCs/>
                <w:color w:val="000000"/>
                <w:kern w:val="0"/>
                <w:sz w:val="20"/>
                <w:szCs w:val="20"/>
                <w14:ligatures w14:val="none"/>
              </w:rPr>
              <w:t>riends</w:t>
            </w:r>
          </w:p>
        </w:tc>
        <w:tc>
          <w:tcPr>
            <w:tcW w:w="1170" w:type="dxa"/>
            <w:tcBorders>
              <w:top w:val="single" w:sz="12" w:space="0" w:color="auto"/>
              <w:left w:val="nil"/>
              <w:bottom w:val="single" w:sz="12" w:space="0" w:color="auto"/>
              <w:right w:val="single" w:sz="4" w:space="0" w:color="auto"/>
            </w:tcBorders>
            <w:shd w:val="clear" w:color="000000" w:fill="FFFFFF"/>
            <w:tcMar>
              <w:left w:w="58" w:type="dxa"/>
              <w:right w:w="58" w:type="dxa"/>
            </w:tcMar>
            <w:vAlign w:val="center"/>
            <w:hideMark/>
          </w:tcPr>
          <w:p w14:paraId="56D29415" w14:textId="71309A35" w:rsidR="00737417" w:rsidRPr="00902D0F" w:rsidRDefault="00737417" w:rsidP="0030543A">
            <w:pPr>
              <w:spacing w:after="0" w:line="240" w:lineRule="auto"/>
              <w:jc w:val="center"/>
              <w:rPr>
                <w:rFonts w:eastAsia="Times New Roman" w:cs="Times New Roman"/>
                <w:b/>
                <w:bCs/>
                <w:color w:val="000000"/>
                <w:kern w:val="0"/>
                <w:sz w:val="20"/>
                <w:szCs w:val="20"/>
                <w14:ligatures w14:val="none"/>
              </w:rPr>
            </w:pPr>
            <w:r w:rsidRPr="00902D0F">
              <w:rPr>
                <w:rFonts w:eastAsia="Times New Roman" w:cs="Times New Roman"/>
                <w:b/>
                <w:bCs/>
                <w:color w:val="000000"/>
                <w:kern w:val="0"/>
                <w:sz w:val="20"/>
                <w:szCs w:val="20"/>
                <w14:ligatures w14:val="none"/>
              </w:rPr>
              <w:t xml:space="preserve">Access to </w:t>
            </w:r>
            <w:r w:rsidR="004A258E">
              <w:rPr>
                <w:rFonts w:eastAsia="Times New Roman" w:cs="Times New Roman"/>
                <w:b/>
                <w:bCs/>
                <w:color w:val="000000"/>
                <w:kern w:val="0"/>
                <w:sz w:val="20"/>
                <w:szCs w:val="20"/>
                <w14:ligatures w14:val="none"/>
              </w:rPr>
              <w:t>c</w:t>
            </w:r>
            <w:r w:rsidRPr="00902D0F">
              <w:rPr>
                <w:rFonts w:eastAsia="Times New Roman" w:cs="Times New Roman"/>
                <w:b/>
                <w:bCs/>
                <w:color w:val="000000"/>
                <w:kern w:val="0"/>
                <w:sz w:val="20"/>
                <w:szCs w:val="20"/>
                <w14:ligatures w14:val="none"/>
              </w:rPr>
              <w:t xml:space="preserve">ultural </w:t>
            </w:r>
            <w:r w:rsidR="004A258E">
              <w:rPr>
                <w:rFonts w:eastAsia="Times New Roman" w:cs="Times New Roman"/>
                <w:b/>
                <w:bCs/>
                <w:color w:val="000000"/>
                <w:kern w:val="0"/>
                <w:sz w:val="20"/>
                <w:szCs w:val="20"/>
                <w14:ligatures w14:val="none"/>
              </w:rPr>
              <w:t>c</w:t>
            </w:r>
            <w:r w:rsidRPr="00902D0F">
              <w:rPr>
                <w:rFonts w:eastAsia="Times New Roman" w:cs="Times New Roman"/>
                <w:b/>
                <w:bCs/>
                <w:color w:val="000000"/>
                <w:kern w:val="0"/>
                <w:sz w:val="20"/>
                <w:szCs w:val="20"/>
                <w14:ligatures w14:val="none"/>
              </w:rPr>
              <w:t xml:space="preserve">enters and </w:t>
            </w:r>
            <w:r w:rsidR="004A258E">
              <w:rPr>
                <w:rFonts w:eastAsia="Times New Roman" w:cs="Times New Roman"/>
                <w:b/>
                <w:bCs/>
                <w:color w:val="000000"/>
                <w:kern w:val="0"/>
                <w:sz w:val="20"/>
                <w:szCs w:val="20"/>
                <w14:ligatures w14:val="none"/>
              </w:rPr>
              <w:t>a</w:t>
            </w:r>
            <w:r w:rsidRPr="00902D0F">
              <w:rPr>
                <w:rFonts w:eastAsia="Times New Roman" w:cs="Times New Roman"/>
                <w:b/>
                <w:bCs/>
                <w:color w:val="000000"/>
                <w:kern w:val="0"/>
                <w:sz w:val="20"/>
                <w:szCs w:val="20"/>
                <w14:ligatures w14:val="none"/>
              </w:rPr>
              <w:t>ctivities</w:t>
            </w:r>
          </w:p>
        </w:tc>
        <w:tc>
          <w:tcPr>
            <w:tcW w:w="963" w:type="dxa"/>
            <w:tcBorders>
              <w:top w:val="single" w:sz="12" w:space="0" w:color="auto"/>
              <w:left w:val="nil"/>
              <w:bottom w:val="single" w:sz="12" w:space="0" w:color="auto"/>
              <w:right w:val="single" w:sz="4" w:space="0" w:color="auto"/>
            </w:tcBorders>
            <w:shd w:val="clear" w:color="000000" w:fill="FFFFFF"/>
            <w:tcMar>
              <w:left w:w="58" w:type="dxa"/>
              <w:right w:w="58" w:type="dxa"/>
            </w:tcMar>
            <w:vAlign w:val="center"/>
            <w:hideMark/>
          </w:tcPr>
          <w:p w14:paraId="6787C44A" w14:textId="77777777" w:rsidR="00737417" w:rsidRPr="00902D0F" w:rsidRDefault="00737417" w:rsidP="0030543A">
            <w:pPr>
              <w:spacing w:after="0" w:line="240" w:lineRule="auto"/>
              <w:jc w:val="center"/>
              <w:rPr>
                <w:rFonts w:eastAsia="Times New Roman" w:cs="Times New Roman"/>
                <w:b/>
                <w:bCs/>
                <w:color w:val="000000"/>
                <w:kern w:val="0"/>
                <w:sz w:val="20"/>
                <w:szCs w:val="20"/>
                <w14:ligatures w14:val="none"/>
              </w:rPr>
            </w:pPr>
            <w:r w:rsidRPr="00902D0F">
              <w:rPr>
                <w:rFonts w:eastAsia="Times New Roman" w:cs="Times New Roman"/>
                <w:b/>
                <w:bCs/>
                <w:color w:val="000000"/>
                <w:kern w:val="0"/>
                <w:sz w:val="20"/>
                <w:szCs w:val="20"/>
                <w14:ligatures w14:val="none"/>
              </w:rPr>
              <w:t>Being close to the highway</w:t>
            </w:r>
          </w:p>
        </w:tc>
        <w:tc>
          <w:tcPr>
            <w:tcW w:w="946" w:type="dxa"/>
            <w:tcBorders>
              <w:top w:val="single" w:sz="12" w:space="0" w:color="auto"/>
              <w:left w:val="nil"/>
              <w:bottom w:val="single" w:sz="12" w:space="0" w:color="auto"/>
              <w:right w:val="single" w:sz="4" w:space="0" w:color="auto"/>
            </w:tcBorders>
            <w:shd w:val="clear" w:color="000000" w:fill="FFFFFF"/>
            <w:tcMar>
              <w:left w:w="58" w:type="dxa"/>
              <w:right w:w="58" w:type="dxa"/>
            </w:tcMar>
            <w:vAlign w:val="center"/>
            <w:hideMark/>
          </w:tcPr>
          <w:p w14:paraId="5E8242D7" w14:textId="642A8DE0" w:rsidR="00737417" w:rsidRPr="00902D0F" w:rsidRDefault="00737417" w:rsidP="0030543A">
            <w:pPr>
              <w:spacing w:after="0" w:line="240" w:lineRule="auto"/>
              <w:jc w:val="center"/>
              <w:rPr>
                <w:rFonts w:eastAsia="Times New Roman" w:cs="Times New Roman"/>
                <w:b/>
                <w:bCs/>
                <w:color w:val="000000"/>
                <w:kern w:val="0"/>
                <w:sz w:val="20"/>
                <w:szCs w:val="20"/>
                <w14:ligatures w14:val="none"/>
              </w:rPr>
            </w:pPr>
            <w:r w:rsidRPr="00902D0F">
              <w:rPr>
                <w:rFonts w:eastAsia="Times New Roman" w:cs="Times New Roman"/>
                <w:b/>
                <w:bCs/>
                <w:color w:val="000000"/>
                <w:kern w:val="0"/>
                <w:sz w:val="20"/>
                <w:szCs w:val="20"/>
                <w14:ligatures w14:val="none"/>
              </w:rPr>
              <w:t>Quality of schools (</w:t>
            </w:r>
            <w:r w:rsidR="003F65A3">
              <w:rPr>
                <w:rFonts w:eastAsia="Times New Roman" w:cs="Times New Roman"/>
                <w:b/>
                <w:bCs/>
                <w:color w:val="000000"/>
                <w:kern w:val="0"/>
                <w:sz w:val="20"/>
                <w:szCs w:val="20"/>
                <w14:ligatures w14:val="none"/>
              </w:rPr>
              <w:t>K</w:t>
            </w:r>
            <w:r w:rsidRPr="00902D0F">
              <w:rPr>
                <w:rFonts w:eastAsia="Times New Roman" w:cs="Times New Roman"/>
                <w:b/>
                <w:bCs/>
                <w:color w:val="000000"/>
                <w:kern w:val="0"/>
                <w:sz w:val="20"/>
                <w:szCs w:val="20"/>
                <w14:ligatures w14:val="none"/>
              </w:rPr>
              <w:t>-12)</w:t>
            </w:r>
          </w:p>
        </w:tc>
        <w:tc>
          <w:tcPr>
            <w:tcW w:w="1116" w:type="dxa"/>
            <w:tcBorders>
              <w:top w:val="single" w:sz="12" w:space="0" w:color="auto"/>
              <w:left w:val="nil"/>
              <w:bottom w:val="single" w:sz="12" w:space="0" w:color="auto"/>
              <w:right w:val="single" w:sz="4" w:space="0" w:color="auto"/>
            </w:tcBorders>
            <w:shd w:val="clear" w:color="000000" w:fill="FFFFFF"/>
            <w:tcMar>
              <w:left w:w="58" w:type="dxa"/>
              <w:right w:w="58" w:type="dxa"/>
            </w:tcMar>
            <w:vAlign w:val="center"/>
            <w:hideMark/>
          </w:tcPr>
          <w:p w14:paraId="464B2AE4" w14:textId="77777777" w:rsidR="00737417" w:rsidRPr="00902D0F" w:rsidRDefault="00737417" w:rsidP="0030543A">
            <w:pPr>
              <w:spacing w:after="0" w:line="240" w:lineRule="auto"/>
              <w:jc w:val="center"/>
              <w:rPr>
                <w:rFonts w:eastAsia="Times New Roman" w:cs="Times New Roman"/>
                <w:b/>
                <w:bCs/>
                <w:color w:val="000000"/>
                <w:kern w:val="0"/>
                <w:sz w:val="20"/>
                <w:szCs w:val="20"/>
                <w14:ligatures w14:val="none"/>
              </w:rPr>
            </w:pPr>
            <w:r w:rsidRPr="00902D0F">
              <w:rPr>
                <w:rFonts w:eastAsia="Times New Roman" w:cs="Times New Roman"/>
                <w:b/>
                <w:bCs/>
                <w:color w:val="000000"/>
                <w:kern w:val="0"/>
                <w:sz w:val="20"/>
                <w:szCs w:val="20"/>
                <w14:ligatures w14:val="none"/>
              </w:rPr>
              <w:t>Having space and separation from others</w:t>
            </w:r>
          </w:p>
        </w:tc>
        <w:tc>
          <w:tcPr>
            <w:tcW w:w="928" w:type="dxa"/>
            <w:tcBorders>
              <w:top w:val="single" w:sz="12" w:space="0" w:color="auto"/>
              <w:left w:val="nil"/>
              <w:bottom w:val="single" w:sz="12" w:space="0" w:color="auto"/>
              <w:right w:val="single" w:sz="4" w:space="0" w:color="auto"/>
            </w:tcBorders>
            <w:shd w:val="clear" w:color="000000" w:fill="FFFFFF"/>
            <w:tcMar>
              <w:left w:w="58" w:type="dxa"/>
              <w:right w:w="58" w:type="dxa"/>
            </w:tcMar>
            <w:vAlign w:val="center"/>
            <w:hideMark/>
          </w:tcPr>
          <w:p w14:paraId="4CB93F2D" w14:textId="77777777" w:rsidR="00737417" w:rsidRPr="00902D0F" w:rsidRDefault="00737417" w:rsidP="0030543A">
            <w:pPr>
              <w:spacing w:after="0" w:line="240" w:lineRule="auto"/>
              <w:jc w:val="center"/>
              <w:rPr>
                <w:rFonts w:eastAsia="Times New Roman" w:cs="Times New Roman"/>
                <w:b/>
                <w:bCs/>
                <w:color w:val="000000"/>
                <w:kern w:val="0"/>
                <w:sz w:val="20"/>
                <w:szCs w:val="20"/>
                <w14:ligatures w14:val="none"/>
              </w:rPr>
            </w:pPr>
            <w:r w:rsidRPr="00902D0F">
              <w:rPr>
                <w:rFonts w:eastAsia="Times New Roman" w:cs="Times New Roman"/>
                <w:b/>
                <w:bCs/>
                <w:color w:val="000000"/>
                <w:kern w:val="0"/>
                <w:sz w:val="20"/>
                <w:szCs w:val="20"/>
                <w14:ligatures w14:val="none"/>
              </w:rPr>
              <w:t>Being close to public transit</w:t>
            </w:r>
          </w:p>
        </w:tc>
        <w:tc>
          <w:tcPr>
            <w:tcW w:w="1691" w:type="dxa"/>
            <w:tcBorders>
              <w:top w:val="single" w:sz="12" w:space="0" w:color="auto"/>
              <w:left w:val="nil"/>
              <w:bottom w:val="single" w:sz="12" w:space="0" w:color="auto"/>
              <w:right w:val="single" w:sz="12" w:space="0" w:color="auto"/>
            </w:tcBorders>
            <w:shd w:val="clear" w:color="000000" w:fill="FFFFFF"/>
            <w:tcMar>
              <w:left w:w="58" w:type="dxa"/>
              <w:right w:w="58" w:type="dxa"/>
            </w:tcMar>
            <w:vAlign w:val="center"/>
            <w:hideMark/>
          </w:tcPr>
          <w:p w14:paraId="79B96CB9" w14:textId="77777777" w:rsidR="00737417" w:rsidRPr="00902D0F" w:rsidRDefault="00737417" w:rsidP="0030543A">
            <w:pPr>
              <w:spacing w:after="0" w:line="240" w:lineRule="auto"/>
              <w:jc w:val="center"/>
              <w:rPr>
                <w:rFonts w:eastAsia="Times New Roman" w:cs="Times New Roman"/>
                <w:b/>
                <w:bCs/>
                <w:color w:val="000000"/>
                <w:kern w:val="0"/>
                <w:sz w:val="20"/>
                <w:szCs w:val="20"/>
                <w14:ligatures w14:val="none"/>
              </w:rPr>
            </w:pPr>
            <w:r w:rsidRPr="00902D0F">
              <w:rPr>
                <w:rFonts w:eastAsia="Times New Roman" w:cs="Times New Roman"/>
                <w:b/>
                <w:bCs/>
                <w:color w:val="000000"/>
                <w:kern w:val="0"/>
                <w:sz w:val="20"/>
                <w:szCs w:val="20"/>
                <w14:ligatures w14:val="none"/>
              </w:rPr>
              <w:t>Having a walkable neighborhood and being near local activities</w:t>
            </w:r>
          </w:p>
        </w:tc>
      </w:tr>
      <w:tr w:rsidR="00BD6566" w:rsidRPr="00902D0F" w14:paraId="27012FB0" w14:textId="77777777" w:rsidTr="004A258E">
        <w:trPr>
          <w:trHeight w:val="432"/>
          <w:jc w:val="center"/>
        </w:trPr>
        <w:tc>
          <w:tcPr>
            <w:tcW w:w="3675" w:type="dxa"/>
            <w:tcBorders>
              <w:top w:val="single" w:sz="12" w:space="0" w:color="auto"/>
              <w:left w:val="single" w:sz="12" w:space="0" w:color="auto"/>
              <w:bottom w:val="nil"/>
              <w:right w:val="single" w:sz="12" w:space="0" w:color="auto"/>
            </w:tcBorders>
            <w:shd w:val="clear" w:color="000000" w:fill="FFFFFF"/>
            <w:tcMar>
              <w:left w:w="58" w:type="dxa"/>
              <w:right w:w="58" w:type="dxa"/>
            </w:tcMar>
            <w:vAlign w:val="center"/>
            <w:hideMark/>
          </w:tcPr>
          <w:p w14:paraId="0E22E0BE" w14:textId="77777777" w:rsidR="00BD6566" w:rsidRPr="00902D0F" w:rsidRDefault="00BD6566" w:rsidP="00BD6566">
            <w:pPr>
              <w:spacing w:after="0" w:line="240" w:lineRule="auto"/>
              <w:rPr>
                <w:rFonts w:eastAsia="Times New Roman" w:cs="Times New Roman"/>
                <w:b/>
                <w:bCs/>
                <w:color w:val="000000"/>
                <w:kern w:val="0"/>
                <w:sz w:val="20"/>
                <w:szCs w:val="20"/>
                <w14:ligatures w14:val="none"/>
              </w:rPr>
            </w:pPr>
            <w:r w:rsidRPr="00902D0F">
              <w:rPr>
                <w:rFonts w:eastAsia="Times New Roman" w:cs="Times New Roman"/>
                <w:b/>
                <w:bCs/>
                <w:color w:val="000000"/>
                <w:kern w:val="0"/>
                <w:sz w:val="20"/>
                <w:szCs w:val="20"/>
                <w14:ligatures w14:val="none"/>
              </w:rPr>
              <w:t>Affordability</w:t>
            </w:r>
          </w:p>
        </w:tc>
        <w:tc>
          <w:tcPr>
            <w:tcW w:w="1339" w:type="dxa"/>
            <w:tcBorders>
              <w:top w:val="single" w:sz="12" w:space="0" w:color="auto"/>
              <w:left w:val="single" w:sz="12" w:space="0" w:color="auto"/>
              <w:bottom w:val="nil"/>
              <w:right w:val="single" w:sz="4" w:space="0" w:color="auto"/>
            </w:tcBorders>
            <w:shd w:val="clear" w:color="000000" w:fill="FFFFFF"/>
            <w:noWrap/>
            <w:tcMar>
              <w:left w:w="58" w:type="dxa"/>
              <w:right w:w="58" w:type="dxa"/>
            </w:tcMar>
            <w:vAlign w:val="bottom"/>
            <w:hideMark/>
          </w:tcPr>
          <w:p w14:paraId="6B148C46" w14:textId="6FD08F58" w:rsidR="00BD6566" w:rsidRPr="00E848EB" w:rsidRDefault="00BD6566" w:rsidP="00BD6566">
            <w:pPr>
              <w:spacing w:after="0" w:line="240" w:lineRule="auto"/>
              <w:jc w:val="center"/>
              <w:rPr>
                <w:rFonts w:eastAsia="Times New Roman" w:cs="Times New Roman"/>
                <w:color w:val="000000"/>
                <w:kern w:val="0"/>
                <w:sz w:val="20"/>
                <w:szCs w:val="20"/>
                <w14:ligatures w14:val="none"/>
              </w:rPr>
            </w:pPr>
            <w:r w:rsidRPr="00E848EB">
              <w:rPr>
                <w:rFonts w:cs="Times New Roman"/>
                <w:color w:val="000000"/>
                <w:sz w:val="20"/>
                <w:szCs w:val="20"/>
              </w:rPr>
              <w:t>1.00</w:t>
            </w:r>
          </w:p>
        </w:tc>
        <w:tc>
          <w:tcPr>
            <w:tcW w:w="1271" w:type="dxa"/>
            <w:tcBorders>
              <w:top w:val="single" w:sz="12" w:space="0" w:color="auto"/>
              <w:left w:val="nil"/>
              <w:bottom w:val="nil"/>
              <w:right w:val="single" w:sz="4" w:space="0" w:color="auto"/>
            </w:tcBorders>
            <w:shd w:val="clear" w:color="000000" w:fill="FFFFFF"/>
            <w:noWrap/>
            <w:tcMar>
              <w:left w:w="58" w:type="dxa"/>
              <w:right w:w="58" w:type="dxa"/>
            </w:tcMar>
            <w:vAlign w:val="bottom"/>
            <w:hideMark/>
          </w:tcPr>
          <w:p w14:paraId="0E563C90" w14:textId="4B66482D" w:rsidR="00BD6566" w:rsidRPr="00E848EB" w:rsidRDefault="00BD6566" w:rsidP="00BD6566">
            <w:pPr>
              <w:spacing w:after="0" w:line="240" w:lineRule="auto"/>
              <w:jc w:val="center"/>
              <w:rPr>
                <w:rFonts w:eastAsia="Times New Roman" w:cs="Times New Roman"/>
                <w:color w:val="000000"/>
                <w:kern w:val="0"/>
                <w:sz w:val="20"/>
                <w:szCs w:val="20"/>
                <w14:ligatures w14:val="none"/>
              </w:rPr>
            </w:pPr>
            <w:r w:rsidRPr="00E848EB">
              <w:rPr>
                <w:rFonts w:cs="Times New Roman"/>
                <w:color w:val="000000"/>
                <w:sz w:val="20"/>
                <w:szCs w:val="20"/>
              </w:rPr>
              <w:t>0.70</w:t>
            </w:r>
          </w:p>
        </w:tc>
        <w:tc>
          <w:tcPr>
            <w:tcW w:w="1170" w:type="dxa"/>
            <w:tcBorders>
              <w:top w:val="single" w:sz="12" w:space="0" w:color="auto"/>
              <w:left w:val="nil"/>
              <w:bottom w:val="nil"/>
              <w:right w:val="single" w:sz="4" w:space="0" w:color="auto"/>
            </w:tcBorders>
            <w:shd w:val="clear" w:color="000000" w:fill="FFFFFF"/>
            <w:noWrap/>
            <w:tcMar>
              <w:left w:w="58" w:type="dxa"/>
              <w:right w:w="58" w:type="dxa"/>
            </w:tcMar>
            <w:vAlign w:val="bottom"/>
            <w:hideMark/>
          </w:tcPr>
          <w:p w14:paraId="1D5E1FC7" w14:textId="4AF343AF" w:rsidR="00BD6566" w:rsidRPr="00E848EB" w:rsidRDefault="00BD6566" w:rsidP="00BD6566">
            <w:pPr>
              <w:spacing w:after="0" w:line="240" w:lineRule="auto"/>
              <w:jc w:val="center"/>
              <w:rPr>
                <w:rFonts w:eastAsia="Times New Roman" w:cs="Times New Roman"/>
                <w:color w:val="000000"/>
                <w:kern w:val="0"/>
                <w:sz w:val="20"/>
                <w:szCs w:val="20"/>
                <w14:ligatures w14:val="none"/>
              </w:rPr>
            </w:pPr>
            <w:r w:rsidRPr="00E848EB">
              <w:rPr>
                <w:rFonts w:cs="Times New Roman"/>
                <w:color w:val="000000"/>
                <w:sz w:val="20"/>
                <w:szCs w:val="20"/>
              </w:rPr>
              <w:t>0.50</w:t>
            </w:r>
          </w:p>
        </w:tc>
        <w:tc>
          <w:tcPr>
            <w:tcW w:w="963" w:type="dxa"/>
            <w:tcBorders>
              <w:top w:val="single" w:sz="12" w:space="0" w:color="auto"/>
              <w:left w:val="nil"/>
              <w:bottom w:val="nil"/>
              <w:right w:val="single" w:sz="4" w:space="0" w:color="auto"/>
            </w:tcBorders>
            <w:shd w:val="clear" w:color="000000" w:fill="FFFFFF"/>
            <w:noWrap/>
            <w:tcMar>
              <w:left w:w="58" w:type="dxa"/>
              <w:right w:w="58" w:type="dxa"/>
            </w:tcMar>
            <w:vAlign w:val="bottom"/>
            <w:hideMark/>
          </w:tcPr>
          <w:p w14:paraId="3EF5E95D" w14:textId="32ED9DD0" w:rsidR="00BD6566" w:rsidRPr="00E848EB" w:rsidRDefault="00BD6566" w:rsidP="00BD6566">
            <w:pPr>
              <w:spacing w:after="0" w:line="240" w:lineRule="auto"/>
              <w:jc w:val="center"/>
              <w:rPr>
                <w:rFonts w:eastAsia="Times New Roman" w:cs="Times New Roman"/>
                <w:color w:val="000000"/>
                <w:kern w:val="0"/>
                <w:sz w:val="20"/>
                <w:szCs w:val="20"/>
                <w14:ligatures w14:val="none"/>
              </w:rPr>
            </w:pPr>
            <w:r w:rsidRPr="00E848EB">
              <w:rPr>
                <w:rFonts w:cs="Times New Roman"/>
                <w:color w:val="000000"/>
                <w:sz w:val="20"/>
                <w:szCs w:val="20"/>
              </w:rPr>
              <w:t>0.41</w:t>
            </w:r>
          </w:p>
        </w:tc>
        <w:tc>
          <w:tcPr>
            <w:tcW w:w="946" w:type="dxa"/>
            <w:tcBorders>
              <w:top w:val="single" w:sz="12" w:space="0" w:color="auto"/>
              <w:left w:val="nil"/>
              <w:bottom w:val="nil"/>
              <w:right w:val="single" w:sz="4" w:space="0" w:color="auto"/>
            </w:tcBorders>
            <w:shd w:val="clear" w:color="000000" w:fill="FFFFFF"/>
            <w:noWrap/>
            <w:tcMar>
              <w:left w:w="58" w:type="dxa"/>
              <w:right w:w="58" w:type="dxa"/>
            </w:tcMar>
            <w:vAlign w:val="bottom"/>
            <w:hideMark/>
          </w:tcPr>
          <w:p w14:paraId="7B0666FA" w14:textId="0B748395" w:rsidR="00BD6566" w:rsidRPr="00E848EB" w:rsidRDefault="00BD6566" w:rsidP="00BD6566">
            <w:pPr>
              <w:spacing w:after="0" w:line="240" w:lineRule="auto"/>
              <w:jc w:val="center"/>
              <w:rPr>
                <w:rFonts w:eastAsia="Times New Roman" w:cs="Times New Roman"/>
                <w:color w:val="000000"/>
                <w:kern w:val="0"/>
                <w:sz w:val="20"/>
                <w:szCs w:val="20"/>
                <w14:ligatures w14:val="none"/>
              </w:rPr>
            </w:pPr>
            <w:r w:rsidRPr="00E848EB">
              <w:rPr>
                <w:rFonts w:cs="Times New Roman"/>
                <w:color w:val="000000"/>
                <w:sz w:val="20"/>
                <w:szCs w:val="20"/>
              </w:rPr>
              <w:t>0.18</w:t>
            </w:r>
          </w:p>
        </w:tc>
        <w:tc>
          <w:tcPr>
            <w:tcW w:w="1116" w:type="dxa"/>
            <w:tcBorders>
              <w:top w:val="single" w:sz="12" w:space="0" w:color="auto"/>
              <w:left w:val="nil"/>
              <w:bottom w:val="nil"/>
              <w:right w:val="single" w:sz="4" w:space="0" w:color="auto"/>
            </w:tcBorders>
            <w:shd w:val="clear" w:color="000000" w:fill="FFFFFF"/>
            <w:noWrap/>
            <w:tcMar>
              <w:left w:w="58" w:type="dxa"/>
              <w:right w:w="58" w:type="dxa"/>
            </w:tcMar>
            <w:vAlign w:val="bottom"/>
            <w:hideMark/>
          </w:tcPr>
          <w:p w14:paraId="3FA98EFD" w14:textId="69C335DC" w:rsidR="00BD6566" w:rsidRPr="00E848EB" w:rsidRDefault="00BD6566" w:rsidP="00BD6566">
            <w:pPr>
              <w:spacing w:after="0" w:line="240" w:lineRule="auto"/>
              <w:jc w:val="center"/>
              <w:rPr>
                <w:rFonts w:eastAsia="Times New Roman" w:cs="Times New Roman"/>
                <w:color w:val="000000"/>
                <w:kern w:val="0"/>
                <w:sz w:val="20"/>
                <w:szCs w:val="20"/>
                <w14:ligatures w14:val="none"/>
              </w:rPr>
            </w:pPr>
            <w:r w:rsidRPr="00E848EB">
              <w:rPr>
                <w:rFonts w:cs="Times New Roman"/>
                <w:color w:val="000000"/>
                <w:sz w:val="20"/>
                <w:szCs w:val="20"/>
              </w:rPr>
              <w:t>0.48</w:t>
            </w:r>
          </w:p>
        </w:tc>
        <w:tc>
          <w:tcPr>
            <w:tcW w:w="928" w:type="dxa"/>
            <w:tcBorders>
              <w:top w:val="single" w:sz="12" w:space="0" w:color="auto"/>
              <w:left w:val="nil"/>
              <w:bottom w:val="nil"/>
              <w:right w:val="single" w:sz="4" w:space="0" w:color="auto"/>
            </w:tcBorders>
            <w:shd w:val="clear" w:color="000000" w:fill="FFFFFF"/>
            <w:noWrap/>
            <w:tcMar>
              <w:left w:w="58" w:type="dxa"/>
              <w:right w:w="58" w:type="dxa"/>
            </w:tcMar>
            <w:vAlign w:val="bottom"/>
            <w:hideMark/>
          </w:tcPr>
          <w:p w14:paraId="66DF57A6" w14:textId="0D72F198" w:rsidR="00BD6566" w:rsidRPr="00E848EB" w:rsidRDefault="00BD6566" w:rsidP="00BD6566">
            <w:pPr>
              <w:spacing w:after="0" w:line="240" w:lineRule="auto"/>
              <w:jc w:val="center"/>
              <w:rPr>
                <w:rFonts w:eastAsia="Times New Roman" w:cs="Times New Roman"/>
                <w:color w:val="000000"/>
                <w:kern w:val="0"/>
                <w:sz w:val="20"/>
                <w:szCs w:val="20"/>
                <w14:ligatures w14:val="none"/>
              </w:rPr>
            </w:pPr>
            <w:r w:rsidRPr="00E848EB">
              <w:rPr>
                <w:rFonts w:cs="Times New Roman"/>
                <w:color w:val="000000"/>
                <w:sz w:val="20"/>
                <w:szCs w:val="20"/>
              </w:rPr>
              <w:t>0.</w:t>
            </w:r>
            <w:r w:rsidR="00810D04">
              <w:rPr>
                <w:rFonts w:cs="Times New Roman"/>
                <w:color w:val="000000"/>
                <w:sz w:val="20"/>
                <w:szCs w:val="20"/>
              </w:rPr>
              <w:t>1</w:t>
            </w:r>
            <w:r w:rsidRPr="00E848EB">
              <w:rPr>
                <w:rFonts w:cs="Times New Roman"/>
                <w:color w:val="000000"/>
                <w:sz w:val="20"/>
                <w:szCs w:val="20"/>
              </w:rPr>
              <w:t>4</w:t>
            </w:r>
          </w:p>
        </w:tc>
        <w:tc>
          <w:tcPr>
            <w:tcW w:w="1691" w:type="dxa"/>
            <w:tcBorders>
              <w:top w:val="single" w:sz="12" w:space="0" w:color="auto"/>
              <w:left w:val="nil"/>
              <w:bottom w:val="nil"/>
              <w:right w:val="single" w:sz="12" w:space="0" w:color="auto"/>
            </w:tcBorders>
            <w:shd w:val="clear" w:color="000000" w:fill="FFFFFF"/>
            <w:noWrap/>
            <w:tcMar>
              <w:left w:w="58" w:type="dxa"/>
              <w:right w:w="58" w:type="dxa"/>
            </w:tcMar>
            <w:vAlign w:val="bottom"/>
            <w:hideMark/>
          </w:tcPr>
          <w:p w14:paraId="2132700C" w14:textId="188ED2ED" w:rsidR="00BD6566" w:rsidRPr="00E848EB" w:rsidRDefault="00BD6566" w:rsidP="00BD6566">
            <w:pPr>
              <w:spacing w:after="0" w:line="240" w:lineRule="auto"/>
              <w:jc w:val="center"/>
              <w:rPr>
                <w:rFonts w:eastAsia="Times New Roman" w:cs="Times New Roman"/>
                <w:color w:val="000000"/>
                <w:kern w:val="0"/>
                <w:sz w:val="20"/>
                <w:szCs w:val="20"/>
                <w14:ligatures w14:val="none"/>
              </w:rPr>
            </w:pPr>
            <w:r w:rsidRPr="00E848EB">
              <w:rPr>
                <w:rFonts w:cs="Times New Roman"/>
                <w:color w:val="000000"/>
                <w:sz w:val="20"/>
                <w:szCs w:val="20"/>
              </w:rPr>
              <w:t>0.17</w:t>
            </w:r>
          </w:p>
        </w:tc>
      </w:tr>
      <w:tr w:rsidR="00BD6566" w:rsidRPr="00902D0F" w14:paraId="6B0D8C55" w14:textId="77777777" w:rsidTr="004A258E">
        <w:trPr>
          <w:trHeight w:val="432"/>
          <w:jc w:val="center"/>
        </w:trPr>
        <w:tc>
          <w:tcPr>
            <w:tcW w:w="3675" w:type="dxa"/>
            <w:tcBorders>
              <w:top w:val="nil"/>
              <w:left w:val="single" w:sz="12" w:space="0" w:color="auto"/>
              <w:bottom w:val="nil"/>
              <w:right w:val="single" w:sz="12" w:space="0" w:color="auto"/>
            </w:tcBorders>
            <w:shd w:val="clear" w:color="000000" w:fill="FFFFFF"/>
            <w:tcMar>
              <w:left w:w="58" w:type="dxa"/>
              <w:right w:w="58" w:type="dxa"/>
            </w:tcMar>
            <w:vAlign w:val="center"/>
            <w:hideMark/>
          </w:tcPr>
          <w:p w14:paraId="738F36AB" w14:textId="78F3758C" w:rsidR="00BD6566" w:rsidRPr="00902D0F" w:rsidRDefault="00BD6566" w:rsidP="00BD6566">
            <w:pPr>
              <w:spacing w:after="0" w:line="240" w:lineRule="auto"/>
              <w:rPr>
                <w:rFonts w:eastAsia="Times New Roman" w:cs="Times New Roman"/>
                <w:b/>
                <w:bCs/>
                <w:color w:val="000000"/>
                <w:kern w:val="0"/>
                <w:sz w:val="20"/>
                <w:szCs w:val="20"/>
                <w14:ligatures w14:val="none"/>
              </w:rPr>
            </w:pPr>
            <w:r w:rsidRPr="00902D0F">
              <w:rPr>
                <w:rFonts w:eastAsia="Times New Roman" w:cs="Times New Roman"/>
                <w:b/>
                <w:bCs/>
                <w:color w:val="000000"/>
                <w:kern w:val="0"/>
                <w:sz w:val="20"/>
                <w:szCs w:val="20"/>
                <w14:ligatures w14:val="none"/>
              </w:rPr>
              <w:t xml:space="preserve">Being close to </w:t>
            </w:r>
            <w:r w:rsidR="004A258E">
              <w:rPr>
                <w:rFonts w:eastAsia="Times New Roman" w:cs="Times New Roman"/>
                <w:b/>
                <w:bCs/>
                <w:color w:val="000000"/>
                <w:kern w:val="0"/>
                <w:sz w:val="20"/>
                <w:szCs w:val="20"/>
                <w14:ligatures w14:val="none"/>
              </w:rPr>
              <w:t>f</w:t>
            </w:r>
            <w:r w:rsidRPr="00902D0F">
              <w:rPr>
                <w:rFonts w:eastAsia="Times New Roman" w:cs="Times New Roman"/>
                <w:b/>
                <w:bCs/>
                <w:color w:val="000000"/>
                <w:kern w:val="0"/>
                <w:sz w:val="20"/>
                <w:szCs w:val="20"/>
                <w14:ligatures w14:val="none"/>
              </w:rPr>
              <w:t xml:space="preserve">amily and </w:t>
            </w:r>
            <w:r w:rsidR="004A258E">
              <w:rPr>
                <w:rFonts w:eastAsia="Times New Roman" w:cs="Times New Roman"/>
                <w:b/>
                <w:bCs/>
                <w:color w:val="000000"/>
                <w:kern w:val="0"/>
                <w:sz w:val="20"/>
                <w:szCs w:val="20"/>
                <w14:ligatures w14:val="none"/>
              </w:rPr>
              <w:t>f</w:t>
            </w:r>
            <w:r w:rsidRPr="00902D0F">
              <w:rPr>
                <w:rFonts w:eastAsia="Times New Roman" w:cs="Times New Roman"/>
                <w:b/>
                <w:bCs/>
                <w:color w:val="000000"/>
                <w:kern w:val="0"/>
                <w:sz w:val="20"/>
                <w:szCs w:val="20"/>
                <w14:ligatures w14:val="none"/>
              </w:rPr>
              <w:t>riends</w:t>
            </w:r>
          </w:p>
        </w:tc>
        <w:tc>
          <w:tcPr>
            <w:tcW w:w="1339" w:type="dxa"/>
            <w:tcBorders>
              <w:top w:val="nil"/>
              <w:left w:val="single" w:sz="12" w:space="0" w:color="auto"/>
              <w:bottom w:val="nil"/>
              <w:right w:val="single" w:sz="4" w:space="0" w:color="auto"/>
            </w:tcBorders>
            <w:shd w:val="clear" w:color="000000" w:fill="FFFFFF"/>
            <w:noWrap/>
            <w:tcMar>
              <w:left w:w="58" w:type="dxa"/>
              <w:right w:w="58" w:type="dxa"/>
            </w:tcMar>
            <w:vAlign w:val="bottom"/>
            <w:hideMark/>
          </w:tcPr>
          <w:p w14:paraId="5831461D" w14:textId="695A9A68" w:rsidR="00BD6566" w:rsidRPr="00E848EB" w:rsidRDefault="00BD6566" w:rsidP="00BD6566">
            <w:pPr>
              <w:spacing w:after="0" w:line="240" w:lineRule="auto"/>
              <w:jc w:val="center"/>
              <w:rPr>
                <w:rFonts w:eastAsia="Times New Roman" w:cs="Times New Roman"/>
                <w:color w:val="000000"/>
                <w:kern w:val="0"/>
                <w:sz w:val="20"/>
                <w:szCs w:val="20"/>
                <w14:ligatures w14:val="none"/>
              </w:rPr>
            </w:pPr>
          </w:p>
        </w:tc>
        <w:tc>
          <w:tcPr>
            <w:tcW w:w="1271" w:type="dxa"/>
            <w:tcBorders>
              <w:top w:val="nil"/>
              <w:left w:val="nil"/>
              <w:bottom w:val="nil"/>
              <w:right w:val="single" w:sz="4" w:space="0" w:color="auto"/>
            </w:tcBorders>
            <w:shd w:val="clear" w:color="000000" w:fill="FFFFFF"/>
            <w:noWrap/>
            <w:tcMar>
              <w:left w:w="58" w:type="dxa"/>
              <w:right w:w="58" w:type="dxa"/>
            </w:tcMar>
            <w:vAlign w:val="bottom"/>
            <w:hideMark/>
          </w:tcPr>
          <w:p w14:paraId="755BBA72" w14:textId="0A42DE7C" w:rsidR="00BD6566" w:rsidRPr="00E848EB" w:rsidRDefault="00BD6566" w:rsidP="00BD6566">
            <w:pPr>
              <w:spacing w:after="0" w:line="240" w:lineRule="auto"/>
              <w:jc w:val="center"/>
              <w:rPr>
                <w:rFonts w:eastAsia="Times New Roman" w:cs="Times New Roman"/>
                <w:color w:val="000000"/>
                <w:kern w:val="0"/>
                <w:sz w:val="20"/>
                <w:szCs w:val="20"/>
                <w14:ligatures w14:val="none"/>
              </w:rPr>
            </w:pPr>
            <w:r w:rsidRPr="00E848EB">
              <w:rPr>
                <w:rFonts w:cs="Times New Roman"/>
                <w:color w:val="000000"/>
                <w:sz w:val="20"/>
                <w:szCs w:val="20"/>
              </w:rPr>
              <w:t>0.98</w:t>
            </w:r>
          </w:p>
        </w:tc>
        <w:tc>
          <w:tcPr>
            <w:tcW w:w="1170" w:type="dxa"/>
            <w:tcBorders>
              <w:top w:val="nil"/>
              <w:left w:val="nil"/>
              <w:bottom w:val="nil"/>
              <w:right w:val="single" w:sz="4" w:space="0" w:color="auto"/>
            </w:tcBorders>
            <w:shd w:val="clear" w:color="000000" w:fill="FFFFFF"/>
            <w:noWrap/>
            <w:tcMar>
              <w:left w:w="58" w:type="dxa"/>
              <w:right w:w="58" w:type="dxa"/>
            </w:tcMar>
            <w:vAlign w:val="bottom"/>
            <w:hideMark/>
          </w:tcPr>
          <w:p w14:paraId="5B0CA78A" w14:textId="28693E4B" w:rsidR="00BD6566" w:rsidRPr="00E848EB" w:rsidRDefault="00BD6566" w:rsidP="00BD6566">
            <w:pPr>
              <w:spacing w:after="0" w:line="240" w:lineRule="auto"/>
              <w:jc w:val="center"/>
              <w:rPr>
                <w:rFonts w:eastAsia="Times New Roman" w:cs="Times New Roman"/>
                <w:color w:val="000000"/>
                <w:kern w:val="0"/>
                <w:sz w:val="20"/>
                <w:szCs w:val="20"/>
                <w14:ligatures w14:val="none"/>
              </w:rPr>
            </w:pPr>
            <w:r w:rsidRPr="00E848EB">
              <w:rPr>
                <w:rFonts w:cs="Times New Roman"/>
                <w:color w:val="000000"/>
                <w:sz w:val="20"/>
                <w:szCs w:val="20"/>
              </w:rPr>
              <w:t>0.71</w:t>
            </w:r>
          </w:p>
        </w:tc>
        <w:tc>
          <w:tcPr>
            <w:tcW w:w="963" w:type="dxa"/>
            <w:tcBorders>
              <w:top w:val="nil"/>
              <w:left w:val="nil"/>
              <w:bottom w:val="nil"/>
              <w:right w:val="single" w:sz="4" w:space="0" w:color="auto"/>
            </w:tcBorders>
            <w:shd w:val="clear" w:color="000000" w:fill="FFFFFF"/>
            <w:noWrap/>
            <w:tcMar>
              <w:left w:w="58" w:type="dxa"/>
              <w:right w:w="58" w:type="dxa"/>
            </w:tcMar>
            <w:vAlign w:val="bottom"/>
            <w:hideMark/>
          </w:tcPr>
          <w:p w14:paraId="0F844A5A" w14:textId="3354E12D" w:rsidR="00BD6566" w:rsidRPr="00E848EB" w:rsidRDefault="00BD6566" w:rsidP="00BD6566">
            <w:pPr>
              <w:spacing w:after="0" w:line="240" w:lineRule="auto"/>
              <w:jc w:val="center"/>
              <w:rPr>
                <w:rFonts w:eastAsia="Times New Roman" w:cs="Times New Roman"/>
                <w:color w:val="000000"/>
                <w:kern w:val="0"/>
                <w:sz w:val="20"/>
                <w:szCs w:val="20"/>
                <w14:ligatures w14:val="none"/>
              </w:rPr>
            </w:pPr>
            <w:r w:rsidRPr="00E848EB">
              <w:rPr>
                <w:rFonts w:cs="Times New Roman"/>
                <w:color w:val="000000"/>
                <w:sz w:val="20"/>
                <w:szCs w:val="20"/>
              </w:rPr>
              <w:t>0.64</w:t>
            </w:r>
          </w:p>
        </w:tc>
        <w:tc>
          <w:tcPr>
            <w:tcW w:w="946" w:type="dxa"/>
            <w:tcBorders>
              <w:top w:val="nil"/>
              <w:left w:val="nil"/>
              <w:bottom w:val="nil"/>
              <w:right w:val="single" w:sz="4" w:space="0" w:color="auto"/>
            </w:tcBorders>
            <w:shd w:val="clear" w:color="000000" w:fill="FFFFFF"/>
            <w:noWrap/>
            <w:tcMar>
              <w:left w:w="58" w:type="dxa"/>
              <w:right w:w="58" w:type="dxa"/>
            </w:tcMar>
            <w:vAlign w:val="bottom"/>
            <w:hideMark/>
          </w:tcPr>
          <w:p w14:paraId="612523C7" w14:textId="30924377" w:rsidR="00BD6566" w:rsidRPr="00E848EB" w:rsidRDefault="00BD6566" w:rsidP="00BD6566">
            <w:pPr>
              <w:spacing w:after="0" w:line="240" w:lineRule="auto"/>
              <w:jc w:val="center"/>
              <w:rPr>
                <w:rFonts w:eastAsia="Times New Roman" w:cs="Times New Roman"/>
                <w:color w:val="000000"/>
                <w:kern w:val="0"/>
                <w:sz w:val="20"/>
                <w:szCs w:val="20"/>
                <w14:ligatures w14:val="none"/>
              </w:rPr>
            </w:pPr>
            <w:r w:rsidRPr="00E848EB">
              <w:rPr>
                <w:rFonts w:cs="Times New Roman"/>
                <w:color w:val="000000"/>
                <w:sz w:val="20"/>
                <w:szCs w:val="20"/>
              </w:rPr>
              <w:t>0.35</w:t>
            </w:r>
          </w:p>
        </w:tc>
        <w:tc>
          <w:tcPr>
            <w:tcW w:w="1116" w:type="dxa"/>
            <w:tcBorders>
              <w:top w:val="nil"/>
              <w:left w:val="nil"/>
              <w:bottom w:val="nil"/>
              <w:right w:val="single" w:sz="4" w:space="0" w:color="auto"/>
            </w:tcBorders>
            <w:shd w:val="clear" w:color="000000" w:fill="FFFFFF"/>
            <w:noWrap/>
            <w:tcMar>
              <w:left w:w="58" w:type="dxa"/>
              <w:right w:w="58" w:type="dxa"/>
            </w:tcMar>
            <w:vAlign w:val="bottom"/>
            <w:hideMark/>
          </w:tcPr>
          <w:p w14:paraId="68DA7543" w14:textId="1B54F68E" w:rsidR="00BD6566" w:rsidRPr="00E848EB" w:rsidRDefault="00BD6566" w:rsidP="00BD6566">
            <w:pPr>
              <w:spacing w:after="0" w:line="240" w:lineRule="auto"/>
              <w:jc w:val="center"/>
              <w:rPr>
                <w:rFonts w:eastAsia="Times New Roman" w:cs="Times New Roman"/>
                <w:color w:val="000000"/>
                <w:kern w:val="0"/>
                <w:sz w:val="20"/>
                <w:szCs w:val="20"/>
                <w14:ligatures w14:val="none"/>
              </w:rPr>
            </w:pPr>
            <w:r w:rsidRPr="00E848EB">
              <w:rPr>
                <w:rFonts w:cs="Times New Roman"/>
                <w:color w:val="000000"/>
                <w:sz w:val="20"/>
                <w:szCs w:val="20"/>
              </w:rPr>
              <w:t>0.46</w:t>
            </w:r>
          </w:p>
        </w:tc>
        <w:tc>
          <w:tcPr>
            <w:tcW w:w="928" w:type="dxa"/>
            <w:tcBorders>
              <w:top w:val="nil"/>
              <w:left w:val="nil"/>
              <w:bottom w:val="nil"/>
              <w:right w:val="single" w:sz="4" w:space="0" w:color="auto"/>
            </w:tcBorders>
            <w:shd w:val="clear" w:color="000000" w:fill="FFFFFF"/>
            <w:noWrap/>
            <w:tcMar>
              <w:left w:w="58" w:type="dxa"/>
              <w:right w:w="58" w:type="dxa"/>
            </w:tcMar>
            <w:vAlign w:val="bottom"/>
            <w:hideMark/>
          </w:tcPr>
          <w:p w14:paraId="1FD181BB" w14:textId="3BFF40D8" w:rsidR="00BD6566" w:rsidRPr="00E848EB" w:rsidRDefault="00BD6566" w:rsidP="00BD6566">
            <w:pPr>
              <w:spacing w:after="0" w:line="240" w:lineRule="auto"/>
              <w:jc w:val="center"/>
              <w:rPr>
                <w:rFonts w:eastAsia="Times New Roman" w:cs="Times New Roman"/>
                <w:color w:val="000000"/>
                <w:kern w:val="0"/>
                <w:sz w:val="20"/>
                <w:szCs w:val="20"/>
                <w14:ligatures w14:val="none"/>
              </w:rPr>
            </w:pPr>
            <w:r w:rsidRPr="00E848EB">
              <w:rPr>
                <w:rFonts w:cs="Times New Roman"/>
                <w:color w:val="000000"/>
                <w:sz w:val="20"/>
                <w:szCs w:val="20"/>
              </w:rPr>
              <w:t>0.13</w:t>
            </w:r>
          </w:p>
        </w:tc>
        <w:tc>
          <w:tcPr>
            <w:tcW w:w="1691" w:type="dxa"/>
            <w:tcBorders>
              <w:top w:val="nil"/>
              <w:left w:val="nil"/>
              <w:bottom w:val="nil"/>
              <w:right w:val="single" w:sz="12" w:space="0" w:color="auto"/>
            </w:tcBorders>
            <w:shd w:val="clear" w:color="000000" w:fill="FFFFFF"/>
            <w:noWrap/>
            <w:tcMar>
              <w:left w:w="58" w:type="dxa"/>
              <w:right w:w="58" w:type="dxa"/>
            </w:tcMar>
            <w:vAlign w:val="bottom"/>
            <w:hideMark/>
          </w:tcPr>
          <w:p w14:paraId="436A961C" w14:textId="0056AB2A" w:rsidR="00BD6566" w:rsidRPr="00E848EB" w:rsidRDefault="00BD6566" w:rsidP="00BD6566">
            <w:pPr>
              <w:spacing w:after="0" w:line="240" w:lineRule="auto"/>
              <w:jc w:val="center"/>
              <w:rPr>
                <w:rFonts w:eastAsia="Times New Roman" w:cs="Times New Roman"/>
                <w:color w:val="000000"/>
                <w:kern w:val="0"/>
                <w:sz w:val="20"/>
                <w:szCs w:val="20"/>
                <w14:ligatures w14:val="none"/>
              </w:rPr>
            </w:pPr>
            <w:r w:rsidRPr="00E848EB">
              <w:rPr>
                <w:rFonts w:cs="Times New Roman"/>
                <w:color w:val="000000"/>
                <w:sz w:val="20"/>
                <w:szCs w:val="20"/>
              </w:rPr>
              <w:t>0.19</w:t>
            </w:r>
          </w:p>
        </w:tc>
      </w:tr>
      <w:tr w:rsidR="00BD6566" w:rsidRPr="00902D0F" w14:paraId="2770DB7A" w14:textId="77777777" w:rsidTr="004A258E">
        <w:trPr>
          <w:trHeight w:val="432"/>
          <w:jc w:val="center"/>
        </w:trPr>
        <w:tc>
          <w:tcPr>
            <w:tcW w:w="3675" w:type="dxa"/>
            <w:tcBorders>
              <w:top w:val="nil"/>
              <w:left w:val="single" w:sz="12" w:space="0" w:color="auto"/>
              <w:bottom w:val="nil"/>
              <w:right w:val="single" w:sz="12" w:space="0" w:color="auto"/>
            </w:tcBorders>
            <w:shd w:val="clear" w:color="000000" w:fill="FFFFFF"/>
            <w:tcMar>
              <w:left w:w="58" w:type="dxa"/>
              <w:right w:w="58" w:type="dxa"/>
            </w:tcMar>
            <w:vAlign w:val="center"/>
            <w:hideMark/>
          </w:tcPr>
          <w:p w14:paraId="01CD82C2" w14:textId="2AE57998" w:rsidR="00BD6566" w:rsidRPr="00902D0F" w:rsidRDefault="00BD6566" w:rsidP="00BD6566">
            <w:pPr>
              <w:spacing w:after="0" w:line="240" w:lineRule="auto"/>
              <w:rPr>
                <w:rFonts w:eastAsia="Times New Roman" w:cs="Times New Roman"/>
                <w:b/>
                <w:bCs/>
                <w:color w:val="000000"/>
                <w:kern w:val="0"/>
                <w:sz w:val="20"/>
                <w:szCs w:val="20"/>
                <w14:ligatures w14:val="none"/>
              </w:rPr>
            </w:pPr>
            <w:r w:rsidRPr="00902D0F">
              <w:rPr>
                <w:rFonts w:eastAsia="Times New Roman" w:cs="Times New Roman"/>
                <w:b/>
                <w:bCs/>
                <w:color w:val="000000"/>
                <w:kern w:val="0"/>
                <w:sz w:val="20"/>
                <w:szCs w:val="20"/>
                <w14:ligatures w14:val="none"/>
              </w:rPr>
              <w:t xml:space="preserve">Access to </w:t>
            </w:r>
            <w:r w:rsidR="004A258E">
              <w:rPr>
                <w:rFonts w:eastAsia="Times New Roman" w:cs="Times New Roman"/>
                <w:b/>
                <w:bCs/>
                <w:color w:val="000000"/>
                <w:kern w:val="0"/>
                <w:sz w:val="20"/>
                <w:szCs w:val="20"/>
                <w14:ligatures w14:val="none"/>
              </w:rPr>
              <w:t>c</w:t>
            </w:r>
            <w:r w:rsidRPr="00902D0F">
              <w:rPr>
                <w:rFonts w:eastAsia="Times New Roman" w:cs="Times New Roman"/>
                <w:b/>
                <w:bCs/>
                <w:color w:val="000000"/>
                <w:kern w:val="0"/>
                <w:sz w:val="20"/>
                <w:szCs w:val="20"/>
                <w14:ligatures w14:val="none"/>
              </w:rPr>
              <w:t xml:space="preserve">ultural </w:t>
            </w:r>
            <w:r w:rsidR="004A258E">
              <w:rPr>
                <w:rFonts w:eastAsia="Times New Roman" w:cs="Times New Roman"/>
                <w:b/>
                <w:bCs/>
                <w:color w:val="000000"/>
                <w:kern w:val="0"/>
                <w:sz w:val="20"/>
                <w:szCs w:val="20"/>
                <w14:ligatures w14:val="none"/>
              </w:rPr>
              <w:t>c</w:t>
            </w:r>
            <w:r w:rsidRPr="00902D0F">
              <w:rPr>
                <w:rFonts w:eastAsia="Times New Roman" w:cs="Times New Roman"/>
                <w:b/>
                <w:bCs/>
                <w:color w:val="000000"/>
                <w:kern w:val="0"/>
                <w:sz w:val="20"/>
                <w:szCs w:val="20"/>
                <w14:ligatures w14:val="none"/>
              </w:rPr>
              <w:t xml:space="preserve">enters and </w:t>
            </w:r>
            <w:r w:rsidR="004A258E">
              <w:rPr>
                <w:rFonts w:eastAsia="Times New Roman" w:cs="Times New Roman"/>
                <w:b/>
                <w:bCs/>
                <w:color w:val="000000"/>
                <w:kern w:val="0"/>
                <w:sz w:val="20"/>
                <w:szCs w:val="20"/>
                <w14:ligatures w14:val="none"/>
              </w:rPr>
              <w:t>a</w:t>
            </w:r>
            <w:r w:rsidRPr="00902D0F">
              <w:rPr>
                <w:rFonts w:eastAsia="Times New Roman" w:cs="Times New Roman"/>
                <w:b/>
                <w:bCs/>
                <w:color w:val="000000"/>
                <w:kern w:val="0"/>
                <w:sz w:val="20"/>
                <w:szCs w:val="20"/>
                <w14:ligatures w14:val="none"/>
              </w:rPr>
              <w:t>ctivities</w:t>
            </w:r>
          </w:p>
        </w:tc>
        <w:tc>
          <w:tcPr>
            <w:tcW w:w="1339" w:type="dxa"/>
            <w:tcBorders>
              <w:top w:val="nil"/>
              <w:left w:val="single" w:sz="12" w:space="0" w:color="auto"/>
              <w:bottom w:val="nil"/>
              <w:right w:val="single" w:sz="4" w:space="0" w:color="auto"/>
            </w:tcBorders>
            <w:shd w:val="clear" w:color="000000" w:fill="FFFFFF"/>
            <w:noWrap/>
            <w:tcMar>
              <w:left w:w="58" w:type="dxa"/>
              <w:right w:w="58" w:type="dxa"/>
            </w:tcMar>
            <w:vAlign w:val="bottom"/>
            <w:hideMark/>
          </w:tcPr>
          <w:p w14:paraId="441DF2EA" w14:textId="77E95914" w:rsidR="00BD6566" w:rsidRPr="00E848EB" w:rsidRDefault="00BD6566" w:rsidP="00BD6566">
            <w:pPr>
              <w:spacing w:after="0" w:line="240" w:lineRule="auto"/>
              <w:jc w:val="center"/>
              <w:rPr>
                <w:rFonts w:eastAsia="Times New Roman" w:cs="Times New Roman"/>
                <w:color w:val="000000"/>
                <w:kern w:val="0"/>
                <w:sz w:val="20"/>
                <w:szCs w:val="20"/>
                <w14:ligatures w14:val="none"/>
              </w:rPr>
            </w:pPr>
          </w:p>
        </w:tc>
        <w:tc>
          <w:tcPr>
            <w:tcW w:w="1271" w:type="dxa"/>
            <w:tcBorders>
              <w:top w:val="nil"/>
              <w:left w:val="nil"/>
              <w:bottom w:val="nil"/>
              <w:right w:val="single" w:sz="4" w:space="0" w:color="auto"/>
            </w:tcBorders>
            <w:shd w:val="clear" w:color="000000" w:fill="FFFFFF"/>
            <w:noWrap/>
            <w:tcMar>
              <w:left w:w="58" w:type="dxa"/>
              <w:right w:w="58" w:type="dxa"/>
            </w:tcMar>
            <w:vAlign w:val="bottom"/>
            <w:hideMark/>
          </w:tcPr>
          <w:p w14:paraId="4BFCDBD1" w14:textId="4E0B4362" w:rsidR="00BD6566" w:rsidRPr="00E848EB" w:rsidRDefault="00BD6566" w:rsidP="00BD6566">
            <w:pPr>
              <w:spacing w:after="0" w:line="240" w:lineRule="auto"/>
              <w:jc w:val="center"/>
              <w:rPr>
                <w:rFonts w:eastAsia="Times New Roman" w:cs="Times New Roman"/>
                <w:color w:val="000000"/>
                <w:kern w:val="0"/>
                <w:sz w:val="20"/>
                <w:szCs w:val="20"/>
                <w14:ligatures w14:val="none"/>
              </w:rPr>
            </w:pPr>
          </w:p>
        </w:tc>
        <w:tc>
          <w:tcPr>
            <w:tcW w:w="1170" w:type="dxa"/>
            <w:tcBorders>
              <w:top w:val="nil"/>
              <w:left w:val="nil"/>
              <w:bottom w:val="nil"/>
              <w:right w:val="single" w:sz="4" w:space="0" w:color="auto"/>
            </w:tcBorders>
            <w:shd w:val="clear" w:color="000000" w:fill="FFFFFF"/>
            <w:noWrap/>
            <w:tcMar>
              <w:left w:w="58" w:type="dxa"/>
              <w:right w:w="58" w:type="dxa"/>
            </w:tcMar>
            <w:vAlign w:val="bottom"/>
            <w:hideMark/>
          </w:tcPr>
          <w:p w14:paraId="3E89C57B" w14:textId="1A30AE67" w:rsidR="00BD6566" w:rsidRPr="00E848EB" w:rsidRDefault="00BD6566" w:rsidP="00BD6566">
            <w:pPr>
              <w:spacing w:after="0" w:line="240" w:lineRule="auto"/>
              <w:jc w:val="center"/>
              <w:rPr>
                <w:rFonts w:eastAsia="Times New Roman" w:cs="Times New Roman"/>
                <w:color w:val="000000"/>
                <w:kern w:val="0"/>
                <w:sz w:val="20"/>
                <w:szCs w:val="20"/>
                <w14:ligatures w14:val="none"/>
              </w:rPr>
            </w:pPr>
            <w:r w:rsidRPr="00E848EB">
              <w:rPr>
                <w:rFonts w:cs="Times New Roman"/>
                <w:color w:val="000000"/>
                <w:sz w:val="20"/>
                <w:szCs w:val="20"/>
              </w:rPr>
              <w:t>1.10</w:t>
            </w:r>
          </w:p>
        </w:tc>
        <w:tc>
          <w:tcPr>
            <w:tcW w:w="963" w:type="dxa"/>
            <w:tcBorders>
              <w:top w:val="nil"/>
              <w:left w:val="nil"/>
              <w:bottom w:val="nil"/>
              <w:right w:val="single" w:sz="4" w:space="0" w:color="auto"/>
            </w:tcBorders>
            <w:shd w:val="clear" w:color="000000" w:fill="FFFFFF"/>
            <w:noWrap/>
            <w:tcMar>
              <w:left w:w="58" w:type="dxa"/>
              <w:right w:w="58" w:type="dxa"/>
            </w:tcMar>
            <w:vAlign w:val="bottom"/>
            <w:hideMark/>
          </w:tcPr>
          <w:p w14:paraId="4669D062" w14:textId="73DC65FF" w:rsidR="00BD6566" w:rsidRPr="00E848EB" w:rsidRDefault="00BD6566" w:rsidP="00BD6566">
            <w:pPr>
              <w:spacing w:after="0" w:line="240" w:lineRule="auto"/>
              <w:jc w:val="center"/>
              <w:rPr>
                <w:rFonts w:eastAsia="Times New Roman" w:cs="Times New Roman"/>
                <w:color w:val="000000"/>
                <w:kern w:val="0"/>
                <w:sz w:val="20"/>
                <w:szCs w:val="20"/>
                <w14:ligatures w14:val="none"/>
              </w:rPr>
            </w:pPr>
            <w:r w:rsidRPr="00E848EB">
              <w:rPr>
                <w:rFonts w:cs="Times New Roman"/>
                <w:color w:val="000000"/>
                <w:sz w:val="20"/>
                <w:szCs w:val="20"/>
              </w:rPr>
              <w:t>0.74</w:t>
            </w:r>
          </w:p>
        </w:tc>
        <w:tc>
          <w:tcPr>
            <w:tcW w:w="946" w:type="dxa"/>
            <w:tcBorders>
              <w:top w:val="nil"/>
              <w:left w:val="nil"/>
              <w:bottom w:val="nil"/>
              <w:right w:val="single" w:sz="4" w:space="0" w:color="auto"/>
            </w:tcBorders>
            <w:shd w:val="clear" w:color="000000" w:fill="FFFFFF"/>
            <w:noWrap/>
            <w:tcMar>
              <w:left w:w="58" w:type="dxa"/>
              <w:right w:w="58" w:type="dxa"/>
            </w:tcMar>
            <w:vAlign w:val="bottom"/>
            <w:hideMark/>
          </w:tcPr>
          <w:p w14:paraId="646C0B21" w14:textId="1F81FF33" w:rsidR="00BD6566" w:rsidRPr="00E848EB" w:rsidRDefault="00BD6566" w:rsidP="00BD6566">
            <w:pPr>
              <w:spacing w:after="0" w:line="240" w:lineRule="auto"/>
              <w:jc w:val="center"/>
              <w:rPr>
                <w:rFonts w:eastAsia="Times New Roman" w:cs="Times New Roman"/>
                <w:color w:val="000000"/>
                <w:kern w:val="0"/>
                <w:sz w:val="20"/>
                <w:szCs w:val="20"/>
                <w14:ligatures w14:val="none"/>
              </w:rPr>
            </w:pPr>
            <w:r w:rsidRPr="00E848EB">
              <w:rPr>
                <w:rFonts w:cs="Times New Roman"/>
                <w:color w:val="000000"/>
                <w:sz w:val="20"/>
                <w:szCs w:val="20"/>
              </w:rPr>
              <w:t>0.46</w:t>
            </w:r>
          </w:p>
        </w:tc>
        <w:tc>
          <w:tcPr>
            <w:tcW w:w="1116" w:type="dxa"/>
            <w:tcBorders>
              <w:top w:val="nil"/>
              <w:left w:val="nil"/>
              <w:bottom w:val="nil"/>
              <w:right w:val="single" w:sz="4" w:space="0" w:color="auto"/>
            </w:tcBorders>
            <w:shd w:val="clear" w:color="000000" w:fill="FFFFFF"/>
            <w:noWrap/>
            <w:tcMar>
              <w:left w:w="58" w:type="dxa"/>
              <w:right w:w="58" w:type="dxa"/>
            </w:tcMar>
            <w:vAlign w:val="bottom"/>
            <w:hideMark/>
          </w:tcPr>
          <w:p w14:paraId="1FF3CE6D" w14:textId="72391477" w:rsidR="00BD6566" w:rsidRPr="00E848EB" w:rsidRDefault="00BD6566" w:rsidP="00BD6566">
            <w:pPr>
              <w:spacing w:after="0" w:line="240" w:lineRule="auto"/>
              <w:jc w:val="center"/>
              <w:rPr>
                <w:rFonts w:eastAsia="Times New Roman" w:cs="Times New Roman"/>
                <w:color w:val="000000"/>
                <w:kern w:val="0"/>
                <w:sz w:val="20"/>
                <w:szCs w:val="20"/>
                <w14:ligatures w14:val="none"/>
              </w:rPr>
            </w:pPr>
            <w:r w:rsidRPr="00E848EB">
              <w:rPr>
                <w:rFonts w:cs="Times New Roman"/>
                <w:color w:val="000000"/>
                <w:sz w:val="20"/>
                <w:szCs w:val="20"/>
              </w:rPr>
              <w:t>0.44</w:t>
            </w:r>
          </w:p>
        </w:tc>
        <w:tc>
          <w:tcPr>
            <w:tcW w:w="928" w:type="dxa"/>
            <w:tcBorders>
              <w:top w:val="nil"/>
              <w:left w:val="nil"/>
              <w:bottom w:val="nil"/>
              <w:right w:val="single" w:sz="4" w:space="0" w:color="auto"/>
            </w:tcBorders>
            <w:shd w:val="clear" w:color="000000" w:fill="FFFFFF"/>
            <w:noWrap/>
            <w:tcMar>
              <w:left w:w="58" w:type="dxa"/>
              <w:right w:w="58" w:type="dxa"/>
            </w:tcMar>
            <w:vAlign w:val="bottom"/>
            <w:hideMark/>
          </w:tcPr>
          <w:p w14:paraId="6742F27A" w14:textId="476F69E7" w:rsidR="00BD6566" w:rsidRPr="00E848EB" w:rsidRDefault="00BD6566" w:rsidP="00BD6566">
            <w:pPr>
              <w:spacing w:after="0" w:line="240" w:lineRule="auto"/>
              <w:jc w:val="center"/>
              <w:rPr>
                <w:rFonts w:eastAsia="Times New Roman" w:cs="Times New Roman"/>
                <w:color w:val="000000"/>
                <w:kern w:val="0"/>
                <w:sz w:val="20"/>
                <w:szCs w:val="20"/>
                <w14:ligatures w14:val="none"/>
              </w:rPr>
            </w:pPr>
            <w:r w:rsidRPr="00E848EB">
              <w:rPr>
                <w:rFonts w:cs="Times New Roman"/>
                <w:color w:val="000000"/>
                <w:sz w:val="20"/>
                <w:szCs w:val="20"/>
              </w:rPr>
              <w:t>0.40</w:t>
            </w:r>
          </w:p>
        </w:tc>
        <w:tc>
          <w:tcPr>
            <w:tcW w:w="1691" w:type="dxa"/>
            <w:tcBorders>
              <w:top w:val="nil"/>
              <w:left w:val="nil"/>
              <w:bottom w:val="nil"/>
              <w:right w:val="single" w:sz="12" w:space="0" w:color="auto"/>
            </w:tcBorders>
            <w:shd w:val="clear" w:color="000000" w:fill="FFFFFF"/>
            <w:noWrap/>
            <w:tcMar>
              <w:left w:w="58" w:type="dxa"/>
              <w:right w:w="58" w:type="dxa"/>
            </w:tcMar>
            <w:vAlign w:val="bottom"/>
            <w:hideMark/>
          </w:tcPr>
          <w:p w14:paraId="0E5D2C15" w14:textId="3392415A" w:rsidR="00BD6566" w:rsidRPr="00E848EB" w:rsidRDefault="00BD6566" w:rsidP="00BD6566">
            <w:pPr>
              <w:spacing w:after="0" w:line="240" w:lineRule="auto"/>
              <w:jc w:val="center"/>
              <w:rPr>
                <w:rFonts w:eastAsia="Times New Roman" w:cs="Times New Roman"/>
                <w:color w:val="000000"/>
                <w:kern w:val="0"/>
                <w:sz w:val="20"/>
                <w:szCs w:val="20"/>
                <w14:ligatures w14:val="none"/>
              </w:rPr>
            </w:pPr>
            <w:r w:rsidRPr="00E848EB">
              <w:rPr>
                <w:rFonts w:cs="Times New Roman"/>
                <w:color w:val="000000"/>
                <w:sz w:val="20"/>
                <w:szCs w:val="20"/>
              </w:rPr>
              <w:t>0.42</w:t>
            </w:r>
          </w:p>
        </w:tc>
      </w:tr>
      <w:tr w:rsidR="00BD6566" w:rsidRPr="00902D0F" w14:paraId="03E081D8" w14:textId="77777777" w:rsidTr="004A258E">
        <w:trPr>
          <w:trHeight w:val="432"/>
          <w:jc w:val="center"/>
        </w:trPr>
        <w:tc>
          <w:tcPr>
            <w:tcW w:w="3675" w:type="dxa"/>
            <w:tcBorders>
              <w:top w:val="nil"/>
              <w:left w:val="single" w:sz="12" w:space="0" w:color="auto"/>
              <w:bottom w:val="nil"/>
              <w:right w:val="single" w:sz="12" w:space="0" w:color="auto"/>
            </w:tcBorders>
            <w:shd w:val="clear" w:color="000000" w:fill="FFFFFF"/>
            <w:tcMar>
              <w:left w:w="58" w:type="dxa"/>
              <w:right w:w="58" w:type="dxa"/>
            </w:tcMar>
            <w:vAlign w:val="center"/>
            <w:hideMark/>
          </w:tcPr>
          <w:p w14:paraId="2FA0937D" w14:textId="77777777" w:rsidR="00BD6566" w:rsidRPr="00902D0F" w:rsidRDefault="00BD6566" w:rsidP="00BD6566">
            <w:pPr>
              <w:spacing w:after="0" w:line="240" w:lineRule="auto"/>
              <w:rPr>
                <w:rFonts w:eastAsia="Times New Roman" w:cs="Times New Roman"/>
                <w:b/>
                <w:bCs/>
                <w:color w:val="000000"/>
                <w:kern w:val="0"/>
                <w:sz w:val="20"/>
                <w:szCs w:val="20"/>
                <w14:ligatures w14:val="none"/>
              </w:rPr>
            </w:pPr>
            <w:r w:rsidRPr="00902D0F">
              <w:rPr>
                <w:rFonts w:eastAsia="Times New Roman" w:cs="Times New Roman"/>
                <w:b/>
                <w:bCs/>
                <w:color w:val="000000"/>
                <w:kern w:val="0"/>
                <w:sz w:val="20"/>
                <w:szCs w:val="20"/>
                <w14:ligatures w14:val="none"/>
              </w:rPr>
              <w:t>Being close to the highway</w:t>
            </w:r>
          </w:p>
        </w:tc>
        <w:tc>
          <w:tcPr>
            <w:tcW w:w="1339" w:type="dxa"/>
            <w:tcBorders>
              <w:top w:val="nil"/>
              <w:left w:val="single" w:sz="12" w:space="0" w:color="auto"/>
              <w:bottom w:val="nil"/>
              <w:right w:val="single" w:sz="4" w:space="0" w:color="auto"/>
            </w:tcBorders>
            <w:shd w:val="clear" w:color="000000" w:fill="FFFFFF"/>
            <w:noWrap/>
            <w:tcMar>
              <w:left w:w="58" w:type="dxa"/>
              <w:right w:w="58" w:type="dxa"/>
            </w:tcMar>
            <w:vAlign w:val="bottom"/>
            <w:hideMark/>
          </w:tcPr>
          <w:p w14:paraId="3E46F6C8" w14:textId="033E341F" w:rsidR="00BD6566" w:rsidRPr="00E848EB" w:rsidRDefault="00BD6566" w:rsidP="00BD6566">
            <w:pPr>
              <w:spacing w:after="0" w:line="240" w:lineRule="auto"/>
              <w:jc w:val="center"/>
              <w:rPr>
                <w:rFonts w:eastAsia="Times New Roman" w:cs="Times New Roman"/>
                <w:color w:val="000000"/>
                <w:kern w:val="0"/>
                <w:sz w:val="20"/>
                <w:szCs w:val="20"/>
                <w14:ligatures w14:val="none"/>
              </w:rPr>
            </w:pPr>
          </w:p>
        </w:tc>
        <w:tc>
          <w:tcPr>
            <w:tcW w:w="1271" w:type="dxa"/>
            <w:tcBorders>
              <w:top w:val="nil"/>
              <w:left w:val="nil"/>
              <w:bottom w:val="nil"/>
              <w:right w:val="single" w:sz="4" w:space="0" w:color="auto"/>
            </w:tcBorders>
            <w:shd w:val="clear" w:color="000000" w:fill="FFFFFF"/>
            <w:noWrap/>
            <w:tcMar>
              <w:left w:w="58" w:type="dxa"/>
              <w:right w:w="58" w:type="dxa"/>
            </w:tcMar>
            <w:vAlign w:val="bottom"/>
            <w:hideMark/>
          </w:tcPr>
          <w:p w14:paraId="43761E5D" w14:textId="04622D28" w:rsidR="00BD6566" w:rsidRPr="00E848EB" w:rsidRDefault="00BD6566" w:rsidP="00BD6566">
            <w:pPr>
              <w:spacing w:after="0" w:line="240" w:lineRule="auto"/>
              <w:jc w:val="center"/>
              <w:rPr>
                <w:rFonts w:eastAsia="Times New Roman" w:cs="Times New Roman"/>
                <w:color w:val="000000"/>
                <w:kern w:val="0"/>
                <w:sz w:val="20"/>
                <w:szCs w:val="20"/>
                <w14:ligatures w14:val="none"/>
              </w:rPr>
            </w:pPr>
          </w:p>
        </w:tc>
        <w:tc>
          <w:tcPr>
            <w:tcW w:w="1170" w:type="dxa"/>
            <w:tcBorders>
              <w:top w:val="nil"/>
              <w:left w:val="nil"/>
              <w:bottom w:val="nil"/>
              <w:right w:val="single" w:sz="4" w:space="0" w:color="auto"/>
            </w:tcBorders>
            <w:shd w:val="clear" w:color="000000" w:fill="FFFFFF"/>
            <w:noWrap/>
            <w:tcMar>
              <w:left w:w="58" w:type="dxa"/>
              <w:right w:w="58" w:type="dxa"/>
            </w:tcMar>
            <w:vAlign w:val="bottom"/>
            <w:hideMark/>
          </w:tcPr>
          <w:p w14:paraId="2577A91B" w14:textId="456B0B3C" w:rsidR="00BD6566" w:rsidRPr="00E848EB" w:rsidRDefault="00BD6566" w:rsidP="00BD6566">
            <w:pPr>
              <w:spacing w:after="0" w:line="240" w:lineRule="auto"/>
              <w:jc w:val="center"/>
              <w:rPr>
                <w:rFonts w:eastAsia="Times New Roman" w:cs="Times New Roman"/>
                <w:color w:val="000000"/>
                <w:kern w:val="0"/>
                <w:sz w:val="20"/>
                <w:szCs w:val="20"/>
                <w14:ligatures w14:val="none"/>
              </w:rPr>
            </w:pPr>
          </w:p>
        </w:tc>
        <w:tc>
          <w:tcPr>
            <w:tcW w:w="963" w:type="dxa"/>
            <w:tcBorders>
              <w:top w:val="nil"/>
              <w:left w:val="nil"/>
              <w:bottom w:val="nil"/>
              <w:right w:val="single" w:sz="4" w:space="0" w:color="auto"/>
            </w:tcBorders>
            <w:shd w:val="clear" w:color="000000" w:fill="FFFFFF"/>
            <w:noWrap/>
            <w:tcMar>
              <w:left w:w="58" w:type="dxa"/>
              <w:right w:w="58" w:type="dxa"/>
            </w:tcMar>
            <w:vAlign w:val="bottom"/>
            <w:hideMark/>
          </w:tcPr>
          <w:p w14:paraId="7A9F4A0C" w14:textId="4F1E306C" w:rsidR="00BD6566" w:rsidRPr="00E848EB" w:rsidRDefault="00BD6566" w:rsidP="00BD6566">
            <w:pPr>
              <w:spacing w:after="0" w:line="240" w:lineRule="auto"/>
              <w:jc w:val="center"/>
              <w:rPr>
                <w:rFonts w:eastAsia="Times New Roman" w:cs="Times New Roman"/>
                <w:color w:val="000000"/>
                <w:kern w:val="0"/>
                <w:sz w:val="20"/>
                <w:szCs w:val="20"/>
                <w14:ligatures w14:val="none"/>
              </w:rPr>
            </w:pPr>
            <w:r w:rsidRPr="00E848EB">
              <w:rPr>
                <w:rFonts w:cs="Times New Roman"/>
                <w:color w:val="000000"/>
                <w:sz w:val="20"/>
                <w:szCs w:val="20"/>
              </w:rPr>
              <w:t>1.17</w:t>
            </w:r>
          </w:p>
        </w:tc>
        <w:tc>
          <w:tcPr>
            <w:tcW w:w="946" w:type="dxa"/>
            <w:tcBorders>
              <w:top w:val="nil"/>
              <w:left w:val="nil"/>
              <w:bottom w:val="nil"/>
              <w:right w:val="single" w:sz="4" w:space="0" w:color="auto"/>
            </w:tcBorders>
            <w:shd w:val="clear" w:color="000000" w:fill="FFFFFF"/>
            <w:noWrap/>
            <w:tcMar>
              <w:left w:w="58" w:type="dxa"/>
              <w:right w:w="58" w:type="dxa"/>
            </w:tcMar>
            <w:vAlign w:val="bottom"/>
            <w:hideMark/>
          </w:tcPr>
          <w:p w14:paraId="4BE89503" w14:textId="7B2CCA0C" w:rsidR="00BD6566" w:rsidRPr="00E848EB" w:rsidRDefault="00BD6566" w:rsidP="00BD6566">
            <w:pPr>
              <w:spacing w:after="0" w:line="240" w:lineRule="auto"/>
              <w:jc w:val="center"/>
              <w:rPr>
                <w:rFonts w:eastAsia="Times New Roman" w:cs="Times New Roman"/>
                <w:color w:val="000000"/>
                <w:kern w:val="0"/>
                <w:sz w:val="20"/>
                <w:szCs w:val="20"/>
                <w14:ligatures w14:val="none"/>
              </w:rPr>
            </w:pPr>
            <w:r w:rsidRPr="00E848EB">
              <w:rPr>
                <w:rFonts w:cs="Times New Roman"/>
                <w:color w:val="000000"/>
                <w:sz w:val="20"/>
                <w:szCs w:val="20"/>
              </w:rPr>
              <w:t>0.58</w:t>
            </w:r>
          </w:p>
        </w:tc>
        <w:tc>
          <w:tcPr>
            <w:tcW w:w="1116" w:type="dxa"/>
            <w:tcBorders>
              <w:top w:val="nil"/>
              <w:left w:val="nil"/>
              <w:bottom w:val="nil"/>
              <w:right w:val="single" w:sz="4" w:space="0" w:color="auto"/>
            </w:tcBorders>
            <w:shd w:val="clear" w:color="000000" w:fill="FFFFFF"/>
            <w:noWrap/>
            <w:tcMar>
              <w:left w:w="58" w:type="dxa"/>
              <w:right w:w="58" w:type="dxa"/>
            </w:tcMar>
            <w:vAlign w:val="bottom"/>
            <w:hideMark/>
          </w:tcPr>
          <w:p w14:paraId="34A9683C" w14:textId="1D4E108D" w:rsidR="00BD6566" w:rsidRPr="00E848EB" w:rsidRDefault="00BD6566" w:rsidP="00BD6566">
            <w:pPr>
              <w:spacing w:after="0" w:line="240" w:lineRule="auto"/>
              <w:jc w:val="center"/>
              <w:rPr>
                <w:rFonts w:eastAsia="Times New Roman" w:cs="Times New Roman"/>
                <w:color w:val="000000"/>
                <w:kern w:val="0"/>
                <w:sz w:val="20"/>
                <w:szCs w:val="20"/>
                <w14:ligatures w14:val="none"/>
              </w:rPr>
            </w:pPr>
            <w:r w:rsidRPr="00E848EB">
              <w:rPr>
                <w:rFonts w:cs="Times New Roman"/>
                <w:color w:val="000000"/>
                <w:sz w:val="20"/>
                <w:szCs w:val="20"/>
              </w:rPr>
              <w:t>0.51</w:t>
            </w:r>
          </w:p>
        </w:tc>
        <w:tc>
          <w:tcPr>
            <w:tcW w:w="928" w:type="dxa"/>
            <w:tcBorders>
              <w:top w:val="nil"/>
              <w:left w:val="nil"/>
              <w:bottom w:val="nil"/>
              <w:right w:val="single" w:sz="4" w:space="0" w:color="auto"/>
            </w:tcBorders>
            <w:shd w:val="clear" w:color="000000" w:fill="FFFFFF"/>
            <w:noWrap/>
            <w:tcMar>
              <w:left w:w="58" w:type="dxa"/>
              <w:right w:w="58" w:type="dxa"/>
            </w:tcMar>
            <w:vAlign w:val="bottom"/>
            <w:hideMark/>
          </w:tcPr>
          <w:p w14:paraId="62109EF6" w14:textId="1068E290" w:rsidR="00BD6566" w:rsidRPr="00E848EB" w:rsidRDefault="00BD6566" w:rsidP="00BD6566">
            <w:pPr>
              <w:spacing w:after="0" w:line="240" w:lineRule="auto"/>
              <w:jc w:val="center"/>
              <w:rPr>
                <w:rFonts w:eastAsia="Times New Roman" w:cs="Times New Roman"/>
                <w:color w:val="000000"/>
                <w:kern w:val="0"/>
                <w:sz w:val="20"/>
                <w:szCs w:val="20"/>
                <w14:ligatures w14:val="none"/>
              </w:rPr>
            </w:pPr>
            <w:r w:rsidRPr="00E848EB">
              <w:rPr>
                <w:rFonts w:cs="Times New Roman"/>
                <w:color w:val="000000"/>
                <w:sz w:val="20"/>
                <w:szCs w:val="20"/>
              </w:rPr>
              <w:t>0.37</w:t>
            </w:r>
          </w:p>
        </w:tc>
        <w:tc>
          <w:tcPr>
            <w:tcW w:w="1691" w:type="dxa"/>
            <w:tcBorders>
              <w:top w:val="nil"/>
              <w:left w:val="nil"/>
              <w:bottom w:val="nil"/>
              <w:right w:val="single" w:sz="12" w:space="0" w:color="auto"/>
            </w:tcBorders>
            <w:shd w:val="clear" w:color="000000" w:fill="FFFFFF"/>
            <w:noWrap/>
            <w:tcMar>
              <w:left w:w="58" w:type="dxa"/>
              <w:right w:w="58" w:type="dxa"/>
            </w:tcMar>
            <w:vAlign w:val="bottom"/>
            <w:hideMark/>
          </w:tcPr>
          <w:p w14:paraId="32AF230D" w14:textId="7CF4AD32" w:rsidR="00BD6566" w:rsidRPr="00E848EB" w:rsidRDefault="00BD6566" w:rsidP="00BD6566">
            <w:pPr>
              <w:spacing w:after="0" w:line="240" w:lineRule="auto"/>
              <w:jc w:val="center"/>
              <w:rPr>
                <w:rFonts w:eastAsia="Times New Roman" w:cs="Times New Roman"/>
                <w:color w:val="000000"/>
                <w:kern w:val="0"/>
                <w:sz w:val="20"/>
                <w:szCs w:val="20"/>
                <w14:ligatures w14:val="none"/>
              </w:rPr>
            </w:pPr>
            <w:r w:rsidRPr="00E848EB">
              <w:rPr>
                <w:rFonts w:cs="Times New Roman"/>
                <w:color w:val="000000"/>
                <w:sz w:val="20"/>
                <w:szCs w:val="20"/>
              </w:rPr>
              <w:t>0.36</w:t>
            </w:r>
          </w:p>
        </w:tc>
      </w:tr>
      <w:tr w:rsidR="00BD6566" w:rsidRPr="00902D0F" w14:paraId="1BF06A0F" w14:textId="77777777" w:rsidTr="004A258E">
        <w:trPr>
          <w:trHeight w:val="432"/>
          <w:jc w:val="center"/>
        </w:trPr>
        <w:tc>
          <w:tcPr>
            <w:tcW w:w="3675" w:type="dxa"/>
            <w:tcBorders>
              <w:top w:val="nil"/>
              <w:left w:val="single" w:sz="12" w:space="0" w:color="auto"/>
              <w:bottom w:val="nil"/>
              <w:right w:val="single" w:sz="12" w:space="0" w:color="auto"/>
            </w:tcBorders>
            <w:shd w:val="clear" w:color="000000" w:fill="FFFFFF"/>
            <w:tcMar>
              <w:left w:w="58" w:type="dxa"/>
              <w:right w:w="58" w:type="dxa"/>
            </w:tcMar>
            <w:vAlign w:val="center"/>
            <w:hideMark/>
          </w:tcPr>
          <w:p w14:paraId="56E1DFF5" w14:textId="2166E2E1" w:rsidR="00BD6566" w:rsidRPr="00902D0F" w:rsidRDefault="00BD6566" w:rsidP="00BD6566">
            <w:pPr>
              <w:spacing w:after="0" w:line="240" w:lineRule="auto"/>
              <w:rPr>
                <w:rFonts w:eastAsia="Times New Roman" w:cs="Times New Roman"/>
                <w:b/>
                <w:bCs/>
                <w:color w:val="000000"/>
                <w:kern w:val="0"/>
                <w:sz w:val="20"/>
                <w:szCs w:val="20"/>
                <w14:ligatures w14:val="none"/>
              </w:rPr>
            </w:pPr>
            <w:r w:rsidRPr="00902D0F">
              <w:rPr>
                <w:rFonts w:eastAsia="Times New Roman" w:cs="Times New Roman"/>
                <w:b/>
                <w:bCs/>
                <w:color w:val="000000"/>
                <w:kern w:val="0"/>
                <w:sz w:val="20"/>
                <w:szCs w:val="20"/>
                <w14:ligatures w14:val="none"/>
              </w:rPr>
              <w:t>Quality of schools (</w:t>
            </w:r>
            <w:r w:rsidR="003F65A3">
              <w:rPr>
                <w:rFonts w:eastAsia="Times New Roman" w:cs="Times New Roman"/>
                <w:b/>
                <w:bCs/>
                <w:color w:val="000000"/>
                <w:kern w:val="0"/>
                <w:sz w:val="20"/>
                <w:szCs w:val="20"/>
                <w14:ligatures w14:val="none"/>
              </w:rPr>
              <w:t>K</w:t>
            </w:r>
            <w:r w:rsidRPr="00902D0F">
              <w:rPr>
                <w:rFonts w:eastAsia="Times New Roman" w:cs="Times New Roman"/>
                <w:b/>
                <w:bCs/>
                <w:color w:val="000000"/>
                <w:kern w:val="0"/>
                <w:sz w:val="20"/>
                <w:szCs w:val="20"/>
                <w14:ligatures w14:val="none"/>
              </w:rPr>
              <w:t>-12)</w:t>
            </w:r>
          </w:p>
        </w:tc>
        <w:tc>
          <w:tcPr>
            <w:tcW w:w="1339" w:type="dxa"/>
            <w:tcBorders>
              <w:top w:val="nil"/>
              <w:left w:val="single" w:sz="12" w:space="0" w:color="auto"/>
              <w:bottom w:val="nil"/>
              <w:right w:val="single" w:sz="4" w:space="0" w:color="auto"/>
            </w:tcBorders>
            <w:shd w:val="clear" w:color="000000" w:fill="FFFFFF"/>
            <w:noWrap/>
            <w:tcMar>
              <w:left w:w="58" w:type="dxa"/>
              <w:right w:w="58" w:type="dxa"/>
            </w:tcMar>
            <w:vAlign w:val="bottom"/>
            <w:hideMark/>
          </w:tcPr>
          <w:p w14:paraId="3259A574" w14:textId="7A37E967" w:rsidR="00BD6566" w:rsidRPr="00E848EB" w:rsidRDefault="00BD6566" w:rsidP="00BD6566">
            <w:pPr>
              <w:spacing w:after="0" w:line="240" w:lineRule="auto"/>
              <w:jc w:val="center"/>
              <w:rPr>
                <w:rFonts w:eastAsia="Times New Roman" w:cs="Times New Roman"/>
                <w:color w:val="000000"/>
                <w:kern w:val="0"/>
                <w:sz w:val="20"/>
                <w:szCs w:val="20"/>
                <w14:ligatures w14:val="none"/>
              </w:rPr>
            </w:pPr>
          </w:p>
        </w:tc>
        <w:tc>
          <w:tcPr>
            <w:tcW w:w="1271" w:type="dxa"/>
            <w:tcBorders>
              <w:top w:val="nil"/>
              <w:left w:val="nil"/>
              <w:bottom w:val="nil"/>
              <w:right w:val="single" w:sz="4" w:space="0" w:color="auto"/>
            </w:tcBorders>
            <w:shd w:val="clear" w:color="000000" w:fill="FFFFFF"/>
            <w:noWrap/>
            <w:tcMar>
              <w:left w:w="58" w:type="dxa"/>
              <w:right w:w="58" w:type="dxa"/>
            </w:tcMar>
            <w:vAlign w:val="bottom"/>
            <w:hideMark/>
          </w:tcPr>
          <w:p w14:paraId="342D18C0" w14:textId="4E021C0A" w:rsidR="00BD6566" w:rsidRPr="00E848EB" w:rsidRDefault="00BD6566" w:rsidP="00BD6566">
            <w:pPr>
              <w:spacing w:after="0" w:line="240" w:lineRule="auto"/>
              <w:jc w:val="center"/>
              <w:rPr>
                <w:rFonts w:eastAsia="Times New Roman" w:cs="Times New Roman"/>
                <w:color w:val="000000"/>
                <w:kern w:val="0"/>
                <w:sz w:val="20"/>
                <w:szCs w:val="20"/>
                <w14:ligatures w14:val="none"/>
              </w:rPr>
            </w:pPr>
          </w:p>
        </w:tc>
        <w:tc>
          <w:tcPr>
            <w:tcW w:w="1170" w:type="dxa"/>
            <w:tcBorders>
              <w:top w:val="nil"/>
              <w:left w:val="nil"/>
              <w:bottom w:val="nil"/>
              <w:right w:val="single" w:sz="4" w:space="0" w:color="auto"/>
            </w:tcBorders>
            <w:shd w:val="clear" w:color="000000" w:fill="FFFFFF"/>
            <w:noWrap/>
            <w:tcMar>
              <w:left w:w="58" w:type="dxa"/>
              <w:right w:w="58" w:type="dxa"/>
            </w:tcMar>
            <w:vAlign w:val="bottom"/>
            <w:hideMark/>
          </w:tcPr>
          <w:p w14:paraId="411B4DC6" w14:textId="41FA7CC8" w:rsidR="00BD6566" w:rsidRPr="00E848EB" w:rsidRDefault="00BD6566" w:rsidP="00BD6566">
            <w:pPr>
              <w:spacing w:after="0" w:line="240" w:lineRule="auto"/>
              <w:jc w:val="center"/>
              <w:rPr>
                <w:rFonts w:eastAsia="Times New Roman" w:cs="Times New Roman"/>
                <w:color w:val="000000"/>
                <w:kern w:val="0"/>
                <w:sz w:val="20"/>
                <w:szCs w:val="20"/>
                <w14:ligatures w14:val="none"/>
              </w:rPr>
            </w:pPr>
          </w:p>
        </w:tc>
        <w:tc>
          <w:tcPr>
            <w:tcW w:w="963" w:type="dxa"/>
            <w:tcBorders>
              <w:top w:val="nil"/>
              <w:left w:val="nil"/>
              <w:bottom w:val="nil"/>
              <w:right w:val="single" w:sz="4" w:space="0" w:color="auto"/>
            </w:tcBorders>
            <w:shd w:val="clear" w:color="000000" w:fill="FFFFFF"/>
            <w:noWrap/>
            <w:tcMar>
              <w:left w:w="58" w:type="dxa"/>
              <w:right w:w="58" w:type="dxa"/>
            </w:tcMar>
            <w:vAlign w:val="bottom"/>
            <w:hideMark/>
          </w:tcPr>
          <w:p w14:paraId="4F837E78" w14:textId="4191D3A2" w:rsidR="00BD6566" w:rsidRPr="00E848EB" w:rsidRDefault="00BD6566" w:rsidP="00BD6566">
            <w:pPr>
              <w:spacing w:after="0" w:line="240" w:lineRule="auto"/>
              <w:jc w:val="center"/>
              <w:rPr>
                <w:rFonts w:eastAsia="Times New Roman" w:cs="Times New Roman"/>
                <w:color w:val="000000"/>
                <w:kern w:val="0"/>
                <w:sz w:val="20"/>
                <w:szCs w:val="20"/>
                <w14:ligatures w14:val="none"/>
              </w:rPr>
            </w:pPr>
          </w:p>
        </w:tc>
        <w:tc>
          <w:tcPr>
            <w:tcW w:w="946" w:type="dxa"/>
            <w:tcBorders>
              <w:top w:val="nil"/>
              <w:left w:val="nil"/>
              <w:bottom w:val="nil"/>
              <w:right w:val="single" w:sz="4" w:space="0" w:color="auto"/>
            </w:tcBorders>
            <w:shd w:val="clear" w:color="000000" w:fill="FFFFFF"/>
            <w:noWrap/>
            <w:tcMar>
              <w:left w:w="58" w:type="dxa"/>
              <w:right w:w="58" w:type="dxa"/>
            </w:tcMar>
            <w:vAlign w:val="bottom"/>
            <w:hideMark/>
          </w:tcPr>
          <w:p w14:paraId="02979DC2" w14:textId="50C78F71" w:rsidR="00BD6566" w:rsidRPr="00E848EB" w:rsidRDefault="00BD6566" w:rsidP="00BD6566">
            <w:pPr>
              <w:spacing w:after="0" w:line="240" w:lineRule="auto"/>
              <w:jc w:val="center"/>
              <w:rPr>
                <w:rFonts w:eastAsia="Times New Roman" w:cs="Times New Roman"/>
                <w:color w:val="000000"/>
                <w:kern w:val="0"/>
                <w:sz w:val="20"/>
                <w:szCs w:val="20"/>
                <w14:ligatures w14:val="none"/>
              </w:rPr>
            </w:pPr>
            <w:r w:rsidRPr="00E848EB">
              <w:rPr>
                <w:rFonts w:cs="Times New Roman"/>
                <w:color w:val="000000"/>
                <w:sz w:val="20"/>
                <w:szCs w:val="20"/>
              </w:rPr>
              <w:t>2.48</w:t>
            </w:r>
          </w:p>
        </w:tc>
        <w:tc>
          <w:tcPr>
            <w:tcW w:w="1116" w:type="dxa"/>
            <w:tcBorders>
              <w:top w:val="nil"/>
              <w:left w:val="nil"/>
              <w:bottom w:val="nil"/>
              <w:right w:val="single" w:sz="4" w:space="0" w:color="auto"/>
            </w:tcBorders>
            <w:shd w:val="clear" w:color="000000" w:fill="FFFFFF"/>
            <w:noWrap/>
            <w:tcMar>
              <w:left w:w="58" w:type="dxa"/>
              <w:right w:w="58" w:type="dxa"/>
            </w:tcMar>
            <w:vAlign w:val="bottom"/>
            <w:hideMark/>
          </w:tcPr>
          <w:p w14:paraId="0D8BDEFE" w14:textId="53B382D6" w:rsidR="00BD6566" w:rsidRPr="00E848EB" w:rsidRDefault="00BD6566" w:rsidP="00BD6566">
            <w:pPr>
              <w:spacing w:after="0" w:line="240" w:lineRule="auto"/>
              <w:jc w:val="center"/>
              <w:rPr>
                <w:rFonts w:eastAsia="Times New Roman" w:cs="Times New Roman"/>
                <w:color w:val="000000"/>
                <w:kern w:val="0"/>
                <w:sz w:val="20"/>
                <w:szCs w:val="20"/>
                <w14:ligatures w14:val="none"/>
              </w:rPr>
            </w:pPr>
            <w:r w:rsidRPr="00E848EB">
              <w:rPr>
                <w:rFonts w:cs="Times New Roman"/>
                <w:color w:val="000000"/>
                <w:sz w:val="20"/>
                <w:szCs w:val="20"/>
              </w:rPr>
              <w:t>0.39</w:t>
            </w:r>
          </w:p>
        </w:tc>
        <w:tc>
          <w:tcPr>
            <w:tcW w:w="928" w:type="dxa"/>
            <w:tcBorders>
              <w:top w:val="nil"/>
              <w:left w:val="nil"/>
              <w:bottom w:val="nil"/>
              <w:right w:val="single" w:sz="4" w:space="0" w:color="auto"/>
            </w:tcBorders>
            <w:shd w:val="clear" w:color="000000" w:fill="FFFFFF"/>
            <w:noWrap/>
            <w:tcMar>
              <w:left w:w="58" w:type="dxa"/>
              <w:right w:w="58" w:type="dxa"/>
            </w:tcMar>
            <w:vAlign w:val="bottom"/>
            <w:hideMark/>
          </w:tcPr>
          <w:p w14:paraId="49F65CA4" w14:textId="610E04A3" w:rsidR="00BD6566" w:rsidRPr="00E848EB" w:rsidRDefault="00BD6566" w:rsidP="00BD6566">
            <w:pPr>
              <w:spacing w:after="0" w:line="240" w:lineRule="auto"/>
              <w:jc w:val="center"/>
              <w:rPr>
                <w:rFonts w:eastAsia="Times New Roman" w:cs="Times New Roman"/>
                <w:color w:val="000000"/>
                <w:kern w:val="0"/>
                <w:sz w:val="20"/>
                <w:szCs w:val="20"/>
                <w14:ligatures w14:val="none"/>
              </w:rPr>
            </w:pPr>
            <w:r w:rsidRPr="00E848EB">
              <w:rPr>
                <w:rFonts w:cs="Times New Roman"/>
                <w:color w:val="000000"/>
                <w:sz w:val="20"/>
                <w:szCs w:val="20"/>
              </w:rPr>
              <w:t>0.25</w:t>
            </w:r>
          </w:p>
        </w:tc>
        <w:tc>
          <w:tcPr>
            <w:tcW w:w="1691" w:type="dxa"/>
            <w:tcBorders>
              <w:top w:val="nil"/>
              <w:left w:val="nil"/>
              <w:bottom w:val="nil"/>
              <w:right w:val="single" w:sz="12" w:space="0" w:color="auto"/>
            </w:tcBorders>
            <w:shd w:val="clear" w:color="000000" w:fill="FFFFFF"/>
            <w:noWrap/>
            <w:tcMar>
              <w:left w:w="58" w:type="dxa"/>
              <w:right w:w="58" w:type="dxa"/>
            </w:tcMar>
            <w:vAlign w:val="bottom"/>
            <w:hideMark/>
          </w:tcPr>
          <w:p w14:paraId="0B4CCA0F" w14:textId="0BDED9D1" w:rsidR="00BD6566" w:rsidRPr="00E848EB" w:rsidRDefault="00BD6566" w:rsidP="00BD6566">
            <w:pPr>
              <w:spacing w:after="0" w:line="240" w:lineRule="auto"/>
              <w:jc w:val="center"/>
              <w:rPr>
                <w:rFonts w:eastAsia="Times New Roman" w:cs="Times New Roman"/>
                <w:color w:val="000000"/>
                <w:kern w:val="0"/>
                <w:sz w:val="20"/>
                <w:szCs w:val="20"/>
                <w14:ligatures w14:val="none"/>
              </w:rPr>
            </w:pPr>
            <w:r w:rsidRPr="00E848EB">
              <w:rPr>
                <w:rFonts w:cs="Times New Roman"/>
                <w:color w:val="000000"/>
                <w:sz w:val="20"/>
                <w:szCs w:val="20"/>
              </w:rPr>
              <w:t>0.24</w:t>
            </w:r>
          </w:p>
        </w:tc>
      </w:tr>
      <w:tr w:rsidR="00BD6566" w:rsidRPr="00902D0F" w14:paraId="44308F71" w14:textId="77777777" w:rsidTr="004A258E">
        <w:trPr>
          <w:trHeight w:val="432"/>
          <w:jc w:val="center"/>
        </w:trPr>
        <w:tc>
          <w:tcPr>
            <w:tcW w:w="3675" w:type="dxa"/>
            <w:tcBorders>
              <w:top w:val="nil"/>
              <w:left w:val="single" w:sz="12" w:space="0" w:color="auto"/>
              <w:bottom w:val="nil"/>
              <w:right w:val="single" w:sz="12" w:space="0" w:color="auto"/>
            </w:tcBorders>
            <w:shd w:val="clear" w:color="000000" w:fill="FFFFFF"/>
            <w:tcMar>
              <w:left w:w="58" w:type="dxa"/>
              <w:right w:w="58" w:type="dxa"/>
            </w:tcMar>
            <w:vAlign w:val="center"/>
            <w:hideMark/>
          </w:tcPr>
          <w:p w14:paraId="7121754C" w14:textId="77777777" w:rsidR="00BD6566" w:rsidRPr="00902D0F" w:rsidRDefault="00BD6566" w:rsidP="00BD6566">
            <w:pPr>
              <w:spacing w:after="0" w:line="240" w:lineRule="auto"/>
              <w:rPr>
                <w:rFonts w:eastAsia="Times New Roman" w:cs="Times New Roman"/>
                <w:b/>
                <w:bCs/>
                <w:color w:val="000000"/>
                <w:kern w:val="0"/>
                <w:sz w:val="20"/>
                <w:szCs w:val="20"/>
                <w14:ligatures w14:val="none"/>
              </w:rPr>
            </w:pPr>
            <w:r w:rsidRPr="00902D0F">
              <w:rPr>
                <w:rFonts w:eastAsia="Times New Roman" w:cs="Times New Roman"/>
                <w:b/>
                <w:bCs/>
                <w:color w:val="000000"/>
                <w:kern w:val="0"/>
                <w:sz w:val="20"/>
                <w:szCs w:val="20"/>
                <w14:ligatures w14:val="none"/>
              </w:rPr>
              <w:t>Having space and separation from others</w:t>
            </w:r>
          </w:p>
        </w:tc>
        <w:tc>
          <w:tcPr>
            <w:tcW w:w="1339" w:type="dxa"/>
            <w:tcBorders>
              <w:top w:val="nil"/>
              <w:left w:val="single" w:sz="12" w:space="0" w:color="auto"/>
              <w:bottom w:val="nil"/>
              <w:right w:val="single" w:sz="4" w:space="0" w:color="auto"/>
            </w:tcBorders>
            <w:shd w:val="clear" w:color="000000" w:fill="FFFFFF"/>
            <w:noWrap/>
            <w:tcMar>
              <w:left w:w="58" w:type="dxa"/>
              <w:right w:w="58" w:type="dxa"/>
            </w:tcMar>
            <w:vAlign w:val="bottom"/>
            <w:hideMark/>
          </w:tcPr>
          <w:p w14:paraId="2B9DD920" w14:textId="34A98FC1" w:rsidR="00BD6566" w:rsidRPr="00E848EB" w:rsidRDefault="00BD6566" w:rsidP="00BD6566">
            <w:pPr>
              <w:spacing w:after="0" w:line="240" w:lineRule="auto"/>
              <w:jc w:val="center"/>
              <w:rPr>
                <w:rFonts w:eastAsia="Times New Roman" w:cs="Times New Roman"/>
                <w:color w:val="000000"/>
                <w:kern w:val="0"/>
                <w:sz w:val="20"/>
                <w:szCs w:val="20"/>
                <w14:ligatures w14:val="none"/>
              </w:rPr>
            </w:pPr>
          </w:p>
        </w:tc>
        <w:tc>
          <w:tcPr>
            <w:tcW w:w="1271" w:type="dxa"/>
            <w:tcBorders>
              <w:top w:val="nil"/>
              <w:left w:val="nil"/>
              <w:bottom w:val="nil"/>
              <w:right w:val="single" w:sz="4" w:space="0" w:color="auto"/>
            </w:tcBorders>
            <w:shd w:val="clear" w:color="000000" w:fill="FFFFFF"/>
            <w:noWrap/>
            <w:tcMar>
              <w:left w:w="58" w:type="dxa"/>
              <w:right w:w="58" w:type="dxa"/>
            </w:tcMar>
            <w:vAlign w:val="bottom"/>
            <w:hideMark/>
          </w:tcPr>
          <w:p w14:paraId="619F657B" w14:textId="67FCB009" w:rsidR="00BD6566" w:rsidRPr="00E848EB" w:rsidRDefault="00BD6566" w:rsidP="00BD6566">
            <w:pPr>
              <w:spacing w:after="0" w:line="240" w:lineRule="auto"/>
              <w:jc w:val="center"/>
              <w:rPr>
                <w:rFonts w:eastAsia="Times New Roman" w:cs="Times New Roman"/>
                <w:color w:val="000000"/>
                <w:kern w:val="0"/>
                <w:sz w:val="20"/>
                <w:szCs w:val="20"/>
                <w14:ligatures w14:val="none"/>
              </w:rPr>
            </w:pPr>
          </w:p>
        </w:tc>
        <w:tc>
          <w:tcPr>
            <w:tcW w:w="1170" w:type="dxa"/>
            <w:tcBorders>
              <w:top w:val="nil"/>
              <w:left w:val="nil"/>
              <w:bottom w:val="nil"/>
              <w:right w:val="single" w:sz="4" w:space="0" w:color="auto"/>
            </w:tcBorders>
            <w:shd w:val="clear" w:color="000000" w:fill="FFFFFF"/>
            <w:noWrap/>
            <w:tcMar>
              <w:left w:w="58" w:type="dxa"/>
              <w:right w:w="58" w:type="dxa"/>
            </w:tcMar>
            <w:vAlign w:val="bottom"/>
            <w:hideMark/>
          </w:tcPr>
          <w:p w14:paraId="3B051D1D" w14:textId="63FA29B3" w:rsidR="00BD6566" w:rsidRPr="00E848EB" w:rsidRDefault="00BD6566" w:rsidP="00BD6566">
            <w:pPr>
              <w:spacing w:after="0" w:line="240" w:lineRule="auto"/>
              <w:jc w:val="center"/>
              <w:rPr>
                <w:rFonts w:eastAsia="Times New Roman" w:cs="Times New Roman"/>
                <w:color w:val="000000"/>
                <w:kern w:val="0"/>
                <w:sz w:val="20"/>
                <w:szCs w:val="20"/>
                <w14:ligatures w14:val="none"/>
              </w:rPr>
            </w:pPr>
          </w:p>
        </w:tc>
        <w:tc>
          <w:tcPr>
            <w:tcW w:w="963" w:type="dxa"/>
            <w:tcBorders>
              <w:top w:val="nil"/>
              <w:left w:val="nil"/>
              <w:bottom w:val="nil"/>
              <w:right w:val="single" w:sz="4" w:space="0" w:color="auto"/>
            </w:tcBorders>
            <w:shd w:val="clear" w:color="000000" w:fill="FFFFFF"/>
            <w:noWrap/>
            <w:tcMar>
              <w:left w:w="58" w:type="dxa"/>
              <w:right w:w="58" w:type="dxa"/>
            </w:tcMar>
            <w:vAlign w:val="bottom"/>
            <w:hideMark/>
          </w:tcPr>
          <w:p w14:paraId="4E3ABDEC" w14:textId="0F1EAF77" w:rsidR="00BD6566" w:rsidRPr="00E848EB" w:rsidRDefault="00BD6566" w:rsidP="00BD6566">
            <w:pPr>
              <w:spacing w:after="0" w:line="240" w:lineRule="auto"/>
              <w:jc w:val="center"/>
              <w:rPr>
                <w:rFonts w:eastAsia="Times New Roman" w:cs="Times New Roman"/>
                <w:color w:val="000000"/>
                <w:kern w:val="0"/>
                <w:sz w:val="20"/>
                <w:szCs w:val="20"/>
                <w14:ligatures w14:val="none"/>
              </w:rPr>
            </w:pPr>
          </w:p>
        </w:tc>
        <w:tc>
          <w:tcPr>
            <w:tcW w:w="946" w:type="dxa"/>
            <w:tcBorders>
              <w:top w:val="nil"/>
              <w:left w:val="nil"/>
              <w:bottom w:val="nil"/>
              <w:right w:val="single" w:sz="4" w:space="0" w:color="auto"/>
            </w:tcBorders>
            <w:shd w:val="clear" w:color="000000" w:fill="FFFFFF"/>
            <w:noWrap/>
            <w:tcMar>
              <w:left w:w="58" w:type="dxa"/>
              <w:right w:w="58" w:type="dxa"/>
            </w:tcMar>
            <w:vAlign w:val="bottom"/>
            <w:hideMark/>
          </w:tcPr>
          <w:p w14:paraId="3E94DF26" w14:textId="273E303D" w:rsidR="00BD6566" w:rsidRPr="00E848EB" w:rsidRDefault="00BD6566" w:rsidP="00BD6566">
            <w:pPr>
              <w:spacing w:after="0" w:line="240" w:lineRule="auto"/>
              <w:jc w:val="center"/>
              <w:rPr>
                <w:rFonts w:eastAsia="Times New Roman" w:cs="Times New Roman"/>
                <w:color w:val="000000"/>
                <w:kern w:val="0"/>
                <w:sz w:val="20"/>
                <w:szCs w:val="20"/>
                <w14:ligatures w14:val="none"/>
              </w:rPr>
            </w:pPr>
          </w:p>
        </w:tc>
        <w:tc>
          <w:tcPr>
            <w:tcW w:w="1116" w:type="dxa"/>
            <w:tcBorders>
              <w:top w:val="nil"/>
              <w:left w:val="nil"/>
              <w:bottom w:val="nil"/>
              <w:right w:val="single" w:sz="4" w:space="0" w:color="auto"/>
            </w:tcBorders>
            <w:shd w:val="clear" w:color="000000" w:fill="FFFFFF"/>
            <w:noWrap/>
            <w:tcMar>
              <w:left w:w="58" w:type="dxa"/>
              <w:right w:w="58" w:type="dxa"/>
            </w:tcMar>
            <w:vAlign w:val="bottom"/>
            <w:hideMark/>
          </w:tcPr>
          <w:p w14:paraId="70419B87" w14:textId="44A614D4" w:rsidR="00BD6566" w:rsidRPr="00E848EB" w:rsidRDefault="00BD6566" w:rsidP="00BD6566">
            <w:pPr>
              <w:spacing w:after="0" w:line="240" w:lineRule="auto"/>
              <w:jc w:val="center"/>
              <w:rPr>
                <w:rFonts w:eastAsia="Times New Roman" w:cs="Times New Roman"/>
                <w:color w:val="000000"/>
                <w:kern w:val="0"/>
                <w:sz w:val="20"/>
                <w:szCs w:val="20"/>
                <w14:ligatures w14:val="none"/>
              </w:rPr>
            </w:pPr>
            <w:r w:rsidRPr="00E848EB">
              <w:rPr>
                <w:rFonts w:cs="Times New Roman"/>
                <w:color w:val="000000"/>
                <w:sz w:val="20"/>
                <w:szCs w:val="20"/>
              </w:rPr>
              <w:t>2.18</w:t>
            </w:r>
          </w:p>
        </w:tc>
        <w:tc>
          <w:tcPr>
            <w:tcW w:w="928" w:type="dxa"/>
            <w:tcBorders>
              <w:top w:val="nil"/>
              <w:left w:val="nil"/>
              <w:bottom w:val="nil"/>
              <w:right w:val="single" w:sz="4" w:space="0" w:color="auto"/>
            </w:tcBorders>
            <w:shd w:val="clear" w:color="000000" w:fill="FFFFFF"/>
            <w:noWrap/>
            <w:tcMar>
              <w:left w:w="58" w:type="dxa"/>
              <w:right w:w="58" w:type="dxa"/>
            </w:tcMar>
            <w:vAlign w:val="bottom"/>
            <w:hideMark/>
          </w:tcPr>
          <w:p w14:paraId="1FF88B5F" w14:textId="08264710" w:rsidR="00BD6566" w:rsidRPr="00E848EB" w:rsidRDefault="00BD6566" w:rsidP="00BD6566">
            <w:pPr>
              <w:spacing w:after="0" w:line="240" w:lineRule="auto"/>
              <w:jc w:val="center"/>
              <w:rPr>
                <w:rFonts w:eastAsia="Times New Roman" w:cs="Times New Roman"/>
                <w:color w:val="000000"/>
                <w:kern w:val="0"/>
                <w:sz w:val="20"/>
                <w:szCs w:val="20"/>
                <w14:ligatures w14:val="none"/>
              </w:rPr>
            </w:pPr>
            <w:r w:rsidRPr="00E848EB">
              <w:rPr>
                <w:rFonts w:cs="Times New Roman"/>
                <w:color w:val="000000"/>
                <w:sz w:val="20"/>
                <w:szCs w:val="20"/>
              </w:rPr>
              <w:t>0.31</w:t>
            </w:r>
          </w:p>
        </w:tc>
        <w:tc>
          <w:tcPr>
            <w:tcW w:w="1691" w:type="dxa"/>
            <w:tcBorders>
              <w:top w:val="nil"/>
              <w:left w:val="nil"/>
              <w:bottom w:val="nil"/>
              <w:right w:val="single" w:sz="12" w:space="0" w:color="auto"/>
            </w:tcBorders>
            <w:shd w:val="clear" w:color="000000" w:fill="FFFFFF"/>
            <w:noWrap/>
            <w:tcMar>
              <w:left w:w="58" w:type="dxa"/>
              <w:right w:w="58" w:type="dxa"/>
            </w:tcMar>
            <w:vAlign w:val="bottom"/>
            <w:hideMark/>
          </w:tcPr>
          <w:p w14:paraId="1D0782C5" w14:textId="4FA2F277" w:rsidR="00BD6566" w:rsidRPr="00E848EB" w:rsidRDefault="00BD6566" w:rsidP="00BD6566">
            <w:pPr>
              <w:spacing w:after="0" w:line="240" w:lineRule="auto"/>
              <w:jc w:val="center"/>
              <w:rPr>
                <w:rFonts w:eastAsia="Times New Roman" w:cs="Times New Roman"/>
                <w:color w:val="000000"/>
                <w:kern w:val="0"/>
                <w:sz w:val="20"/>
                <w:szCs w:val="20"/>
                <w14:ligatures w14:val="none"/>
              </w:rPr>
            </w:pPr>
            <w:r w:rsidRPr="00E848EB">
              <w:rPr>
                <w:rFonts w:cs="Times New Roman"/>
                <w:color w:val="000000"/>
                <w:sz w:val="20"/>
                <w:szCs w:val="20"/>
              </w:rPr>
              <w:t>0.35</w:t>
            </w:r>
          </w:p>
        </w:tc>
      </w:tr>
      <w:tr w:rsidR="00BD6566" w:rsidRPr="00902D0F" w14:paraId="015770D6" w14:textId="77777777" w:rsidTr="004A258E">
        <w:trPr>
          <w:trHeight w:val="432"/>
          <w:jc w:val="center"/>
        </w:trPr>
        <w:tc>
          <w:tcPr>
            <w:tcW w:w="3675" w:type="dxa"/>
            <w:tcBorders>
              <w:top w:val="nil"/>
              <w:left w:val="single" w:sz="12" w:space="0" w:color="auto"/>
              <w:bottom w:val="nil"/>
              <w:right w:val="single" w:sz="12" w:space="0" w:color="auto"/>
            </w:tcBorders>
            <w:shd w:val="clear" w:color="000000" w:fill="FFFFFF"/>
            <w:tcMar>
              <w:left w:w="58" w:type="dxa"/>
              <w:right w:w="58" w:type="dxa"/>
            </w:tcMar>
            <w:vAlign w:val="center"/>
            <w:hideMark/>
          </w:tcPr>
          <w:p w14:paraId="15FBADA8" w14:textId="77777777" w:rsidR="00BD6566" w:rsidRPr="00902D0F" w:rsidRDefault="00BD6566" w:rsidP="00BD6566">
            <w:pPr>
              <w:spacing w:after="0" w:line="240" w:lineRule="auto"/>
              <w:rPr>
                <w:rFonts w:eastAsia="Times New Roman" w:cs="Times New Roman"/>
                <w:b/>
                <w:bCs/>
                <w:color w:val="000000"/>
                <w:kern w:val="0"/>
                <w:sz w:val="20"/>
                <w:szCs w:val="20"/>
                <w14:ligatures w14:val="none"/>
              </w:rPr>
            </w:pPr>
            <w:r w:rsidRPr="00902D0F">
              <w:rPr>
                <w:rFonts w:eastAsia="Times New Roman" w:cs="Times New Roman"/>
                <w:b/>
                <w:bCs/>
                <w:color w:val="000000"/>
                <w:kern w:val="0"/>
                <w:sz w:val="20"/>
                <w:szCs w:val="20"/>
                <w14:ligatures w14:val="none"/>
              </w:rPr>
              <w:t>Being close to public transit</w:t>
            </w:r>
          </w:p>
        </w:tc>
        <w:tc>
          <w:tcPr>
            <w:tcW w:w="1339" w:type="dxa"/>
            <w:tcBorders>
              <w:top w:val="nil"/>
              <w:left w:val="single" w:sz="12" w:space="0" w:color="auto"/>
              <w:bottom w:val="nil"/>
              <w:right w:val="single" w:sz="4" w:space="0" w:color="auto"/>
            </w:tcBorders>
            <w:shd w:val="clear" w:color="000000" w:fill="FFFFFF"/>
            <w:noWrap/>
            <w:tcMar>
              <w:left w:w="58" w:type="dxa"/>
              <w:right w:w="58" w:type="dxa"/>
            </w:tcMar>
            <w:vAlign w:val="bottom"/>
            <w:hideMark/>
          </w:tcPr>
          <w:p w14:paraId="7341C412" w14:textId="5922CD13" w:rsidR="00BD6566" w:rsidRPr="00E848EB" w:rsidRDefault="00BD6566" w:rsidP="00BD6566">
            <w:pPr>
              <w:spacing w:after="0" w:line="240" w:lineRule="auto"/>
              <w:jc w:val="center"/>
              <w:rPr>
                <w:rFonts w:eastAsia="Times New Roman" w:cs="Times New Roman"/>
                <w:color w:val="000000"/>
                <w:kern w:val="0"/>
                <w:sz w:val="20"/>
                <w:szCs w:val="20"/>
                <w14:ligatures w14:val="none"/>
              </w:rPr>
            </w:pPr>
          </w:p>
        </w:tc>
        <w:tc>
          <w:tcPr>
            <w:tcW w:w="1271" w:type="dxa"/>
            <w:tcBorders>
              <w:top w:val="nil"/>
              <w:left w:val="nil"/>
              <w:bottom w:val="nil"/>
              <w:right w:val="single" w:sz="4" w:space="0" w:color="auto"/>
            </w:tcBorders>
            <w:shd w:val="clear" w:color="000000" w:fill="FFFFFF"/>
            <w:noWrap/>
            <w:tcMar>
              <w:left w:w="58" w:type="dxa"/>
              <w:right w:w="58" w:type="dxa"/>
            </w:tcMar>
            <w:vAlign w:val="bottom"/>
            <w:hideMark/>
          </w:tcPr>
          <w:p w14:paraId="3D0BCFAA" w14:textId="27222E11" w:rsidR="00BD6566" w:rsidRPr="00E848EB" w:rsidRDefault="00BD6566" w:rsidP="00BD6566">
            <w:pPr>
              <w:spacing w:after="0" w:line="240" w:lineRule="auto"/>
              <w:jc w:val="center"/>
              <w:rPr>
                <w:rFonts w:eastAsia="Times New Roman" w:cs="Times New Roman"/>
                <w:color w:val="000000"/>
                <w:kern w:val="0"/>
                <w:sz w:val="20"/>
                <w:szCs w:val="20"/>
                <w14:ligatures w14:val="none"/>
              </w:rPr>
            </w:pPr>
          </w:p>
        </w:tc>
        <w:tc>
          <w:tcPr>
            <w:tcW w:w="1170" w:type="dxa"/>
            <w:tcBorders>
              <w:top w:val="nil"/>
              <w:left w:val="nil"/>
              <w:bottom w:val="nil"/>
              <w:right w:val="single" w:sz="4" w:space="0" w:color="auto"/>
            </w:tcBorders>
            <w:shd w:val="clear" w:color="000000" w:fill="FFFFFF"/>
            <w:noWrap/>
            <w:tcMar>
              <w:left w:w="58" w:type="dxa"/>
              <w:right w:w="58" w:type="dxa"/>
            </w:tcMar>
            <w:vAlign w:val="bottom"/>
            <w:hideMark/>
          </w:tcPr>
          <w:p w14:paraId="092A809B" w14:textId="654E05AF" w:rsidR="00BD6566" w:rsidRPr="00E848EB" w:rsidRDefault="00BD6566" w:rsidP="00BD6566">
            <w:pPr>
              <w:spacing w:after="0" w:line="240" w:lineRule="auto"/>
              <w:jc w:val="center"/>
              <w:rPr>
                <w:rFonts w:eastAsia="Times New Roman" w:cs="Times New Roman"/>
                <w:color w:val="000000"/>
                <w:kern w:val="0"/>
                <w:sz w:val="20"/>
                <w:szCs w:val="20"/>
                <w14:ligatures w14:val="none"/>
              </w:rPr>
            </w:pPr>
          </w:p>
        </w:tc>
        <w:tc>
          <w:tcPr>
            <w:tcW w:w="963" w:type="dxa"/>
            <w:tcBorders>
              <w:top w:val="nil"/>
              <w:left w:val="nil"/>
              <w:bottom w:val="nil"/>
              <w:right w:val="single" w:sz="4" w:space="0" w:color="auto"/>
            </w:tcBorders>
            <w:shd w:val="clear" w:color="000000" w:fill="FFFFFF"/>
            <w:noWrap/>
            <w:tcMar>
              <w:left w:w="58" w:type="dxa"/>
              <w:right w:w="58" w:type="dxa"/>
            </w:tcMar>
            <w:vAlign w:val="bottom"/>
            <w:hideMark/>
          </w:tcPr>
          <w:p w14:paraId="3E94779A" w14:textId="7D3CFDA9" w:rsidR="00BD6566" w:rsidRPr="00E848EB" w:rsidRDefault="00BD6566" w:rsidP="00BD6566">
            <w:pPr>
              <w:spacing w:after="0" w:line="240" w:lineRule="auto"/>
              <w:jc w:val="center"/>
              <w:rPr>
                <w:rFonts w:eastAsia="Times New Roman" w:cs="Times New Roman"/>
                <w:color w:val="000000"/>
                <w:kern w:val="0"/>
                <w:sz w:val="20"/>
                <w:szCs w:val="20"/>
                <w14:ligatures w14:val="none"/>
              </w:rPr>
            </w:pPr>
          </w:p>
        </w:tc>
        <w:tc>
          <w:tcPr>
            <w:tcW w:w="946" w:type="dxa"/>
            <w:tcBorders>
              <w:top w:val="nil"/>
              <w:left w:val="nil"/>
              <w:bottom w:val="nil"/>
              <w:right w:val="single" w:sz="4" w:space="0" w:color="auto"/>
            </w:tcBorders>
            <w:shd w:val="clear" w:color="000000" w:fill="FFFFFF"/>
            <w:noWrap/>
            <w:tcMar>
              <w:left w:w="58" w:type="dxa"/>
              <w:right w:w="58" w:type="dxa"/>
            </w:tcMar>
            <w:vAlign w:val="bottom"/>
            <w:hideMark/>
          </w:tcPr>
          <w:p w14:paraId="60BD18BF" w14:textId="27DC3C99" w:rsidR="00BD6566" w:rsidRPr="00E848EB" w:rsidRDefault="00BD6566" w:rsidP="00BD6566">
            <w:pPr>
              <w:spacing w:after="0" w:line="240" w:lineRule="auto"/>
              <w:jc w:val="center"/>
              <w:rPr>
                <w:rFonts w:eastAsia="Times New Roman" w:cs="Times New Roman"/>
                <w:color w:val="000000"/>
                <w:kern w:val="0"/>
                <w:sz w:val="20"/>
                <w:szCs w:val="20"/>
                <w14:ligatures w14:val="none"/>
              </w:rPr>
            </w:pPr>
          </w:p>
        </w:tc>
        <w:tc>
          <w:tcPr>
            <w:tcW w:w="1116" w:type="dxa"/>
            <w:tcBorders>
              <w:top w:val="nil"/>
              <w:left w:val="nil"/>
              <w:bottom w:val="nil"/>
              <w:right w:val="single" w:sz="4" w:space="0" w:color="auto"/>
            </w:tcBorders>
            <w:shd w:val="clear" w:color="000000" w:fill="FFFFFF"/>
            <w:noWrap/>
            <w:tcMar>
              <w:left w:w="58" w:type="dxa"/>
              <w:right w:w="58" w:type="dxa"/>
            </w:tcMar>
            <w:vAlign w:val="bottom"/>
            <w:hideMark/>
          </w:tcPr>
          <w:p w14:paraId="516B545E" w14:textId="470D8B54" w:rsidR="00BD6566" w:rsidRPr="00E848EB" w:rsidRDefault="00BD6566" w:rsidP="00BD6566">
            <w:pPr>
              <w:spacing w:after="0" w:line="240" w:lineRule="auto"/>
              <w:jc w:val="center"/>
              <w:rPr>
                <w:rFonts w:eastAsia="Times New Roman" w:cs="Times New Roman"/>
                <w:color w:val="000000"/>
                <w:kern w:val="0"/>
                <w:sz w:val="20"/>
                <w:szCs w:val="20"/>
                <w14:ligatures w14:val="none"/>
              </w:rPr>
            </w:pPr>
          </w:p>
        </w:tc>
        <w:tc>
          <w:tcPr>
            <w:tcW w:w="928" w:type="dxa"/>
            <w:tcBorders>
              <w:top w:val="nil"/>
              <w:left w:val="nil"/>
              <w:bottom w:val="nil"/>
              <w:right w:val="single" w:sz="4" w:space="0" w:color="auto"/>
            </w:tcBorders>
            <w:shd w:val="clear" w:color="000000" w:fill="FFFFFF"/>
            <w:noWrap/>
            <w:tcMar>
              <w:left w:w="58" w:type="dxa"/>
              <w:right w:w="58" w:type="dxa"/>
            </w:tcMar>
            <w:vAlign w:val="bottom"/>
            <w:hideMark/>
          </w:tcPr>
          <w:p w14:paraId="1D907317" w14:textId="6849F0DC" w:rsidR="00BD6566" w:rsidRPr="00E848EB" w:rsidRDefault="00BD6566" w:rsidP="00BD6566">
            <w:pPr>
              <w:spacing w:after="0" w:line="240" w:lineRule="auto"/>
              <w:jc w:val="center"/>
              <w:rPr>
                <w:rFonts w:eastAsia="Times New Roman" w:cs="Times New Roman"/>
                <w:color w:val="000000"/>
                <w:kern w:val="0"/>
                <w:sz w:val="20"/>
                <w:szCs w:val="20"/>
                <w14:ligatures w14:val="none"/>
              </w:rPr>
            </w:pPr>
            <w:r w:rsidRPr="00E848EB">
              <w:rPr>
                <w:rFonts w:cs="Times New Roman"/>
                <w:color w:val="000000"/>
                <w:sz w:val="20"/>
                <w:szCs w:val="20"/>
              </w:rPr>
              <w:t>6.67</w:t>
            </w:r>
          </w:p>
        </w:tc>
        <w:tc>
          <w:tcPr>
            <w:tcW w:w="1691" w:type="dxa"/>
            <w:tcBorders>
              <w:top w:val="nil"/>
              <w:left w:val="nil"/>
              <w:bottom w:val="nil"/>
              <w:right w:val="single" w:sz="12" w:space="0" w:color="auto"/>
            </w:tcBorders>
            <w:shd w:val="clear" w:color="000000" w:fill="FFFFFF"/>
            <w:noWrap/>
            <w:tcMar>
              <w:left w:w="58" w:type="dxa"/>
              <w:right w:w="58" w:type="dxa"/>
            </w:tcMar>
            <w:vAlign w:val="bottom"/>
            <w:hideMark/>
          </w:tcPr>
          <w:p w14:paraId="499C0422" w14:textId="52CA0837" w:rsidR="00BD6566" w:rsidRPr="00E848EB" w:rsidRDefault="00BD6566" w:rsidP="00BD6566">
            <w:pPr>
              <w:spacing w:after="0" w:line="240" w:lineRule="auto"/>
              <w:jc w:val="center"/>
              <w:rPr>
                <w:rFonts w:eastAsia="Times New Roman" w:cs="Times New Roman"/>
                <w:color w:val="000000"/>
                <w:kern w:val="0"/>
                <w:sz w:val="20"/>
                <w:szCs w:val="20"/>
                <w14:ligatures w14:val="none"/>
              </w:rPr>
            </w:pPr>
            <w:r w:rsidRPr="00E848EB">
              <w:rPr>
                <w:rFonts w:cs="Times New Roman"/>
                <w:color w:val="000000"/>
                <w:sz w:val="20"/>
                <w:szCs w:val="20"/>
              </w:rPr>
              <w:t>0.71</w:t>
            </w:r>
          </w:p>
        </w:tc>
      </w:tr>
      <w:tr w:rsidR="00BD6566" w:rsidRPr="00902D0F" w14:paraId="5D0486D4" w14:textId="77777777" w:rsidTr="004A258E">
        <w:trPr>
          <w:trHeight w:val="432"/>
          <w:jc w:val="center"/>
        </w:trPr>
        <w:tc>
          <w:tcPr>
            <w:tcW w:w="3675" w:type="dxa"/>
            <w:tcBorders>
              <w:top w:val="nil"/>
              <w:left w:val="single" w:sz="12" w:space="0" w:color="auto"/>
              <w:bottom w:val="single" w:sz="12" w:space="0" w:color="auto"/>
              <w:right w:val="single" w:sz="12" w:space="0" w:color="auto"/>
            </w:tcBorders>
            <w:shd w:val="clear" w:color="000000" w:fill="FFFFFF"/>
            <w:tcMar>
              <w:left w:w="58" w:type="dxa"/>
              <w:right w:w="58" w:type="dxa"/>
            </w:tcMar>
            <w:vAlign w:val="center"/>
            <w:hideMark/>
          </w:tcPr>
          <w:p w14:paraId="1290651D" w14:textId="77777777" w:rsidR="00BD6566" w:rsidRPr="00902D0F" w:rsidRDefault="00BD6566" w:rsidP="00BD6566">
            <w:pPr>
              <w:spacing w:after="0" w:line="240" w:lineRule="auto"/>
              <w:rPr>
                <w:rFonts w:eastAsia="Times New Roman" w:cs="Times New Roman"/>
                <w:b/>
                <w:bCs/>
                <w:color w:val="000000"/>
                <w:kern w:val="0"/>
                <w:sz w:val="20"/>
                <w:szCs w:val="20"/>
                <w14:ligatures w14:val="none"/>
              </w:rPr>
            </w:pPr>
            <w:r w:rsidRPr="00902D0F">
              <w:rPr>
                <w:rFonts w:eastAsia="Times New Roman" w:cs="Times New Roman"/>
                <w:b/>
                <w:bCs/>
                <w:color w:val="000000"/>
                <w:kern w:val="0"/>
                <w:sz w:val="20"/>
                <w:szCs w:val="20"/>
                <w14:ligatures w14:val="none"/>
              </w:rPr>
              <w:t>Having a walkable neighborhood and being near local activities</w:t>
            </w:r>
          </w:p>
        </w:tc>
        <w:tc>
          <w:tcPr>
            <w:tcW w:w="1339" w:type="dxa"/>
            <w:tcBorders>
              <w:top w:val="nil"/>
              <w:left w:val="single" w:sz="12" w:space="0" w:color="auto"/>
              <w:bottom w:val="single" w:sz="12" w:space="0" w:color="auto"/>
              <w:right w:val="single" w:sz="4" w:space="0" w:color="auto"/>
            </w:tcBorders>
            <w:shd w:val="clear" w:color="000000" w:fill="FFFFFF"/>
            <w:noWrap/>
            <w:tcMar>
              <w:left w:w="58" w:type="dxa"/>
              <w:right w:w="58" w:type="dxa"/>
            </w:tcMar>
            <w:vAlign w:val="bottom"/>
            <w:hideMark/>
          </w:tcPr>
          <w:p w14:paraId="4883B2D2" w14:textId="1FBAEFFD" w:rsidR="00BD6566" w:rsidRPr="00E848EB" w:rsidRDefault="00BD6566" w:rsidP="00BD6566">
            <w:pPr>
              <w:spacing w:after="0" w:line="240" w:lineRule="auto"/>
              <w:jc w:val="center"/>
              <w:rPr>
                <w:rFonts w:eastAsia="Times New Roman" w:cs="Times New Roman"/>
                <w:color w:val="000000"/>
                <w:kern w:val="0"/>
                <w:sz w:val="20"/>
                <w:szCs w:val="20"/>
                <w14:ligatures w14:val="none"/>
              </w:rPr>
            </w:pPr>
          </w:p>
        </w:tc>
        <w:tc>
          <w:tcPr>
            <w:tcW w:w="1271" w:type="dxa"/>
            <w:tcBorders>
              <w:top w:val="nil"/>
              <w:left w:val="nil"/>
              <w:bottom w:val="single" w:sz="12" w:space="0" w:color="auto"/>
              <w:right w:val="single" w:sz="4" w:space="0" w:color="auto"/>
            </w:tcBorders>
            <w:shd w:val="clear" w:color="000000" w:fill="FFFFFF"/>
            <w:noWrap/>
            <w:tcMar>
              <w:left w:w="58" w:type="dxa"/>
              <w:right w:w="58" w:type="dxa"/>
            </w:tcMar>
            <w:vAlign w:val="bottom"/>
            <w:hideMark/>
          </w:tcPr>
          <w:p w14:paraId="7F700AD9" w14:textId="61958451" w:rsidR="00BD6566" w:rsidRPr="00E848EB" w:rsidRDefault="00BD6566" w:rsidP="00BD6566">
            <w:pPr>
              <w:spacing w:after="0" w:line="240" w:lineRule="auto"/>
              <w:jc w:val="center"/>
              <w:rPr>
                <w:rFonts w:eastAsia="Times New Roman" w:cs="Times New Roman"/>
                <w:color w:val="000000"/>
                <w:kern w:val="0"/>
                <w:sz w:val="20"/>
                <w:szCs w:val="20"/>
                <w14:ligatures w14:val="none"/>
              </w:rPr>
            </w:pPr>
          </w:p>
        </w:tc>
        <w:tc>
          <w:tcPr>
            <w:tcW w:w="1170" w:type="dxa"/>
            <w:tcBorders>
              <w:top w:val="nil"/>
              <w:left w:val="nil"/>
              <w:bottom w:val="single" w:sz="12" w:space="0" w:color="auto"/>
              <w:right w:val="single" w:sz="4" w:space="0" w:color="auto"/>
            </w:tcBorders>
            <w:shd w:val="clear" w:color="000000" w:fill="FFFFFF"/>
            <w:noWrap/>
            <w:tcMar>
              <w:left w:w="58" w:type="dxa"/>
              <w:right w:w="58" w:type="dxa"/>
            </w:tcMar>
            <w:vAlign w:val="bottom"/>
            <w:hideMark/>
          </w:tcPr>
          <w:p w14:paraId="085D2637" w14:textId="4001F53C" w:rsidR="00BD6566" w:rsidRPr="00E848EB" w:rsidRDefault="00BD6566" w:rsidP="00BD6566">
            <w:pPr>
              <w:spacing w:after="0" w:line="240" w:lineRule="auto"/>
              <w:jc w:val="center"/>
              <w:rPr>
                <w:rFonts w:eastAsia="Times New Roman" w:cs="Times New Roman"/>
                <w:color w:val="000000"/>
                <w:kern w:val="0"/>
                <w:sz w:val="20"/>
                <w:szCs w:val="20"/>
                <w14:ligatures w14:val="none"/>
              </w:rPr>
            </w:pPr>
          </w:p>
        </w:tc>
        <w:tc>
          <w:tcPr>
            <w:tcW w:w="963" w:type="dxa"/>
            <w:tcBorders>
              <w:top w:val="nil"/>
              <w:left w:val="nil"/>
              <w:bottom w:val="single" w:sz="12" w:space="0" w:color="auto"/>
              <w:right w:val="single" w:sz="4" w:space="0" w:color="auto"/>
            </w:tcBorders>
            <w:shd w:val="clear" w:color="000000" w:fill="FFFFFF"/>
            <w:noWrap/>
            <w:tcMar>
              <w:left w:w="58" w:type="dxa"/>
              <w:right w:w="58" w:type="dxa"/>
            </w:tcMar>
            <w:vAlign w:val="bottom"/>
            <w:hideMark/>
          </w:tcPr>
          <w:p w14:paraId="788FB75C" w14:textId="2629E886" w:rsidR="00BD6566" w:rsidRPr="00E848EB" w:rsidRDefault="00BD6566" w:rsidP="00BD6566">
            <w:pPr>
              <w:spacing w:after="0" w:line="240" w:lineRule="auto"/>
              <w:jc w:val="center"/>
              <w:rPr>
                <w:rFonts w:eastAsia="Times New Roman" w:cs="Times New Roman"/>
                <w:color w:val="000000"/>
                <w:kern w:val="0"/>
                <w:sz w:val="20"/>
                <w:szCs w:val="20"/>
                <w14:ligatures w14:val="none"/>
              </w:rPr>
            </w:pPr>
          </w:p>
        </w:tc>
        <w:tc>
          <w:tcPr>
            <w:tcW w:w="946" w:type="dxa"/>
            <w:tcBorders>
              <w:top w:val="nil"/>
              <w:left w:val="nil"/>
              <w:bottom w:val="single" w:sz="12" w:space="0" w:color="auto"/>
              <w:right w:val="single" w:sz="4" w:space="0" w:color="auto"/>
            </w:tcBorders>
            <w:shd w:val="clear" w:color="000000" w:fill="FFFFFF"/>
            <w:noWrap/>
            <w:tcMar>
              <w:left w:w="58" w:type="dxa"/>
              <w:right w:w="58" w:type="dxa"/>
            </w:tcMar>
            <w:vAlign w:val="bottom"/>
            <w:hideMark/>
          </w:tcPr>
          <w:p w14:paraId="3C7A4B25" w14:textId="30CA1B79" w:rsidR="00BD6566" w:rsidRPr="00E848EB" w:rsidRDefault="00BD6566" w:rsidP="00BD6566">
            <w:pPr>
              <w:spacing w:after="0" w:line="240" w:lineRule="auto"/>
              <w:jc w:val="center"/>
              <w:rPr>
                <w:rFonts w:eastAsia="Times New Roman" w:cs="Times New Roman"/>
                <w:color w:val="000000"/>
                <w:kern w:val="0"/>
                <w:sz w:val="20"/>
                <w:szCs w:val="20"/>
                <w14:ligatures w14:val="none"/>
              </w:rPr>
            </w:pPr>
          </w:p>
        </w:tc>
        <w:tc>
          <w:tcPr>
            <w:tcW w:w="1116" w:type="dxa"/>
            <w:tcBorders>
              <w:top w:val="nil"/>
              <w:left w:val="nil"/>
              <w:bottom w:val="single" w:sz="12" w:space="0" w:color="auto"/>
              <w:right w:val="single" w:sz="4" w:space="0" w:color="auto"/>
            </w:tcBorders>
            <w:shd w:val="clear" w:color="000000" w:fill="FFFFFF"/>
            <w:noWrap/>
            <w:tcMar>
              <w:left w:w="58" w:type="dxa"/>
              <w:right w:w="58" w:type="dxa"/>
            </w:tcMar>
            <w:vAlign w:val="bottom"/>
            <w:hideMark/>
          </w:tcPr>
          <w:p w14:paraId="3AA194B2" w14:textId="548CACAD" w:rsidR="00BD6566" w:rsidRPr="00E848EB" w:rsidRDefault="00BD6566" w:rsidP="00BD6566">
            <w:pPr>
              <w:spacing w:after="0" w:line="240" w:lineRule="auto"/>
              <w:jc w:val="center"/>
              <w:rPr>
                <w:rFonts w:eastAsia="Times New Roman" w:cs="Times New Roman"/>
                <w:color w:val="000000"/>
                <w:kern w:val="0"/>
                <w:sz w:val="20"/>
                <w:szCs w:val="20"/>
                <w14:ligatures w14:val="none"/>
              </w:rPr>
            </w:pPr>
          </w:p>
        </w:tc>
        <w:tc>
          <w:tcPr>
            <w:tcW w:w="928" w:type="dxa"/>
            <w:tcBorders>
              <w:top w:val="nil"/>
              <w:left w:val="nil"/>
              <w:bottom w:val="single" w:sz="12" w:space="0" w:color="auto"/>
              <w:right w:val="single" w:sz="4" w:space="0" w:color="auto"/>
            </w:tcBorders>
            <w:shd w:val="clear" w:color="000000" w:fill="FFFFFF"/>
            <w:noWrap/>
            <w:tcMar>
              <w:left w:w="58" w:type="dxa"/>
              <w:right w:w="58" w:type="dxa"/>
            </w:tcMar>
            <w:vAlign w:val="bottom"/>
            <w:hideMark/>
          </w:tcPr>
          <w:p w14:paraId="63D24ABA" w14:textId="33C939C5" w:rsidR="00BD6566" w:rsidRPr="00E848EB" w:rsidRDefault="00BD6566" w:rsidP="00BD6566">
            <w:pPr>
              <w:spacing w:after="0" w:line="240" w:lineRule="auto"/>
              <w:jc w:val="center"/>
              <w:rPr>
                <w:rFonts w:eastAsia="Times New Roman" w:cs="Times New Roman"/>
                <w:color w:val="000000"/>
                <w:kern w:val="0"/>
                <w:sz w:val="20"/>
                <w:szCs w:val="20"/>
                <w14:ligatures w14:val="none"/>
              </w:rPr>
            </w:pPr>
          </w:p>
        </w:tc>
        <w:tc>
          <w:tcPr>
            <w:tcW w:w="1691" w:type="dxa"/>
            <w:tcBorders>
              <w:top w:val="nil"/>
              <w:left w:val="nil"/>
              <w:bottom w:val="single" w:sz="12" w:space="0" w:color="auto"/>
              <w:right w:val="single" w:sz="12" w:space="0" w:color="auto"/>
            </w:tcBorders>
            <w:shd w:val="clear" w:color="000000" w:fill="FFFFFF"/>
            <w:noWrap/>
            <w:tcMar>
              <w:left w:w="58" w:type="dxa"/>
              <w:right w:w="58" w:type="dxa"/>
            </w:tcMar>
            <w:vAlign w:val="center"/>
            <w:hideMark/>
          </w:tcPr>
          <w:p w14:paraId="1589A826" w14:textId="33BC6D7B" w:rsidR="00BD6566" w:rsidRPr="00E848EB" w:rsidRDefault="00BD6566" w:rsidP="00E848EB">
            <w:pPr>
              <w:spacing w:after="0" w:line="240" w:lineRule="auto"/>
              <w:jc w:val="center"/>
              <w:rPr>
                <w:rFonts w:eastAsia="Times New Roman" w:cs="Times New Roman"/>
                <w:color w:val="000000"/>
                <w:kern w:val="0"/>
                <w:sz w:val="20"/>
                <w:szCs w:val="20"/>
                <w14:ligatures w14:val="none"/>
              </w:rPr>
            </w:pPr>
            <w:r w:rsidRPr="00E848EB">
              <w:rPr>
                <w:rFonts w:cs="Times New Roman"/>
                <w:color w:val="000000"/>
                <w:sz w:val="20"/>
                <w:szCs w:val="20"/>
              </w:rPr>
              <w:t>4.37</w:t>
            </w:r>
          </w:p>
        </w:tc>
      </w:tr>
    </w:tbl>
    <w:p w14:paraId="5A1C6EA2" w14:textId="0FE8D4D5" w:rsidR="00373FC9" w:rsidRDefault="00373FC9" w:rsidP="00737417">
      <w:pPr>
        <w:rPr>
          <w:b/>
          <w:bCs/>
        </w:rPr>
        <w:sectPr w:rsidR="00373FC9" w:rsidSect="00956D9D">
          <w:pgSz w:w="15840" w:h="12240" w:orient="landscape" w:code="1"/>
          <w:pgMar w:top="1440" w:right="1440" w:bottom="1440" w:left="1440" w:header="720" w:footer="720" w:gutter="0"/>
          <w:cols w:space="720"/>
          <w:docGrid w:linePitch="360"/>
        </w:sectPr>
      </w:pPr>
      <w:r>
        <w:rPr>
          <w:b/>
          <w:bCs/>
        </w:rPr>
        <w:t xml:space="preserve"> </w:t>
      </w:r>
    </w:p>
    <w:p w14:paraId="777F8F1E" w14:textId="188E1D83" w:rsidR="00737417" w:rsidRDefault="00737417" w:rsidP="000B75C1">
      <w:pPr>
        <w:spacing w:after="0" w:line="240" w:lineRule="auto"/>
        <w:rPr>
          <w:b/>
          <w:bCs/>
        </w:rPr>
      </w:pPr>
      <w:r>
        <w:rPr>
          <w:b/>
          <w:bCs/>
        </w:rPr>
        <w:lastRenderedPageBreak/>
        <w:t>Table 5: Data Fit Measures</w:t>
      </w:r>
    </w:p>
    <w:p w14:paraId="75496C26" w14:textId="043B45A3" w:rsidR="00737417" w:rsidRDefault="00737417" w:rsidP="000B75C1">
      <w:pPr>
        <w:spacing w:after="0" w:line="240" w:lineRule="auto"/>
        <w:rPr>
          <w:b/>
          <w:bCs/>
        </w:rPr>
      </w:pPr>
    </w:p>
    <w:tbl>
      <w:tblPr>
        <w:tblW w:w="9649" w:type="dxa"/>
        <w:jc w:val="center"/>
        <w:tblLook w:val="04A0" w:firstRow="1" w:lastRow="0" w:firstColumn="1" w:lastColumn="0" w:noHBand="0" w:noVBand="1"/>
      </w:tblPr>
      <w:tblGrid>
        <w:gridCol w:w="5295"/>
        <w:gridCol w:w="1075"/>
        <w:gridCol w:w="950"/>
        <w:gridCol w:w="666"/>
        <w:gridCol w:w="994"/>
        <w:gridCol w:w="669"/>
      </w:tblGrid>
      <w:tr w:rsidR="00650244" w:rsidRPr="00650244" w14:paraId="325A38D7" w14:textId="77777777" w:rsidTr="000B75C1">
        <w:trPr>
          <w:trHeight w:val="310"/>
          <w:jc w:val="center"/>
        </w:trPr>
        <w:tc>
          <w:tcPr>
            <w:tcW w:w="9646" w:type="dxa"/>
            <w:gridSpan w:val="6"/>
            <w:tcBorders>
              <w:top w:val="single" w:sz="12" w:space="0" w:color="auto"/>
              <w:left w:val="single" w:sz="12" w:space="0" w:color="auto"/>
              <w:bottom w:val="single" w:sz="12" w:space="0" w:color="auto"/>
              <w:right w:val="single" w:sz="12" w:space="0" w:color="auto"/>
            </w:tcBorders>
            <w:shd w:val="clear" w:color="000000" w:fill="FFFFFF"/>
            <w:noWrap/>
            <w:tcMar>
              <w:left w:w="58" w:type="dxa"/>
              <w:right w:w="58" w:type="dxa"/>
            </w:tcMar>
            <w:vAlign w:val="center"/>
            <w:hideMark/>
          </w:tcPr>
          <w:p w14:paraId="35F92702" w14:textId="77777777" w:rsidR="00650244" w:rsidRPr="00650244" w:rsidRDefault="00650244" w:rsidP="00650244">
            <w:pPr>
              <w:spacing w:after="0" w:line="240" w:lineRule="auto"/>
              <w:jc w:val="center"/>
              <w:rPr>
                <w:rFonts w:eastAsia="Times New Roman" w:cs="Times New Roman"/>
                <w:b/>
                <w:bCs/>
                <w:i/>
                <w:iCs/>
                <w:color w:val="000000"/>
                <w:kern w:val="0"/>
                <w:sz w:val="20"/>
                <w:szCs w:val="20"/>
                <w14:ligatures w14:val="none"/>
              </w:rPr>
            </w:pPr>
            <w:r w:rsidRPr="00650244">
              <w:rPr>
                <w:rFonts w:eastAsia="Times New Roman" w:cs="Times New Roman"/>
                <w:b/>
                <w:bCs/>
                <w:i/>
                <w:iCs/>
                <w:color w:val="000000"/>
                <w:kern w:val="0"/>
                <w:sz w:val="20"/>
                <w:szCs w:val="20"/>
                <w14:ligatures w14:val="none"/>
              </w:rPr>
              <w:t>Disaggregate Fit Measures</w:t>
            </w:r>
          </w:p>
        </w:tc>
      </w:tr>
      <w:tr w:rsidR="008B5945" w:rsidRPr="00650244" w14:paraId="1A2C9D50" w14:textId="77777777" w:rsidTr="000B75C1">
        <w:trPr>
          <w:trHeight w:val="310"/>
          <w:jc w:val="center"/>
        </w:trPr>
        <w:tc>
          <w:tcPr>
            <w:tcW w:w="6367" w:type="dxa"/>
            <w:gridSpan w:val="2"/>
            <w:tcBorders>
              <w:top w:val="single" w:sz="12" w:space="0" w:color="auto"/>
              <w:left w:val="single" w:sz="12" w:space="0" w:color="auto"/>
              <w:bottom w:val="single" w:sz="8" w:space="0" w:color="auto"/>
              <w:right w:val="single" w:sz="8" w:space="0" w:color="000000"/>
            </w:tcBorders>
            <w:shd w:val="clear" w:color="000000" w:fill="FFFFFF"/>
            <w:noWrap/>
            <w:tcMar>
              <w:left w:w="58" w:type="dxa"/>
              <w:right w:w="58" w:type="dxa"/>
            </w:tcMar>
            <w:vAlign w:val="center"/>
            <w:hideMark/>
          </w:tcPr>
          <w:p w14:paraId="4A436406" w14:textId="77777777" w:rsidR="00650244" w:rsidRPr="00650244" w:rsidRDefault="00650244" w:rsidP="00650244">
            <w:pPr>
              <w:spacing w:after="0" w:line="240" w:lineRule="auto"/>
              <w:jc w:val="center"/>
              <w:rPr>
                <w:rFonts w:eastAsia="Times New Roman" w:cs="Times New Roman"/>
                <w:b/>
                <w:bCs/>
                <w:color w:val="000000"/>
                <w:kern w:val="0"/>
                <w:sz w:val="20"/>
                <w:szCs w:val="20"/>
                <w14:ligatures w14:val="none"/>
              </w:rPr>
            </w:pPr>
            <w:r w:rsidRPr="00650244">
              <w:rPr>
                <w:rFonts w:eastAsia="Times New Roman" w:cs="Times New Roman"/>
                <w:b/>
                <w:bCs/>
                <w:color w:val="000000"/>
                <w:kern w:val="0"/>
                <w:sz w:val="20"/>
                <w:szCs w:val="20"/>
                <w14:ligatures w14:val="none"/>
              </w:rPr>
              <w:t>Metric</w:t>
            </w:r>
          </w:p>
        </w:tc>
        <w:tc>
          <w:tcPr>
            <w:tcW w:w="1616" w:type="dxa"/>
            <w:gridSpan w:val="2"/>
            <w:tcBorders>
              <w:top w:val="single" w:sz="12" w:space="0" w:color="auto"/>
              <w:left w:val="nil"/>
              <w:bottom w:val="single" w:sz="8" w:space="0" w:color="auto"/>
              <w:right w:val="nil"/>
            </w:tcBorders>
            <w:shd w:val="clear" w:color="000000" w:fill="FFFFFF"/>
            <w:noWrap/>
            <w:tcMar>
              <w:left w:w="58" w:type="dxa"/>
              <w:right w:w="58" w:type="dxa"/>
            </w:tcMar>
            <w:vAlign w:val="center"/>
            <w:hideMark/>
          </w:tcPr>
          <w:p w14:paraId="166124CE" w14:textId="77777777" w:rsidR="00650244" w:rsidRPr="00650244" w:rsidRDefault="00650244" w:rsidP="00650244">
            <w:pPr>
              <w:spacing w:after="0" w:line="240" w:lineRule="auto"/>
              <w:jc w:val="center"/>
              <w:rPr>
                <w:rFonts w:eastAsia="Times New Roman" w:cs="Times New Roman"/>
                <w:b/>
                <w:bCs/>
                <w:color w:val="000000"/>
                <w:kern w:val="0"/>
                <w:sz w:val="20"/>
                <w:szCs w:val="20"/>
                <w14:ligatures w14:val="none"/>
              </w:rPr>
            </w:pPr>
            <w:r w:rsidRPr="00650244">
              <w:rPr>
                <w:rFonts w:eastAsia="Times New Roman" w:cs="Times New Roman"/>
                <w:b/>
                <w:bCs/>
                <w:color w:val="000000"/>
                <w:kern w:val="0"/>
                <w:sz w:val="20"/>
                <w:szCs w:val="20"/>
                <w14:ligatures w14:val="none"/>
              </w:rPr>
              <w:t>Joint Model</w:t>
            </w:r>
          </w:p>
        </w:tc>
        <w:tc>
          <w:tcPr>
            <w:tcW w:w="1663" w:type="dxa"/>
            <w:gridSpan w:val="2"/>
            <w:tcBorders>
              <w:top w:val="single" w:sz="12" w:space="0" w:color="auto"/>
              <w:left w:val="nil"/>
              <w:bottom w:val="single" w:sz="8" w:space="0" w:color="auto"/>
              <w:right w:val="single" w:sz="12" w:space="0" w:color="auto"/>
            </w:tcBorders>
            <w:shd w:val="clear" w:color="000000" w:fill="FFFFFF"/>
            <w:noWrap/>
            <w:tcMar>
              <w:left w:w="58" w:type="dxa"/>
              <w:right w:w="58" w:type="dxa"/>
            </w:tcMar>
            <w:vAlign w:val="center"/>
            <w:hideMark/>
          </w:tcPr>
          <w:p w14:paraId="27CDB885" w14:textId="77777777" w:rsidR="00650244" w:rsidRPr="00650244" w:rsidRDefault="00650244" w:rsidP="00650244">
            <w:pPr>
              <w:spacing w:after="0" w:line="240" w:lineRule="auto"/>
              <w:jc w:val="center"/>
              <w:rPr>
                <w:rFonts w:eastAsia="Times New Roman" w:cs="Times New Roman"/>
                <w:b/>
                <w:bCs/>
                <w:color w:val="000000"/>
                <w:kern w:val="0"/>
                <w:sz w:val="20"/>
                <w:szCs w:val="20"/>
                <w14:ligatures w14:val="none"/>
              </w:rPr>
            </w:pPr>
            <w:r w:rsidRPr="00650244">
              <w:rPr>
                <w:rFonts w:eastAsia="Times New Roman" w:cs="Times New Roman"/>
                <w:b/>
                <w:bCs/>
                <w:color w:val="000000"/>
                <w:kern w:val="0"/>
                <w:sz w:val="20"/>
                <w:szCs w:val="20"/>
                <w14:ligatures w14:val="none"/>
              </w:rPr>
              <w:t>Independent Model</w:t>
            </w:r>
          </w:p>
        </w:tc>
      </w:tr>
      <w:tr w:rsidR="00650244" w:rsidRPr="00650244" w14:paraId="224BAB98" w14:textId="77777777" w:rsidTr="000B75C1">
        <w:trPr>
          <w:trHeight w:val="295"/>
          <w:jc w:val="center"/>
        </w:trPr>
        <w:tc>
          <w:tcPr>
            <w:tcW w:w="5295" w:type="dxa"/>
            <w:tcBorders>
              <w:top w:val="nil"/>
              <w:left w:val="single" w:sz="12" w:space="0" w:color="auto"/>
              <w:bottom w:val="nil"/>
              <w:right w:val="nil"/>
            </w:tcBorders>
            <w:shd w:val="clear" w:color="000000" w:fill="FFFFFF"/>
            <w:noWrap/>
            <w:tcMar>
              <w:left w:w="58" w:type="dxa"/>
              <w:right w:w="58" w:type="dxa"/>
            </w:tcMar>
            <w:vAlign w:val="center"/>
            <w:hideMark/>
          </w:tcPr>
          <w:p w14:paraId="3C9BB51E" w14:textId="77777777" w:rsidR="00650244" w:rsidRPr="00650244" w:rsidRDefault="00650244" w:rsidP="00650244">
            <w:pPr>
              <w:spacing w:after="0" w:line="240" w:lineRule="auto"/>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LL Convergence</w:t>
            </w:r>
          </w:p>
        </w:tc>
        <w:tc>
          <w:tcPr>
            <w:tcW w:w="1075" w:type="dxa"/>
            <w:tcBorders>
              <w:top w:val="nil"/>
              <w:left w:val="nil"/>
              <w:bottom w:val="nil"/>
              <w:right w:val="single" w:sz="8" w:space="0" w:color="auto"/>
            </w:tcBorders>
            <w:shd w:val="clear" w:color="000000" w:fill="FFFFFF"/>
            <w:noWrap/>
            <w:tcMar>
              <w:left w:w="58" w:type="dxa"/>
              <w:right w:w="58" w:type="dxa"/>
            </w:tcMar>
            <w:vAlign w:val="center"/>
            <w:hideMark/>
          </w:tcPr>
          <w:p w14:paraId="3C801C6F" w14:textId="77777777" w:rsidR="00650244" w:rsidRPr="00650244" w:rsidRDefault="00650244" w:rsidP="00650244">
            <w:pPr>
              <w:spacing w:after="0" w:line="240" w:lineRule="auto"/>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 </w:t>
            </w:r>
          </w:p>
        </w:tc>
        <w:tc>
          <w:tcPr>
            <w:tcW w:w="1616" w:type="dxa"/>
            <w:gridSpan w:val="2"/>
            <w:tcBorders>
              <w:top w:val="nil"/>
              <w:left w:val="nil"/>
              <w:bottom w:val="nil"/>
              <w:right w:val="nil"/>
            </w:tcBorders>
            <w:shd w:val="clear" w:color="000000" w:fill="FFFFFF"/>
            <w:noWrap/>
            <w:tcMar>
              <w:left w:w="58" w:type="dxa"/>
              <w:right w:w="58" w:type="dxa"/>
            </w:tcMar>
            <w:vAlign w:val="center"/>
            <w:hideMark/>
          </w:tcPr>
          <w:p w14:paraId="19CFB4AE"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-13404.19</w:t>
            </w:r>
          </w:p>
        </w:tc>
        <w:tc>
          <w:tcPr>
            <w:tcW w:w="1663" w:type="dxa"/>
            <w:gridSpan w:val="2"/>
            <w:tcBorders>
              <w:top w:val="nil"/>
              <w:left w:val="nil"/>
              <w:bottom w:val="nil"/>
              <w:right w:val="single" w:sz="12" w:space="0" w:color="auto"/>
            </w:tcBorders>
            <w:shd w:val="clear" w:color="000000" w:fill="FFFFFF"/>
            <w:noWrap/>
            <w:tcMar>
              <w:left w:w="58" w:type="dxa"/>
              <w:right w:w="58" w:type="dxa"/>
            </w:tcMar>
            <w:vAlign w:val="center"/>
            <w:hideMark/>
          </w:tcPr>
          <w:p w14:paraId="50532F55"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-14923.16</w:t>
            </w:r>
          </w:p>
        </w:tc>
      </w:tr>
      <w:tr w:rsidR="00650244" w:rsidRPr="00650244" w14:paraId="5317BD02" w14:textId="77777777" w:rsidTr="000B75C1">
        <w:trPr>
          <w:trHeight w:val="295"/>
          <w:jc w:val="center"/>
        </w:trPr>
        <w:tc>
          <w:tcPr>
            <w:tcW w:w="5295" w:type="dxa"/>
            <w:tcBorders>
              <w:top w:val="nil"/>
              <w:left w:val="single" w:sz="12" w:space="0" w:color="auto"/>
              <w:bottom w:val="nil"/>
              <w:right w:val="nil"/>
            </w:tcBorders>
            <w:shd w:val="clear" w:color="000000" w:fill="FFFFFF"/>
            <w:noWrap/>
            <w:tcMar>
              <w:left w:w="58" w:type="dxa"/>
              <w:right w:w="58" w:type="dxa"/>
            </w:tcMar>
            <w:vAlign w:val="center"/>
            <w:hideMark/>
          </w:tcPr>
          <w:p w14:paraId="4C02A648" w14:textId="77777777" w:rsidR="00650244" w:rsidRPr="00650244" w:rsidRDefault="00650244" w:rsidP="00650244">
            <w:pPr>
              <w:spacing w:after="0" w:line="240" w:lineRule="auto"/>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LL Constants</w:t>
            </w:r>
          </w:p>
        </w:tc>
        <w:tc>
          <w:tcPr>
            <w:tcW w:w="1075" w:type="dxa"/>
            <w:tcBorders>
              <w:top w:val="nil"/>
              <w:left w:val="nil"/>
              <w:bottom w:val="nil"/>
              <w:right w:val="single" w:sz="8" w:space="0" w:color="auto"/>
            </w:tcBorders>
            <w:shd w:val="clear" w:color="000000" w:fill="FFFFFF"/>
            <w:noWrap/>
            <w:tcMar>
              <w:left w:w="58" w:type="dxa"/>
              <w:right w:w="58" w:type="dxa"/>
            </w:tcMar>
            <w:vAlign w:val="center"/>
            <w:hideMark/>
          </w:tcPr>
          <w:p w14:paraId="1CB1FD9D" w14:textId="77777777" w:rsidR="00650244" w:rsidRPr="00650244" w:rsidRDefault="00650244" w:rsidP="00650244">
            <w:pPr>
              <w:spacing w:after="0" w:line="240" w:lineRule="auto"/>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 </w:t>
            </w:r>
          </w:p>
        </w:tc>
        <w:tc>
          <w:tcPr>
            <w:tcW w:w="1616" w:type="dxa"/>
            <w:gridSpan w:val="2"/>
            <w:tcBorders>
              <w:top w:val="nil"/>
              <w:left w:val="nil"/>
              <w:bottom w:val="nil"/>
              <w:right w:val="nil"/>
            </w:tcBorders>
            <w:shd w:val="clear" w:color="000000" w:fill="FFFFFF"/>
            <w:noWrap/>
            <w:tcMar>
              <w:left w:w="58" w:type="dxa"/>
              <w:right w:w="58" w:type="dxa"/>
            </w:tcMar>
            <w:vAlign w:val="center"/>
            <w:hideMark/>
          </w:tcPr>
          <w:p w14:paraId="735B2143"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-15292.70</w:t>
            </w:r>
          </w:p>
        </w:tc>
        <w:tc>
          <w:tcPr>
            <w:tcW w:w="1663" w:type="dxa"/>
            <w:gridSpan w:val="2"/>
            <w:tcBorders>
              <w:top w:val="nil"/>
              <w:left w:val="nil"/>
              <w:bottom w:val="nil"/>
              <w:right w:val="single" w:sz="12" w:space="0" w:color="auto"/>
            </w:tcBorders>
            <w:shd w:val="clear" w:color="000000" w:fill="FFFFFF"/>
            <w:noWrap/>
            <w:tcMar>
              <w:left w:w="58" w:type="dxa"/>
              <w:right w:w="58" w:type="dxa"/>
            </w:tcMar>
            <w:vAlign w:val="center"/>
            <w:hideMark/>
          </w:tcPr>
          <w:p w14:paraId="0A17EE25"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-15292.70</w:t>
            </w:r>
          </w:p>
        </w:tc>
      </w:tr>
      <w:tr w:rsidR="00650244" w:rsidRPr="00650244" w14:paraId="61094075" w14:textId="77777777" w:rsidTr="000B75C1">
        <w:trPr>
          <w:trHeight w:val="295"/>
          <w:jc w:val="center"/>
        </w:trPr>
        <w:tc>
          <w:tcPr>
            <w:tcW w:w="5295" w:type="dxa"/>
            <w:tcBorders>
              <w:top w:val="nil"/>
              <w:left w:val="single" w:sz="12" w:space="0" w:color="auto"/>
              <w:bottom w:val="nil"/>
              <w:right w:val="nil"/>
            </w:tcBorders>
            <w:shd w:val="clear" w:color="000000" w:fill="FFFFFF"/>
            <w:noWrap/>
            <w:tcMar>
              <w:left w:w="58" w:type="dxa"/>
              <w:right w:w="58" w:type="dxa"/>
            </w:tcMar>
            <w:vAlign w:val="center"/>
            <w:hideMark/>
          </w:tcPr>
          <w:p w14:paraId="50BADF13" w14:textId="77777777" w:rsidR="00650244" w:rsidRPr="00650244" w:rsidRDefault="00650244" w:rsidP="00650244">
            <w:pPr>
              <w:spacing w:after="0" w:line="240" w:lineRule="auto"/>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Parameters</w:t>
            </w:r>
          </w:p>
        </w:tc>
        <w:tc>
          <w:tcPr>
            <w:tcW w:w="1075" w:type="dxa"/>
            <w:tcBorders>
              <w:top w:val="nil"/>
              <w:left w:val="nil"/>
              <w:bottom w:val="nil"/>
              <w:right w:val="single" w:sz="8" w:space="0" w:color="auto"/>
            </w:tcBorders>
            <w:shd w:val="clear" w:color="000000" w:fill="FFFFFF"/>
            <w:noWrap/>
            <w:tcMar>
              <w:left w:w="58" w:type="dxa"/>
              <w:right w:w="58" w:type="dxa"/>
            </w:tcMar>
            <w:vAlign w:val="center"/>
            <w:hideMark/>
          </w:tcPr>
          <w:p w14:paraId="2C0CC494" w14:textId="77777777" w:rsidR="00650244" w:rsidRPr="00650244" w:rsidRDefault="00650244" w:rsidP="00650244">
            <w:pPr>
              <w:spacing w:after="0" w:line="240" w:lineRule="auto"/>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 </w:t>
            </w:r>
          </w:p>
        </w:tc>
        <w:tc>
          <w:tcPr>
            <w:tcW w:w="1616" w:type="dxa"/>
            <w:gridSpan w:val="2"/>
            <w:tcBorders>
              <w:top w:val="nil"/>
              <w:left w:val="nil"/>
              <w:bottom w:val="nil"/>
              <w:right w:val="nil"/>
            </w:tcBorders>
            <w:shd w:val="clear" w:color="000000" w:fill="FFFFFF"/>
            <w:noWrap/>
            <w:tcMar>
              <w:left w:w="58" w:type="dxa"/>
              <w:right w:w="58" w:type="dxa"/>
            </w:tcMar>
            <w:vAlign w:val="center"/>
            <w:hideMark/>
          </w:tcPr>
          <w:p w14:paraId="00DE3218"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102</w:t>
            </w:r>
          </w:p>
        </w:tc>
        <w:tc>
          <w:tcPr>
            <w:tcW w:w="1663" w:type="dxa"/>
            <w:gridSpan w:val="2"/>
            <w:tcBorders>
              <w:top w:val="nil"/>
              <w:left w:val="nil"/>
              <w:bottom w:val="nil"/>
              <w:right w:val="single" w:sz="12" w:space="0" w:color="auto"/>
            </w:tcBorders>
            <w:shd w:val="clear" w:color="000000" w:fill="FFFFFF"/>
            <w:noWrap/>
            <w:tcMar>
              <w:left w:w="58" w:type="dxa"/>
              <w:right w:w="58" w:type="dxa"/>
            </w:tcMar>
            <w:vAlign w:val="center"/>
            <w:hideMark/>
          </w:tcPr>
          <w:p w14:paraId="67346B67"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67</w:t>
            </w:r>
          </w:p>
        </w:tc>
      </w:tr>
      <w:tr w:rsidR="00650244" w:rsidRPr="00650244" w14:paraId="5A69D457" w14:textId="77777777" w:rsidTr="000B75C1">
        <w:trPr>
          <w:trHeight w:val="295"/>
          <w:jc w:val="center"/>
        </w:trPr>
        <w:tc>
          <w:tcPr>
            <w:tcW w:w="5295" w:type="dxa"/>
            <w:tcBorders>
              <w:top w:val="nil"/>
              <w:left w:val="single" w:sz="12" w:space="0" w:color="auto"/>
              <w:bottom w:val="nil"/>
              <w:right w:val="nil"/>
            </w:tcBorders>
            <w:shd w:val="clear" w:color="000000" w:fill="FFFFFF"/>
            <w:noWrap/>
            <w:tcMar>
              <w:left w:w="58" w:type="dxa"/>
              <w:right w:w="58" w:type="dxa"/>
            </w:tcMar>
            <w:vAlign w:val="center"/>
            <w:hideMark/>
          </w:tcPr>
          <w:p w14:paraId="3AFABF57" w14:textId="77777777" w:rsidR="00650244" w:rsidRPr="00650244" w:rsidRDefault="00650244" w:rsidP="00650244">
            <w:pPr>
              <w:spacing w:after="0" w:line="240" w:lineRule="auto"/>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Adjusted Likelihood Ratio Index</w:t>
            </w:r>
          </w:p>
        </w:tc>
        <w:tc>
          <w:tcPr>
            <w:tcW w:w="1075" w:type="dxa"/>
            <w:tcBorders>
              <w:top w:val="nil"/>
              <w:left w:val="nil"/>
              <w:bottom w:val="nil"/>
              <w:right w:val="single" w:sz="8" w:space="0" w:color="auto"/>
            </w:tcBorders>
            <w:shd w:val="clear" w:color="000000" w:fill="FFFFFF"/>
            <w:noWrap/>
            <w:tcMar>
              <w:left w:w="58" w:type="dxa"/>
              <w:right w:w="58" w:type="dxa"/>
            </w:tcMar>
            <w:vAlign w:val="center"/>
            <w:hideMark/>
          </w:tcPr>
          <w:p w14:paraId="408B4997" w14:textId="77777777" w:rsidR="00650244" w:rsidRPr="00650244" w:rsidRDefault="00650244" w:rsidP="00650244">
            <w:pPr>
              <w:spacing w:after="0" w:line="240" w:lineRule="auto"/>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 </w:t>
            </w:r>
          </w:p>
        </w:tc>
        <w:tc>
          <w:tcPr>
            <w:tcW w:w="1616" w:type="dxa"/>
            <w:gridSpan w:val="2"/>
            <w:tcBorders>
              <w:top w:val="nil"/>
              <w:left w:val="nil"/>
              <w:bottom w:val="nil"/>
              <w:right w:val="nil"/>
            </w:tcBorders>
            <w:shd w:val="clear" w:color="000000" w:fill="FFFFFF"/>
            <w:noWrap/>
            <w:tcMar>
              <w:left w:w="58" w:type="dxa"/>
              <w:right w:w="58" w:type="dxa"/>
            </w:tcMar>
            <w:vAlign w:val="center"/>
            <w:hideMark/>
          </w:tcPr>
          <w:p w14:paraId="3A930FA8"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0.117</w:t>
            </w:r>
          </w:p>
        </w:tc>
        <w:tc>
          <w:tcPr>
            <w:tcW w:w="1663" w:type="dxa"/>
            <w:gridSpan w:val="2"/>
            <w:tcBorders>
              <w:top w:val="nil"/>
              <w:left w:val="nil"/>
              <w:bottom w:val="nil"/>
              <w:right w:val="single" w:sz="12" w:space="0" w:color="auto"/>
            </w:tcBorders>
            <w:shd w:val="clear" w:color="000000" w:fill="FFFFFF"/>
            <w:noWrap/>
            <w:tcMar>
              <w:left w:w="58" w:type="dxa"/>
              <w:right w:w="58" w:type="dxa"/>
            </w:tcMar>
            <w:vAlign w:val="center"/>
            <w:hideMark/>
          </w:tcPr>
          <w:p w14:paraId="36CC65CA"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0.021</w:t>
            </w:r>
          </w:p>
        </w:tc>
      </w:tr>
      <w:tr w:rsidR="00650244" w:rsidRPr="00650244" w14:paraId="53F1F5A1" w14:textId="77777777" w:rsidTr="000B75C1">
        <w:trPr>
          <w:trHeight w:val="295"/>
          <w:jc w:val="center"/>
        </w:trPr>
        <w:tc>
          <w:tcPr>
            <w:tcW w:w="5295" w:type="dxa"/>
            <w:tcBorders>
              <w:top w:val="nil"/>
              <w:left w:val="single" w:sz="12" w:space="0" w:color="auto"/>
              <w:bottom w:val="nil"/>
              <w:right w:val="nil"/>
            </w:tcBorders>
            <w:shd w:val="clear" w:color="000000" w:fill="FFFFFF"/>
            <w:noWrap/>
            <w:tcMar>
              <w:left w:w="58" w:type="dxa"/>
              <w:right w:w="58" w:type="dxa"/>
            </w:tcMar>
            <w:vAlign w:val="center"/>
            <w:hideMark/>
          </w:tcPr>
          <w:p w14:paraId="29040545" w14:textId="77777777" w:rsidR="00650244" w:rsidRPr="00650244" w:rsidRDefault="00650244" w:rsidP="00650244">
            <w:pPr>
              <w:spacing w:after="0" w:line="240" w:lineRule="auto"/>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BIC</w:t>
            </w:r>
          </w:p>
        </w:tc>
        <w:tc>
          <w:tcPr>
            <w:tcW w:w="1075" w:type="dxa"/>
            <w:tcBorders>
              <w:top w:val="nil"/>
              <w:left w:val="nil"/>
              <w:bottom w:val="nil"/>
              <w:right w:val="single" w:sz="8" w:space="0" w:color="auto"/>
            </w:tcBorders>
            <w:shd w:val="clear" w:color="000000" w:fill="FFFFFF"/>
            <w:noWrap/>
            <w:tcMar>
              <w:left w:w="58" w:type="dxa"/>
              <w:right w:w="58" w:type="dxa"/>
            </w:tcMar>
            <w:vAlign w:val="center"/>
            <w:hideMark/>
          </w:tcPr>
          <w:p w14:paraId="1A4ADE9E" w14:textId="77777777" w:rsidR="00650244" w:rsidRPr="00650244" w:rsidRDefault="00650244" w:rsidP="00650244">
            <w:pPr>
              <w:spacing w:after="0" w:line="240" w:lineRule="auto"/>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 </w:t>
            </w:r>
          </w:p>
        </w:tc>
        <w:tc>
          <w:tcPr>
            <w:tcW w:w="1616" w:type="dxa"/>
            <w:gridSpan w:val="2"/>
            <w:tcBorders>
              <w:top w:val="nil"/>
              <w:left w:val="nil"/>
              <w:bottom w:val="nil"/>
              <w:right w:val="nil"/>
            </w:tcBorders>
            <w:shd w:val="clear" w:color="000000" w:fill="FFFFFF"/>
            <w:noWrap/>
            <w:tcMar>
              <w:left w:w="58" w:type="dxa"/>
              <w:right w:w="58" w:type="dxa"/>
            </w:tcMar>
            <w:vAlign w:val="center"/>
            <w:hideMark/>
          </w:tcPr>
          <w:p w14:paraId="454B0FDE"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13562.73</w:t>
            </w:r>
          </w:p>
        </w:tc>
        <w:tc>
          <w:tcPr>
            <w:tcW w:w="1663" w:type="dxa"/>
            <w:gridSpan w:val="2"/>
            <w:tcBorders>
              <w:top w:val="nil"/>
              <w:left w:val="nil"/>
              <w:bottom w:val="nil"/>
              <w:right w:val="single" w:sz="12" w:space="0" w:color="auto"/>
            </w:tcBorders>
            <w:shd w:val="clear" w:color="000000" w:fill="FFFFFF"/>
            <w:noWrap/>
            <w:tcMar>
              <w:left w:w="58" w:type="dxa"/>
              <w:right w:w="58" w:type="dxa"/>
            </w:tcMar>
            <w:vAlign w:val="center"/>
            <w:hideMark/>
          </w:tcPr>
          <w:p w14:paraId="6BAC8187"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15027.30</w:t>
            </w:r>
          </w:p>
        </w:tc>
      </w:tr>
      <w:tr w:rsidR="008B5945" w:rsidRPr="00650244" w14:paraId="0C607599" w14:textId="77777777" w:rsidTr="000B75C1">
        <w:trPr>
          <w:trHeight w:val="310"/>
          <w:jc w:val="center"/>
        </w:trPr>
        <w:tc>
          <w:tcPr>
            <w:tcW w:w="5295" w:type="dxa"/>
            <w:tcBorders>
              <w:top w:val="nil"/>
              <w:left w:val="single" w:sz="12" w:space="0" w:color="auto"/>
              <w:bottom w:val="single" w:sz="12" w:space="0" w:color="auto"/>
              <w:right w:val="nil"/>
            </w:tcBorders>
            <w:shd w:val="clear" w:color="000000" w:fill="FFFFFF"/>
            <w:noWrap/>
            <w:tcMar>
              <w:left w:w="58" w:type="dxa"/>
              <w:right w:w="58" w:type="dxa"/>
            </w:tcMar>
            <w:vAlign w:val="center"/>
            <w:hideMark/>
          </w:tcPr>
          <w:p w14:paraId="07D911F3" w14:textId="77777777" w:rsidR="00650244" w:rsidRPr="00650244" w:rsidRDefault="00650244" w:rsidP="00650244">
            <w:pPr>
              <w:spacing w:after="0" w:line="240" w:lineRule="auto"/>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Likelihood Ratio Test</w:t>
            </w:r>
          </w:p>
        </w:tc>
        <w:tc>
          <w:tcPr>
            <w:tcW w:w="1075" w:type="dxa"/>
            <w:tcBorders>
              <w:top w:val="nil"/>
              <w:left w:val="nil"/>
              <w:bottom w:val="single" w:sz="12" w:space="0" w:color="auto"/>
              <w:right w:val="single" w:sz="8" w:space="0" w:color="auto"/>
            </w:tcBorders>
            <w:shd w:val="clear" w:color="000000" w:fill="FFFFFF"/>
            <w:noWrap/>
            <w:tcMar>
              <w:left w:w="58" w:type="dxa"/>
              <w:right w:w="58" w:type="dxa"/>
            </w:tcMar>
            <w:vAlign w:val="center"/>
            <w:hideMark/>
          </w:tcPr>
          <w:p w14:paraId="2D924942" w14:textId="77777777" w:rsidR="00650244" w:rsidRPr="00650244" w:rsidRDefault="00650244" w:rsidP="00650244">
            <w:pPr>
              <w:spacing w:after="0" w:line="240" w:lineRule="auto"/>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 </w:t>
            </w:r>
          </w:p>
        </w:tc>
        <w:tc>
          <w:tcPr>
            <w:tcW w:w="3279" w:type="dxa"/>
            <w:gridSpan w:val="4"/>
            <w:tcBorders>
              <w:top w:val="nil"/>
              <w:left w:val="nil"/>
              <w:bottom w:val="single" w:sz="12" w:space="0" w:color="auto"/>
              <w:right w:val="single" w:sz="12" w:space="0" w:color="auto"/>
            </w:tcBorders>
            <w:shd w:val="clear" w:color="000000" w:fill="FFFFFF"/>
            <w:noWrap/>
            <w:tcMar>
              <w:left w:w="58" w:type="dxa"/>
              <w:right w:w="58" w:type="dxa"/>
            </w:tcMar>
            <w:vAlign w:val="center"/>
            <w:hideMark/>
          </w:tcPr>
          <w:p w14:paraId="6011225F"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3037.9</w:t>
            </w:r>
          </w:p>
        </w:tc>
      </w:tr>
      <w:tr w:rsidR="00650244" w:rsidRPr="00650244" w14:paraId="7CE629E2" w14:textId="77777777" w:rsidTr="000B75C1">
        <w:trPr>
          <w:trHeight w:val="310"/>
          <w:jc w:val="center"/>
        </w:trPr>
        <w:tc>
          <w:tcPr>
            <w:tcW w:w="9646" w:type="dxa"/>
            <w:gridSpan w:val="6"/>
            <w:tcBorders>
              <w:top w:val="single" w:sz="12" w:space="0" w:color="auto"/>
              <w:left w:val="single" w:sz="12" w:space="0" w:color="auto"/>
              <w:bottom w:val="single" w:sz="12" w:space="0" w:color="auto"/>
              <w:right w:val="single" w:sz="12" w:space="0" w:color="auto"/>
            </w:tcBorders>
            <w:shd w:val="clear" w:color="000000" w:fill="FFFFFF"/>
            <w:noWrap/>
            <w:tcMar>
              <w:left w:w="58" w:type="dxa"/>
              <w:right w:w="58" w:type="dxa"/>
            </w:tcMar>
            <w:vAlign w:val="center"/>
            <w:hideMark/>
          </w:tcPr>
          <w:p w14:paraId="6B8C3550" w14:textId="77777777" w:rsidR="00650244" w:rsidRPr="00650244" w:rsidRDefault="00650244" w:rsidP="00650244">
            <w:pPr>
              <w:spacing w:after="0" w:line="240" w:lineRule="auto"/>
              <w:jc w:val="center"/>
              <w:rPr>
                <w:rFonts w:eastAsia="Times New Roman" w:cs="Times New Roman"/>
                <w:b/>
                <w:bCs/>
                <w:i/>
                <w:iCs/>
                <w:color w:val="000000"/>
                <w:kern w:val="0"/>
                <w:sz w:val="20"/>
                <w:szCs w:val="20"/>
                <w14:ligatures w14:val="none"/>
              </w:rPr>
            </w:pPr>
            <w:r w:rsidRPr="00650244">
              <w:rPr>
                <w:rFonts w:eastAsia="Times New Roman" w:cs="Times New Roman"/>
                <w:b/>
                <w:bCs/>
                <w:i/>
                <w:iCs/>
                <w:color w:val="000000"/>
                <w:kern w:val="0"/>
                <w:sz w:val="20"/>
                <w:szCs w:val="20"/>
                <w14:ligatures w14:val="none"/>
              </w:rPr>
              <w:t>Aggregate Fit Measures</w:t>
            </w:r>
          </w:p>
        </w:tc>
      </w:tr>
      <w:tr w:rsidR="00650244" w:rsidRPr="00650244" w14:paraId="47BBA67B" w14:textId="77777777" w:rsidTr="000B75C1">
        <w:trPr>
          <w:trHeight w:val="295"/>
          <w:jc w:val="center"/>
        </w:trPr>
        <w:tc>
          <w:tcPr>
            <w:tcW w:w="5295" w:type="dxa"/>
            <w:vMerge w:val="restart"/>
            <w:tcBorders>
              <w:top w:val="single" w:sz="12" w:space="0" w:color="auto"/>
              <w:left w:val="single" w:sz="12" w:space="0" w:color="auto"/>
              <w:bottom w:val="single" w:sz="8" w:space="0" w:color="000000"/>
              <w:right w:val="nil"/>
            </w:tcBorders>
            <w:shd w:val="clear" w:color="000000" w:fill="FFFFFF"/>
            <w:noWrap/>
            <w:tcMar>
              <w:left w:w="58" w:type="dxa"/>
              <w:right w:w="58" w:type="dxa"/>
            </w:tcMar>
            <w:vAlign w:val="center"/>
            <w:hideMark/>
          </w:tcPr>
          <w:p w14:paraId="24E1ABA1" w14:textId="77777777" w:rsidR="00650244" w:rsidRPr="00650244" w:rsidRDefault="00650244" w:rsidP="00650244">
            <w:pPr>
              <w:spacing w:after="0" w:line="240" w:lineRule="auto"/>
              <w:jc w:val="center"/>
              <w:rPr>
                <w:rFonts w:eastAsia="Times New Roman" w:cs="Times New Roman"/>
                <w:b/>
                <w:bCs/>
                <w:color w:val="000000"/>
                <w:kern w:val="0"/>
                <w:sz w:val="20"/>
                <w:szCs w:val="20"/>
                <w14:ligatures w14:val="none"/>
              </w:rPr>
            </w:pPr>
            <w:r w:rsidRPr="00650244">
              <w:rPr>
                <w:rFonts w:eastAsia="Times New Roman" w:cs="Times New Roman"/>
                <w:b/>
                <w:bCs/>
                <w:color w:val="000000"/>
                <w:kern w:val="0"/>
                <w:sz w:val="20"/>
                <w:szCs w:val="20"/>
                <w14:ligatures w14:val="none"/>
              </w:rPr>
              <w:t>First Ranked Outcome</w:t>
            </w:r>
          </w:p>
        </w:tc>
        <w:tc>
          <w:tcPr>
            <w:tcW w:w="1075" w:type="dxa"/>
            <w:tcBorders>
              <w:top w:val="single" w:sz="12" w:space="0" w:color="auto"/>
              <w:left w:val="single" w:sz="8" w:space="0" w:color="auto"/>
              <w:bottom w:val="nil"/>
              <w:right w:val="single" w:sz="8" w:space="0" w:color="auto"/>
            </w:tcBorders>
            <w:shd w:val="clear" w:color="000000" w:fill="FFFFFF"/>
            <w:noWrap/>
            <w:tcMar>
              <w:left w:w="58" w:type="dxa"/>
              <w:right w:w="58" w:type="dxa"/>
            </w:tcMar>
            <w:vAlign w:val="center"/>
            <w:hideMark/>
          </w:tcPr>
          <w:p w14:paraId="008201F4" w14:textId="77777777" w:rsidR="00650244" w:rsidRPr="00650244" w:rsidRDefault="00650244" w:rsidP="00650244">
            <w:pPr>
              <w:spacing w:after="0" w:line="240" w:lineRule="auto"/>
              <w:jc w:val="center"/>
              <w:rPr>
                <w:rFonts w:eastAsia="Times New Roman" w:cs="Times New Roman"/>
                <w:b/>
                <w:bCs/>
                <w:color w:val="000000"/>
                <w:kern w:val="0"/>
                <w:sz w:val="20"/>
                <w:szCs w:val="20"/>
                <w14:ligatures w14:val="none"/>
              </w:rPr>
            </w:pPr>
            <w:r w:rsidRPr="00650244">
              <w:rPr>
                <w:rFonts w:eastAsia="Times New Roman" w:cs="Times New Roman"/>
                <w:b/>
                <w:bCs/>
                <w:color w:val="000000"/>
                <w:kern w:val="0"/>
                <w:sz w:val="20"/>
                <w:szCs w:val="20"/>
                <w14:ligatures w14:val="none"/>
              </w:rPr>
              <w:t>Observed</w:t>
            </w:r>
          </w:p>
        </w:tc>
        <w:tc>
          <w:tcPr>
            <w:tcW w:w="1616" w:type="dxa"/>
            <w:gridSpan w:val="2"/>
            <w:tcBorders>
              <w:top w:val="single" w:sz="12" w:space="0" w:color="auto"/>
              <w:left w:val="nil"/>
              <w:bottom w:val="nil"/>
              <w:right w:val="single" w:sz="8" w:space="0" w:color="000000"/>
            </w:tcBorders>
            <w:shd w:val="clear" w:color="000000" w:fill="FFFFFF"/>
            <w:noWrap/>
            <w:tcMar>
              <w:left w:w="58" w:type="dxa"/>
              <w:right w:w="58" w:type="dxa"/>
            </w:tcMar>
            <w:vAlign w:val="center"/>
            <w:hideMark/>
          </w:tcPr>
          <w:p w14:paraId="1691A58A" w14:textId="77777777" w:rsidR="00650244" w:rsidRPr="00650244" w:rsidRDefault="00650244" w:rsidP="00650244">
            <w:pPr>
              <w:spacing w:after="0" w:line="240" w:lineRule="auto"/>
              <w:jc w:val="center"/>
              <w:rPr>
                <w:rFonts w:eastAsia="Times New Roman" w:cs="Times New Roman"/>
                <w:b/>
                <w:bCs/>
                <w:color w:val="000000"/>
                <w:kern w:val="0"/>
                <w:sz w:val="20"/>
                <w:szCs w:val="20"/>
                <w14:ligatures w14:val="none"/>
              </w:rPr>
            </w:pPr>
            <w:r w:rsidRPr="00650244">
              <w:rPr>
                <w:rFonts w:eastAsia="Times New Roman" w:cs="Times New Roman"/>
                <w:b/>
                <w:bCs/>
                <w:color w:val="000000"/>
                <w:kern w:val="0"/>
                <w:sz w:val="20"/>
                <w:szCs w:val="20"/>
                <w14:ligatures w14:val="none"/>
              </w:rPr>
              <w:t>Joint Model</w:t>
            </w:r>
          </w:p>
        </w:tc>
        <w:tc>
          <w:tcPr>
            <w:tcW w:w="1663" w:type="dxa"/>
            <w:gridSpan w:val="2"/>
            <w:tcBorders>
              <w:top w:val="single" w:sz="12" w:space="0" w:color="auto"/>
              <w:left w:val="nil"/>
              <w:bottom w:val="nil"/>
              <w:right w:val="single" w:sz="12" w:space="0" w:color="auto"/>
            </w:tcBorders>
            <w:shd w:val="clear" w:color="000000" w:fill="FFFFFF"/>
            <w:noWrap/>
            <w:tcMar>
              <w:left w:w="58" w:type="dxa"/>
              <w:right w:w="58" w:type="dxa"/>
            </w:tcMar>
            <w:vAlign w:val="center"/>
            <w:hideMark/>
          </w:tcPr>
          <w:p w14:paraId="6C8865F0" w14:textId="77777777" w:rsidR="00650244" w:rsidRPr="00650244" w:rsidRDefault="00650244" w:rsidP="00650244">
            <w:pPr>
              <w:spacing w:after="0" w:line="240" w:lineRule="auto"/>
              <w:jc w:val="center"/>
              <w:rPr>
                <w:rFonts w:eastAsia="Times New Roman" w:cs="Times New Roman"/>
                <w:b/>
                <w:bCs/>
                <w:color w:val="000000"/>
                <w:kern w:val="0"/>
                <w:sz w:val="20"/>
                <w:szCs w:val="20"/>
                <w14:ligatures w14:val="none"/>
              </w:rPr>
            </w:pPr>
            <w:r w:rsidRPr="00650244">
              <w:rPr>
                <w:rFonts w:eastAsia="Times New Roman" w:cs="Times New Roman"/>
                <w:b/>
                <w:bCs/>
                <w:color w:val="000000"/>
                <w:kern w:val="0"/>
                <w:sz w:val="20"/>
                <w:szCs w:val="20"/>
                <w14:ligatures w14:val="none"/>
              </w:rPr>
              <w:t>Independent Model</w:t>
            </w:r>
          </w:p>
        </w:tc>
      </w:tr>
      <w:tr w:rsidR="00650244" w:rsidRPr="00650244" w14:paraId="5EC68025" w14:textId="77777777" w:rsidTr="000B75C1">
        <w:trPr>
          <w:trHeight w:val="310"/>
          <w:jc w:val="center"/>
        </w:trPr>
        <w:tc>
          <w:tcPr>
            <w:tcW w:w="5295" w:type="dxa"/>
            <w:vMerge/>
            <w:tcBorders>
              <w:top w:val="nil"/>
              <w:left w:val="single" w:sz="12" w:space="0" w:color="auto"/>
              <w:bottom w:val="single" w:sz="8" w:space="0" w:color="000000"/>
              <w:right w:val="nil"/>
            </w:tcBorders>
            <w:tcMar>
              <w:left w:w="58" w:type="dxa"/>
              <w:right w:w="58" w:type="dxa"/>
            </w:tcMar>
            <w:vAlign w:val="center"/>
            <w:hideMark/>
          </w:tcPr>
          <w:p w14:paraId="04EE8957" w14:textId="77777777" w:rsidR="00650244" w:rsidRPr="00650244" w:rsidRDefault="00650244" w:rsidP="00650244">
            <w:pPr>
              <w:spacing w:after="0" w:line="240" w:lineRule="auto"/>
              <w:rPr>
                <w:rFonts w:eastAsia="Times New Roman" w:cs="Times New Roman"/>
                <w:b/>
                <w:bCs/>
                <w:color w:val="000000"/>
                <w:kern w:val="0"/>
                <w:sz w:val="20"/>
                <w:szCs w:val="20"/>
                <w14:ligatures w14:val="none"/>
              </w:rPr>
            </w:pPr>
          </w:p>
        </w:tc>
        <w:tc>
          <w:tcPr>
            <w:tcW w:w="1075" w:type="dxa"/>
            <w:tcBorders>
              <w:top w:val="nil"/>
              <w:left w:val="single" w:sz="8" w:space="0" w:color="auto"/>
              <w:bottom w:val="single" w:sz="8" w:space="0" w:color="auto"/>
              <w:right w:val="single" w:sz="8" w:space="0" w:color="auto"/>
            </w:tcBorders>
            <w:shd w:val="clear" w:color="000000" w:fill="FFFFFF"/>
            <w:noWrap/>
            <w:tcMar>
              <w:left w:w="58" w:type="dxa"/>
              <w:right w:w="58" w:type="dxa"/>
            </w:tcMar>
            <w:vAlign w:val="center"/>
            <w:hideMark/>
          </w:tcPr>
          <w:p w14:paraId="4E177B1D"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Share (%)</w:t>
            </w:r>
          </w:p>
        </w:tc>
        <w:tc>
          <w:tcPr>
            <w:tcW w:w="950" w:type="dxa"/>
            <w:tcBorders>
              <w:top w:val="nil"/>
              <w:left w:val="nil"/>
              <w:bottom w:val="single" w:sz="8" w:space="0" w:color="auto"/>
              <w:right w:val="nil"/>
            </w:tcBorders>
            <w:shd w:val="clear" w:color="000000" w:fill="FFFFFF"/>
            <w:noWrap/>
            <w:tcMar>
              <w:left w:w="58" w:type="dxa"/>
              <w:right w:w="58" w:type="dxa"/>
            </w:tcMar>
            <w:vAlign w:val="center"/>
            <w:hideMark/>
          </w:tcPr>
          <w:p w14:paraId="75DADD53"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Share (%)</w:t>
            </w:r>
          </w:p>
        </w:tc>
        <w:tc>
          <w:tcPr>
            <w:tcW w:w="666" w:type="dxa"/>
            <w:tcBorders>
              <w:top w:val="nil"/>
              <w:left w:val="nil"/>
              <w:bottom w:val="single" w:sz="8" w:space="0" w:color="auto"/>
              <w:right w:val="single" w:sz="8" w:space="0" w:color="auto"/>
            </w:tcBorders>
            <w:shd w:val="clear" w:color="000000" w:fill="FFFFFF"/>
            <w:noWrap/>
            <w:tcMar>
              <w:left w:w="58" w:type="dxa"/>
              <w:right w:w="58" w:type="dxa"/>
            </w:tcMar>
            <w:vAlign w:val="center"/>
            <w:hideMark/>
          </w:tcPr>
          <w:p w14:paraId="6869B887"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APE</w:t>
            </w:r>
          </w:p>
        </w:tc>
        <w:tc>
          <w:tcPr>
            <w:tcW w:w="994" w:type="dxa"/>
            <w:tcBorders>
              <w:top w:val="nil"/>
              <w:left w:val="nil"/>
              <w:bottom w:val="single" w:sz="8" w:space="0" w:color="auto"/>
              <w:right w:val="nil"/>
            </w:tcBorders>
            <w:shd w:val="clear" w:color="000000" w:fill="FFFFFF"/>
            <w:noWrap/>
            <w:tcMar>
              <w:left w:w="58" w:type="dxa"/>
              <w:right w:w="58" w:type="dxa"/>
            </w:tcMar>
            <w:vAlign w:val="center"/>
            <w:hideMark/>
          </w:tcPr>
          <w:p w14:paraId="3AD90B27"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Share (%)</w:t>
            </w:r>
          </w:p>
        </w:tc>
        <w:tc>
          <w:tcPr>
            <w:tcW w:w="669" w:type="dxa"/>
            <w:tcBorders>
              <w:top w:val="nil"/>
              <w:left w:val="nil"/>
              <w:bottom w:val="single" w:sz="8" w:space="0" w:color="auto"/>
              <w:right w:val="single" w:sz="12" w:space="0" w:color="auto"/>
            </w:tcBorders>
            <w:shd w:val="clear" w:color="000000" w:fill="FFFFFF"/>
            <w:noWrap/>
            <w:tcMar>
              <w:left w:w="58" w:type="dxa"/>
              <w:right w:w="58" w:type="dxa"/>
            </w:tcMar>
            <w:vAlign w:val="center"/>
            <w:hideMark/>
          </w:tcPr>
          <w:p w14:paraId="338DB787"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APE</w:t>
            </w:r>
          </w:p>
        </w:tc>
      </w:tr>
      <w:tr w:rsidR="00650244" w:rsidRPr="00650244" w14:paraId="70010606" w14:textId="77777777" w:rsidTr="000B75C1">
        <w:trPr>
          <w:trHeight w:val="315"/>
          <w:jc w:val="center"/>
        </w:trPr>
        <w:tc>
          <w:tcPr>
            <w:tcW w:w="5295" w:type="dxa"/>
            <w:tcBorders>
              <w:top w:val="nil"/>
              <w:left w:val="single" w:sz="12" w:space="0" w:color="auto"/>
              <w:bottom w:val="nil"/>
              <w:right w:val="single" w:sz="8" w:space="0" w:color="auto"/>
            </w:tcBorders>
            <w:shd w:val="clear" w:color="000000" w:fill="FFFFFF"/>
            <w:noWrap/>
            <w:tcMar>
              <w:left w:w="58" w:type="dxa"/>
              <w:right w:w="58" w:type="dxa"/>
            </w:tcMar>
            <w:vAlign w:val="center"/>
            <w:hideMark/>
          </w:tcPr>
          <w:p w14:paraId="002EFDF0" w14:textId="77777777" w:rsidR="00650244" w:rsidRPr="00650244" w:rsidRDefault="00650244" w:rsidP="00650244">
            <w:pPr>
              <w:spacing w:after="0" w:line="240" w:lineRule="auto"/>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Affordability</w:t>
            </w:r>
          </w:p>
        </w:tc>
        <w:tc>
          <w:tcPr>
            <w:tcW w:w="1075" w:type="dxa"/>
            <w:tcBorders>
              <w:top w:val="nil"/>
              <w:left w:val="nil"/>
              <w:bottom w:val="nil"/>
              <w:right w:val="single" w:sz="8" w:space="0" w:color="auto"/>
            </w:tcBorders>
            <w:shd w:val="clear" w:color="000000" w:fill="FFFFFF"/>
            <w:noWrap/>
            <w:tcMar>
              <w:left w:w="58" w:type="dxa"/>
              <w:right w:w="58" w:type="dxa"/>
            </w:tcMar>
            <w:vAlign w:val="center"/>
            <w:hideMark/>
          </w:tcPr>
          <w:p w14:paraId="25D08248"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27.5</w:t>
            </w:r>
          </w:p>
        </w:tc>
        <w:tc>
          <w:tcPr>
            <w:tcW w:w="950" w:type="dxa"/>
            <w:tcBorders>
              <w:top w:val="nil"/>
              <w:left w:val="nil"/>
              <w:bottom w:val="nil"/>
              <w:right w:val="nil"/>
            </w:tcBorders>
            <w:shd w:val="clear" w:color="000000" w:fill="FFFFFF"/>
            <w:noWrap/>
            <w:tcMar>
              <w:left w:w="58" w:type="dxa"/>
              <w:right w:w="58" w:type="dxa"/>
            </w:tcMar>
            <w:vAlign w:val="center"/>
            <w:hideMark/>
          </w:tcPr>
          <w:p w14:paraId="4B22D06F"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24.6</w:t>
            </w:r>
          </w:p>
        </w:tc>
        <w:tc>
          <w:tcPr>
            <w:tcW w:w="666" w:type="dxa"/>
            <w:tcBorders>
              <w:top w:val="nil"/>
              <w:left w:val="nil"/>
              <w:bottom w:val="nil"/>
              <w:right w:val="single" w:sz="8" w:space="0" w:color="auto"/>
            </w:tcBorders>
            <w:shd w:val="clear" w:color="000000" w:fill="FFFFFF"/>
            <w:noWrap/>
            <w:tcMar>
              <w:left w:w="58" w:type="dxa"/>
              <w:right w:w="58" w:type="dxa"/>
            </w:tcMar>
            <w:vAlign w:val="center"/>
            <w:hideMark/>
          </w:tcPr>
          <w:p w14:paraId="11A3171B"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10.5</w:t>
            </w:r>
          </w:p>
        </w:tc>
        <w:tc>
          <w:tcPr>
            <w:tcW w:w="994" w:type="dxa"/>
            <w:tcBorders>
              <w:top w:val="nil"/>
              <w:left w:val="nil"/>
              <w:bottom w:val="nil"/>
              <w:right w:val="nil"/>
            </w:tcBorders>
            <w:shd w:val="clear" w:color="000000" w:fill="FFFFFF"/>
            <w:noWrap/>
            <w:tcMar>
              <w:left w:w="58" w:type="dxa"/>
              <w:right w:w="58" w:type="dxa"/>
            </w:tcMar>
            <w:vAlign w:val="center"/>
            <w:hideMark/>
          </w:tcPr>
          <w:p w14:paraId="38BA260D"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31.2</w:t>
            </w:r>
          </w:p>
        </w:tc>
        <w:tc>
          <w:tcPr>
            <w:tcW w:w="669" w:type="dxa"/>
            <w:tcBorders>
              <w:top w:val="nil"/>
              <w:left w:val="nil"/>
              <w:bottom w:val="nil"/>
              <w:right w:val="single" w:sz="12" w:space="0" w:color="auto"/>
            </w:tcBorders>
            <w:shd w:val="clear" w:color="000000" w:fill="FFFFFF"/>
            <w:noWrap/>
            <w:tcMar>
              <w:left w:w="58" w:type="dxa"/>
              <w:right w:w="58" w:type="dxa"/>
            </w:tcMar>
            <w:vAlign w:val="center"/>
            <w:hideMark/>
          </w:tcPr>
          <w:p w14:paraId="58527FE3"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13.5</w:t>
            </w:r>
          </w:p>
        </w:tc>
      </w:tr>
      <w:tr w:rsidR="00650244" w:rsidRPr="00650244" w14:paraId="464F033C" w14:textId="77777777" w:rsidTr="000B75C1">
        <w:trPr>
          <w:trHeight w:val="315"/>
          <w:jc w:val="center"/>
        </w:trPr>
        <w:tc>
          <w:tcPr>
            <w:tcW w:w="5295" w:type="dxa"/>
            <w:tcBorders>
              <w:top w:val="nil"/>
              <w:left w:val="single" w:sz="12" w:space="0" w:color="auto"/>
              <w:bottom w:val="nil"/>
              <w:right w:val="single" w:sz="8" w:space="0" w:color="auto"/>
            </w:tcBorders>
            <w:shd w:val="clear" w:color="000000" w:fill="FFFFFF"/>
            <w:noWrap/>
            <w:tcMar>
              <w:left w:w="58" w:type="dxa"/>
              <w:right w:w="58" w:type="dxa"/>
            </w:tcMar>
            <w:vAlign w:val="center"/>
            <w:hideMark/>
          </w:tcPr>
          <w:p w14:paraId="7250F6DC" w14:textId="45D0001C" w:rsidR="00650244" w:rsidRPr="00650244" w:rsidRDefault="00650244" w:rsidP="00650244">
            <w:pPr>
              <w:spacing w:after="0" w:line="240" w:lineRule="auto"/>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 xml:space="preserve">Being close to </w:t>
            </w:r>
            <w:r w:rsidR="004A258E">
              <w:rPr>
                <w:rFonts w:eastAsia="Times New Roman" w:cs="Times New Roman"/>
                <w:color w:val="000000"/>
                <w:kern w:val="0"/>
                <w:sz w:val="20"/>
                <w:szCs w:val="20"/>
                <w14:ligatures w14:val="none"/>
              </w:rPr>
              <w:t>f</w:t>
            </w:r>
            <w:r w:rsidRPr="00650244">
              <w:rPr>
                <w:rFonts w:eastAsia="Times New Roman" w:cs="Times New Roman"/>
                <w:color w:val="000000"/>
                <w:kern w:val="0"/>
                <w:sz w:val="20"/>
                <w:szCs w:val="20"/>
                <w14:ligatures w14:val="none"/>
              </w:rPr>
              <w:t xml:space="preserve">amily and </w:t>
            </w:r>
            <w:r w:rsidR="004A258E">
              <w:rPr>
                <w:rFonts w:eastAsia="Times New Roman" w:cs="Times New Roman"/>
                <w:color w:val="000000"/>
                <w:kern w:val="0"/>
                <w:sz w:val="20"/>
                <w:szCs w:val="20"/>
                <w14:ligatures w14:val="none"/>
              </w:rPr>
              <w:t>f</w:t>
            </w:r>
            <w:r w:rsidRPr="00650244">
              <w:rPr>
                <w:rFonts w:eastAsia="Times New Roman" w:cs="Times New Roman"/>
                <w:color w:val="000000"/>
                <w:kern w:val="0"/>
                <w:sz w:val="20"/>
                <w:szCs w:val="20"/>
                <w14:ligatures w14:val="none"/>
              </w:rPr>
              <w:t>riends</w:t>
            </w:r>
          </w:p>
        </w:tc>
        <w:tc>
          <w:tcPr>
            <w:tcW w:w="1075" w:type="dxa"/>
            <w:tcBorders>
              <w:top w:val="nil"/>
              <w:left w:val="nil"/>
              <w:bottom w:val="nil"/>
              <w:right w:val="single" w:sz="8" w:space="0" w:color="auto"/>
            </w:tcBorders>
            <w:shd w:val="clear" w:color="000000" w:fill="FFFFFF"/>
            <w:noWrap/>
            <w:tcMar>
              <w:left w:w="58" w:type="dxa"/>
              <w:right w:w="58" w:type="dxa"/>
            </w:tcMar>
            <w:vAlign w:val="center"/>
            <w:hideMark/>
          </w:tcPr>
          <w:p w14:paraId="271B384E"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9.2</w:t>
            </w:r>
          </w:p>
        </w:tc>
        <w:tc>
          <w:tcPr>
            <w:tcW w:w="950" w:type="dxa"/>
            <w:tcBorders>
              <w:top w:val="nil"/>
              <w:left w:val="nil"/>
              <w:bottom w:val="nil"/>
              <w:right w:val="nil"/>
            </w:tcBorders>
            <w:shd w:val="clear" w:color="000000" w:fill="FFFFFF"/>
            <w:noWrap/>
            <w:tcMar>
              <w:left w:w="58" w:type="dxa"/>
              <w:right w:w="58" w:type="dxa"/>
            </w:tcMar>
            <w:vAlign w:val="center"/>
            <w:hideMark/>
          </w:tcPr>
          <w:p w14:paraId="5A4BCED8"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8.7</w:t>
            </w:r>
          </w:p>
        </w:tc>
        <w:tc>
          <w:tcPr>
            <w:tcW w:w="666" w:type="dxa"/>
            <w:tcBorders>
              <w:top w:val="nil"/>
              <w:left w:val="nil"/>
              <w:bottom w:val="nil"/>
              <w:right w:val="single" w:sz="8" w:space="0" w:color="auto"/>
            </w:tcBorders>
            <w:shd w:val="clear" w:color="000000" w:fill="FFFFFF"/>
            <w:noWrap/>
            <w:tcMar>
              <w:left w:w="58" w:type="dxa"/>
              <w:right w:w="58" w:type="dxa"/>
            </w:tcMar>
            <w:vAlign w:val="center"/>
            <w:hideMark/>
          </w:tcPr>
          <w:p w14:paraId="294B0B63"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5.4</w:t>
            </w:r>
          </w:p>
        </w:tc>
        <w:tc>
          <w:tcPr>
            <w:tcW w:w="994" w:type="dxa"/>
            <w:tcBorders>
              <w:top w:val="nil"/>
              <w:left w:val="nil"/>
              <w:bottom w:val="nil"/>
              <w:right w:val="nil"/>
            </w:tcBorders>
            <w:shd w:val="clear" w:color="000000" w:fill="FFFFFF"/>
            <w:noWrap/>
            <w:tcMar>
              <w:left w:w="58" w:type="dxa"/>
              <w:right w:w="58" w:type="dxa"/>
            </w:tcMar>
            <w:vAlign w:val="center"/>
            <w:hideMark/>
          </w:tcPr>
          <w:p w14:paraId="3F00A36A"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12.5</w:t>
            </w:r>
          </w:p>
        </w:tc>
        <w:tc>
          <w:tcPr>
            <w:tcW w:w="669" w:type="dxa"/>
            <w:tcBorders>
              <w:top w:val="nil"/>
              <w:left w:val="nil"/>
              <w:bottom w:val="nil"/>
              <w:right w:val="single" w:sz="12" w:space="0" w:color="auto"/>
            </w:tcBorders>
            <w:shd w:val="clear" w:color="000000" w:fill="FFFFFF"/>
            <w:noWrap/>
            <w:tcMar>
              <w:left w:w="58" w:type="dxa"/>
              <w:right w:w="58" w:type="dxa"/>
            </w:tcMar>
            <w:vAlign w:val="center"/>
            <w:hideMark/>
          </w:tcPr>
          <w:p w14:paraId="1689FA2B"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35.9</w:t>
            </w:r>
          </w:p>
        </w:tc>
      </w:tr>
      <w:tr w:rsidR="00650244" w:rsidRPr="00650244" w14:paraId="10AF3768" w14:textId="77777777" w:rsidTr="000B75C1">
        <w:trPr>
          <w:trHeight w:val="315"/>
          <w:jc w:val="center"/>
        </w:trPr>
        <w:tc>
          <w:tcPr>
            <w:tcW w:w="5295" w:type="dxa"/>
            <w:tcBorders>
              <w:top w:val="nil"/>
              <w:left w:val="single" w:sz="12" w:space="0" w:color="auto"/>
              <w:bottom w:val="nil"/>
              <w:right w:val="single" w:sz="8" w:space="0" w:color="auto"/>
            </w:tcBorders>
            <w:shd w:val="clear" w:color="000000" w:fill="FFFFFF"/>
            <w:noWrap/>
            <w:tcMar>
              <w:left w:w="58" w:type="dxa"/>
              <w:right w:w="58" w:type="dxa"/>
            </w:tcMar>
            <w:vAlign w:val="center"/>
            <w:hideMark/>
          </w:tcPr>
          <w:p w14:paraId="603BF6CD" w14:textId="30C80CF4" w:rsidR="00650244" w:rsidRPr="00650244" w:rsidRDefault="00650244" w:rsidP="00650244">
            <w:pPr>
              <w:spacing w:after="0" w:line="240" w:lineRule="auto"/>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 xml:space="preserve">Access to </w:t>
            </w:r>
            <w:r w:rsidR="004A258E">
              <w:rPr>
                <w:rFonts w:eastAsia="Times New Roman" w:cs="Times New Roman"/>
                <w:color w:val="000000"/>
                <w:kern w:val="0"/>
                <w:sz w:val="20"/>
                <w:szCs w:val="20"/>
                <w14:ligatures w14:val="none"/>
              </w:rPr>
              <w:t>c</w:t>
            </w:r>
            <w:r w:rsidRPr="00650244">
              <w:rPr>
                <w:rFonts w:eastAsia="Times New Roman" w:cs="Times New Roman"/>
                <w:color w:val="000000"/>
                <w:kern w:val="0"/>
                <w:sz w:val="20"/>
                <w:szCs w:val="20"/>
                <w14:ligatures w14:val="none"/>
              </w:rPr>
              <w:t xml:space="preserve">ultural </w:t>
            </w:r>
            <w:r w:rsidR="004A258E">
              <w:rPr>
                <w:rFonts w:eastAsia="Times New Roman" w:cs="Times New Roman"/>
                <w:color w:val="000000"/>
                <w:kern w:val="0"/>
                <w:sz w:val="20"/>
                <w:szCs w:val="20"/>
                <w14:ligatures w14:val="none"/>
              </w:rPr>
              <w:t>c</w:t>
            </w:r>
            <w:r w:rsidRPr="00650244">
              <w:rPr>
                <w:rFonts w:eastAsia="Times New Roman" w:cs="Times New Roman"/>
                <w:color w:val="000000"/>
                <w:kern w:val="0"/>
                <w:sz w:val="20"/>
                <w:szCs w:val="20"/>
                <w14:ligatures w14:val="none"/>
              </w:rPr>
              <w:t xml:space="preserve">enters and </w:t>
            </w:r>
            <w:r w:rsidR="004A258E">
              <w:rPr>
                <w:rFonts w:eastAsia="Times New Roman" w:cs="Times New Roman"/>
                <w:color w:val="000000"/>
                <w:kern w:val="0"/>
                <w:sz w:val="20"/>
                <w:szCs w:val="20"/>
                <w14:ligatures w14:val="none"/>
              </w:rPr>
              <w:t>a</w:t>
            </w:r>
            <w:r w:rsidRPr="00650244">
              <w:rPr>
                <w:rFonts w:eastAsia="Times New Roman" w:cs="Times New Roman"/>
                <w:color w:val="000000"/>
                <w:kern w:val="0"/>
                <w:sz w:val="20"/>
                <w:szCs w:val="20"/>
                <w14:ligatures w14:val="none"/>
              </w:rPr>
              <w:t>ctivities</w:t>
            </w:r>
          </w:p>
        </w:tc>
        <w:tc>
          <w:tcPr>
            <w:tcW w:w="1075" w:type="dxa"/>
            <w:tcBorders>
              <w:top w:val="nil"/>
              <w:left w:val="nil"/>
              <w:bottom w:val="nil"/>
              <w:right w:val="single" w:sz="8" w:space="0" w:color="auto"/>
            </w:tcBorders>
            <w:shd w:val="clear" w:color="000000" w:fill="FFFFFF"/>
            <w:noWrap/>
            <w:tcMar>
              <w:left w:w="58" w:type="dxa"/>
              <w:right w:w="58" w:type="dxa"/>
            </w:tcMar>
            <w:vAlign w:val="center"/>
            <w:hideMark/>
          </w:tcPr>
          <w:p w14:paraId="777806C9"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5.8</w:t>
            </w:r>
          </w:p>
        </w:tc>
        <w:tc>
          <w:tcPr>
            <w:tcW w:w="950" w:type="dxa"/>
            <w:tcBorders>
              <w:top w:val="nil"/>
              <w:left w:val="nil"/>
              <w:bottom w:val="nil"/>
              <w:right w:val="nil"/>
            </w:tcBorders>
            <w:shd w:val="clear" w:color="000000" w:fill="FFFFFF"/>
            <w:noWrap/>
            <w:tcMar>
              <w:left w:w="58" w:type="dxa"/>
              <w:right w:w="58" w:type="dxa"/>
            </w:tcMar>
            <w:vAlign w:val="center"/>
            <w:hideMark/>
          </w:tcPr>
          <w:p w14:paraId="52A957F0"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5.5</w:t>
            </w:r>
          </w:p>
        </w:tc>
        <w:tc>
          <w:tcPr>
            <w:tcW w:w="666" w:type="dxa"/>
            <w:tcBorders>
              <w:top w:val="nil"/>
              <w:left w:val="nil"/>
              <w:bottom w:val="nil"/>
              <w:right w:val="single" w:sz="8" w:space="0" w:color="auto"/>
            </w:tcBorders>
            <w:shd w:val="clear" w:color="000000" w:fill="FFFFFF"/>
            <w:noWrap/>
            <w:tcMar>
              <w:left w:w="58" w:type="dxa"/>
              <w:right w:w="58" w:type="dxa"/>
            </w:tcMar>
            <w:vAlign w:val="center"/>
            <w:hideMark/>
          </w:tcPr>
          <w:p w14:paraId="459F6309"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5.2</w:t>
            </w:r>
          </w:p>
        </w:tc>
        <w:tc>
          <w:tcPr>
            <w:tcW w:w="994" w:type="dxa"/>
            <w:tcBorders>
              <w:top w:val="nil"/>
              <w:left w:val="nil"/>
              <w:bottom w:val="nil"/>
              <w:right w:val="nil"/>
            </w:tcBorders>
            <w:shd w:val="clear" w:color="000000" w:fill="FFFFFF"/>
            <w:noWrap/>
            <w:tcMar>
              <w:left w:w="58" w:type="dxa"/>
              <w:right w:w="58" w:type="dxa"/>
            </w:tcMar>
            <w:vAlign w:val="center"/>
            <w:hideMark/>
          </w:tcPr>
          <w:p w14:paraId="0EA729BD"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11.1</w:t>
            </w:r>
          </w:p>
        </w:tc>
        <w:tc>
          <w:tcPr>
            <w:tcW w:w="669" w:type="dxa"/>
            <w:tcBorders>
              <w:top w:val="nil"/>
              <w:left w:val="nil"/>
              <w:bottom w:val="nil"/>
              <w:right w:val="single" w:sz="12" w:space="0" w:color="auto"/>
            </w:tcBorders>
            <w:shd w:val="clear" w:color="000000" w:fill="FFFFFF"/>
            <w:noWrap/>
            <w:tcMar>
              <w:left w:w="58" w:type="dxa"/>
              <w:right w:w="58" w:type="dxa"/>
            </w:tcMar>
            <w:vAlign w:val="center"/>
            <w:hideMark/>
          </w:tcPr>
          <w:p w14:paraId="3DF8E67E"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91.4</w:t>
            </w:r>
          </w:p>
        </w:tc>
      </w:tr>
      <w:tr w:rsidR="00650244" w:rsidRPr="00650244" w14:paraId="0719FE45" w14:textId="77777777" w:rsidTr="000B75C1">
        <w:trPr>
          <w:trHeight w:val="315"/>
          <w:jc w:val="center"/>
        </w:trPr>
        <w:tc>
          <w:tcPr>
            <w:tcW w:w="5295" w:type="dxa"/>
            <w:tcBorders>
              <w:top w:val="nil"/>
              <w:left w:val="single" w:sz="12" w:space="0" w:color="auto"/>
              <w:bottom w:val="nil"/>
              <w:right w:val="single" w:sz="8" w:space="0" w:color="auto"/>
            </w:tcBorders>
            <w:shd w:val="clear" w:color="000000" w:fill="FFFFFF"/>
            <w:noWrap/>
            <w:tcMar>
              <w:left w:w="58" w:type="dxa"/>
              <w:right w:w="58" w:type="dxa"/>
            </w:tcMar>
            <w:vAlign w:val="center"/>
            <w:hideMark/>
          </w:tcPr>
          <w:p w14:paraId="2CED5D22" w14:textId="77777777" w:rsidR="00650244" w:rsidRPr="00650244" w:rsidRDefault="00650244" w:rsidP="00650244">
            <w:pPr>
              <w:spacing w:after="0" w:line="240" w:lineRule="auto"/>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Being close to the highway</w:t>
            </w:r>
          </w:p>
        </w:tc>
        <w:tc>
          <w:tcPr>
            <w:tcW w:w="1075" w:type="dxa"/>
            <w:tcBorders>
              <w:top w:val="nil"/>
              <w:left w:val="nil"/>
              <w:bottom w:val="nil"/>
              <w:right w:val="single" w:sz="8" w:space="0" w:color="auto"/>
            </w:tcBorders>
            <w:shd w:val="clear" w:color="000000" w:fill="FFFFFF"/>
            <w:noWrap/>
            <w:tcMar>
              <w:left w:w="58" w:type="dxa"/>
              <w:right w:w="58" w:type="dxa"/>
            </w:tcMar>
            <w:vAlign w:val="center"/>
            <w:hideMark/>
          </w:tcPr>
          <w:p w14:paraId="291ABEB7"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4.6</w:t>
            </w:r>
          </w:p>
        </w:tc>
        <w:tc>
          <w:tcPr>
            <w:tcW w:w="950" w:type="dxa"/>
            <w:tcBorders>
              <w:top w:val="nil"/>
              <w:left w:val="nil"/>
              <w:bottom w:val="nil"/>
              <w:right w:val="nil"/>
            </w:tcBorders>
            <w:shd w:val="clear" w:color="000000" w:fill="FFFFFF"/>
            <w:noWrap/>
            <w:tcMar>
              <w:left w:w="58" w:type="dxa"/>
              <w:right w:w="58" w:type="dxa"/>
            </w:tcMar>
            <w:vAlign w:val="center"/>
            <w:hideMark/>
          </w:tcPr>
          <w:p w14:paraId="02133266"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4.1</w:t>
            </w:r>
          </w:p>
        </w:tc>
        <w:tc>
          <w:tcPr>
            <w:tcW w:w="666" w:type="dxa"/>
            <w:tcBorders>
              <w:top w:val="nil"/>
              <w:left w:val="nil"/>
              <w:bottom w:val="nil"/>
              <w:right w:val="single" w:sz="8" w:space="0" w:color="auto"/>
            </w:tcBorders>
            <w:shd w:val="clear" w:color="000000" w:fill="FFFFFF"/>
            <w:noWrap/>
            <w:tcMar>
              <w:left w:w="58" w:type="dxa"/>
              <w:right w:w="58" w:type="dxa"/>
            </w:tcMar>
            <w:vAlign w:val="center"/>
            <w:hideMark/>
          </w:tcPr>
          <w:p w14:paraId="35812435"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10.9</w:t>
            </w:r>
          </w:p>
        </w:tc>
        <w:tc>
          <w:tcPr>
            <w:tcW w:w="994" w:type="dxa"/>
            <w:tcBorders>
              <w:top w:val="nil"/>
              <w:left w:val="nil"/>
              <w:bottom w:val="nil"/>
              <w:right w:val="nil"/>
            </w:tcBorders>
            <w:shd w:val="clear" w:color="000000" w:fill="FFFFFF"/>
            <w:noWrap/>
            <w:tcMar>
              <w:left w:w="58" w:type="dxa"/>
              <w:right w:w="58" w:type="dxa"/>
            </w:tcMar>
            <w:vAlign w:val="center"/>
            <w:hideMark/>
          </w:tcPr>
          <w:p w14:paraId="3656E517"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7.8</w:t>
            </w:r>
          </w:p>
        </w:tc>
        <w:tc>
          <w:tcPr>
            <w:tcW w:w="669" w:type="dxa"/>
            <w:tcBorders>
              <w:top w:val="nil"/>
              <w:left w:val="nil"/>
              <w:bottom w:val="nil"/>
              <w:right w:val="single" w:sz="12" w:space="0" w:color="auto"/>
            </w:tcBorders>
            <w:shd w:val="clear" w:color="000000" w:fill="FFFFFF"/>
            <w:noWrap/>
            <w:tcMar>
              <w:left w:w="58" w:type="dxa"/>
              <w:right w:w="58" w:type="dxa"/>
            </w:tcMar>
            <w:vAlign w:val="center"/>
            <w:hideMark/>
          </w:tcPr>
          <w:p w14:paraId="3E9F7A0C"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69.6</w:t>
            </w:r>
          </w:p>
        </w:tc>
      </w:tr>
      <w:tr w:rsidR="00650244" w:rsidRPr="00650244" w14:paraId="771EFD5C" w14:textId="77777777" w:rsidTr="000B75C1">
        <w:trPr>
          <w:trHeight w:val="315"/>
          <w:jc w:val="center"/>
        </w:trPr>
        <w:tc>
          <w:tcPr>
            <w:tcW w:w="5295" w:type="dxa"/>
            <w:tcBorders>
              <w:top w:val="nil"/>
              <w:left w:val="single" w:sz="12" w:space="0" w:color="auto"/>
              <w:bottom w:val="nil"/>
              <w:right w:val="single" w:sz="8" w:space="0" w:color="auto"/>
            </w:tcBorders>
            <w:shd w:val="clear" w:color="000000" w:fill="FFFFFF"/>
            <w:noWrap/>
            <w:tcMar>
              <w:left w:w="58" w:type="dxa"/>
              <w:right w:w="58" w:type="dxa"/>
            </w:tcMar>
            <w:vAlign w:val="center"/>
            <w:hideMark/>
          </w:tcPr>
          <w:p w14:paraId="0B3C63BA" w14:textId="2D6F49E4" w:rsidR="00650244" w:rsidRPr="00650244" w:rsidRDefault="00650244" w:rsidP="00650244">
            <w:pPr>
              <w:spacing w:after="0" w:line="240" w:lineRule="auto"/>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Quality of schools (</w:t>
            </w:r>
            <w:r w:rsidR="003F65A3">
              <w:rPr>
                <w:rFonts w:eastAsia="Times New Roman" w:cs="Times New Roman"/>
                <w:color w:val="000000"/>
                <w:kern w:val="0"/>
                <w:sz w:val="20"/>
                <w:szCs w:val="20"/>
                <w14:ligatures w14:val="none"/>
              </w:rPr>
              <w:t>K</w:t>
            </w:r>
            <w:r w:rsidRPr="00650244">
              <w:rPr>
                <w:rFonts w:eastAsia="Times New Roman" w:cs="Times New Roman"/>
                <w:color w:val="000000"/>
                <w:kern w:val="0"/>
                <w:sz w:val="20"/>
                <w:szCs w:val="20"/>
                <w14:ligatures w14:val="none"/>
              </w:rPr>
              <w:t>-12)</w:t>
            </w:r>
          </w:p>
        </w:tc>
        <w:tc>
          <w:tcPr>
            <w:tcW w:w="1075" w:type="dxa"/>
            <w:tcBorders>
              <w:top w:val="nil"/>
              <w:left w:val="nil"/>
              <w:bottom w:val="nil"/>
              <w:right w:val="single" w:sz="8" w:space="0" w:color="auto"/>
            </w:tcBorders>
            <w:shd w:val="clear" w:color="000000" w:fill="FFFFFF"/>
            <w:noWrap/>
            <w:tcMar>
              <w:left w:w="58" w:type="dxa"/>
              <w:right w:w="58" w:type="dxa"/>
            </w:tcMar>
            <w:vAlign w:val="center"/>
            <w:hideMark/>
          </w:tcPr>
          <w:p w14:paraId="26CA9510"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8.0</w:t>
            </w:r>
          </w:p>
        </w:tc>
        <w:tc>
          <w:tcPr>
            <w:tcW w:w="950" w:type="dxa"/>
            <w:tcBorders>
              <w:top w:val="nil"/>
              <w:left w:val="nil"/>
              <w:bottom w:val="nil"/>
              <w:right w:val="nil"/>
            </w:tcBorders>
            <w:shd w:val="clear" w:color="000000" w:fill="FFFFFF"/>
            <w:noWrap/>
            <w:tcMar>
              <w:left w:w="58" w:type="dxa"/>
              <w:right w:w="58" w:type="dxa"/>
            </w:tcMar>
            <w:vAlign w:val="center"/>
            <w:hideMark/>
          </w:tcPr>
          <w:p w14:paraId="44C54D05"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8.2</w:t>
            </w:r>
          </w:p>
        </w:tc>
        <w:tc>
          <w:tcPr>
            <w:tcW w:w="666" w:type="dxa"/>
            <w:tcBorders>
              <w:top w:val="nil"/>
              <w:left w:val="nil"/>
              <w:bottom w:val="nil"/>
              <w:right w:val="single" w:sz="8" w:space="0" w:color="auto"/>
            </w:tcBorders>
            <w:shd w:val="clear" w:color="000000" w:fill="FFFFFF"/>
            <w:noWrap/>
            <w:tcMar>
              <w:left w:w="58" w:type="dxa"/>
              <w:right w:w="58" w:type="dxa"/>
            </w:tcMar>
            <w:vAlign w:val="center"/>
            <w:hideMark/>
          </w:tcPr>
          <w:p w14:paraId="60289A39"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2.5</w:t>
            </w:r>
          </w:p>
        </w:tc>
        <w:tc>
          <w:tcPr>
            <w:tcW w:w="994" w:type="dxa"/>
            <w:tcBorders>
              <w:top w:val="nil"/>
              <w:left w:val="nil"/>
              <w:bottom w:val="nil"/>
              <w:right w:val="nil"/>
            </w:tcBorders>
            <w:shd w:val="clear" w:color="000000" w:fill="FFFFFF"/>
            <w:noWrap/>
            <w:tcMar>
              <w:left w:w="58" w:type="dxa"/>
              <w:right w:w="58" w:type="dxa"/>
            </w:tcMar>
            <w:vAlign w:val="center"/>
            <w:hideMark/>
          </w:tcPr>
          <w:p w14:paraId="10B15BA5"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5.8</w:t>
            </w:r>
          </w:p>
        </w:tc>
        <w:tc>
          <w:tcPr>
            <w:tcW w:w="669" w:type="dxa"/>
            <w:tcBorders>
              <w:top w:val="nil"/>
              <w:left w:val="nil"/>
              <w:bottom w:val="nil"/>
              <w:right w:val="single" w:sz="12" w:space="0" w:color="auto"/>
            </w:tcBorders>
            <w:shd w:val="clear" w:color="000000" w:fill="FFFFFF"/>
            <w:noWrap/>
            <w:tcMar>
              <w:left w:w="58" w:type="dxa"/>
              <w:right w:w="58" w:type="dxa"/>
            </w:tcMar>
            <w:vAlign w:val="center"/>
            <w:hideMark/>
          </w:tcPr>
          <w:p w14:paraId="7F1581BC"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27.5</w:t>
            </w:r>
          </w:p>
        </w:tc>
      </w:tr>
      <w:tr w:rsidR="00650244" w:rsidRPr="00650244" w14:paraId="3D9AE1CB" w14:textId="77777777" w:rsidTr="000B75C1">
        <w:trPr>
          <w:trHeight w:val="315"/>
          <w:jc w:val="center"/>
        </w:trPr>
        <w:tc>
          <w:tcPr>
            <w:tcW w:w="5295" w:type="dxa"/>
            <w:tcBorders>
              <w:top w:val="nil"/>
              <w:left w:val="single" w:sz="12" w:space="0" w:color="auto"/>
              <w:bottom w:val="nil"/>
              <w:right w:val="single" w:sz="8" w:space="0" w:color="auto"/>
            </w:tcBorders>
            <w:shd w:val="clear" w:color="000000" w:fill="FFFFFF"/>
            <w:noWrap/>
            <w:tcMar>
              <w:left w:w="58" w:type="dxa"/>
              <w:right w:w="58" w:type="dxa"/>
            </w:tcMar>
            <w:vAlign w:val="center"/>
            <w:hideMark/>
          </w:tcPr>
          <w:p w14:paraId="7AEA9A32" w14:textId="77777777" w:rsidR="00650244" w:rsidRPr="00650244" w:rsidRDefault="00650244" w:rsidP="00650244">
            <w:pPr>
              <w:spacing w:after="0" w:line="240" w:lineRule="auto"/>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Having space and separation from others</w:t>
            </w:r>
          </w:p>
        </w:tc>
        <w:tc>
          <w:tcPr>
            <w:tcW w:w="1075" w:type="dxa"/>
            <w:tcBorders>
              <w:top w:val="nil"/>
              <w:left w:val="nil"/>
              <w:bottom w:val="nil"/>
              <w:right w:val="single" w:sz="8" w:space="0" w:color="auto"/>
            </w:tcBorders>
            <w:shd w:val="clear" w:color="000000" w:fill="FFFFFF"/>
            <w:noWrap/>
            <w:tcMar>
              <w:left w:w="58" w:type="dxa"/>
              <w:right w:w="58" w:type="dxa"/>
            </w:tcMar>
            <w:vAlign w:val="center"/>
            <w:hideMark/>
          </w:tcPr>
          <w:p w14:paraId="152A6009"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9.9</w:t>
            </w:r>
          </w:p>
        </w:tc>
        <w:tc>
          <w:tcPr>
            <w:tcW w:w="950" w:type="dxa"/>
            <w:tcBorders>
              <w:top w:val="nil"/>
              <w:left w:val="nil"/>
              <w:bottom w:val="nil"/>
              <w:right w:val="nil"/>
            </w:tcBorders>
            <w:shd w:val="clear" w:color="000000" w:fill="FFFFFF"/>
            <w:noWrap/>
            <w:tcMar>
              <w:left w:w="58" w:type="dxa"/>
              <w:right w:w="58" w:type="dxa"/>
            </w:tcMar>
            <w:vAlign w:val="center"/>
            <w:hideMark/>
          </w:tcPr>
          <w:p w14:paraId="15B2F417"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10.1</w:t>
            </w:r>
          </w:p>
        </w:tc>
        <w:tc>
          <w:tcPr>
            <w:tcW w:w="666" w:type="dxa"/>
            <w:tcBorders>
              <w:top w:val="nil"/>
              <w:left w:val="nil"/>
              <w:bottom w:val="nil"/>
              <w:right w:val="single" w:sz="8" w:space="0" w:color="auto"/>
            </w:tcBorders>
            <w:shd w:val="clear" w:color="000000" w:fill="FFFFFF"/>
            <w:noWrap/>
            <w:tcMar>
              <w:left w:w="58" w:type="dxa"/>
              <w:right w:w="58" w:type="dxa"/>
            </w:tcMar>
            <w:vAlign w:val="center"/>
            <w:hideMark/>
          </w:tcPr>
          <w:p w14:paraId="0D4AE063"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2.0</w:t>
            </w:r>
          </w:p>
        </w:tc>
        <w:tc>
          <w:tcPr>
            <w:tcW w:w="994" w:type="dxa"/>
            <w:tcBorders>
              <w:top w:val="nil"/>
              <w:left w:val="nil"/>
              <w:bottom w:val="nil"/>
              <w:right w:val="nil"/>
            </w:tcBorders>
            <w:shd w:val="clear" w:color="000000" w:fill="FFFFFF"/>
            <w:noWrap/>
            <w:tcMar>
              <w:left w:w="58" w:type="dxa"/>
              <w:right w:w="58" w:type="dxa"/>
            </w:tcMar>
            <w:vAlign w:val="center"/>
            <w:hideMark/>
          </w:tcPr>
          <w:p w14:paraId="0C8EFB21"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9.9</w:t>
            </w:r>
          </w:p>
        </w:tc>
        <w:tc>
          <w:tcPr>
            <w:tcW w:w="669" w:type="dxa"/>
            <w:tcBorders>
              <w:top w:val="nil"/>
              <w:left w:val="nil"/>
              <w:bottom w:val="nil"/>
              <w:right w:val="single" w:sz="12" w:space="0" w:color="auto"/>
            </w:tcBorders>
            <w:shd w:val="clear" w:color="000000" w:fill="FFFFFF"/>
            <w:noWrap/>
            <w:tcMar>
              <w:left w:w="58" w:type="dxa"/>
              <w:right w:w="58" w:type="dxa"/>
            </w:tcMar>
            <w:vAlign w:val="center"/>
            <w:hideMark/>
          </w:tcPr>
          <w:p w14:paraId="6444C733"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0.0</w:t>
            </w:r>
          </w:p>
        </w:tc>
      </w:tr>
      <w:tr w:rsidR="00650244" w:rsidRPr="00650244" w14:paraId="08AA10B3" w14:textId="77777777" w:rsidTr="000B75C1">
        <w:trPr>
          <w:trHeight w:val="315"/>
          <w:jc w:val="center"/>
        </w:trPr>
        <w:tc>
          <w:tcPr>
            <w:tcW w:w="5295" w:type="dxa"/>
            <w:tcBorders>
              <w:top w:val="nil"/>
              <w:left w:val="single" w:sz="12" w:space="0" w:color="auto"/>
              <w:bottom w:val="nil"/>
              <w:right w:val="single" w:sz="8" w:space="0" w:color="auto"/>
            </w:tcBorders>
            <w:shd w:val="clear" w:color="000000" w:fill="FFFFFF"/>
            <w:noWrap/>
            <w:tcMar>
              <w:left w:w="58" w:type="dxa"/>
              <w:right w:w="58" w:type="dxa"/>
            </w:tcMar>
            <w:vAlign w:val="center"/>
            <w:hideMark/>
          </w:tcPr>
          <w:p w14:paraId="79D502A8" w14:textId="77777777" w:rsidR="00650244" w:rsidRPr="00650244" w:rsidRDefault="00650244" w:rsidP="00650244">
            <w:pPr>
              <w:spacing w:after="0" w:line="240" w:lineRule="auto"/>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Being close to public transit</w:t>
            </w:r>
          </w:p>
        </w:tc>
        <w:tc>
          <w:tcPr>
            <w:tcW w:w="1075" w:type="dxa"/>
            <w:tcBorders>
              <w:top w:val="nil"/>
              <w:left w:val="nil"/>
              <w:bottom w:val="nil"/>
              <w:right w:val="single" w:sz="8" w:space="0" w:color="auto"/>
            </w:tcBorders>
            <w:shd w:val="clear" w:color="000000" w:fill="FFFFFF"/>
            <w:noWrap/>
            <w:tcMar>
              <w:left w:w="58" w:type="dxa"/>
              <w:right w:w="58" w:type="dxa"/>
            </w:tcMar>
            <w:vAlign w:val="center"/>
            <w:hideMark/>
          </w:tcPr>
          <w:p w14:paraId="7BD3E608"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9.6</w:t>
            </w:r>
          </w:p>
        </w:tc>
        <w:tc>
          <w:tcPr>
            <w:tcW w:w="950" w:type="dxa"/>
            <w:tcBorders>
              <w:top w:val="nil"/>
              <w:left w:val="nil"/>
              <w:bottom w:val="nil"/>
              <w:right w:val="nil"/>
            </w:tcBorders>
            <w:shd w:val="clear" w:color="000000" w:fill="FFFFFF"/>
            <w:noWrap/>
            <w:tcMar>
              <w:left w:w="58" w:type="dxa"/>
              <w:right w:w="58" w:type="dxa"/>
            </w:tcMar>
            <w:vAlign w:val="center"/>
            <w:hideMark/>
          </w:tcPr>
          <w:p w14:paraId="0B2CBC9E"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11.1</w:t>
            </w:r>
          </w:p>
        </w:tc>
        <w:tc>
          <w:tcPr>
            <w:tcW w:w="666" w:type="dxa"/>
            <w:tcBorders>
              <w:top w:val="nil"/>
              <w:left w:val="nil"/>
              <w:bottom w:val="nil"/>
              <w:right w:val="single" w:sz="8" w:space="0" w:color="auto"/>
            </w:tcBorders>
            <w:shd w:val="clear" w:color="000000" w:fill="FFFFFF"/>
            <w:noWrap/>
            <w:tcMar>
              <w:left w:w="58" w:type="dxa"/>
              <w:right w:w="58" w:type="dxa"/>
            </w:tcMar>
            <w:vAlign w:val="center"/>
            <w:hideMark/>
          </w:tcPr>
          <w:p w14:paraId="4E4CA8AD"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15.6</w:t>
            </w:r>
          </w:p>
        </w:tc>
        <w:tc>
          <w:tcPr>
            <w:tcW w:w="994" w:type="dxa"/>
            <w:tcBorders>
              <w:top w:val="nil"/>
              <w:left w:val="nil"/>
              <w:bottom w:val="nil"/>
              <w:right w:val="nil"/>
            </w:tcBorders>
            <w:shd w:val="clear" w:color="000000" w:fill="FFFFFF"/>
            <w:noWrap/>
            <w:tcMar>
              <w:left w:w="58" w:type="dxa"/>
              <w:right w:w="58" w:type="dxa"/>
            </w:tcMar>
            <w:vAlign w:val="center"/>
            <w:hideMark/>
          </w:tcPr>
          <w:p w14:paraId="6DEFE649"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6.8</w:t>
            </w:r>
          </w:p>
        </w:tc>
        <w:tc>
          <w:tcPr>
            <w:tcW w:w="669" w:type="dxa"/>
            <w:tcBorders>
              <w:top w:val="nil"/>
              <w:left w:val="nil"/>
              <w:bottom w:val="nil"/>
              <w:right w:val="single" w:sz="12" w:space="0" w:color="auto"/>
            </w:tcBorders>
            <w:shd w:val="clear" w:color="000000" w:fill="FFFFFF"/>
            <w:noWrap/>
            <w:tcMar>
              <w:left w:w="58" w:type="dxa"/>
              <w:right w:w="58" w:type="dxa"/>
            </w:tcMar>
            <w:vAlign w:val="center"/>
            <w:hideMark/>
          </w:tcPr>
          <w:p w14:paraId="27627EE0"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29.2</w:t>
            </w:r>
          </w:p>
        </w:tc>
      </w:tr>
      <w:tr w:rsidR="00650244" w:rsidRPr="00650244" w14:paraId="45A3DEA9" w14:textId="77777777" w:rsidTr="000B75C1">
        <w:trPr>
          <w:trHeight w:val="315"/>
          <w:jc w:val="center"/>
        </w:trPr>
        <w:tc>
          <w:tcPr>
            <w:tcW w:w="5295" w:type="dxa"/>
            <w:tcBorders>
              <w:top w:val="nil"/>
              <w:left w:val="single" w:sz="12" w:space="0" w:color="auto"/>
              <w:bottom w:val="nil"/>
              <w:right w:val="single" w:sz="8" w:space="0" w:color="auto"/>
            </w:tcBorders>
            <w:shd w:val="clear" w:color="000000" w:fill="FFFFFF"/>
            <w:noWrap/>
            <w:tcMar>
              <w:left w:w="58" w:type="dxa"/>
              <w:right w:w="58" w:type="dxa"/>
            </w:tcMar>
            <w:vAlign w:val="center"/>
            <w:hideMark/>
          </w:tcPr>
          <w:p w14:paraId="7F4F54C7" w14:textId="77777777" w:rsidR="00650244" w:rsidRPr="00650244" w:rsidRDefault="00650244" w:rsidP="00650244">
            <w:pPr>
              <w:spacing w:after="0" w:line="240" w:lineRule="auto"/>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Having a walkable neighborhood and being near local activities</w:t>
            </w:r>
          </w:p>
        </w:tc>
        <w:tc>
          <w:tcPr>
            <w:tcW w:w="1075" w:type="dxa"/>
            <w:tcBorders>
              <w:top w:val="nil"/>
              <w:left w:val="nil"/>
              <w:bottom w:val="nil"/>
              <w:right w:val="single" w:sz="8" w:space="0" w:color="auto"/>
            </w:tcBorders>
            <w:shd w:val="clear" w:color="000000" w:fill="FFFFFF"/>
            <w:noWrap/>
            <w:tcMar>
              <w:left w:w="58" w:type="dxa"/>
              <w:right w:w="58" w:type="dxa"/>
            </w:tcMar>
            <w:vAlign w:val="center"/>
            <w:hideMark/>
          </w:tcPr>
          <w:p w14:paraId="21744783"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12.1</w:t>
            </w:r>
          </w:p>
        </w:tc>
        <w:tc>
          <w:tcPr>
            <w:tcW w:w="950" w:type="dxa"/>
            <w:tcBorders>
              <w:top w:val="nil"/>
              <w:left w:val="nil"/>
              <w:bottom w:val="nil"/>
              <w:right w:val="nil"/>
            </w:tcBorders>
            <w:shd w:val="clear" w:color="000000" w:fill="FFFFFF"/>
            <w:noWrap/>
            <w:tcMar>
              <w:left w:w="58" w:type="dxa"/>
              <w:right w:w="58" w:type="dxa"/>
            </w:tcMar>
            <w:vAlign w:val="center"/>
            <w:hideMark/>
          </w:tcPr>
          <w:p w14:paraId="04E831C1"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13.6</w:t>
            </w:r>
          </w:p>
        </w:tc>
        <w:tc>
          <w:tcPr>
            <w:tcW w:w="666" w:type="dxa"/>
            <w:tcBorders>
              <w:top w:val="nil"/>
              <w:left w:val="nil"/>
              <w:bottom w:val="nil"/>
              <w:right w:val="single" w:sz="8" w:space="0" w:color="auto"/>
            </w:tcBorders>
            <w:shd w:val="clear" w:color="000000" w:fill="FFFFFF"/>
            <w:noWrap/>
            <w:tcMar>
              <w:left w:w="58" w:type="dxa"/>
              <w:right w:w="58" w:type="dxa"/>
            </w:tcMar>
            <w:vAlign w:val="center"/>
            <w:hideMark/>
          </w:tcPr>
          <w:p w14:paraId="5AC95F53"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12.4</w:t>
            </w:r>
          </w:p>
        </w:tc>
        <w:tc>
          <w:tcPr>
            <w:tcW w:w="994" w:type="dxa"/>
            <w:tcBorders>
              <w:top w:val="nil"/>
              <w:left w:val="nil"/>
              <w:bottom w:val="nil"/>
              <w:right w:val="nil"/>
            </w:tcBorders>
            <w:shd w:val="clear" w:color="000000" w:fill="FFFFFF"/>
            <w:noWrap/>
            <w:tcMar>
              <w:left w:w="58" w:type="dxa"/>
              <w:right w:w="58" w:type="dxa"/>
            </w:tcMar>
            <w:vAlign w:val="center"/>
            <w:hideMark/>
          </w:tcPr>
          <w:p w14:paraId="7A5AE56A"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10.1</w:t>
            </w:r>
          </w:p>
        </w:tc>
        <w:tc>
          <w:tcPr>
            <w:tcW w:w="669" w:type="dxa"/>
            <w:tcBorders>
              <w:top w:val="nil"/>
              <w:left w:val="nil"/>
              <w:bottom w:val="nil"/>
              <w:right w:val="single" w:sz="12" w:space="0" w:color="auto"/>
            </w:tcBorders>
            <w:shd w:val="clear" w:color="000000" w:fill="FFFFFF"/>
            <w:noWrap/>
            <w:tcMar>
              <w:left w:w="58" w:type="dxa"/>
              <w:right w:w="58" w:type="dxa"/>
            </w:tcMar>
            <w:vAlign w:val="center"/>
            <w:hideMark/>
          </w:tcPr>
          <w:p w14:paraId="0C2013CA"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16.5</w:t>
            </w:r>
          </w:p>
        </w:tc>
      </w:tr>
      <w:tr w:rsidR="00650244" w:rsidRPr="00650244" w14:paraId="1B7B9FB0" w14:textId="77777777" w:rsidTr="000B75C1">
        <w:trPr>
          <w:trHeight w:val="330"/>
          <w:jc w:val="center"/>
        </w:trPr>
        <w:tc>
          <w:tcPr>
            <w:tcW w:w="5295" w:type="dxa"/>
            <w:tcBorders>
              <w:top w:val="nil"/>
              <w:left w:val="single" w:sz="12" w:space="0" w:color="auto"/>
              <w:bottom w:val="single" w:sz="8" w:space="0" w:color="auto"/>
              <w:right w:val="single" w:sz="8" w:space="0" w:color="auto"/>
            </w:tcBorders>
            <w:shd w:val="clear" w:color="000000" w:fill="FFFFFF"/>
            <w:noWrap/>
            <w:tcMar>
              <w:left w:w="58" w:type="dxa"/>
              <w:right w:w="58" w:type="dxa"/>
            </w:tcMar>
            <w:vAlign w:val="center"/>
            <w:hideMark/>
          </w:tcPr>
          <w:p w14:paraId="3AA1CEAA" w14:textId="77777777" w:rsidR="00650244" w:rsidRPr="00650244" w:rsidRDefault="00650244" w:rsidP="00650244">
            <w:pPr>
              <w:spacing w:after="0" w:line="240" w:lineRule="auto"/>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Being within a reasonably short commute to work</w:t>
            </w:r>
          </w:p>
        </w:tc>
        <w:tc>
          <w:tcPr>
            <w:tcW w:w="1075" w:type="dxa"/>
            <w:tcBorders>
              <w:top w:val="nil"/>
              <w:left w:val="nil"/>
              <w:bottom w:val="single" w:sz="8" w:space="0" w:color="auto"/>
              <w:right w:val="single" w:sz="8" w:space="0" w:color="auto"/>
            </w:tcBorders>
            <w:shd w:val="clear" w:color="000000" w:fill="FFFFFF"/>
            <w:noWrap/>
            <w:tcMar>
              <w:left w:w="58" w:type="dxa"/>
              <w:right w:w="58" w:type="dxa"/>
            </w:tcMar>
            <w:vAlign w:val="center"/>
            <w:hideMark/>
          </w:tcPr>
          <w:p w14:paraId="6C821E5B"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13.3</w:t>
            </w:r>
          </w:p>
        </w:tc>
        <w:tc>
          <w:tcPr>
            <w:tcW w:w="950" w:type="dxa"/>
            <w:tcBorders>
              <w:top w:val="nil"/>
              <w:left w:val="nil"/>
              <w:bottom w:val="nil"/>
              <w:right w:val="nil"/>
            </w:tcBorders>
            <w:shd w:val="clear" w:color="000000" w:fill="FFFFFF"/>
            <w:noWrap/>
            <w:tcMar>
              <w:left w:w="58" w:type="dxa"/>
              <w:right w:w="58" w:type="dxa"/>
            </w:tcMar>
            <w:vAlign w:val="center"/>
            <w:hideMark/>
          </w:tcPr>
          <w:p w14:paraId="56D377A7"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14.1</w:t>
            </w:r>
          </w:p>
        </w:tc>
        <w:tc>
          <w:tcPr>
            <w:tcW w:w="666" w:type="dxa"/>
            <w:tcBorders>
              <w:top w:val="nil"/>
              <w:left w:val="nil"/>
              <w:bottom w:val="nil"/>
              <w:right w:val="single" w:sz="8" w:space="0" w:color="auto"/>
            </w:tcBorders>
            <w:shd w:val="clear" w:color="000000" w:fill="FFFFFF"/>
            <w:noWrap/>
            <w:tcMar>
              <w:left w:w="58" w:type="dxa"/>
              <w:right w:w="58" w:type="dxa"/>
            </w:tcMar>
            <w:vAlign w:val="center"/>
            <w:hideMark/>
          </w:tcPr>
          <w:p w14:paraId="09A21F68"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6.0</w:t>
            </w:r>
          </w:p>
        </w:tc>
        <w:tc>
          <w:tcPr>
            <w:tcW w:w="994" w:type="dxa"/>
            <w:tcBorders>
              <w:top w:val="nil"/>
              <w:left w:val="nil"/>
              <w:bottom w:val="nil"/>
              <w:right w:val="nil"/>
            </w:tcBorders>
            <w:shd w:val="clear" w:color="000000" w:fill="FFFFFF"/>
            <w:noWrap/>
            <w:tcMar>
              <w:left w:w="58" w:type="dxa"/>
              <w:right w:w="58" w:type="dxa"/>
            </w:tcMar>
            <w:vAlign w:val="center"/>
            <w:hideMark/>
          </w:tcPr>
          <w:p w14:paraId="2B9B952D"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4.8</w:t>
            </w:r>
          </w:p>
        </w:tc>
        <w:tc>
          <w:tcPr>
            <w:tcW w:w="669" w:type="dxa"/>
            <w:tcBorders>
              <w:top w:val="nil"/>
              <w:left w:val="nil"/>
              <w:bottom w:val="nil"/>
              <w:right w:val="single" w:sz="12" w:space="0" w:color="auto"/>
            </w:tcBorders>
            <w:shd w:val="clear" w:color="000000" w:fill="FFFFFF"/>
            <w:noWrap/>
            <w:tcMar>
              <w:left w:w="58" w:type="dxa"/>
              <w:right w:w="58" w:type="dxa"/>
            </w:tcMar>
            <w:vAlign w:val="center"/>
            <w:hideMark/>
          </w:tcPr>
          <w:p w14:paraId="0AB6A243"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63.9</w:t>
            </w:r>
          </w:p>
        </w:tc>
      </w:tr>
      <w:tr w:rsidR="008B5945" w:rsidRPr="00650244" w14:paraId="7CEE6CCF" w14:textId="77777777" w:rsidTr="000B75C1">
        <w:trPr>
          <w:trHeight w:val="330"/>
          <w:jc w:val="center"/>
        </w:trPr>
        <w:tc>
          <w:tcPr>
            <w:tcW w:w="6367" w:type="dxa"/>
            <w:gridSpan w:val="2"/>
            <w:tcBorders>
              <w:top w:val="single" w:sz="8" w:space="0" w:color="auto"/>
              <w:left w:val="single" w:sz="12" w:space="0" w:color="auto"/>
              <w:bottom w:val="single" w:sz="12" w:space="0" w:color="auto"/>
              <w:right w:val="single" w:sz="8" w:space="0" w:color="000000"/>
            </w:tcBorders>
            <w:shd w:val="clear" w:color="000000" w:fill="FFFFFF"/>
            <w:noWrap/>
            <w:tcMar>
              <w:left w:w="58" w:type="dxa"/>
              <w:right w:w="58" w:type="dxa"/>
            </w:tcMar>
            <w:vAlign w:val="center"/>
            <w:hideMark/>
          </w:tcPr>
          <w:p w14:paraId="70A9D104" w14:textId="77777777" w:rsidR="00650244" w:rsidRPr="00650244" w:rsidRDefault="00650244" w:rsidP="00650244">
            <w:pPr>
              <w:spacing w:after="0" w:line="240" w:lineRule="auto"/>
              <w:rPr>
                <w:rFonts w:eastAsia="Times New Roman" w:cs="Times New Roman"/>
                <w:b/>
                <w:bCs/>
                <w:color w:val="000000"/>
                <w:kern w:val="0"/>
                <w:sz w:val="20"/>
                <w:szCs w:val="20"/>
                <w14:ligatures w14:val="none"/>
              </w:rPr>
            </w:pPr>
            <w:r w:rsidRPr="00650244">
              <w:rPr>
                <w:rFonts w:eastAsia="Times New Roman" w:cs="Times New Roman"/>
                <w:b/>
                <w:bCs/>
                <w:color w:val="000000"/>
                <w:kern w:val="0"/>
                <w:sz w:val="20"/>
                <w:szCs w:val="20"/>
                <w14:ligatures w14:val="none"/>
              </w:rPr>
              <w:t>Weighted Average Percent Error (WAPE)</w:t>
            </w:r>
          </w:p>
        </w:tc>
        <w:tc>
          <w:tcPr>
            <w:tcW w:w="1616" w:type="dxa"/>
            <w:gridSpan w:val="2"/>
            <w:tcBorders>
              <w:top w:val="single" w:sz="8" w:space="0" w:color="auto"/>
              <w:left w:val="nil"/>
              <w:bottom w:val="single" w:sz="12" w:space="0" w:color="auto"/>
              <w:right w:val="single" w:sz="8" w:space="0" w:color="000000"/>
            </w:tcBorders>
            <w:shd w:val="clear" w:color="000000" w:fill="FFFFFF"/>
            <w:noWrap/>
            <w:tcMar>
              <w:left w:w="58" w:type="dxa"/>
              <w:right w:w="58" w:type="dxa"/>
            </w:tcMar>
            <w:vAlign w:val="center"/>
            <w:hideMark/>
          </w:tcPr>
          <w:p w14:paraId="3DC47B7E" w14:textId="77777777" w:rsidR="00650244" w:rsidRPr="00650244" w:rsidRDefault="00650244" w:rsidP="00650244">
            <w:pPr>
              <w:spacing w:after="0" w:line="240" w:lineRule="auto"/>
              <w:jc w:val="center"/>
              <w:rPr>
                <w:rFonts w:eastAsia="Times New Roman" w:cs="Times New Roman"/>
                <w:b/>
                <w:bCs/>
                <w:color w:val="000000"/>
                <w:kern w:val="0"/>
                <w:sz w:val="20"/>
                <w:szCs w:val="20"/>
                <w14:ligatures w14:val="none"/>
              </w:rPr>
            </w:pPr>
            <w:r w:rsidRPr="00650244">
              <w:rPr>
                <w:rFonts w:eastAsia="Times New Roman" w:cs="Times New Roman"/>
                <w:b/>
                <w:bCs/>
                <w:color w:val="000000"/>
                <w:kern w:val="0"/>
                <w:sz w:val="20"/>
                <w:szCs w:val="20"/>
                <w14:ligatures w14:val="none"/>
              </w:rPr>
              <w:t>8.4</w:t>
            </w:r>
          </w:p>
        </w:tc>
        <w:tc>
          <w:tcPr>
            <w:tcW w:w="1663" w:type="dxa"/>
            <w:gridSpan w:val="2"/>
            <w:tcBorders>
              <w:top w:val="single" w:sz="8" w:space="0" w:color="auto"/>
              <w:left w:val="nil"/>
              <w:bottom w:val="single" w:sz="12" w:space="0" w:color="auto"/>
              <w:right w:val="single" w:sz="12" w:space="0" w:color="auto"/>
            </w:tcBorders>
            <w:shd w:val="clear" w:color="000000" w:fill="FFFFFF"/>
            <w:noWrap/>
            <w:tcMar>
              <w:left w:w="58" w:type="dxa"/>
              <w:right w:w="58" w:type="dxa"/>
            </w:tcMar>
            <w:vAlign w:val="center"/>
            <w:hideMark/>
          </w:tcPr>
          <w:p w14:paraId="35C26020" w14:textId="77777777" w:rsidR="00650244" w:rsidRPr="00650244" w:rsidRDefault="00650244" w:rsidP="00650244">
            <w:pPr>
              <w:spacing w:after="0" w:line="240" w:lineRule="auto"/>
              <w:jc w:val="center"/>
              <w:rPr>
                <w:rFonts w:eastAsia="Times New Roman" w:cs="Times New Roman"/>
                <w:b/>
                <w:bCs/>
                <w:color w:val="000000"/>
                <w:kern w:val="0"/>
                <w:sz w:val="20"/>
                <w:szCs w:val="20"/>
                <w14:ligatures w14:val="none"/>
              </w:rPr>
            </w:pPr>
            <w:r w:rsidRPr="00650244">
              <w:rPr>
                <w:rFonts w:eastAsia="Times New Roman" w:cs="Times New Roman"/>
                <w:b/>
                <w:bCs/>
                <w:color w:val="000000"/>
                <w:kern w:val="0"/>
                <w:sz w:val="20"/>
                <w:szCs w:val="20"/>
                <w14:ligatures w14:val="none"/>
              </w:rPr>
              <w:t>31.0</w:t>
            </w:r>
          </w:p>
        </w:tc>
      </w:tr>
      <w:tr w:rsidR="00650244" w:rsidRPr="00650244" w14:paraId="15F33C3C" w14:textId="77777777" w:rsidTr="000B75C1">
        <w:trPr>
          <w:trHeight w:val="315"/>
          <w:jc w:val="center"/>
        </w:trPr>
        <w:tc>
          <w:tcPr>
            <w:tcW w:w="5295" w:type="dxa"/>
            <w:vMerge w:val="restart"/>
            <w:tcBorders>
              <w:top w:val="single" w:sz="12" w:space="0" w:color="auto"/>
              <w:left w:val="single" w:sz="12" w:space="0" w:color="auto"/>
              <w:bottom w:val="single" w:sz="8" w:space="0" w:color="000000"/>
              <w:right w:val="single" w:sz="8" w:space="0" w:color="auto"/>
            </w:tcBorders>
            <w:shd w:val="clear" w:color="000000" w:fill="FFFFFF"/>
            <w:noWrap/>
            <w:tcMar>
              <w:left w:w="58" w:type="dxa"/>
              <w:right w:w="58" w:type="dxa"/>
            </w:tcMar>
            <w:vAlign w:val="center"/>
            <w:hideMark/>
          </w:tcPr>
          <w:p w14:paraId="61D14273" w14:textId="77777777" w:rsidR="00650244" w:rsidRPr="00650244" w:rsidRDefault="00650244" w:rsidP="00650244">
            <w:pPr>
              <w:spacing w:after="0" w:line="240" w:lineRule="auto"/>
              <w:jc w:val="center"/>
              <w:rPr>
                <w:rFonts w:eastAsia="Times New Roman" w:cs="Times New Roman"/>
                <w:b/>
                <w:bCs/>
                <w:color w:val="000000"/>
                <w:kern w:val="0"/>
                <w:sz w:val="20"/>
                <w:szCs w:val="20"/>
                <w14:ligatures w14:val="none"/>
              </w:rPr>
            </w:pPr>
            <w:r w:rsidRPr="00650244">
              <w:rPr>
                <w:rFonts w:eastAsia="Times New Roman" w:cs="Times New Roman"/>
                <w:b/>
                <w:bCs/>
                <w:color w:val="000000"/>
                <w:kern w:val="0"/>
                <w:sz w:val="20"/>
                <w:szCs w:val="20"/>
                <w14:ligatures w14:val="none"/>
              </w:rPr>
              <w:t>Last Ranked Outcome</w:t>
            </w:r>
          </w:p>
        </w:tc>
        <w:tc>
          <w:tcPr>
            <w:tcW w:w="1075" w:type="dxa"/>
            <w:tcBorders>
              <w:top w:val="single" w:sz="12" w:space="0" w:color="auto"/>
              <w:left w:val="nil"/>
              <w:bottom w:val="nil"/>
              <w:right w:val="single" w:sz="8" w:space="0" w:color="auto"/>
            </w:tcBorders>
            <w:shd w:val="clear" w:color="000000" w:fill="FFFFFF"/>
            <w:noWrap/>
            <w:tcMar>
              <w:left w:w="58" w:type="dxa"/>
              <w:right w:w="58" w:type="dxa"/>
            </w:tcMar>
            <w:vAlign w:val="center"/>
            <w:hideMark/>
          </w:tcPr>
          <w:p w14:paraId="33EF1C5B" w14:textId="77777777" w:rsidR="00650244" w:rsidRPr="00650244" w:rsidRDefault="00650244" w:rsidP="00650244">
            <w:pPr>
              <w:spacing w:after="0" w:line="240" w:lineRule="auto"/>
              <w:jc w:val="center"/>
              <w:rPr>
                <w:rFonts w:eastAsia="Times New Roman" w:cs="Times New Roman"/>
                <w:b/>
                <w:bCs/>
                <w:color w:val="000000"/>
                <w:kern w:val="0"/>
                <w:sz w:val="20"/>
                <w:szCs w:val="20"/>
                <w14:ligatures w14:val="none"/>
              </w:rPr>
            </w:pPr>
            <w:r w:rsidRPr="00650244">
              <w:rPr>
                <w:rFonts w:eastAsia="Times New Roman" w:cs="Times New Roman"/>
                <w:b/>
                <w:bCs/>
                <w:color w:val="000000"/>
                <w:kern w:val="0"/>
                <w:sz w:val="20"/>
                <w:szCs w:val="20"/>
                <w14:ligatures w14:val="none"/>
              </w:rPr>
              <w:t>Observed</w:t>
            </w:r>
          </w:p>
        </w:tc>
        <w:tc>
          <w:tcPr>
            <w:tcW w:w="1616" w:type="dxa"/>
            <w:gridSpan w:val="2"/>
            <w:tcBorders>
              <w:top w:val="single" w:sz="12" w:space="0" w:color="auto"/>
              <w:left w:val="nil"/>
              <w:bottom w:val="nil"/>
              <w:right w:val="single" w:sz="8" w:space="0" w:color="000000"/>
            </w:tcBorders>
            <w:shd w:val="clear" w:color="000000" w:fill="FFFFFF"/>
            <w:noWrap/>
            <w:tcMar>
              <w:left w:w="58" w:type="dxa"/>
              <w:right w:w="58" w:type="dxa"/>
            </w:tcMar>
            <w:vAlign w:val="center"/>
            <w:hideMark/>
          </w:tcPr>
          <w:p w14:paraId="771F9C15" w14:textId="77777777" w:rsidR="00650244" w:rsidRPr="00650244" w:rsidRDefault="00650244" w:rsidP="00650244">
            <w:pPr>
              <w:spacing w:after="0" w:line="240" w:lineRule="auto"/>
              <w:jc w:val="center"/>
              <w:rPr>
                <w:rFonts w:eastAsia="Times New Roman" w:cs="Times New Roman"/>
                <w:b/>
                <w:bCs/>
                <w:color w:val="000000"/>
                <w:kern w:val="0"/>
                <w:sz w:val="20"/>
                <w:szCs w:val="20"/>
                <w14:ligatures w14:val="none"/>
              </w:rPr>
            </w:pPr>
            <w:r w:rsidRPr="00650244">
              <w:rPr>
                <w:rFonts w:eastAsia="Times New Roman" w:cs="Times New Roman"/>
                <w:b/>
                <w:bCs/>
                <w:color w:val="000000"/>
                <w:kern w:val="0"/>
                <w:sz w:val="20"/>
                <w:szCs w:val="20"/>
                <w14:ligatures w14:val="none"/>
              </w:rPr>
              <w:t>Joint Model</w:t>
            </w:r>
          </w:p>
        </w:tc>
        <w:tc>
          <w:tcPr>
            <w:tcW w:w="1663" w:type="dxa"/>
            <w:gridSpan w:val="2"/>
            <w:tcBorders>
              <w:top w:val="single" w:sz="12" w:space="0" w:color="auto"/>
              <w:left w:val="nil"/>
              <w:bottom w:val="nil"/>
              <w:right w:val="single" w:sz="12" w:space="0" w:color="auto"/>
            </w:tcBorders>
            <w:shd w:val="clear" w:color="000000" w:fill="FFFFFF"/>
            <w:noWrap/>
            <w:tcMar>
              <w:left w:w="58" w:type="dxa"/>
              <w:right w:w="58" w:type="dxa"/>
            </w:tcMar>
            <w:vAlign w:val="center"/>
            <w:hideMark/>
          </w:tcPr>
          <w:p w14:paraId="12B3C758" w14:textId="77777777" w:rsidR="00650244" w:rsidRPr="00650244" w:rsidRDefault="00650244" w:rsidP="00650244">
            <w:pPr>
              <w:spacing w:after="0" w:line="240" w:lineRule="auto"/>
              <w:jc w:val="center"/>
              <w:rPr>
                <w:rFonts w:eastAsia="Times New Roman" w:cs="Times New Roman"/>
                <w:b/>
                <w:bCs/>
                <w:color w:val="000000"/>
                <w:kern w:val="0"/>
                <w:sz w:val="20"/>
                <w:szCs w:val="20"/>
                <w14:ligatures w14:val="none"/>
              </w:rPr>
            </w:pPr>
            <w:r w:rsidRPr="00650244">
              <w:rPr>
                <w:rFonts w:eastAsia="Times New Roman" w:cs="Times New Roman"/>
                <w:b/>
                <w:bCs/>
                <w:color w:val="000000"/>
                <w:kern w:val="0"/>
                <w:sz w:val="20"/>
                <w:szCs w:val="20"/>
                <w14:ligatures w14:val="none"/>
              </w:rPr>
              <w:t>Independent Model</w:t>
            </w:r>
          </w:p>
        </w:tc>
      </w:tr>
      <w:tr w:rsidR="00650244" w:rsidRPr="00650244" w14:paraId="207C749C" w14:textId="77777777" w:rsidTr="000B75C1">
        <w:trPr>
          <w:trHeight w:val="310"/>
          <w:jc w:val="center"/>
        </w:trPr>
        <w:tc>
          <w:tcPr>
            <w:tcW w:w="5295" w:type="dxa"/>
            <w:vMerge/>
            <w:tcBorders>
              <w:top w:val="nil"/>
              <w:left w:val="single" w:sz="12" w:space="0" w:color="auto"/>
              <w:bottom w:val="single" w:sz="8" w:space="0" w:color="000000"/>
              <w:right w:val="single" w:sz="8" w:space="0" w:color="auto"/>
            </w:tcBorders>
            <w:tcMar>
              <w:left w:w="58" w:type="dxa"/>
              <w:right w:w="58" w:type="dxa"/>
            </w:tcMar>
            <w:vAlign w:val="center"/>
            <w:hideMark/>
          </w:tcPr>
          <w:p w14:paraId="2F5A854B" w14:textId="77777777" w:rsidR="00650244" w:rsidRPr="00650244" w:rsidRDefault="00650244" w:rsidP="00650244">
            <w:pPr>
              <w:spacing w:after="0" w:line="240" w:lineRule="auto"/>
              <w:rPr>
                <w:rFonts w:eastAsia="Times New Roman" w:cs="Times New Roman"/>
                <w:b/>
                <w:bCs/>
                <w:color w:val="000000"/>
                <w:kern w:val="0"/>
                <w:sz w:val="20"/>
                <w:szCs w:val="20"/>
                <w14:ligatures w14:val="none"/>
              </w:rPr>
            </w:pPr>
          </w:p>
        </w:tc>
        <w:tc>
          <w:tcPr>
            <w:tcW w:w="1075" w:type="dxa"/>
            <w:tcBorders>
              <w:top w:val="nil"/>
              <w:left w:val="nil"/>
              <w:bottom w:val="single" w:sz="8" w:space="0" w:color="auto"/>
              <w:right w:val="single" w:sz="8" w:space="0" w:color="auto"/>
            </w:tcBorders>
            <w:shd w:val="clear" w:color="000000" w:fill="FFFFFF"/>
            <w:noWrap/>
            <w:tcMar>
              <w:left w:w="58" w:type="dxa"/>
              <w:right w:w="58" w:type="dxa"/>
            </w:tcMar>
            <w:vAlign w:val="center"/>
            <w:hideMark/>
          </w:tcPr>
          <w:p w14:paraId="3EB84A44"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Share (%)</w:t>
            </w:r>
          </w:p>
        </w:tc>
        <w:tc>
          <w:tcPr>
            <w:tcW w:w="950" w:type="dxa"/>
            <w:tcBorders>
              <w:top w:val="nil"/>
              <w:left w:val="nil"/>
              <w:bottom w:val="single" w:sz="8" w:space="0" w:color="auto"/>
              <w:right w:val="nil"/>
            </w:tcBorders>
            <w:shd w:val="clear" w:color="000000" w:fill="FFFFFF"/>
            <w:noWrap/>
            <w:tcMar>
              <w:left w:w="58" w:type="dxa"/>
              <w:right w:w="58" w:type="dxa"/>
            </w:tcMar>
            <w:vAlign w:val="center"/>
            <w:hideMark/>
          </w:tcPr>
          <w:p w14:paraId="3F05D923"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Share (%)</w:t>
            </w:r>
          </w:p>
        </w:tc>
        <w:tc>
          <w:tcPr>
            <w:tcW w:w="666" w:type="dxa"/>
            <w:tcBorders>
              <w:top w:val="nil"/>
              <w:left w:val="nil"/>
              <w:bottom w:val="single" w:sz="8" w:space="0" w:color="auto"/>
              <w:right w:val="single" w:sz="8" w:space="0" w:color="auto"/>
            </w:tcBorders>
            <w:shd w:val="clear" w:color="000000" w:fill="FFFFFF"/>
            <w:noWrap/>
            <w:tcMar>
              <w:left w:w="58" w:type="dxa"/>
              <w:right w:w="58" w:type="dxa"/>
            </w:tcMar>
            <w:vAlign w:val="center"/>
            <w:hideMark/>
          </w:tcPr>
          <w:p w14:paraId="5E67E3A9"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APE</w:t>
            </w:r>
          </w:p>
        </w:tc>
        <w:tc>
          <w:tcPr>
            <w:tcW w:w="994" w:type="dxa"/>
            <w:tcBorders>
              <w:top w:val="nil"/>
              <w:left w:val="nil"/>
              <w:bottom w:val="single" w:sz="8" w:space="0" w:color="auto"/>
              <w:right w:val="nil"/>
            </w:tcBorders>
            <w:shd w:val="clear" w:color="000000" w:fill="FFFFFF"/>
            <w:noWrap/>
            <w:tcMar>
              <w:left w:w="58" w:type="dxa"/>
              <w:right w:w="58" w:type="dxa"/>
            </w:tcMar>
            <w:vAlign w:val="center"/>
            <w:hideMark/>
          </w:tcPr>
          <w:p w14:paraId="5295C354"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Share (%)</w:t>
            </w:r>
          </w:p>
        </w:tc>
        <w:tc>
          <w:tcPr>
            <w:tcW w:w="669" w:type="dxa"/>
            <w:tcBorders>
              <w:top w:val="nil"/>
              <w:left w:val="nil"/>
              <w:bottom w:val="single" w:sz="8" w:space="0" w:color="auto"/>
              <w:right w:val="single" w:sz="12" w:space="0" w:color="auto"/>
            </w:tcBorders>
            <w:shd w:val="clear" w:color="000000" w:fill="FFFFFF"/>
            <w:noWrap/>
            <w:tcMar>
              <w:left w:w="58" w:type="dxa"/>
              <w:right w:w="58" w:type="dxa"/>
            </w:tcMar>
            <w:vAlign w:val="center"/>
            <w:hideMark/>
          </w:tcPr>
          <w:p w14:paraId="56734DCC"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APE</w:t>
            </w:r>
          </w:p>
        </w:tc>
      </w:tr>
      <w:tr w:rsidR="00650244" w:rsidRPr="00650244" w14:paraId="139A7F24" w14:textId="77777777" w:rsidTr="000B75C1">
        <w:trPr>
          <w:trHeight w:val="315"/>
          <w:jc w:val="center"/>
        </w:trPr>
        <w:tc>
          <w:tcPr>
            <w:tcW w:w="5295" w:type="dxa"/>
            <w:tcBorders>
              <w:top w:val="nil"/>
              <w:left w:val="single" w:sz="12" w:space="0" w:color="auto"/>
              <w:bottom w:val="nil"/>
              <w:right w:val="single" w:sz="8" w:space="0" w:color="auto"/>
            </w:tcBorders>
            <w:shd w:val="clear" w:color="000000" w:fill="FFFFFF"/>
            <w:noWrap/>
            <w:tcMar>
              <w:left w:w="58" w:type="dxa"/>
              <w:right w:w="58" w:type="dxa"/>
            </w:tcMar>
            <w:vAlign w:val="center"/>
            <w:hideMark/>
          </w:tcPr>
          <w:p w14:paraId="619254EB" w14:textId="77777777" w:rsidR="00650244" w:rsidRPr="00650244" w:rsidRDefault="00650244" w:rsidP="00650244">
            <w:pPr>
              <w:spacing w:after="0" w:line="240" w:lineRule="auto"/>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Affordability</w:t>
            </w:r>
          </w:p>
        </w:tc>
        <w:tc>
          <w:tcPr>
            <w:tcW w:w="1075" w:type="dxa"/>
            <w:tcBorders>
              <w:top w:val="nil"/>
              <w:left w:val="nil"/>
              <w:bottom w:val="nil"/>
              <w:right w:val="single" w:sz="8" w:space="0" w:color="auto"/>
            </w:tcBorders>
            <w:shd w:val="clear" w:color="000000" w:fill="FFFFFF"/>
            <w:noWrap/>
            <w:tcMar>
              <w:left w:w="58" w:type="dxa"/>
              <w:right w:w="58" w:type="dxa"/>
            </w:tcMar>
            <w:vAlign w:val="center"/>
            <w:hideMark/>
          </w:tcPr>
          <w:p w14:paraId="45D0A9D1"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3.6</w:t>
            </w:r>
          </w:p>
        </w:tc>
        <w:tc>
          <w:tcPr>
            <w:tcW w:w="950" w:type="dxa"/>
            <w:tcBorders>
              <w:top w:val="nil"/>
              <w:left w:val="nil"/>
              <w:bottom w:val="nil"/>
              <w:right w:val="nil"/>
            </w:tcBorders>
            <w:shd w:val="clear" w:color="000000" w:fill="FFFFFF"/>
            <w:noWrap/>
            <w:tcMar>
              <w:left w:w="58" w:type="dxa"/>
              <w:right w:w="58" w:type="dxa"/>
            </w:tcMar>
            <w:vAlign w:val="center"/>
            <w:hideMark/>
          </w:tcPr>
          <w:p w14:paraId="710F86B9"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2.2</w:t>
            </w:r>
          </w:p>
        </w:tc>
        <w:tc>
          <w:tcPr>
            <w:tcW w:w="666" w:type="dxa"/>
            <w:tcBorders>
              <w:top w:val="nil"/>
              <w:left w:val="nil"/>
              <w:bottom w:val="nil"/>
              <w:right w:val="single" w:sz="8" w:space="0" w:color="auto"/>
            </w:tcBorders>
            <w:shd w:val="clear" w:color="000000" w:fill="FFFFFF"/>
            <w:noWrap/>
            <w:tcMar>
              <w:left w:w="58" w:type="dxa"/>
              <w:right w:w="58" w:type="dxa"/>
            </w:tcMar>
            <w:vAlign w:val="center"/>
            <w:hideMark/>
          </w:tcPr>
          <w:p w14:paraId="7BB05234"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38.9</w:t>
            </w:r>
          </w:p>
        </w:tc>
        <w:tc>
          <w:tcPr>
            <w:tcW w:w="994" w:type="dxa"/>
            <w:tcBorders>
              <w:top w:val="nil"/>
              <w:left w:val="nil"/>
              <w:bottom w:val="nil"/>
              <w:right w:val="nil"/>
            </w:tcBorders>
            <w:shd w:val="clear" w:color="000000" w:fill="FFFFFF"/>
            <w:noWrap/>
            <w:tcMar>
              <w:left w:w="58" w:type="dxa"/>
              <w:right w:w="58" w:type="dxa"/>
            </w:tcMar>
            <w:vAlign w:val="center"/>
            <w:hideMark/>
          </w:tcPr>
          <w:p w14:paraId="364E7D6B"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1.8</w:t>
            </w:r>
          </w:p>
        </w:tc>
        <w:tc>
          <w:tcPr>
            <w:tcW w:w="669" w:type="dxa"/>
            <w:tcBorders>
              <w:top w:val="nil"/>
              <w:left w:val="nil"/>
              <w:bottom w:val="nil"/>
              <w:right w:val="single" w:sz="12" w:space="0" w:color="auto"/>
            </w:tcBorders>
            <w:shd w:val="clear" w:color="000000" w:fill="FFFFFF"/>
            <w:noWrap/>
            <w:tcMar>
              <w:left w:w="58" w:type="dxa"/>
              <w:right w:w="58" w:type="dxa"/>
            </w:tcMar>
            <w:vAlign w:val="center"/>
            <w:hideMark/>
          </w:tcPr>
          <w:p w14:paraId="7C2E3454"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50.0</w:t>
            </w:r>
          </w:p>
        </w:tc>
      </w:tr>
      <w:tr w:rsidR="00650244" w:rsidRPr="00650244" w14:paraId="38416146" w14:textId="77777777" w:rsidTr="000B75C1">
        <w:trPr>
          <w:trHeight w:val="315"/>
          <w:jc w:val="center"/>
        </w:trPr>
        <w:tc>
          <w:tcPr>
            <w:tcW w:w="5295" w:type="dxa"/>
            <w:tcBorders>
              <w:top w:val="nil"/>
              <w:left w:val="single" w:sz="12" w:space="0" w:color="auto"/>
              <w:bottom w:val="nil"/>
              <w:right w:val="single" w:sz="8" w:space="0" w:color="auto"/>
            </w:tcBorders>
            <w:shd w:val="clear" w:color="000000" w:fill="FFFFFF"/>
            <w:noWrap/>
            <w:tcMar>
              <w:left w:w="58" w:type="dxa"/>
              <w:right w:w="58" w:type="dxa"/>
            </w:tcMar>
            <w:vAlign w:val="center"/>
            <w:hideMark/>
          </w:tcPr>
          <w:p w14:paraId="290C4F09" w14:textId="7304A9DE" w:rsidR="00650244" w:rsidRPr="00650244" w:rsidRDefault="00650244" w:rsidP="00650244">
            <w:pPr>
              <w:spacing w:after="0" w:line="240" w:lineRule="auto"/>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 xml:space="preserve">Being close to </w:t>
            </w:r>
            <w:r w:rsidR="000B75C1">
              <w:rPr>
                <w:rFonts w:eastAsia="Times New Roman" w:cs="Times New Roman"/>
                <w:color w:val="000000"/>
                <w:kern w:val="0"/>
                <w:sz w:val="20"/>
                <w:szCs w:val="20"/>
                <w14:ligatures w14:val="none"/>
              </w:rPr>
              <w:t>f</w:t>
            </w:r>
            <w:r w:rsidRPr="00650244">
              <w:rPr>
                <w:rFonts w:eastAsia="Times New Roman" w:cs="Times New Roman"/>
                <w:color w:val="000000"/>
                <w:kern w:val="0"/>
                <w:sz w:val="20"/>
                <w:szCs w:val="20"/>
                <w14:ligatures w14:val="none"/>
              </w:rPr>
              <w:t xml:space="preserve">amily and </w:t>
            </w:r>
            <w:r w:rsidR="000B75C1">
              <w:rPr>
                <w:rFonts w:eastAsia="Times New Roman" w:cs="Times New Roman"/>
                <w:color w:val="000000"/>
                <w:kern w:val="0"/>
                <w:sz w:val="20"/>
                <w:szCs w:val="20"/>
                <w14:ligatures w14:val="none"/>
              </w:rPr>
              <w:t>f</w:t>
            </w:r>
            <w:r w:rsidRPr="00650244">
              <w:rPr>
                <w:rFonts w:eastAsia="Times New Roman" w:cs="Times New Roman"/>
                <w:color w:val="000000"/>
                <w:kern w:val="0"/>
                <w:sz w:val="20"/>
                <w:szCs w:val="20"/>
                <w14:ligatures w14:val="none"/>
              </w:rPr>
              <w:t>riends</w:t>
            </w:r>
          </w:p>
        </w:tc>
        <w:tc>
          <w:tcPr>
            <w:tcW w:w="1075" w:type="dxa"/>
            <w:tcBorders>
              <w:top w:val="nil"/>
              <w:left w:val="nil"/>
              <w:bottom w:val="nil"/>
              <w:right w:val="single" w:sz="8" w:space="0" w:color="auto"/>
            </w:tcBorders>
            <w:shd w:val="clear" w:color="000000" w:fill="FFFFFF"/>
            <w:noWrap/>
            <w:tcMar>
              <w:left w:w="58" w:type="dxa"/>
              <w:right w:w="58" w:type="dxa"/>
            </w:tcMar>
            <w:vAlign w:val="center"/>
            <w:hideMark/>
          </w:tcPr>
          <w:p w14:paraId="5840E6A2"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10.4</w:t>
            </w:r>
          </w:p>
        </w:tc>
        <w:tc>
          <w:tcPr>
            <w:tcW w:w="950" w:type="dxa"/>
            <w:tcBorders>
              <w:top w:val="nil"/>
              <w:left w:val="nil"/>
              <w:bottom w:val="nil"/>
              <w:right w:val="nil"/>
            </w:tcBorders>
            <w:shd w:val="clear" w:color="000000" w:fill="FFFFFF"/>
            <w:noWrap/>
            <w:tcMar>
              <w:left w:w="58" w:type="dxa"/>
              <w:right w:w="58" w:type="dxa"/>
            </w:tcMar>
            <w:vAlign w:val="center"/>
            <w:hideMark/>
          </w:tcPr>
          <w:p w14:paraId="4CDCB0F0"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6.9</w:t>
            </w:r>
          </w:p>
        </w:tc>
        <w:tc>
          <w:tcPr>
            <w:tcW w:w="666" w:type="dxa"/>
            <w:tcBorders>
              <w:top w:val="nil"/>
              <w:left w:val="nil"/>
              <w:bottom w:val="nil"/>
              <w:right w:val="single" w:sz="8" w:space="0" w:color="auto"/>
            </w:tcBorders>
            <w:shd w:val="clear" w:color="000000" w:fill="FFFFFF"/>
            <w:noWrap/>
            <w:tcMar>
              <w:left w:w="58" w:type="dxa"/>
              <w:right w:w="58" w:type="dxa"/>
            </w:tcMar>
            <w:vAlign w:val="center"/>
            <w:hideMark/>
          </w:tcPr>
          <w:p w14:paraId="497CCA18"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33.7</w:t>
            </w:r>
          </w:p>
        </w:tc>
        <w:tc>
          <w:tcPr>
            <w:tcW w:w="994" w:type="dxa"/>
            <w:tcBorders>
              <w:top w:val="nil"/>
              <w:left w:val="nil"/>
              <w:bottom w:val="nil"/>
              <w:right w:val="nil"/>
            </w:tcBorders>
            <w:shd w:val="clear" w:color="000000" w:fill="FFFFFF"/>
            <w:noWrap/>
            <w:tcMar>
              <w:left w:w="58" w:type="dxa"/>
              <w:right w:w="58" w:type="dxa"/>
            </w:tcMar>
            <w:vAlign w:val="center"/>
            <w:hideMark/>
          </w:tcPr>
          <w:p w14:paraId="5361CB91"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5.4</w:t>
            </w:r>
          </w:p>
        </w:tc>
        <w:tc>
          <w:tcPr>
            <w:tcW w:w="669" w:type="dxa"/>
            <w:tcBorders>
              <w:top w:val="nil"/>
              <w:left w:val="nil"/>
              <w:bottom w:val="nil"/>
              <w:right w:val="single" w:sz="12" w:space="0" w:color="auto"/>
            </w:tcBorders>
            <w:shd w:val="clear" w:color="000000" w:fill="FFFFFF"/>
            <w:noWrap/>
            <w:tcMar>
              <w:left w:w="58" w:type="dxa"/>
              <w:right w:w="58" w:type="dxa"/>
            </w:tcMar>
            <w:vAlign w:val="center"/>
            <w:hideMark/>
          </w:tcPr>
          <w:p w14:paraId="69CB5323"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48.1</w:t>
            </w:r>
          </w:p>
        </w:tc>
      </w:tr>
      <w:tr w:rsidR="00650244" w:rsidRPr="00650244" w14:paraId="10752D74" w14:textId="77777777" w:rsidTr="000B75C1">
        <w:trPr>
          <w:trHeight w:val="315"/>
          <w:jc w:val="center"/>
        </w:trPr>
        <w:tc>
          <w:tcPr>
            <w:tcW w:w="5295" w:type="dxa"/>
            <w:tcBorders>
              <w:top w:val="nil"/>
              <w:left w:val="single" w:sz="12" w:space="0" w:color="auto"/>
              <w:bottom w:val="nil"/>
              <w:right w:val="single" w:sz="8" w:space="0" w:color="auto"/>
            </w:tcBorders>
            <w:shd w:val="clear" w:color="000000" w:fill="FFFFFF"/>
            <w:noWrap/>
            <w:tcMar>
              <w:left w:w="58" w:type="dxa"/>
              <w:right w:w="58" w:type="dxa"/>
            </w:tcMar>
            <w:vAlign w:val="center"/>
            <w:hideMark/>
          </w:tcPr>
          <w:p w14:paraId="3F3D8210" w14:textId="2C010DE0" w:rsidR="00650244" w:rsidRPr="00650244" w:rsidRDefault="00650244" w:rsidP="00650244">
            <w:pPr>
              <w:spacing w:after="0" w:line="240" w:lineRule="auto"/>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 xml:space="preserve">Access to </w:t>
            </w:r>
            <w:r w:rsidR="000B75C1">
              <w:rPr>
                <w:rFonts w:eastAsia="Times New Roman" w:cs="Times New Roman"/>
                <w:color w:val="000000"/>
                <w:kern w:val="0"/>
                <w:sz w:val="20"/>
                <w:szCs w:val="20"/>
                <w14:ligatures w14:val="none"/>
              </w:rPr>
              <w:t>c</w:t>
            </w:r>
            <w:r w:rsidRPr="00650244">
              <w:rPr>
                <w:rFonts w:eastAsia="Times New Roman" w:cs="Times New Roman"/>
                <w:color w:val="000000"/>
                <w:kern w:val="0"/>
                <w:sz w:val="20"/>
                <w:szCs w:val="20"/>
                <w14:ligatures w14:val="none"/>
              </w:rPr>
              <w:t xml:space="preserve">ultural </w:t>
            </w:r>
            <w:r w:rsidR="000B75C1">
              <w:rPr>
                <w:rFonts w:eastAsia="Times New Roman" w:cs="Times New Roman"/>
                <w:color w:val="000000"/>
                <w:kern w:val="0"/>
                <w:sz w:val="20"/>
                <w:szCs w:val="20"/>
                <w14:ligatures w14:val="none"/>
              </w:rPr>
              <w:t>c</w:t>
            </w:r>
            <w:r w:rsidRPr="00650244">
              <w:rPr>
                <w:rFonts w:eastAsia="Times New Roman" w:cs="Times New Roman"/>
                <w:color w:val="000000"/>
                <w:kern w:val="0"/>
                <w:sz w:val="20"/>
                <w:szCs w:val="20"/>
                <w14:ligatures w14:val="none"/>
              </w:rPr>
              <w:t xml:space="preserve">enters and </w:t>
            </w:r>
            <w:r w:rsidR="000B75C1">
              <w:rPr>
                <w:rFonts w:eastAsia="Times New Roman" w:cs="Times New Roman"/>
                <w:color w:val="000000"/>
                <w:kern w:val="0"/>
                <w:sz w:val="20"/>
                <w:szCs w:val="20"/>
                <w14:ligatures w14:val="none"/>
              </w:rPr>
              <w:t>a</w:t>
            </w:r>
            <w:r w:rsidRPr="00650244">
              <w:rPr>
                <w:rFonts w:eastAsia="Times New Roman" w:cs="Times New Roman"/>
                <w:color w:val="000000"/>
                <w:kern w:val="0"/>
                <w:sz w:val="20"/>
                <w:szCs w:val="20"/>
                <w14:ligatures w14:val="none"/>
              </w:rPr>
              <w:t>ctivities</w:t>
            </w:r>
          </w:p>
        </w:tc>
        <w:tc>
          <w:tcPr>
            <w:tcW w:w="1075" w:type="dxa"/>
            <w:tcBorders>
              <w:top w:val="nil"/>
              <w:left w:val="nil"/>
              <w:bottom w:val="nil"/>
              <w:right w:val="single" w:sz="8" w:space="0" w:color="auto"/>
            </w:tcBorders>
            <w:shd w:val="clear" w:color="000000" w:fill="FFFFFF"/>
            <w:noWrap/>
            <w:tcMar>
              <w:left w:w="58" w:type="dxa"/>
              <w:right w:w="58" w:type="dxa"/>
            </w:tcMar>
            <w:vAlign w:val="center"/>
            <w:hideMark/>
          </w:tcPr>
          <w:p w14:paraId="35B36C2A"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9.2</w:t>
            </w:r>
          </w:p>
        </w:tc>
        <w:tc>
          <w:tcPr>
            <w:tcW w:w="950" w:type="dxa"/>
            <w:tcBorders>
              <w:top w:val="nil"/>
              <w:left w:val="nil"/>
              <w:bottom w:val="nil"/>
              <w:right w:val="nil"/>
            </w:tcBorders>
            <w:shd w:val="clear" w:color="000000" w:fill="FFFFFF"/>
            <w:noWrap/>
            <w:tcMar>
              <w:left w:w="58" w:type="dxa"/>
              <w:right w:w="58" w:type="dxa"/>
            </w:tcMar>
            <w:vAlign w:val="center"/>
            <w:hideMark/>
          </w:tcPr>
          <w:p w14:paraId="3F49649E"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7.5</w:t>
            </w:r>
          </w:p>
        </w:tc>
        <w:tc>
          <w:tcPr>
            <w:tcW w:w="666" w:type="dxa"/>
            <w:tcBorders>
              <w:top w:val="nil"/>
              <w:left w:val="nil"/>
              <w:bottom w:val="nil"/>
              <w:right w:val="single" w:sz="8" w:space="0" w:color="auto"/>
            </w:tcBorders>
            <w:shd w:val="clear" w:color="000000" w:fill="FFFFFF"/>
            <w:noWrap/>
            <w:tcMar>
              <w:left w:w="58" w:type="dxa"/>
              <w:right w:w="58" w:type="dxa"/>
            </w:tcMar>
            <w:vAlign w:val="center"/>
            <w:hideMark/>
          </w:tcPr>
          <w:p w14:paraId="7DA5E7AC"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18.5</w:t>
            </w:r>
          </w:p>
        </w:tc>
        <w:tc>
          <w:tcPr>
            <w:tcW w:w="994" w:type="dxa"/>
            <w:tcBorders>
              <w:top w:val="nil"/>
              <w:left w:val="nil"/>
              <w:bottom w:val="nil"/>
              <w:right w:val="nil"/>
            </w:tcBorders>
            <w:shd w:val="clear" w:color="000000" w:fill="FFFFFF"/>
            <w:noWrap/>
            <w:tcMar>
              <w:left w:w="58" w:type="dxa"/>
              <w:right w:w="58" w:type="dxa"/>
            </w:tcMar>
            <w:vAlign w:val="center"/>
            <w:hideMark/>
          </w:tcPr>
          <w:p w14:paraId="60B5AF5D"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6.8</w:t>
            </w:r>
          </w:p>
        </w:tc>
        <w:tc>
          <w:tcPr>
            <w:tcW w:w="669" w:type="dxa"/>
            <w:tcBorders>
              <w:top w:val="nil"/>
              <w:left w:val="nil"/>
              <w:bottom w:val="nil"/>
              <w:right w:val="single" w:sz="12" w:space="0" w:color="auto"/>
            </w:tcBorders>
            <w:shd w:val="clear" w:color="000000" w:fill="FFFFFF"/>
            <w:noWrap/>
            <w:tcMar>
              <w:left w:w="58" w:type="dxa"/>
              <w:right w:w="58" w:type="dxa"/>
            </w:tcMar>
            <w:vAlign w:val="center"/>
            <w:hideMark/>
          </w:tcPr>
          <w:p w14:paraId="3515629F"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26.1</w:t>
            </w:r>
          </w:p>
        </w:tc>
      </w:tr>
      <w:tr w:rsidR="00650244" w:rsidRPr="00650244" w14:paraId="0A952515" w14:textId="77777777" w:rsidTr="000B75C1">
        <w:trPr>
          <w:trHeight w:val="315"/>
          <w:jc w:val="center"/>
        </w:trPr>
        <w:tc>
          <w:tcPr>
            <w:tcW w:w="5295" w:type="dxa"/>
            <w:tcBorders>
              <w:top w:val="nil"/>
              <w:left w:val="single" w:sz="12" w:space="0" w:color="auto"/>
              <w:bottom w:val="nil"/>
              <w:right w:val="single" w:sz="8" w:space="0" w:color="auto"/>
            </w:tcBorders>
            <w:shd w:val="clear" w:color="000000" w:fill="FFFFFF"/>
            <w:noWrap/>
            <w:tcMar>
              <w:left w:w="58" w:type="dxa"/>
              <w:right w:w="58" w:type="dxa"/>
            </w:tcMar>
            <w:vAlign w:val="center"/>
            <w:hideMark/>
          </w:tcPr>
          <w:p w14:paraId="7A5D7DC0" w14:textId="77777777" w:rsidR="00650244" w:rsidRPr="00650244" w:rsidRDefault="00650244" w:rsidP="00650244">
            <w:pPr>
              <w:spacing w:after="0" w:line="240" w:lineRule="auto"/>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Being close to the highway</w:t>
            </w:r>
          </w:p>
        </w:tc>
        <w:tc>
          <w:tcPr>
            <w:tcW w:w="1075" w:type="dxa"/>
            <w:tcBorders>
              <w:top w:val="nil"/>
              <w:left w:val="nil"/>
              <w:bottom w:val="nil"/>
              <w:right w:val="single" w:sz="8" w:space="0" w:color="auto"/>
            </w:tcBorders>
            <w:shd w:val="clear" w:color="000000" w:fill="FFFFFF"/>
            <w:noWrap/>
            <w:tcMar>
              <w:left w:w="58" w:type="dxa"/>
              <w:right w:w="58" w:type="dxa"/>
            </w:tcMar>
            <w:vAlign w:val="center"/>
            <w:hideMark/>
          </w:tcPr>
          <w:p w14:paraId="6FAE1AF2"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14.4</w:t>
            </w:r>
          </w:p>
        </w:tc>
        <w:tc>
          <w:tcPr>
            <w:tcW w:w="950" w:type="dxa"/>
            <w:tcBorders>
              <w:top w:val="nil"/>
              <w:left w:val="nil"/>
              <w:bottom w:val="nil"/>
              <w:right w:val="nil"/>
            </w:tcBorders>
            <w:shd w:val="clear" w:color="000000" w:fill="FFFFFF"/>
            <w:noWrap/>
            <w:tcMar>
              <w:left w:w="58" w:type="dxa"/>
              <w:right w:w="58" w:type="dxa"/>
            </w:tcMar>
            <w:vAlign w:val="center"/>
            <w:hideMark/>
          </w:tcPr>
          <w:p w14:paraId="054C9AD9"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12.3</w:t>
            </w:r>
          </w:p>
        </w:tc>
        <w:tc>
          <w:tcPr>
            <w:tcW w:w="666" w:type="dxa"/>
            <w:tcBorders>
              <w:top w:val="nil"/>
              <w:left w:val="nil"/>
              <w:bottom w:val="nil"/>
              <w:right w:val="single" w:sz="8" w:space="0" w:color="auto"/>
            </w:tcBorders>
            <w:shd w:val="clear" w:color="000000" w:fill="FFFFFF"/>
            <w:noWrap/>
            <w:tcMar>
              <w:left w:w="58" w:type="dxa"/>
              <w:right w:w="58" w:type="dxa"/>
            </w:tcMar>
            <w:vAlign w:val="center"/>
            <w:hideMark/>
          </w:tcPr>
          <w:p w14:paraId="66DD1DB8"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14.6</w:t>
            </w:r>
          </w:p>
        </w:tc>
        <w:tc>
          <w:tcPr>
            <w:tcW w:w="994" w:type="dxa"/>
            <w:tcBorders>
              <w:top w:val="nil"/>
              <w:left w:val="nil"/>
              <w:bottom w:val="nil"/>
              <w:right w:val="nil"/>
            </w:tcBorders>
            <w:shd w:val="clear" w:color="000000" w:fill="FFFFFF"/>
            <w:noWrap/>
            <w:tcMar>
              <w:left w:w="58" w:type="dxa"/>
              <w:right w:w="58" w:type="dxa"/>
            </w:tcMar>
            <w:vAlign w:val="center"/>
            <w:hideMark/>
          </w:tcPr>
          <w:p w14:paraId="4BCA0019"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11.5</w:t>
            </w:r>
          </w:p>
        </w:tc>
        <w:tc>
          <w:tcPr>
            <w:tcW w:w="669" w:type="dxa"/>
            <w:tcBorders>
              <w:top w:val="nil"/>
              <w:left w:val="nil"/>
              <w:bottom w:val="nil"/>
              <w:right w:val="single" w:sz="12" w:space="0" w:color="auto"/>
            </w:tcBorders>
            <w:shd w:val="clear" w:color="000000" w:fill="FFFFFF"/>
            <w:noWrap/>
            <w:tcMar>
              <w:left w:w="58" w:type="dxa"/>
              <w:right w:w="58" w:type="dxa"/>
            </w:tcMar>
            <w:vAlign w:val="center"/>
            <w:hideMark/>
          </w:tcPr>
          <w:p w14:paraId="1F729A46"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20.1</w:t>
            </w:r>
          </w:p>
        </w:tc>
      </w:tr>
      <w:tr w:rsidR="00650244" w:rsidRPr="00650244" w14:paraId="5AB83935" w14:textId="77777777" w:rsidTr="000B75C1">
        <w:trPr>
          <w:trHeight w:val="315"/>
          <w:jc w:val="center"/>
        </w:trPr>
        <w:tc>
          <w:tcPr>
            <w:tcW w:w="5295" w:type="dxa"/>
            <w:tcBorders>
              <w:top w:val="nil"/>
              <w:left w:val="single" w:sz="12" w:space="0" w:color="auto"/>
              <w:bottom w:val="nil"/>
              <w:right w:val="single" w:sz="8" w:space="0" w:color="auto"/>
            </w:tcBorders>
            <w:shd w:val="clear" w:color="000000" w:fill="FFFFFF"/>
            <w:noWrap/>
            <w:tcMar>
              <w:left w:w="58" w:type="dxa"/>
              <w:right w:w="58" w:type="dxa"/>
            </w:tcMar>
            <w:vAlign w:val="center"/>
            <w:hideMark/>
          </w:tcPr>
          <w:p w14:paraId="16BC4C35" w14:textId="4291085D" w:rsidR="00650244" w:rsidRPr="00650244" w:rsidRDefault="00650244" w:rsidP="00650244">
            <w:pPr>
              <w:spacing w:after="0" w:line="240" w:lineRule="auto"/>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Quality of schools (</w:t>
            </w:r>
            <w:r w:rsidR="003F65A3">
              <w:rPr>
                <w:rFonts w:eastAsia="Times New Roman" w:cs="Times New Roman"/>
                <w:color w:val="000000"/>
                <w:kern w:val="0"/>
                <w:sz w:val="20"/>
                <w:szCs w:val="20"/>
                <w14:ligatures w14:val="none"/>
              </w:rPr>
              <w:t>K</w:t>
            </w:r>
            <w:r w:rsidRPr="00650244">
              <w:rPr>
                <w:rFonts w:eastAsia="Times New Roman" w:cs="Times New Roman"/>
                <w:color w:val="000000"/>
                <w:kern w:val="0"/>
                <w:sz w:val="20"/>
                <w:szCs w:val="20"/>
                <w14:ligatures w14:val="none"/>
              </w:rPr>
              <w:t>-12)</w:t>
            </w:r>
          </w:p>
        </w:tc>
        <w:tc>
          <w:tcPr>
            <w:tcW w:w="1075" w:type="dxa"/>
            <w:tcBorders>
              <w:top w:val="nil"/>
              <w:left w:val="nil"/>
              <w:bottom w:val="nil"/>
              <w:right w:val="single" w:sz="8" w:space="0" w:color="auto"/>
            </w:tcBorders>
            <w:shd w:val="clear" w:color="000000" w:fill="FFFFFF"/>
            <w:noWrap/>
            <w:tcMar>
              <w:left w:w="58" w:type="dxa"/>
              <w:right w:w="58" w:type="dxa"/>
            </w:tcMar>
            <w:vAlign w:val="center"/>
            <w:hideMark/>
          </w:tcPr>
          <w:p w14:paraId="50C43BDC"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28.4</w:t>
            </w:r>
          </w:p>
        </w:tc>
        <w:tc>
          <w:tcPr>
            <w:tcW w:w="950" w:type="dxa"/>
            <w:tcBorders>
              <w:top w:val="nil"/>
              <w:left w:val="nil"/>
              <w:bottom w:val="nil"/>
              <w:right w:val="nil"/>
            </w:tcBorders>
            <w:shd w:val="clear" w:color="000000" w:fill="FFFFFF"/>
            <w:noWrap/>
            <w:tcMar>
              <w:left w:w="58" w:type="dxa"/>
              <w:right w:w="58" w:type="dxa"/>
            </w:tcMar>
            <w:vAlign w:val="center"/>
            <w:hideMark/>
          </w:tcPr>
          <w:p w14:paraId="13394004"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27.5</w:t>
            </w:r>
          </w:p>
        </w:tc>
        <w:tc>
          <w:tcPr>
            <w:tcW w:w="666" w:type="dxa"/>
            <w:tcBorders>
              <w:top w:val="nil"/>
              <w:left w:val="nil"/>
              <w:bottom w:val="nil"/>
              <w:right w:val="single" w:sz="8" w:space="0" w:color="auto"/>
            </w:tcBorders>
            <w:shd w:val="clear" w:color="000000" w:fill="FFFFFF"/>
            <w:noWrap/>
            <w:tcMar>
              <w:left w:w="58" w:type="dxa"/>
              <w:right w:w="58" w:type="dxa"/>
            </w:tcMar>
            <w:vAlign w:val="center"/>
            <w:hideMark/>
          </w:tcPr>
          <w:p w14:paraId="16598BCF"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3.2</w:t>
            </w:r>
          </w:p>
        </w:tc>
        <w:tc>
          <w:tcPr>
            <w:tcW w:w="994" w:type="dxa"/>
            <w:tcBorders>
              <w:top w:val="nil"/>
              <w:left w:val="nil"/>
              <w:bottom w:val="nil"/>
              <w:right w:val="nil"/>
            </w:tcBorders>
            <w:shd w:val="clear" w:color="000000" w:fill="FFFFFF"/>
            <w:noWrap/>
            <w:tcMar>
              <w:left w:w="58" w:type="dxa"/>
              <w:right w:w="58" w:type="dxa"/>
            </w:tcMar>
            <w:vAlign w:val="center"/>
            <w:hideMark/>
          </w:tcPr>
          <w:p w14:paraId="04553A14"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28.1</w:t>
            </w:r>
          </w:p>
        </w:tc>
        <w:tc>
          <w:tcPr>
            <w:tcW w:w="669" w:type="dxa"/>
            <w:tcBorders>
              <w:top w:val="nil"/>
              <w:left w:val="nil"/>
              <w:bottom w:val="nil"/>
              <w:right w:val="single" w:sz="12" w:space="0" w:color="auto"/>
            </w:tcBorders>
            <w:shd w:val="clear" w:color="000000" w:fill="FFFFFF"/>
            <w:noWrap/>
            <w:tcMar>
              <w:left w:w="58" w:type="dxa"/>
              <w:right w:w="58" w:type="dxa"/>
            </w:tcMar>
            <w:vAlign w:val="center"/>
            <w:hideMark/>
          </w:tcPr>
          <w:p w14:paraId="54A1B561"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1.1</w:t>
            </w:r>
          </w:p>
        </w:tc>
      </w:tr>
      <w:tr w:rsidR="00650244" w:rsidRPr="00650244" w14:paraId="0B71D6FB" w14:textId="77777777" w:rsidTr="000B75C1">
        <w:trPr>
          <w:trHeight w:val="315"/>
          <w:jc w:val="center"/>
        </w:trPr>
        <w:tc>
          <w:tcPr>
            <w:tcW w:w="5295" w:type="dxa"/>
            <w:tcBorders>
              <w:top w:val="nil"/>
              <w:left w:val="single" w:sz="12" w:space="0" w:color="auto"/>
              <w:bottom w:val="nil"/>
              <w:right w:val="single" w:sz="8" w:space="0" w:color="auto"/>
            </w:tcBorders>
            <w:shd w:val="clear" w:color="000000" w:fill="FFFFFF"/>
            <w:noWrap/>
            <w:tcMar>
              <w:left w:w="58" w:type="dxa"/>
              <w:right w:w="58" w:type="dxa"/>
            </w:tcMar>
            <w:vAlign w:val="center"/>
            <w:hideMark/>
          </w:tcPr>
          <w:p w14:paraId="68778077" w14:textId="77777777" w:rsidR="00650244" w:rsidRPr="00650244" w:rsidRDefault="00650244" w:rsidP="00650244">
            <w:pPr>
              <w:spacing w:after="0" w:line="240" w:lineRule="auto"/>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Having space and separation from others</w:t>
            </w:r>
          </w:p>
        </w:tc>
        <w:tc>
          <w:tcPr>
            <w:tcW w:w="1075" w:type="dxa"/>
            <w:tcBorders>
              <w:top w:val="nil"/>
              <w:left w:val="nil"/>
              <w:bottom w:val="nil"/>
              <w:right w:val="single" w:sz="8" w:space="0" w:color="auto"/>
            </w:tcBorders>
            <w:shd w:val="clear" w:color="000000" w:fill="FFFFFF"/>
            <w:noWrap/>
            <w:tcMar>
              <w:left w:w="58" w:type="dxa"/>
              <w:right w:w="58" w:type="dxa"/>
            </w:tcMar>
            <w:vAlign w:val="center"/>
            <w:hideMark/>
          </w:tcPr>
          <w:p w14:paraId="4B8849BE"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8.4</w:t>
            </w:r>
          </w:p>
        </w:tc>
        <w:tc>
          <w:tcPr>
            <w:tcW w:w="950" w:type="dxa"/>
            <w:tcBorders>
              <w:top w:val="nil"/>
              <w:left w:val="nil"/>
              <w:bottom w:val="nil"/>
              <w:right w:val="nil"/>
            </w:tcBorders>
            <w:shd w:val="clear" w:color="000000" w:fill="FFFFFF"/>
            <w:noWrap/>
            <w:tcMar>
              <w:left w:w="58" w:type="dxa"/>
              <w:right w:w="58" w:type="dxa"/>
            </w:tcMar>
            <w:vAlign w:val="center"/>
            <w:hideMark/>
          </w:tcPr>
          <w:p w14:paraId="4681E92C"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5.3</w:t>
            </w:r>
          </w:p>
        </w:tc>
        <w:tc>
          <w:tcPr>
            <w:tcW w:w="666" w:type="dxa"/>
            <w:tcBorders>
              <w:top w:val="nil"/>
              <w:left w:val="nil"/>
              <w:bottom w:val="nil"/>
              <w:right w:val="single" w:sz="8" w:space="0" w:color="auto"/>
            </w:tcBorders>
            <w:shd w:val="clear" w:color="000000" w:fill="FFFFFF"/>
            <w:noWrap/>
            <w:tcMar>
              <w:left w:w="58" w:type="dxa"/>
              <w:right w:w="58" w:type="dxa"/>
            </w:tcMar>
            <w:vAlign w:val="center"/>
            <w:hideMark/>
          </w:tcPr>
          <w:p w14:paraId="00DB0D16"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36.9</w:t>
            </w:r>
          </w:p>
        </w:tc>
        <w:tc>
          <w:tcPr>
            <w:tcW w:w="994" w:type="dxa"/>
            <w:tcBorders>
              <w:top w:val="nil"/>
              <w:left w:val="nil"/>
              <w:bottom w:val="nil"/>
              <w:right w:val="nil"/>
            </w:tcBorders>
            <w:shd w:val="clear" w:color="000000" w:fill="FFFFFF"/>
            <w:noWrap/>
            <w:tcMar>
              <w:left w:w="58" w:type="dxa"/>
              <w:right w:w="58" w:type="dxa"/>
            </w:tcMar>
            <w:vAlign w:val="center"/>
            <w:hideMark/>
          </w:tcPr>
          <w:p w14:paraId="6E91BF22"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9.5</w:t>
            </w:r>
          </w:p>
        </w:tc>
        <w:tc>
          <w:tcPr>
            <w:tcW w:w="669" w:type="dxa"/>
            <w:tcBorders>
              <w:top w:val="nil"/>
              <w:left w:val="nil"/>
              <w:bottom w:val="nil"/>
              <w:right w:val="single" w:sz="12" w:space="0" w:color="auto"/>
            </w:tcBorders>
            <w:shd w:val="clear" w:color="000000" w:fill="FFFFFF"/>
            <w:noWrap/>
            <w:tcMar>
              <w:left w:w="58" w:type="dxa"/>
              <w:right w:w="58" w:type="dxa"/>
            </w:tcMar>
            <w:vAlign w:val="center"/>
            <w:hideMark/>
          </w:tcPr>
          <w:p w14:paraId="685E79C1"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13.1</w:t>
            </w:r>
          </w:p>
        </w:tc>
      </w:tr>
      <w:tr w:rsidR="00650244" w:rsidRPr="00650244" w14:paraId="19DC70AA" w14:textId="77777777" w:rsidTr="000B75C1">
        <w:trPr>
          <w:trHeight w:val="315"/>
          <w:jc w:val="center"/>
        </w:trPr>
        <w:tc>
          <w:tcPr>
            <w:tcW w:w="5295" w:type="dxa"/>
            <w:tcBorders>
              <w:top w:val="nil"/>
              <w:left w:val="single" w:sz="12" w:space="0" w:color="auto"/>
              <w:bottom w:val="nil"/>
              <w:right w:val="single" w:sz="8" w:space="0" w:color="auto"/>
            </w:tcBorders>
            <w:shd w:val="clear" w:color="000000" w:fill="FFFFFF"/>
            <w:noWrap/>
            <w:tcMar>
              <w:left w:w="58" w:type="dxa"/>
              <w:right w:w="58" w:type="dxa"/>
            </w:tcMar>
            <w:vAlign w:val="center"/>
            <w:hideMark/>
          </w:tcPr>
          <w:p w14:paraId="295103F2" w14:textId="77777777" w:rsidR="00650244" w:rsidRPr="00650244" w:rsidRDefault="00650244" w:rsidP="00650244">
            <w:pPr>
              <w:spacing w:after="0" w:line="240" w:lineRule="auto"/>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Being close to public transit</w:t>
            </w:r>
          </w:p>
        </w:tc>
        <w:tc>
          <w:tcPr>
            <w:tcW w:w="1075" w:type="dxa"/>
            <w:tcBorders>
              <w:top w:val="nil"/>
              <w:left w:val="nil"/>
              <w:bottom w:val="nil"/>
              <w:right w:val="single" w:sz="8" w:space="0" w:color="auto"/>
            </w:tcBorders>
            <w:shd w:val="clear" w:color="000000" w:fill="FFFFFF"/>
            <w:noWrap/>
            <w:tcMar>
              <w:left w:w="58" w:type="dxa"/>
              <w:right w:w="58" w:type="dxa"/>
            </w:tcMar>
            <w:vAlign w:val="center"/>
            <w:hideMark/>
          </w:tcPr>
          <w:p w14:paraId="24112D90"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14.9</w:t>
            </w:r>
          </w:p>
        </w:tc>
        <w:tc>
          <w:tcPr>
            <w:tcW w:w="950" w:type="dxa"/>
            <w:tcBorders>
              <w:top w:val="nil"/>
              <w:left w:val="nil"/>
              <w:bottom w:val="nil"/>
              <w:right w:val="nil"/>
            </w:tcBorders>
            <w:shd w:val="clear" w:color="000000" w:fill="FFFFFF"/>
            <w:noWrap/>
            <w:tcMar>
              <w:left w:w="58" w:type="dxa"/>
              <w:right w:w="58" w:type="dxa"/>
            </w:tcMar>
            <w:vAlign w:val="center"/>
            <w:hideMark/>
          </w:tcPr>
          <w:p w14:paraId="420DAE33"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25.8</w:t>
            </w:r>
          </w:p>
        </w:tc>
        <w:tc>
          <w:tcPr>
            <w:tcW w:w="666" w:type="dxa"/>
            <w:tcBorders>
              <w:top w:val="nil"/>
              <w:left w:val="nil"/>
              <w:bottom w:val="nil"/>
              <w:right w:val="single" w:sz="8" w:space="0" w:color="auto"/>
            </w:tcBorders>
            <w:shd w:val="clear" w:color="000000" w:fill="FFFFFF"/>
            <w:noWrap/>
            <w:tcMar>
              <w:left w:w="58" w:type="dxa"/>
              <w:right w:w="58" w:type="dxa"/>
            </w:tcMar>
            <w:vAlign w:val="center"/>
            <w:hideMark/>
          </w:tcPr>
          <w:p w14:paraId="21E0BFE8"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73.2</w:t>
            </w:r>
          </w:p>
        </w:tc>
        <w:tc>
          <w:tcPr>
            <w:tcW w:w="994" w:type="dxa"/>
            <w:tcBorders>
              <w:top w:val="nil"/>
              <w:left w:val="nil"/>
              <w:bottom w:val="nil"/>
              <w:right w:val="nil"/>
            </w:tcBorders>
            <w:shd w:val="clear" w:color="000000" w:fill="FFFFFF"/>
            <w:noWrap/>
            <w:tcMar>
              <w:left w:w="58" w:type="dxa"/>
              <w:right w:w="58" w:type="dxa"/>
            </w:tcMar>
            <w:vAlign w:val="center"/>
            <w:hideMark/>
          </w:tcPr>
          <w:p w14:paraId="462EF7E7"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27.7</w:t>
            </w:r>
          </w:p>
        </w:tc>
        <w:tc>
          <w:tcPr>
            <w:tcW w:w="669" w:type="dxa"/>
            <w:tcBorders>
              <w:top w:val="nil"/>
              <w:left w:val="nil"/>
              <w:bottom w:val="nil"/>
              <w:right w:val="single" w:sz="12" w:space="0" w:color="auto"/>
            </w:tcBorders>
            <w:shd w:val="clear" w:color="000000" w:fill="FFFFFF"/>
            <w:noWrap/>
            <w:tcMar>
              <w:left w:w="58" w:type="dxa"/>
              <w:right w:w="58" w:type="dxa"/>
            </w:tcMar>
            <w:vAlign w:val="center"/>
            <w:hideMark/>
          </w:tcPr>
          <w:p w14:paraId="12E943D8"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85.9</w:t>
            </w:r>
          </w:p>
        </w:tc>
      </w:tr>
      <w:tr w:rsidR="00650244" w:rsidRPr="00650244" w14:paraId="6BB60A56" w14:textId="77777777" w:rsidTr="000B75C1">
        <w:trPr>
          <w:trHeight w:val="315"/>
          <w:jc w:val="center"/>
        </w:trPr>
        <w:tc>
          <w:tcPr>
            <w:tcW w:w="5295" w:type="dxa"/>
            <w:tcBorders>
              <w:top w:val="nil"/>
              <w:left w:val="single" w:sz="12" w:space="0" w:color="auto"/>
              <w:bottom w:val="nil"/>
              <w:right w:val="single" w:sz="8" w:space="0" w:color="auto"/>
            </w:tcBorders>
            <w:shd w:val="clear" w:color="000000" w:fill="FFFFFF"/>
            <w:noWrap/>
            <w:tcMar>
              <w:left w:w="58" w:type="dxa"/>
              <w:right w:w="58" w:type="dxa"/>
            </w:tcMar>
            <w:vAlign w:val="center"/>
            <w:hideMark/>
          </w:tcPr>
          <w:p w14:paraId="38DAF044" w14:textId="77777777" w:rsidR="00650244" w:rsidRPr="00650244" w:rsidRDefault="00650244" w:rsidP="00650244">
            <w:pPr>
              <w:spacing w:after="0" w:line="240" w:lineRule="auto"/>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Having a walkable neighborhood and being near local activities</w:t>
            </w:r>
          </w:p>
        </w:tc>
        <w:tc>
          <w:tcPr>
            <w:tcW w:w="1075" w:type="dxa"/>
            <w:tcBorders>
              <w:top w:val="nil"/>
              <w:left w:val="nil"/>
              <w:bottom w:val="nil"/>
              <w:right w:val="single" w:sz="8" w:space="0" w:color="auto"/>
            </w:tcBorders>
            <w:shd w:val="clear" w:color="000000" w:fill="FFFFFF"/>
            <w:noWrap/>
            <w:tcMar>
              <w:left w:w="58" w:type="dxa"/>
              <w:right w:w="58" w:type="dxa"/>
            </w:tcMar>
            <w:vAlign w:val="center"/>
            <w:hideMark/>
          </w:tcPr>
          <w:p w14:paraId="4240379F"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4.2</w:t>
            </w:r>
          </w:p>
        </w:tc>
        <w:tc>
          <w:tcPr>
            <w:tcW w:w="950" w:type="dxa"/>
            <w:tcBorders>
              <w:top w:val="nil"/>
              <w:left w:val="nil"/>
              <w:bottom w:val="nil"/>
              <w:right w:val="nil"/>
            </w:tcBorders>
            <w:shd w:val="clear" w:color="000000" w:fill="FFFFFF"/>
            <w:noWrap/>
            <w:tcMar>
              <w:left w:w="58" w:type="dxa"/>
              <w:right w:w="58" w:type="dxa"/>
            </w:tcMar>
            <w:vAlign w:val="center"/>
            <w:hideMark/>
          </w:tcPr>
          <w:p w14:paraId="34A29D36"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8.4</w:t>
            </w:r>
          </w:p>
        </w:tc>
        <w:tc>
          <w:tcPr>
            <w:tcW w:w="666" w:type="dxa"/>
            <w:tcBorders>
              <w:top w:val="nil"/>
              <w:left w:val="nil"/>
              <w:bottom w:val="nil"/>
              <w:right w:val="single" w:sz="8" w:space="0" w:color="auto"/>
            </w:tcBorders>
            <w:shd w:val="clear" w:color="000000" w:fill="FFFFFF"/>
            <w:noWrap/>
            <w:tcMar>
              <w:left w:w="58" w:type="dxa"/>
              <w:right w:w="58" w:type="dxa"/>
            </w:tcMar>
            <w:vAlign w:val="center"/>
            <w:hideMark/>
          </w:tcPr>
          <w:p w14:paraId="5D760146"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100.0</w:t>
            </w:r>
          </w:p>
        </w:tc>
        <w:tc>
          <w:tcPr>
            <w:tcW w:w="994" w:type="dxa"/>
            <w:tcBorders>
              <w:top w:val="nil"/>
              <w:left w:val="nil"/>
              <w:bottom w:val="nil"/>
              <w:right w:val="nil"/>
            </w:tcBorders>
            <w:shd w:val="clear" w:color="000000" w:fill="FFFFFF"/>
            <w:noWrap/>
            <w:tcMar>
              <w:left w:w="58" w:type="dxa"/>
              <w:right w:w="58" w:type="dxa"/>
            </w:tcMar>
            <w:vAlign w:val="center"/>
            <w:hideMark/>
          </w:tcPr>
          <w:p w14:paraId="131BC069"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9.2</w:t>
            </w:r>
          </w:p>
        </w:tc>
        <w:tc>
          <w:tcPr>
            <w:tcW w:w="669" w:type="dxa"/>
            <w:tcBorders>
              <w:top w:val="nil"/>
              <w:left w:val="nil"/>
              <w:bottom w:val="nil"/>
              <w:right w:val="single" w:sz="12" w:space="0" w:color="auto"/>
            </w:tcBorders>
            <w:shd w:val="clear" w:color="000000" w:fill="FFFFFF"/>
            <w:noWrap/>
            <w:tcMar>
              <w:left w:w="58" w:type="dxa"/>
              <w:right w:w="58" w:type="dxa"/>
            </w:tcMar>
            <w:vAlign w:val="center"/>
            <w:hideMark/>
          </w:tcPr>
          <w:p w14:paraId="2AB137CA"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119.0</w:t>
            </w:r>
          </w:p>
        </w:tc>
      </w:tr>
      <w:tr w:rsidR="00650244" w:rsidRPr="00650244" w14:paraId="07493D33" w14:textId="77777777" w:rsidTr="000B75C1">
        <w:trPr>
          <w:trHeight w:val="330"/>
          <w:jc w:val="center"/>
        </w:trPr>
        <w:tc>
          <w:tcPr>
            <w:tcW w:w="5295" w:type="dxa"/>
            <w:tcBorders>
              <w:top w:val="nil"/>
              <w:left w:val="single" w:sz="12" w:space="0" w:color="auto"/>
              <w:bottom w:val="single" w:sz="8" w:space="0" w:color="auto"/>
              <w:right w:val="single" w:sz="8" w:space="0" w:color="auto"/>
            </w:tcBorders>
            <w:shd w:val="clear" w:color="000000" w:fill="FFFFFF"/>
            <w:noWrap/>
            <w:tcMar>
              <w:left w:w="58" w:type="dxa"/>
              <w:right w:w="58" w:type="dxa"/>
            </w:tcMar>
            <w:vAlign w:val="center"/>
            <w:hideMark/>
          </w:tcPr>
          <w:p w14:paraId="41B769CC" w14:textId="77777777" w:rsidR="00650244" w:rsidRPr="00650244" w:rsidRDefault="00650244" w:rsidP="00650244">
            <w:pPr>
              <w:spacing w:after="0" w:line="240" w:lineRule="auto"/>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Being within a reasonably short commute to work</w:t>
            </w:r>
          </w:p>
        </w:tc>
        <w:tc>
          <w:tcPr>
            <w:tcW w:w="1075" w:type="dxa"/>
            <w:tcBorders>
              <w:top w:val="nil"/>
              <w:left w:val="nil"/>
              <w:bottom w:val="single" w:sz="8" w:space="0" w:color="auto"/>
              <w:right w:val="single" w:sz="8" w:space="0" w:color="auto"/>
            </w:tcBorders>
            <w:shd w:val="clear" w:color="000000" w:fill="FFFFFF"/>
            <w:noWrap/>
            <w:tcMar>
              <w:left w:w="58" w:type="dxa"/>
              <w:right w:w="58" w:type="dxa"/>
            </w:tcMar>
            <w:vAlign w:val="center"/>
            <w:hideMark/>
          </w:tcPr>
          <w:p w14:paraId="346287F5"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6.5</w:t>
            </w:r>
          </w:p>
        </w:tc>
        <w:tc>
          <w:tcPr>
            <w:tcW w:w="950" w:type="dxa"/>
            <w:tcBorders>
              <w:top w:val="nil"/>
              <w:left w:val="nil"/>
              <w:bottom w:val="single" w:sz="8" w:space="0" w:color="auto"/>
              <w:right w:val="nil"/>
            </w:tcBorders>
            <w:shd w:val="clear" w:color="000000" w:fill="FFFFFF"/>
            <w:noWrap/>
            <w:tcMar>
              <w:left w:w="58" w:type="dxa"/>
              <w:right w:w="58" w:type="dxa"/>
            </w:tcMar>
            <w:vAlign w:val="center"/>
            <w:hideMark/>
          </w:tcPr>
          <w:p w14:paraId="43069B78"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4.1</w:t>
            </w:r>
          </w:p>
        </w:tc>
        <w:tc>
          <w:tcPr>
            <w:tcW w:w="666" w:type="dxa"/>
            <w:tcBorders>
              <w:top w:val="nil"/>
              <w:left w:val="nil"/>
              <w:bottom w:val="single" w:sz="8" w:space="0" w:color="auto"/>
              <w:right w:val="single" w:sz="8" w:space="0" w:color="auto"/>
            </w:tcBorders>
            <w:shd w:val="clear" w:color="000000" w:fill="FFFFFF"/>
            <w:noWrap/>
            <w:tcMar>
              <w:left w:w="58" w:type="dxa"/>
              <w:right w:w="58" w:type="dxa"/>
            </w:tcMar>
            <w:vAlign w:val="center"/>
            <w:hideMark/>
          </w:tcPr>
          <w:p w14:paraId="6F871FC9"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36.9</w:t>
            </w:r>
          </w:p>
        </w:tc>
        <w:tc>
          <w:tcPr>
            <w:tcW w:w="994" w:type="dxa"/>
            <w:tcBorders>
              <w:top w:val="nil"/>
              <w:left w:val="nil"/>
              <w:bottom w:val="single" w:sz="8" w:space="0" w:color="auto"/>
              <w:right w:val="nil"/>
            </w:tcBorders>
            <w:shd w:val="clear" w:color="000000" w:fill="FFFFFF"/>
            <w:noWrap/>
            <w:tcMar>
              <w:left w:w="58" w:type="dxa"/>
              <w:right w:w="58" w:type="dxa"/>
            </w:tcMar>
            <w:vAlign w:val="center"/>
            <w:hideMark/>
          </w:tcPr>
          <w:p w14:paraId="2DDB5004"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0.0</w:t>
            </w:r>
          </w:p>
        </w:tc>
        <w:tc>
          <w:tcPr>
            <w:tcW w:w="669" w:type="dxa"/>
            <w:tcBorders>
              <w:top w:val="nil"/>
              <w:left w:val="nil"/>
              <w:bottom w:val="single" w:sz="8" w:space="0" w:color="auto"/>
              <w:right w:val="single" w:sz="12" w:space="0" w:color="auto"/>
            </w:tcBorders>
            <w:shd w:val="clear" w:color="000000" w:fill="FFFFFF"/>
            <w:noWrap/>
            <w:tcMar>
              <w:left w:w="58" w:type="dxa"/>
              <w:right w:w="58" w:type="dxa"/>
            </w:tcMar>
            <w:vAlign w:val="center"/>
            <w:hideMark/>
          </w:tcPr>
          <w:p w14:paraId="519975CE" w14:textId="77777777" w:rsidR="00650244" w:rsidRPr="00650244" w:rsidRDefault="00650244" w:rsidP="00650244">
            <w:pPr>
              <w:spacing w:after="0" w:line="240" w:lineRule="auto"/>
              <w:jc w:val="center"/>
              <w:rPr>
                <w:rFonts w:eastAsia="Times New Roman" w:cs="Times New Roman"/>
                <w:color w:val="000000"/>
                <w:kern w:val="0"/>
                <w:sz w:val="20"/>
                <w:szCs w:val="20"/>
                <w14:ligatures w14:val="none"/>
              </w:rPr>
            </w:pPr>
            <w:r w:rsidRPr="00650244">
              <w:rPr>
                <w:rFonts w:eastAsia="Times New Roman" w:cs="Times New Roman"/>
                <w:color w:val="000000"/>
                <w:kern w:val="0"/>
                <w:sz w:val="20"/>
                <w:szCs w:val="20"/>
                <w14:ligatures w14:val="none"/>
              </w:rPr>
              <w:t>100.0</w:t>
            </w:r>
          </w:p>
        </w:tc>
      </w:tr>
      <w:tr w:rsidR="008B5945" w:rsidRPr="00650244" w14:paraId="04F88A48" w14:textId="77777777" w:rsidTr="000B75C1">
        <w:trPr>
          <w:trHeight w:val="310"/>
          <w:jc w:val="center"/>
        </w:trPr>
        <w:tc>
          <w:tcPr>
            <w:tcW w:w="6367" w:type="dxa"/>
            <w:gridSpan w:val="2"/>
            <w:tcBorders>
              <w:top w:val="single" w:sz="8" w:space="0" w:color="auto"/>
              <w:left w:val="single" w:sz="12" w:space="0" w:color="auto"/>
              <w:bottom w:val="single" w:sz="12" w:space="0" w:color="auto"/>
              <w:right w:val="single" w:sz="8" w:space="0" w:color="000000"/>
            </w:tcBorders>
            <w:shd w:val="clear" w:color="000000" w:fill="FFFFFF"/>
            <w:noWrap/>
            <w:tcMar>
              <w:left w:w="58" w:type="dxa"/>
              <w:right w:w="58" w:type="dxa"/>
            </w:tcMar>
            <w:vAlign w:val="center"/>
            <w:hideMark/>
          </w:tcPr>
          <w:p w14:paraId="1FBD8D72" w14:textId="77777777" w:rsidR="00650244" w:rsidRPr="00650244" w:rsidRDefault="00650244" w:rsidP="00650244">
            <w:pPr>
              <w:spacing w:after="0" w:line="240" w:lineRule="auto"/>
              <w:rPr>
                <w:rFonts w:eastAsia="Times New Roman" w:cs="Times New Roman"/>
                <w:b/>
                <w:bCs/>
                <w:color w:val="000000"/>
                <w:kern w:val="0"/>
                <w:sz w:val="20"/>
                <w:szCs w:val="20"/>
                <w14:ligatures w14:val="none"/>
              </w:rPr>
            </w:pPr>
            <w:r w:rsidRPr="00650244">
              <w:rPr>
                <w:rFonts w:eastAsia="Times New Roman" w:cs="Times New Roman"/>
                <w:b/>
                <w:bCs/>
                <w:color w:val="000000"/>
                <w:kern w:val="0"/>
                <w:sz w:val="20"/>
                <w:szCs w:val="20"/>
                <w14:ligatures w14:val="none"/>
              </w:rPr>
              <w:t>Weighted Average Percent Error (WAPE)</w:t>
            </w:r>
          </w:p>
        </w:tc>
        <w:tc>
          <w:tcPr>
            <w:tcW w:w="1616" w:type="dxa"/>
            <w:gridSpan w:val="2"/>
            <w:tcBorders>
              <w:top w:val="single" w:sz="8" w:space="0" w:color="auto"/>
              <w:left w:val="nil"/>
              <w:bottom w:val="single" w:sz="12" w:space="0" w:color="auto"/>
              <w:right w:val="single" w:sz="8" w:space="0" w:color="000000"/>
            </w:tcBorders>
            <w:shd w:val="clear" w:color="000000" w:fill="FFFFFF"/>
            <w:noWrap/>
            <w:tcMar>
              <w:left w:w="58" w:type="dxa"/>
              <w:right w:w="58" w:type="dxa"/>
            </w:tcMar>
            <w:vAlign w:val="center"/>
            <w:hideMark/>
          </w:tcPr>
          <w:p w14:paraId="45E7FF91" w14:textId="77777777" w:rsidR="00650244" w:rsidRPr="00650244" w:rsidRDefault="00650244" w:rsidP="00650244">
            <w:pPr>
              <w:spacing w:after="0" w:line="240" w:lineRule="auto"/>
              <w:jc w:val="center"/>
              <w:rPr>
                <w:rFonts w:eastAsia="Times New Roman" w:cs="Times New Roman"/>
                <w:b/>
                <w:bCs/>
                <w:color w:val="000000"/>
                <w:kern w:val="0"/>
                <w:sz w:val="20"/>
                <w:szCs w:val="20"/>
                <w14:ligatures w14:val="none"/>
              </w:rPr>
            </w:pPr>
            <w:r w:rsidRPr="00650244">
              <w:rPr>
                <w:rFonts w:eastAsia="Times New Roman" w:cs="Times New Roman"/>
                <w:b/>
                <w:bCs/>
                <w:color w:val="000000"/>
                <w:kern w:val="0"/>
                <w:sz w:val="20"/>
                <w:szCs w:val="20"/>
                <w14:ligatures w14:val="none"/>
              </w:rPr>
              <w:t>30.2</w:t>
            </w:r>
          </w:p>
        </w:tc>
        <w:tc>
          <w:tcPr>
            <w:tcW w:w="1663" w:type="dxa"/>
            <w:gridSpan w:val="2"/>
            <w:tcBorders>
              <w:top w:val="single" w:sz="8" w:space="0" w:color="auto"/>
              <w:left w:val="nil"/>
              <w:bottom w:val="single" w:sz="12" w:space="0" w:color="auto"/>
              <w:right w:val="single" w:sz="12" w:space="0" w:color="auto"/>
            </w:tcBorders>
            <w:shd w:val="clear" w:color="000000" w:fill="FFFFFF"/>
            <w:noWrap/>
            <w:tcMar>
              <w:left w:w="58" w:type="dxa"/>
              <w:right w:w="58" w:type="dxa"/>
            </w:tcMar>
            <w:vAlign w:val="center"/>
            <w:hideMark/>
          </w:tcPr>
          <w:p w14:paraId="70443D82" w14:textId="77777777" w:rsidR="00650244" w:rsidRPr="00650244" w:rsidRDefault="00650244" w:rsidP="00650244">
            <w:pPr>
              <w:spacing w:after="0" w:line="240" w:lineRule="auto"/>
              <w:jc w:val="center"/>
              <w:rPr>
                <w:rFonts w:eastAsia="Times New Roman" w:cs="Times New Roman"/>
                <w:b/>
                <w:bCs/>
                <w:color w:val="000000"/>
                <w:kern w:val="0"/>
                <w:sz w:val="20"/>
                <w:szCs w:val="20"/>
                <w14:ligatures w14:val="none"/>
              </w:rPr>
            </w:pPr>
            <w:r w:rsidRPr="00650244">
              <w:rPr>
                <w:rFonts w:eastAsia="Times New Roman" w:cs="Times New Roman"/>
                <w:b/>
                <w:bCs/>
                <w:color w:val="000000"/>
                <w:kern w:val="0"/>
                <w:sz w:val="20"/>
                <w:szCs w:val="20"/>
                <w14:ligatures w14:val="none"/>
              </w:rPr>
              <w:t>37.8</w:t>
            </w:r>
          </w:p>
        </w:tc>
      </w:tr>
    </w:tbl>
    <w:p w14:paraId="42597586" w14:textId="77777777" w:rsidR="00650244" w:rsidRPr="00737417" w:rsidRDefault="00650244" w:rsidP="00650244">
      <w:pPr>
        <w:spacing w:after="0"/>
        <w:rPr>
          <w:b/>
          <w:bCs/>
        </w:rPr>
      </w:pPr>
    </w:p>
    <w:p w14:paraId="56A316CB" w14:textId="77777777" w:rsidR="00650244" w:rsidRDefault="00650244" w:rsidP="00C35D94">
      <w:pPr>
        <w:rPr>
          <w:b/>
          <w:bCs/>
        </w:rPr>
        <w:sectPr w:rsidR="00650244" w:rsidSect="00650244">
          <w:pgSz w:w="12240" w:h="15840" w:code="1"/>
          <w:pgMar w:top="1440" w:right="1440" w:bottom="1440" w:left="1440" w:header="720" w:footer="720" w:gutter="0"/>
          <w:cols w:space="720"/>
          <w:docGrid w:linePitch="360"/>
        </w:sectPr>
      </w:pPr>
    </w:p>
    <w:p w14:paraId="36216F43" w14:textId="4FA6FB71" w:rsidR="00C35D94" w:rsidRDefault="00C35D94" w:rsidP="000B75C1">
      <w:pPr>
        <w:spacing w:after="0" w:line="240" w:lineRule="auto"/>
        <w:rPr>
          <w:b/>
          <w:bCs/>
        </w:rPr>
      </w:pPr>
      <w:r>
        <w:rPr>
          <w:b/>
          <w:bCs/>
        </w:rPr>
        <w:lastRenderedPageBreak/>
        <w:t xml:space="preserve">Table </w:t>
      </w:r>
      <w:r w:rsidR="00737417">
        <w:rPr>
          <w:b/>
          <w:bCs/>
        </w:rPr>
        <w:t>6</w:t>
      </w:r>
      <w:r>
        <w:rPr>
          <w:b/>
          <w:bCs/>
        </w:rPr>
        <w:t xml:space="preserve">: Average Treatment Effects </w:t>
      </w:r>
    </w:p>
    <w:p w14:paraId="3E041DBA" w14:textId="77777777" w:rsidR="002472B1" w:rsidRPr="008940DE" w:rsidRDefault="002472B1" w:rsidP="000B75C1">
      <w:pPr>
        <w:spacing w:after="0" w:line="240" w:lineRule="auto"/>
        <w:rPr>
          <w:b/>
          <w:bCs/>
        </w:rPr>
      </w:pPr>
    </w:p>
    <w:tbl>
      <w:tblPr>
        <w:tblW w:w="13209" w:type="dxa"/>
        <w:jc w:val="center"/>
        <w:tblCellMar>
          <w:left w:w="58" w:type="dxa"/>
          <w:right w:w="58" w:type="dxa"/>
        </w:tblCellMar>
        <w:tblLook w:val="04A0" w:firstRow="1" w:lastRow="0" w:firstColumn="1" w:lastColumn="0" w:noHBand="0" w:noVBand="1"/>
      </w:tblPr>
      <w:tblGrid>
        <w:gridCol w:w="1335"/>
        <w:gridCol w:w="1805"/>
        <w:gridCol w:w="1172"/>
        <w:gridCol w:w="1073"/>
        <w:gridCol w:w="1103"/>
        <w:gridCol w:w="960"/>
        <w:gridCol w:w="960"/>
        <w:gridCol w:w="1159"/>
        <w:gridCol w:w="960"/>
        <w:gridCol w:w="1338"/>
        <w:gridCol w:w="1344"/>
      </w:tblGrid>
      <w:tr w:rsidR="008C0AE3" w:rsidRPr="006A4921" w14:paraId="15A498C5" w14:textId="77777777" w:rsidTr="001773C7">
        <w:trPr>
          <w:trHeight w:val="144"/>
          <w:jc w:val="center"/>
        </w:trPr>
        <w:tc>
          <w:tcPr>
            <w:tcW w:w="1335" w:type="dxa"/>
            <w:tcBorders>
              <w:top w:val="single" w:sz="12" w:space="0" w:color="auto"/>
              <w:left w:val="single" w:sz="12" w:space="0" w:color="auto"/>
              <w:right w:val="single" w:sz="4" w:space="0" w:color="auto"/>
            </w:tcBorders>
            <w:shd w:val="clear" w:color="auto" w:fill="auto"/>
            <w:noWrap/>
            <w:vAlign w:val="center"/>
            <w:hideMark/>
          </w:tcPr>
          <w:p w14:paraId="46168C82" w14:textId="77777777" w:rsidR="008C0AE3" w:rsidRPr="006A4921" w:rsidRDefault="008C0AE3" w:rsidP="00341581">
            <w:pPr>
              <w:spacing w:after="0" w:line="240" w:lineRule="auto"/>
              <w:jc w:val="center"/>
              <w:rPr>
                <w:rFonts w:eastAsia="Times New Roman" w:cs="Times New Roman"/>
                <w:color w:val="000000"/>
                <w:kern w:val="0"/>
                <w:sz w:val="20"/>
                <w:szCs w:val="20"/>
                <w14:ligatures w14:val="none"/>
              </w:rPr>
            </w:pPr>
            <w:r w:rsidRPr="006A4921">
              <w:rPr>
                <w:rFonts w:eastAsia="Times New Roman" w:cs="Times New Roman"/>
                <w:color w:val="000000"/>
                <w:kern w:val="0"/>
                <w:sz w:val="20"/>
                <w:szCs w:val="20"/>
                <w14:ligatures w14:val="none"/>
              </w:rPr>
              <w:t>Variable</w:t>
            </w:r>
          </w:p>
        </w:tc>
        <w:tc>
          <w:tcPr>
            <w:tcW w:w="1805"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6A1931AA" w14:textId="77777777" w:rsidR="008C0AE3" w:rsidRPr="006A4921" w:rsidRDefault="008C0AE3" w:rsidP="00341581">
            <w:pPr>
              <w:spacing w:after="0" w:line="240" w:lineRule="auto"/>
              <w:jc w:val="center"/>
              <w:rPr>
                <w:rFonts w:eastAsia="Times New Roman" w:cs="Times New Roman"/>
                <w:color w:val="000000"/>
                <w:kern w:val="0"/>
                <w:sz w:val="20"/>
                <w:szCs w:val="20"/>
                <w14:ligatures w14:val="none"/>
              </w:rPr>
            </w:pPr>
            <w:r w:rsidRPr="006A4921">
              <w:rPr>
                <w:rFonts w:eastAsia="Times New Roman" w:cs="Times New Roman"/>
                <w:color w:val="000000"/>
                <w:kern w:val="0"/>
                <w:sz w:val="20"/>
                <w:szCs w:val="20"/>
                <w14:ligatures w14:val="none"/>
              </w:rPr>
              <w:t>Levels</w:t>
            </w:r>
          </w:p>
        </w:tc>
        <w:tc>
          <w:tcPr>
            <w:tcW w:w="1172" w:type="dxa"/>
            <w:tcBorders>
              <w:top w:val="single" w:sz="12" w:space="0" w:color="auto"/>
              <w:left w:val="single" w:sz="12" w:space="0" w:color="auto"/>
              <w:bottom w:val="single" w:sz="12" w:space="0" w:color="auto"/>
              <w:right w:val="nil"/>
            </w:tcBorders>
            <w:shd w:val="clear" w:color="auto" w:fill="auto"/>
            <w:noWrap/>
            <w:vAlign w:val="center"/>
            <w:hideMark/>
          </w:tcPr>
          <w:p w14:paraId="639329D0" w14:textId="77777777" w:rsidR="008C0AE3" w:rsidRPr="006A4921" w:rsidRDefault="008C0AE3" w:rsidP="00341581">
            <w:pPr>
              <w:spacing w:after="0" w:line="240" w:lineRule="auto"/>
              <w:jc w:val="center"/>
              <w:rPr>
                <w:rFonts w:eastAsia="Times New Roman" w:cs="Times New Roman"/>
                <w:color w:val="000000"/>
                <w:kern w:val="0"/>
                <w:sz w:val="20"/>
                <w:szCs w:val="20"/>
                <w14:ligatures w14:val="none"/>
              </w:rPr>
            </w:pPr>
            <w:r w:rsidRPr="006A4921">
              <w:rPr>
                <w:rFonts w:eastAsia="Times New Roman" w:cs="Times New Roman"/>
                <w:color w:val="000000"/>
                <w:kern w:val="0"/>
                <w:sz w:val="20"/>
                <w:szCs w:val="20"/>
                <w14:ligatures w14:val="none"/>
              </w:rPr>
              <w:t>Affordability</w:t>
            </w:r>
          </w:p>
        </w:tc>
        <w:tc>
          <w:tcPr>
            <w:tcW w:w="1073" w:type="dxa"/>
            <w:tcBorders>
              <w:top w:val="single" w:sz="12" w:space="0" w:color="auto"/>
              <w:left w:val="nil"/>
              <w:bottom w:val="single" w:sz="12" w:space="0" w:color="auto"/>
              <w:right w:val="nil"/>
            </w:tcBorders>
            <w:shd w:val="clear" w:color="auto" w:fill="auto"/>
            <w:noWrap/>
            <w:vAlign w:val="center"/>
            <w:hideMark/>
          </w:tcPr>
          <w:p w14:paraId="1FB7EF59" w14:textId="300DAF10" w:rsidR="008C0AE3" w:rsidRPr="006A4921" w:rsidRDefault="008C0AE3" w:rsidP="00341581">
            <w:pPr>
              <w:spacing w:after="0" w:line="240" w:lineRule="auto"/>
              <w:jc w:val="center"/>
              <w:rPr>
                <w:rFonts w:eastAsia="Times New Roman" w:cs="Times New Roman"/>
                <w:color w:val="000000"/>
                <w:kern w:val="0"/>
                <w:sz w:val="20"/>
                <w:szCs w:val="20"/>
                <w14:ligatures w14:val="none"/>
              </w:rPr>
            </w:pPr>
            <w:r w:rsidRPr="006A4921">
              <w:rPr>
                <w:rFonts w:eastAsia="Times New Roman" w:cs="Times New Roman"/>
                <w:color w:val="000000"/>
                <w:kern w:val="0"/>
                <w:sz w:val="20"/>
                <w:szCs w:val="20"/>
                <w14:ligatures w14:val="none"/>
              </w:rPr>
              <w:t xml:space="preserve">Being close to </w:t>
            </w:r>
            <w:r w:rsidR="000B75C1">
              <w:rPr>
                <w:rFonts w:eastAsia="Times New Roman" w:cs="Times New Roman"/>
                <w:color w:val="000000"/>
                <w:kern w:val="0"/>
                <w:sz w:val="20"/>
                <w:szCs w:val="20"/>
                <w14:ligatures w14:val="none"/>
              </w:rPr>
              <w:t>f</w:t>
            </w:r>
            <w:r w:rsidRPr="006A4921">
              <w:rPr>
                <w:rFonts w:eastAsia="Times New Roman" w:cs="Times New Roman"/>
                <w:color w:val="000000"/>
                <w:kern w:val="0"/>
                <w:sz w:val="20"/>
                <w:szCs w:val="20"/>
                <w14:ligatures w14:val="none"/>
              </w:rPr>
              <w:t xml:space="preserve">amily and </w:t>
            </w:r>
            <w:r w:rsidR="000B75C1">
              <w:rPr>
                <w:rFonts w:eastAsia="Times New Roman" w:cs="Times New Roman"/>
                <w:color w:val="000000"/>
                <w:kern w:val="0"/>
                <w:sz w:val="20"/>
                <w:szCs w:val="20"/>
                <w14:ligatures w14:val="none"/>
              </w:rPr>
              <w:t>f</w:t>
            </w:r>
            <w:r w:rsidRPr="006A4921">
              <w:rPr>
                <w:rFonts w:eastAsia="Times New Roman" w:cs="Times New Roman"/>
                <w:color w:val="000000"/>
                <w:kern w:val="0"/>
                <w:sz w:val="20"/>
                <w:szCs w:val="20"/>
                <w14:ligatures w14:val="none"/>
              </w:rPr>
              <w:t>riends</w:t>
            </w:r>
          </w:p>
        </w:tc>
        <w:tc>
          <w:tcPr>
            <w:tcW w:w="1103" w:type="dxa"/>
            <w:tcBorders>
              <w:top w:val="single" w:sz="12" w:space="0" w:color="auto"/>
              <w:left w:val="nil"/>
              <w:bottom w:val="single" w:sz="12" w:space="0" w:color="auto"/>
              <w:right w:val="nil"/>
            </w:tcBorders>
            <w:shd w:val="clear" w:color="auto" w:fill="auto"/>
            <w:noWrap/>
            <w:vAlign w:val="center"/>
            <w:hideMark/>
          </w:tcPr>
          <w:p w14:paraId="6E65FA8D" w14:textId="2AB4D7E0" w:rsidR="008C0AE3" w:rsidRPr="006A4921" w:rsidRDefault="008C0AE3" w:rsidP="00341581">
            <w:pPr>
              <w:spacing w:after="0" w:line="240" w:lineRule="auto"/>
              <w:jc w:val="center"/>
              <w:rPr>
                <w:rFonts w:eastAsia="Times New Roman" w:cs="Times New Roman"/>
                <w:color w:val="000000"/>
                <w:kern w:val="0"/>
                <w:sz w:val="20"/>
                <w:szCs w:val="20"/>
                <w14:ligatures w14:val="none"/>
              </w:rPr>
            </w:pPr>
            <w:r w:rsidRPr="006A4921">
              <w:rPr>
                <w:rFonts w:eastAsia="Times New Roman" w:cs="Times New Roman"/>
                <w:color w:val="000000"/>
                <w:kern w:val="0"/>
                <w:sz w:val="20"/>
                <w:szCs w:val="20"/>
                <w14:ligatures w14:val="none"/>
              </w:rPr>
              <w:t xml:space="preserve">Access to </w:t>
            </w:r>
            <w:r w:rsidR="000B75C1">
              <w:rPr>
                <w:rFonts w:eastAsia="Times New Roman" w:cs="Times New Roman"/>
                <w:color w:val="000000"/>
                <w:kern w:val="0"/>
                <w:sz w:val="20"/>
                <w:szCs w:val="20"/>
                <w14:ligatures w14:val="none"/>
              </w:rPr>
              <w:t>c</w:t>
            </w:r>
            <w:r w:rsidRPr="006A4921">
              <w:rPr>
                <w:rFonts w:eastAsia="Times New Roman" w:cs="Times New Roman"/>
                <w:color w:val="000000"/>
                <w:kern w:val="0"/>
                <w:sz w:val="20"/>
                <w:szCs w:val="20"/>
                <w14:ligatures w14:val="none"/>
              </w:rPr>
              <w:t xml:space="preserve">ultural </w:t>
            </w:r>
            <w:r w:rsidR="000B75C1">
              <w:rPr>
                <w:rFonts w:eastAsia="Times New Roman" w:cs="Times New Roman"/>
                <w:color w:val="000000"/>
                <w:kern w:val="0"/>
                <w:sz w:val="20"/>
                <w:szCs w:val="20"/>
                <w14:ligatures w14:val="none"/>
              </w:rPr>
              <w:t>c</w:t>
            </w:r>
            <w:r w:rsidRPr="006A4921">
              <w:rPr>
                <w:rFonts w:eastAsia="Times New Roman" w:cs="Times New Roman"/>
                <w:color w:val="000000"/>
                <w:kern w:val="0"/>
                <w:sz w:val="20"/>
                <w:szCs w:val="20"/>
                <w14:ligatures w14:val="none"/>
              </w:rPr>
              <w:t xml:space="preserve">enters and </w:t>
            </w:r>
            <w:r w:rsidR="000B75C1">
              <w:rPr>
                <w:rFonts w:eastAsia="Times New Roman" w:cs="Times New Roman"/>
                <w:color w:val="000000"/>
                <w:kern w:val="0"/>
                <w:sz w:val="20"/>
                <w:szCs w:val="20"/>
                <w14:ligatures w14:val="none"/>
              </w:rPr>
              <w:t>a</w:t>
            </w:r>
            <w:r w:rsidRPr="006A4921">
              <w:rPr>
                <w:rFonts w:eastAsia="Times New Roman" w:cs="Times New Roman"/>
                <w:color w:val="000000"/>
                <w:kern w:val="0"/>
                <w:sz w:val="20"/>
                <w:szCs w:val="20"/>
                <w14:ligatures w14:val="none"/>
              </w:rPr>
              <w:t>ctivities</w:t>
            </w:r>
          </w:p>
        </w:tc>
        <w:tc>
          <w:tcPr>
            <w:tcW w:w="960" w:type="dxa"/>
            <w:tcBorders>
              <w:top w:val="single" w:sz="12" w:space="0" w:color="auto"/>
              <w:left w:val="nil"/>
              <w:bottom w:val="single" w:sz="12" w:space="0" w:color="auto"/>
              <w:right w:val="nil"/>
            </w:tcBorders>
            <w:shd w:val="clear" w:color="auto" w:fill="auto"/>
            <w:noWrap/>
            <w:vAlign w:val="center"/>
            <w:hideMark/>
          </w:tcPr>
          <w:p w14:paraId="5949EF87" w14:textId="77777777" w:rsidR="008C0AE3" w:rsidRPr="006A4921" w:rsidRDefault="008C0AE3" w:rsidP="00341581">
            <w:pPr>
              <w:spacing w:after="0" w:line="240" w:lineRule="auto"/>
              <w:jc w:val="center"/>
              <w:rPr>
                <w:rFonts w:eastAsia="Times New Roman" w:cs="Times New Roman"/>
                <w:color w:val="000000"/>
                <w:kern w:val="0"/>
                <w:sz w:val="20"/>
                <w:szCs w:val="20"/>
                <w14:ligatures w14:val="none"/>
              </w:rPr>
            </w:pPr>
            <w:r w:rsidRPr="006A4921">
              <w:rPr>
                <w:rFonts w:eastAsia="Times New Roman" w:cs="Times New Roman"/>
                <w:color w:val="000000"/>
                <w:kern w:val="0"/>
                <w:sz w:val="20"/>
                <w:szCs w:val="20"/>
                <w14:ligatures w14:val="none"/>
              </w:rPr>
              <w:t>Being close to the highway</w:t>
            </w:r>
          </w:p>
        </w:tc>
        <w:tc>
          <w:tcPr>
            <w:tcW w:w="960" w:type="dxa"/>
            <w:tcBorders>
              <w:top w:val="single" w:sz="12" w:space="0" w:color="auto"/>
              <w:left w:val="nil"/>
              <w:bottom w:val="single" w:sz="12" w:space="0" w:color="auto"/>
              <w:right w:val="nil"/>
            </w:tcBorders>
            <w:shd w:val="clear" w:color="auto" w:fill="auto"/>
            <w:noWrap/>
            <w:vAlign w:val="center"/>
            <w:hideMark/>
          </w:tcPr>
          <w:p w14:paraId="0476F513" w14:textId="3DDEA8E4" w:rsidR="008C0AE3" w:rsidRPr="006A4921" w:rsidRDefault="008C0AE3" w:rsidP="00341581">
            <w:pPr>
              <w:spacing w:after="0" w:line="240" w:lineRule="auto"/>
              <w:jc w:val="center"/>
              <w:rPr>
                <w:rFonts w:eastAsia="Times New Roman" w:cs="Times New Roman"/>
                <w:color w:val="000000"/>
                <w:kern w:val="0"/>
                <w:sz w:val="20"/>
                <w:szCs w:val="20"/>
                <w14:ligatures w14:val="none"/>
              </w:rPr>
            </w:pPr>
            <w:r w:rsidRPr="006A4921">
              <w:rPr>
                <w:rFonts w:eastAsia="Times New Roman" w:cs="Times New Roman"/>
                <w:color w:val="000000"/>
                <w:kern w:val="0"/>
                <w:sz w:val="20"/>
                <w:szCs w:val="20"/>
                <w14:ligatures w14:val="none"/>
              </w:rPr>
              <w:t>Quality of schools (</w:t>
            </w:r>
            <w:r w:rsidR="003F65A3">
              <w:rPr>
                <w:rFonts w:eastAsia="Times New Roman" w:cs="Times New Roman"/>
                <w:color w:val="000000"/>
                <w:kern w:val="0"/>
                <w:sz w:val="20"/>
                <w:szCs w:val="20"/>
                <w14:ligatures w14:val="none"/>
              </w:rPr>
              <w:t>K</w:t>
            </w:r>
            <w:r w:rsidRPr="006A4921">
              <w:rPr>
                <w:rFonts w:eastAsia="Times New Roman" w:cs="Times New Roman"/>
                <w:color w:val="000000"/>
                <w:kern w:val="0"/>
                <w:sz w:val="20"/>
                <w:szCs w:val="20"/>
                <w14:ligatures w14:val="none"/>
              </w:rPr>
              <w:t>-12)</w:t>
            </w:r>
          </w:p>
        </w:tc>
        <w:tc>
          <w:tcPr>
            <w:tcW w:w="1159" w:type="dxa"/>
            <w:tcBorders>
              <w:top w:val="single" w:sz="12" w:space="0" w:color="auto"/>
              <w:left w:val="nil"/>
              <w:bottom w:val="single" w:sz="12" w:space="0" w:color="auto"/>
              <w:right w:val="nil"/>
            </w:tcBorders>
            <w:shd w:val="clear" w:color="auto" w:fill="auto"/>
            <w:noWrap/>
            <w:vAlign w:val="center"/>
            <w:hideMark/>
          </w:tcPr>
          <w:p w14:paraId="62A48403" w14:textId="77777777" w:rsidR="008C0AE3" w:rsidRPr="006A4921" w:rsidRDefault="008C0AE3" w:rsidP="00341581">
            <w:pPr>
              <w:spacing w:after="0" w:line="240" w:lineRule="auto"/>
              <w:jc w:val="center"/>
              <w:rPr>
                <w:rFonts w:eastAsia="Times New Roman" w:cs="Times New Roman"/>
                <w:color w:val="000000"/>
                <w:kern w:val="0"/>
                <w:sz w:val="20"/>
                <w:szCs w:val="20"/>
                <w14:ligatures w14:val="none"/>
              </w:rPr>
            </w:pPr>
            <w:r w:rsidRPr="006A4921">
              <w:rPr>
                <w:rFonts w:eastAsia="Times New Roman" w:cs="Times New Roman"/>
                <w:color w:val="000000"/>
                <w:kern w:val="0"/>
                <w:sz w:val="20"/>
                <w:szCs w:val="20"/>
                <w14:ligatures w14:val="none"/>
              </w:rPr>
              <w:t>Having space and separation from others</w:t>
            </w:r>
          </w:p>
        </w:tc>
        <w:tc>
          <w:tcPr>
            <w:tcW w:w="960" w:type="dxa"/>
            <w:tcBorders>
              <w:top w:val="single" w:sz="12" w:space="0" w:color="auto"/>
              <w:left w:val="nil"/>
              <w:bottom w:val="single" w:sz="12" w:space="0" w:color="auto"/>
              <w:right w:val="nil"/>
            </w:tcBorders>
            <w:shd w:val="clear" w:color="auto" w:fill="auto"/>
            <w:noWrap/>
            <w:vAlign w:val="center"/>
            <w:hideMark/>
          </w:tcPr>
          <w:p w14:paraId="5C694413" w14:textId="77777777" w:rsidR="008C0AE3" w:rsidRPr="006A4921" w:rsidRDefault="008C0AE3" w:rsidP="00341581">
            <w:pPr>
              <w:spacing w:after="0" w:line="240" w:lineRule="auto"/>
              <w:jc w:val="center"/>
              <w:rPr>
                <w:rFonts w:eastAsia="Times New Roman" w:cs="Times New Roman"/>
                <w:color w:val="000000"/>
                <w:kern w:val="0"/>
                <w:sz w:val="20"/>
                <w:szCs w:val="20"/>
                <w14:ligatures w14:val="none"/>
              </w:rPr>
            </w:pPr>
            <w:r w:rsidRPr="006A4921">
              <w:rPr>
                <w:rFonts w:eastAsia="Times New Roman" w:cs="Times New Roman"/>
                <w:color w:val="000000"/>
                <w:kern w:val="0"/>
                <w:sz w:val="20"/>
                <w:szCs w:val="20"/>
                <w14:ligatures w14:val="none"/>
              </w:rPr>
              <w:t>Being close to public transit</w:t>
            </w:r>
          </w:p>
        </w:tc>
        <w:tc>
          <w:tcPr>
            <w:tcW w:w="1338" w:type="dxa"/>
            <w:tcBorders>
              <w:top w:val="single" w:sz="12" w:space="0" w:color="auto"/>
              <w:left w:val="nil"/>
              <w:bottom w:val="single" w:sz="12" w:space="0" w:color="auto"/>
              <w:right w:val="nil"/>
            </w:tcBorders>
            <w:shd w:val="clear" w:color="auto" w:fill="auto"/>
            <w:noWrap/>
            <w:vAlign w:val="center"/>
            <w:hideMark/>
          </w:tcPr>
          <w:p w14:paraId="4D6576B3" w14:textId="77777777" w:rsidR="008C0AE3" w:rsidRPr="006A4921" w:rsidRDefault="008C0AE3" w:rsidP="00341581">
            <w:pPr>
              <w:spacing w:after="0" w:line="240" w:lineRule="auto"/>
              <w:jc w:val="center"/>
              <w:rPr>
                <w:rFonts w:eastAsia="Times New Roman" w:cs="Times New Roman"/>
                <w:color w:val="000000"/>
                <w:kern w:val="0"/>
                <w:sz w:val="20"/>
                <w:szCs w:val="20"/>
                <w14:ligatures w14:val="none"/>
              </w:rPr>
            </w:pPr>
            <w:r w:rsidRPr="006A4921">
              <w:rPr>
                <w:rFonts w:eastAsia="Times New Roman" w:cs="Times New Roman"/>
                <w:color w:val="000000"/>
                <w:kern w:val="0"/>
                <w:sz w:val="20"/>
                <w:szCs w:val="20"/>
                <w14:ligatures w14:val="none"/>
              </w:rPr>
              <w:t>Having a walkable neighborhood and being near local activities</w:t>
            </w:r>
          </w:p>
        </w:tc>
        <w:tc>
          <w:tcPr>
            <w:tcW w:w="1344" w:type="dxa"/>
            <w:tcBorders>
              <w:top w:val="single" w:sz="12" w:space="0" w:color="auto"/>
              <w:left w:val="nil"/>
              <w:bottom w:val="single" w:sz="12" w:space="0" w:color="auto"/>
              <w:right w:val="single" w:sz="12" w:space="0" w:color="auto"/>
            </w:tcBorders>
            <w:shd w:val="clear" w:color="auto" w:fill="auto"/>
            <w:noWrap/>
            <w:vAlign w:val="center"/>
            <w:hideMark/>
          </w:tcPr>
          <w:p w14:paraId="48879D26" w14:textId="77777777" w:rsidR="008C0AE3" w:rsidRPr="006A4921" w:rsidRDefault="008C0AE3" w:rsidP="00341581">
            <w:pPr>
              <w:spacing w:after="0" w:line="240" w:lineRule="auto"/>
              <w:jc w:val="center"/>
              <w:rPr>
                <w:rFonts w:eastAsia="Times New Roman" w:cs="Times New Roman"/>
                <w:color w:val="000000"/>
                <w:kern w:val="0"/>
                <w:sz w:val="20"/>
                <w:szCs w:val="20"/>
                <w14:ligatures w14:val="none"/>
              </w:rPr>
            </w:pPr>
            <w:r w:rsidRPr="006A4921">
              <w:rPr>
                <w:rFonts w:eastAsia="Times New Roman" w:cs="Times New Roman"/>
                <w:color w:val="000000"/>
                <w:kern w:val="0"/>
                <w:sz w:val="20"/>
                <w:szCs w:val="20"/>
                <w14:ligatures w14:val="none"/>
              </w:rPr>
              <w:t>Being within a reasonably short commute to work</w:t>
            </w:r>
          </w:p>
        </w:tc>
      </w:tr>
      <w:tr w:rsidR="00686B83" w:rsidRPr="006A4921" w14:paraId="2FBF7C1E" w14:textId="77777777" w:rsidTr="000B75C1">
        <w:trPr>
          <w:trHeight w:val="259"/>
          <w:jc w:val="center"/>
        </w:trPr>
        <w:tc>
          <w:tcPr>
            <w:tcW w:w="1335" w:type="dxa"/>
            <w:vMerge w:val="restart"/>
            <w:tcBorders>
              <w:top w:val="single" w:sz="12" w:space="0" w:color="auto"/>
              <w:left w:val="single" w:sz="12" w:space="0" w:color="auto"/>
              <w:bottom w:val="nil"/>
              <w:right w:val="single" w:sz="4" w:space="0" w:color="auto"/>
            </w:tcBorders>
            <w:shd w:val="clear" w:color="auto" w:fill="auto"/>
            <w:noWrap/>
            <w:vAlign w:val="center"/>
            <w:hideMark/>
          </w:tcPr>
          <w:p w14:paraId="5538449D" w14:textId="77777777" w:rsidR="00686B83" w:rsidRPr="006A4921" w:rsidRDefault="00686B83" w:rsidP="00E56366">
            <w:pPr>
              <w:spacing w:after="0" w:line="240" w:lineRule="auto"/>
              <w:rPr>
                <w:rFonts w:eastAsia="Times New Roman" w:cs="Times New Roman"/>
                <w:color w:val="000000"/>
                <w:kern w:val="0"/>
                <w:sz w:val="20"/>
                <w:szCs w:val="20"/>
                <w14:ligatures w14:val="none"/>
              </w:rPr>
            </w:pPr>
            <w:r w:rsidRPr="006A4921">
              <w:rPr>
                <w:rFonts w:eastAsia="Times New Roman" w:cs="Times New Roman"/>
                <w:color w:val="000000"/>
                <w:kern w:val="0"/>
                <w:sz w:val="20"/>
                <w:szCs w:val="20"/>
                <w14:ligatures w14:val="none"/>
              </w:rPr>
              <w:t>Household Size</w:t>
            </w:r>
          </w:p>
        </w:tc>
        <w:tc>
          <w:tcPr>
            <w:tcW w:w="1805" w:type="dxa"/>
            <w:tcBorders>
              <w:top w:val="single" w:sz="12" w:space="0" w:color="auto"/>
              <w:left w:val="single" w:sz="4" w:space="0" w:color="auto"/>
              <w:bottom w:val="nil"/>
              <w:right w:val="single" w:sz="12" w:space="0" w:color="auto"/>
            </w:tcBorders>
            <w:shd w:val="clear" w:color="auto" w:fill="auto"/>
            <w:noWrap/>
            <w:vAlign w:val="center"/>
            <w:hideMark/>
          </w:tcPr>
          <w:p w14:paraId="6AAD17F2" w14:textId="77777777" w:rsidR="00686B83" w:rsidRPr="006A4921" w:rsidRDefault="00686B83" w:rsidP="00E56366">
            <w:pPr>
              <w:spacing w:after="0" w:line="240" w:lineRule="auto"/>
              <w:rPr>
                <w:rFonts w:eastAsia="Times New Roman" w:cs="Times New Roman"/>
                <w:color w:val="000000"/>
                <w:kern w:val="0"/>
                <w:sz w:val="20"/>
                <w:szCs w:val="20"/>
                <w14:ligatures w14:val="none"/>
              </w:rPr>
            </w:pPr>
            <w:r w:rsidRPr="006A4921">
              <w:rPr>
                <w:rFonts w:eastAsia="Times New Roman" w:cs="Times New Roman"/>
                <w:color w:val="000000"/>
                <w:kern w:val="0"/>
                <w:sz w:val="20"/>
                <w:szCs w:val="20"/>
                <w14:ligatures w14:val="none"/>
              </w:rPr>
              <w:t>2+ Adults</w:t>
            </w:r>
          </w:p>
        </w:tc>
        <w:tc>
          <w:tcPr>
            <w:tcW w:w="1172" w:type="dxa"/>
            <w:tcBorders>
              <w:top w:val="single" w:sz="12" w:space="0" w:color="auto"/>
              <w:left w:val="single" w:sz="12" w:space="0" w:color="auto"/>
              <w:bottom w:val="nil"/>
              <w:right w:val="nil"/>
            </w:tcBorders>
            <w:shd w:val="clear" w:color="auto" w:fill="auto"/>
            <w:noWrap/>
            <w:vAlign w:val="center"/>
            <w:hideMark/>
          </w:tcPr>
          <w:p w14:paraId="0D7C81BF" w14:textId="77777777" w:rsidR="00686B83" w:rsidRPr="006A4921" w:rsidRDefault="00686B83"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-3.96</w:t>
            </w:r>
          </w:p>
        </w:tc>
        <w:tc>
          <w:tcPr>
            <w:tcW w:w="1073" w:type="dxa"/>
            <w:tcBorders>
              <w:top w:val="single" w:sz="12" w:space="0" w:color="auto"/>
              <w:left w:val="nil"/>
              <w:bottom w:val="nil"/>
              <w:right w:val="nil"/>
            </w:tcBorders>
            <w:shd w:val="clear" w:color="auto" w:fill="auto"/>
            <w:noWrap/>
            <w:vAlign w:val="center"/>
            <w:hideMark/>
          </w:tcPr>
          <w:p w14:paraId="7C8A4643" w14:textId="77777777" w:rsidR="00686B83" w:rsidRPr="006A4921" w:rsidRDefault="00686B83"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19.47</w:t>
            </w:r>
          </w:p>
        </w:tc>
        <w:tc>
          <w:tcPr>
            <w:tcW w:w="1103" w:type="dxa"/>
            <w:tcBorders>
              <w:top w:val="single" w:sz="12" w:space="0" w:color="auto"/>
              <w:left w:val="nil"/>
              <w:bottom w:val="nil"/>
              <w:right w:val="nil"/>
            </w:tcBorders>
            <w:shd w:val="clear" w:color="auto" w:fill="auto"/>
            <w:noWrap/>
            <w:vAlign w:val="center"/>
            <w:hideMark/>
          </w:tcPr>
          <w:p w14:paraId="5FB67C49" w14:textId="77777777" w:rsidR="00686B83" w:rsidRPr="006A4921" w:rsidRDefault="00686B83"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-1.40</w:t>
            </w:r>
          </w:p>
        </w:tc>
        <w:tc>
          <w:tcPr>
            <w:tcW w:w="960" w:type="dxa"/>
            <w:tcBorders>
              <w:top w:val="single" w:sz="12" w:space="0" w:color="auto"/>
              <w:left w:val="nil"/>
              <w:bottom w:val="nil"/>
              <w:right w:val="nil"/>
            </w:tcBorders>
            <w:shd w:val="clear" w:color="auto" w:fill="auto"/>
            <w:noWrap/>
            <w:vAlign w:val="center"/>
            <w:hideMark/>
          </w:tcPr>
          <w:p w14:paraId="76CAF7C6" w14:textId="77777777" w:rsidR="00686B83" w:rsidRPr="006A4921" w:rsidRDefault="00686B83"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22.34</w:t>
            </w:r>
          </w:p>
        </w:tc>
        <w:tc>
          <w:tcPr>
            <w:tcW w:w="960" w:type="dxa"/>
            <w:tcBorders>
              <w:top w:val="single" w:sz="12" w:space="0" w:color="auto"/>
              <w:left w:val="nil"/>
              <w:bottom w:val="nil"/>
              <w:right w:val="nil"/>
            </w:tcBorders>
            <w:shd w:val="clear" w:color="auto" w:fill="auto"/>
            <w:noWrap/>
            <w:vAlign w:val="center"/>
            <w:hideMark/>
          </w:tcPr>
          <w:p w14:paraId="63905F6A" w14:textId="77777777" w:rsidR="00686B83" w:rsidRPr="006A4921" w:rsidRDefault="00686B83"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-19.02</w:t>
            </w:r>
          </w:p>
        </w:tc>
        <w:tc>
          <w:tcPr>
            <w:tcW w:w="1159" w:type="dxa"/>
            <w:tcBorders>
              <w:top w:val="single" w:sz="12" w:space="0" w:color="auto"/>
              <w:left w:val="nil"/>
              <w:bottom w:val="nil"/>
              <w:right w:val="nil"/>
            </w:tcBorders>
            <w:shd w:val="clear" w:color="auto" w:fill="auto"/>
            <w:noWrap/>
            <w:vAlign w:val="center"/>
            <w:hideMark/>
          </w:tcPr>
          <w:p w14:paraId="34A94258" w14:textId="77777777" w:rsidR="00686B83" w:rsidRPr="006A4921" w:rsidRDefault="00686B83"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3.52</w:t>
            </w:r>
          </w:p>
        </w:tc>
        <w:tc>
          <w:tcPr>
            <w:tcW w:w="960" w:type="dxa"/>
            <w:tcBorders>
              <w:top w:val="single" w:sz="12" w:space="0" w:color="auto"/>
              <w:left w:val="nil"/>
              <w:bottom w:val="nil"/>
              <w:right w:val="nil"/>
            </w:tcBorders>
            <w:shd w:val="clear" w:color="auto" w:fill="auto"/>
            <w:noWrap/>
            <w:vAlign w:val="center"/>
            <w:hideMark/>
          </w:tcPr>
          <w:p w14:paraId="5C6305D4" w14:textId="77777777" w:rsidR="00686B83" w:rsidRPr="006A4921" w:rsidRDefault="00686B83"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-12.62</w:t>
            </w:r>
          </w:p>
        </w:tc>
        <w:tc>
          <w:tcPr>
            <w:tcW w:w="1338" w:type="dxa"/>
            <w:tcBorders>
              <w:top w:val="single" w:sz="12" w:space="0" w:color="auto"/>
              <w:left w:val="nil"/>
              <w:bottom w:val="nil"/>
              <w:right w:val="nil"/>
            </w:tcBorders>
            <w:shd w:val="clear" w:color="auto" w:fill="auto"/>
            <w:noWrap/>
            <w:vAlign w:val="center"/>
            <w:hideMark/>
          </w:tcPr>
          <w:p w14:paraId="5DE38A61" w14:textId="77777777" w:rsidR="00686B83" w:rsidRPr="006A4921" w:rsidRDefault="00686B83"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-1.26</w:t>
            </w:r>
          </w:p>
        </w:tc>
        <w:tc>
          <w:tcPr>
            <w:tcW w:w="1344" w:type="dxa"/>
            <w:tcBorders>
              <w:top w:val="single" w:sz="12" w:space="0" w:color="auto"/>
              <w:left w:val="nil"/>
              <w:bottom w:val="nil"/>
              <w:right w:val="single" w:sz="12" w:space="0" w:color="auto"/>
            </w:tcBorders>
            <w:shd w:val="clear" w:color="auto" w:fill="auto"/>
            <w:noWrap/>
            <w:vAlign w:val="center"/>
            <w:hideMark/>
          </w:tcPr>
          <w:p w14:paraId="7D408872" w14:textId="77777777" w:rsidR="00686B83" w:rsidRPr="006A4921" w:rsidRDefault="00686B83" w:rsidP="000B75C1">
            <w:pPr>
              <w:tabs>
                <w:tab w:val="decimal" w:pos="21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13.00</w:t>
            </w:r>
          </w:p>
        </w:tc>
      </w:tr>
      <w:tr w:rsidR="00686B83" w:rsidRPr="006A4921" w14:paraId="56C0C334" w14:textId="77777777" w:rsidTr="000B75C1">
        <w:trPr>
          <w:trHeight w:val="259"/>
          <w:jc w:val="center"/>
        </w:trPr>
        <w:tc>
          <w:tcPr>
            <w:tcW w:w="1335" w:type="dxa"/>
            <w:vMerge/>
            <w:tcBorders>
              <w:top w:val="nil"/>
              <w:left w:val="single" w:sz="12" w:space="0" w:color="auto"/>
              <w:right w:val="single" w:sz="4" w:space="0" w:color="auto"/>
            </w:tcBorders>
            <w:vAlign w:val="center"/>
            <w:hideMark/>
          </w:tcPr>
          <w:p w14:paraId="60096ABB" w14:textId="77777777" w:rsidR="00686B83" w:rsidRPr="006A4921" w:rsidRDefault="00686B83" w:rsidP="00E56366">
            <w:pPr>
              <w:spacing w:after="0" w:line="240" w:lineRule="auto"/>
              <w:rPr>
                <w:rFonts w:eastAsia="Times New Roman" w:cs="Times New Roman"/>
                <w:color w:val="000000"/>
                <w:kern w:val="0"/>
                <w:sz w:val="20"/>
                <w:szCs w:val="20"/>
                <w14:ligatures w14:val="none"/>
              </w:rPr>
            </w:pPr>
          </w:p>
        </w:tc>
        <w:tc>
          <w:tcPr>
            <w:tcW w:w="1805" w:type="dxa"/>
            <w:tcBorders>
              <w:top w:val="nil"/>
              <w:left w:val="single" w:sz="4" w:space="0" w:color="auto"/>
              <w:bottom w:val="single" w:sz="12" w:space="0" w:color="auto"/>
              <w:right w:val="single" w:sz="12" w:space="0" w:color="auto"/>
            </w:tcBorders>
            <w:shd w:val="clear" w:color="auto" w:fill="auto"/>
            <w:noWrap/>
            <w:vAlign w:val="center"/>
            <w:hideMark/>
          </w:tcPr>
          <w:p w14:paraId="64506DFC" w14:textId="77777777" w:rsidR="00686B83" w:rsidRPr="006A4921" w:rsidRDefault="00686B83" w:rsidP="00E56366">
            <w:pPr>
              <w:spacing w:after="0" w:line="240" w:lineRule="auto"/>
              <w:rPr>
                <w:rFonts w:eastAsia="Times New Roman" w:cs="Times New Roman"/>
                <w:color w:val="000000"/>
                <w:kern w:val="0"/>
                <w:sz w:val="20"/>
                <w:szCs w:val="20"/>
                <w14:ligatures w14:val="none"/>
              </w:rPr>
            </w:pPr>
            <w:r w:rsidRPr="006A4921">
              <w:rPr>
                <w:rFonts w:eastAsia="Times New Roman" w:cs="Times New Roman"/>
                <w:color w:val="000000"/>
                <w:kern w:val="0"/>
                <w:sz w:val="20"/>
                <w:szCs w:val="20"/>
                <w14:ligatures w14:val="none"/>
              </w:rPr>
              <w:t>Single Adult</w:t>
            </w:r>
          </w:p>
        </w:tc>
        <w:tc>
          <w:tcPr>
            <w:tcW w:w="1172" w:type="dxa"/>
            <w:tcBorders>
              <w:top w:val="nil"/>
              <w:left w:val="single" w:sz="12" w:space="0" w:color="auto"/>
              <w:bottom w:val="single" w:sz="12" w:space="0" w:color="auto"/>
              <w:right w:val="nil"/>
            </w:tcBorders>
            <w:shd w:val="clear" w:color="auto" w:fill="auto"/>
            <w:noWrap/>
            <w:vAlign w:val="center"/>
            <w:hideMark/>
          </w:tcPr>
          <w:p w14:paraId="7C984585" w14:textId="77777777" w:rsidR="00686B83" w:rsidRPr="006A4921" w:rsidRDefault="00686B83"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-3.40</w:t>
            </w:r>
          </w:p>
        </w:tc>
        <w:tc>
          <w:tcPr>
            <w:tcW w:w="1073" w:type="dxa"/>
            <w:tcBorders>
              <w:top w:val="nil"/>
              <w:left w:val="nil"/>
              <w:bottom w:val="single" w:sz="12" w:space="0" w:color="auto"/>
              <w:right w:val="nil"/>
            </w:tcBorders>
            <w:shd w:val="clear" w:color="auto" w:fill="auto"/>
            <w:noWrap/>
            <w:vAlign w:val="center"/>
            <w:hideMark/>
          </w:tcPr>
          <w:p w14:paraId="78AFEB82" w14:textId="77777777" w:rsidR="00686B83" w:rsidRPr="006A4921" w:rsidRDefault="00686B83"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20.29</w:t>
            </w:r>
          </w:p>
        </w:tc>
        <w:tc>
          <w:tcPr>
            <w:tcW w:w="1103" w:type="dxa"/>
            <w:tcBorders>
              <w:top w:val="nil"/>
              <w:left w:val="nil"/>
              <w:bottom w:val="single" w:sz="12" w:space="0" w:color="auto"/>
              <w:right w:val="nil"/>
            </w:tcBorders>
            <w:shd w:val="clear" w:color="auto" w:fill="auto"/>
            <w:noWrap/>
            <w:vAlign w:val="center"/>
            <w:hideMark/>
          </w:tcPr>
          <w:p w14:paraId="0FEAE586" w14:textId="77777777" w:rsidR="00686B83" w:rsidRPr="006A4921" w:rsidRDefault="00686B83"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1.03</w:t>
            </w:r>
          </w:p>
        </w:tc>
        <w:tc>
          <w:tcPr>
            <w:tcW w:w="960" w:type="dxa"/>
            <w:tcBorders>
              <w:top w:val="nil"/>
              <w:left w:val="nil"/>
              <w:bottom w:val="single" w:sz="12" w:space="0" w:color="auto"/>
              <w:right w:val="nil"/>
            </w:tcBorders>
            <w:shd w:val="clear" w:color="auto" w:fill="auto"/>
            <w:noWrap/>
            <w:vAlign w:val="center"/>
            <w:hideMark/>
          </w:tcPr>
          <w:p w14:paraId="4173EC91" w14:textId="77777777" w:rsidR="00686B83" w:rsidRPr="006A4921" w:rsidRDefault="00686B83"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23.30</w:t>
            </w:r>
          </w:p>
        </w:tc>
        <w:tc>
          <w:tcPr>
            <w:tcW w:w="960" w:type="dxa"/>
            <w:tcBorders>
              <w:top w:val="nil"/>
              <w:left w:val="nil"/>
              <w:bottom w:val="single" w:sz="12" w:space="0" w:color="auto"/>
              <w:right w:val="nil"/>
            </w:tcBorders>
            <w:shd w:val="clear" w:color="auto" w:fill="auto"/>
            <w:noWrap/>
            <w:vAlign w:val="center"/>
            <w:hideMark/>
          </w:tcPr>
          <w:p w14:paraId="17475AEF" w14:textId="77777777" w:rsidR="00686B83" w:rsidRPr="006A4921" w:rsidRDefault="00686B83"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-17.94</w:t>
            </w:r>
          </w:p>
        </w:tc>
        <w:tc>
          <w:tcPr>
            <w:tcW w:w="1159" w:type="dxa"/>
            <w:tcBorders>
              <w:top w:val="nil"/>
              <w:left w:val="nil"/>
              <w:bottom w:val="single" w:sz="12" w:space="0" w:color="auto"/>
              <w:right w:val="nil"/>
            </w:tcBorders>
            <w:shd w:val="clear" w:color="auto" w:fill="auto"/>
            <w:noWrap/>
            <w:vAlign w:val="center"/>
            <w:hideMark/>
          </w:tcPr>
          <w:p w14:paraId="277837A7" w14:textId="77777777" w:rsidR="00686B83" w:rsidRPr="006A4921" w:rsidRDefault="00686B83"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5.09</w:t>
            </w:r>
          </w:p>
        </w:tc>
        <w:tc>
          <w:tcPr>
            <w:tcW w:w="960" w:type="dxa"/>
            <w:tcBorders>
              <w:top w:val="nil"/>
              <w:left w:val="nil"/>
              <w:bottom w:val="single" w:sz="12" w:space="0" w:color="auto"/>
              <w:right w:val="nil"/>
            </w:tcBorders>
            <w:shd w:val="clear" w:color="auto" w:fill="auto"/>
            <w:noWrap/>
            <w:vAlign w:val="center"/>
            <w:hideMark/>
          </w:tcPr>
          <w:p w14:paraId="49FBB751" w14:textId="77777777" w:rsidR="00686B83" w:rsidRPr="006A4921" w:rsidRDefault="00686B83"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-31.78</w:t>
            </w:r>
          </w:p>
        </w:tc>
        <w:tc>
          <w:tcPr>
            <w:tcW w:w="1338" w:type="dxa"/>
            <w:tcBorders>
              <w:top w:val="nil"/>
              <w:left w:val="nil"/>
              <w:bottom w:val="single" w:sz="12" w:space="0" w:color="auto"/>
              <w:right w:val="nil"/>
            </w:tcBorders>
            <w:shd w:val="clear" w:color="auto" w:fill="auto"/>
            <w:noWrap/>
            <w:vAlign w:val="center"/>
            <w:hideMark/>
          </w:tcPr>
          <w:p w14:paraId="58B47A5D" w14:textId="77777777" w:rsidR="00686B83" w:rsidRPr="006A4921" w:rsidRDefault="00686B83"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5.27</w:t>
            </w:r>
          </w:p>
        </w:tc>
        <w:tc>
          <w:tcPr>
            <w:tcW w:w="1344" w:type="dxa"/>
            <w:tcBorders>
              <w:top w:val="nil"/>
              <w:left w:val="nil"/>
              <w:bottom w:val="single" w:sz="12" w:space="0" w:color="auto"/>
              <w:right w:val="single" w:sz="12" w:space="0" w:color="auto"/>
            </w:tcBorders>
            <w:shd w:val="clear" w:color="auto" w:fill="auto"/>
            <w:noWrap/>
            <w:vAlign w:val="center"/>
            <w:hideMark/>
          </w:tcPr>
          <w:p w14:paraId="1EC716C2" w14:textId="77777777" w:rsidR="00686B83" w:rsidRPr="006A4921" w:rsidRDefault="00686B83" w:rsidP="000B75C1">
            <w:pPr>
              <w:tabs>
                <w:tab w:val="decimal" w:pos="21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13.49</w:t>
            </w:r>
          </w:p>
        </w:tc>
      </w:tr>
      <w:tr w:rsidR="006A4921" w:rsidRPr="006A4921" w14:paraId="021294C7" w14:textId="77777777" w:rsidTr="000B75C1">
        <w:trPr>
          <w:trHeight w:val="259"/>
          <w:jc w:val="center"/>
        </w:trPr>
        <w:tc>
          <w:tcPr>
            <w:tcW w:w="1335" w:type="dxa"/>
            <w:vMerge w:val="restart"/>
            <w:tcBorders>
              <w:top w:val="single" w:sz="12" w:space="0" w:color="auto"/>
              <w:left w:val="single" w:sz="12" w:space="0" w:color="auto"/>
              <w:bottom w:val="nil"/>
              <w:right w:val="single" w:sz="4" w:space="0" w:color="auto"/>
            </w:tcBorders>
            <w:shd w:val="clear" w:color="auto" w:fill="auto"/>
            <w:noWrap/>
            <w:vAlign w:val="center"/>
            <w:hideMark/>
          </w:tcPr>
          <w:p w14:paraId="66856880" w14:textId="77777777" w:rsidR="006A4921" w:rsidRPr="006A4921" w:rsidRDefault="006A4921" w:rsidP="006A4921">
            <w:pPr>
              <w:spacing w:after="0" w:line="240" w:lineRule="auto"/>
              <w:rPr>
                <w:rFonts w:eastAsia="Times New Roman" w:cs="Times New Roman"/>
                <w:color w:val="000000"/>
                <w:kern w:val="0"/>
                <w:sz w:val="20"/>
                <w:szCs w:val="20"/>
                <w14:ligatures w14:val="none"/>
              </w:rPr>
            </w:pPr>
            <w:r w:rsidRPr="006A4921">
              <w:rPr>
                <w:rFonts w:eastAsia="Times New Roman" w:cs="Times New Roman"/>
                <w:color w:val="000000"/>
                <w:kern w:val="0"/>
                <w:sz w:val="20"/>
                <w:szCs w:val="20"/>
                <w14:ligatures w14:val="none"/>
              </w:rPr>
              <w:t>Presence of Children</w:t>
            </w:r>
          </w:p>
        </w:tc>
        <w:tc>
          <w:tcPr>
            <w:tcW w:w="1805" w:type="dxa"/>
            <w:tcBorders>
              <w:top w:val="single" w:sz="12" w:space="0" w:color="auto"/>
              <w:left w:val="single" w:sz="4" w:space="0" w:color="auto"/>
              <w:bottom w:val="nil"/>
              <w:right w:val="single" w:sz="12" w:space="0" w:color="auto"/>
            </w:tcBorders>
            <w:shd w:val="clear" w:color="auto" w:fill="auto"/>
            <w:noWrap/>
            <w:vAlign w:val="center"/>
            <w:hideMark/>
          </w:tcPr>
          <w:p w14:paraId="2706D36A" w14:textId="77777777" w:rsidR="006A4921" w:rsidRPr="006A4921" w:rsidRDefault="006A4921" w:rsidP="006A4921">
            <w:pPr>
              <w:spacing w:after="0" w:line="240" w:lineRule="auto"/>
              <w:rPr>
                <w:rFonts w:eastAsia="Times New Roman" w:cs="Times New Roman"/>
                <w:color w:val="000000"/>
                <w:kern w:val="0"/>
                <w:sz w:val="20"/>
                <w:szCs w:val="20"/>
                <w14:ligatures w14:val="none"/>
              </w:rPr>
            </w:pPr>
            <w:r w:rsidRPr="006A4921">
              <w:rPr>
                <w:rFonts w:eastAsia="Times New Roman" w:cs="Times New Roman"/>
                <w:color w:val="000000"/>
                <w:kern w:val="0"/>
                <w:sz w:val="20"/>
                <w:szCs w:val="20"/>
                <w14:ligatures w14:val="none"/>
              </w:rPr>
              <w:t>No Children</w:t>
            </w:r>
          </w:p>
        </w:tc>
        <w:tc>
          <w:tcPr>
            <w:tcW w:w="1172" w:type="dxa"/>
            <w:tcBorders>
              <w:top w:val="single" w:sz="12" w:space="0" w:color="auto"/>
              <w:left w:val="single" w:sz="12" w:space="0" w:color="auto"/>
              <w:bottom w:val="nil"/>
              <w:right w:val="nil"/>
            </w:tcBorders>
            <w:shd w:val="clear" w:color="auto" w:fill="auto"/>
            <w:noWrap/>
            <w:vAlign w:val="center"/>
            <w:hideMark/>
          </w:tcPr>
          <w:p w14:paraId="4BE945F9" w14:textId="6D91369B"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-7.03</w:t>
            </w:r>
          </w:p>
        </w:tc>
        <w:tc>
          <w:tcPr>
            <w:tcW w:w="1073" w:type="dxa"/>
            <w:tcBorders>
              <w:top w:val="single" w:sz="12" w:space="0" w:color="auto"/>
              <w:left w:val="nil"/>
              <w:bottom w:val="nil"/>
              <w:right w:val="nil"/>
            </w:tcBorders>
            <w:shd w:val="clear" w:color="auto" w:fill="auto"/>
            <w:noWrap/>
            <w:vAlign w:val="center"/>
            <w:hideMark/>
          </w:tcPr>
          <w:p w14:paraId="4F2E51B3" w14:textId="5B0C6AB0"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33.07</w:t>
            </w:r>
          </w:p>
        </w:tc>
        <w:tc>
          <w:tcPr>
            <w:tcW w:w="1103" w:type="dxa"/>
            <w:tcBorders>
              <w:top w:val="single" w:sz="12" w:space="0" w:color="auto"/>
              <w:left w:val="nil"/>
              <w:bottom w:val="nil"/>
              <w:right w:val="nil"/>
            </w:tcBorders>
            <w:shd w:val="clear" w:color="auto" w:fill="auto"/>
            <w:noWrap/>
            <w:vAlign w:val="center"/>
            <w:hideMark/>
          </w:tcPr>
          <w:p w14:paraId="3F011D9D" w14:textId="086B8CC3"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-8.01</w:t>
            </w:r>
          </w:p>
        </w:tc>
        <w:tc>
          <w:tcPr>
            <w:tcW w:w="960" w:type="dxa"/>
            <w:tcBorders>
              <w:top w:val="single" w:sz="12" w:space="0" w:color="auto"/>
              <w:left w:val="nil"/>
              <w:bottom w:val="nil"/>
              <w:right w:val="nil"/>
            </w:tcBorders>
            <w:shd w:val="clear" w:color="auto" w:fill="auto"/>
            <w:noWrap/>
            <w:vAlign w:val="center"/>
            <w:hideMark/>
          </w:tcPr>
          <w:p w14:paraId="28D9E4DB" w14:textId="28316839"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31.43</w:t>
            </w:r>
          </w:p>
        </w:tc>
        <w:tc>
          <w:tcPr>
            <w:tcW w:w="960" w:type="dxa"/>
            <w:tcBorders>
              <w:top w:val="single" w:sz="12" w:space="0" w:color="auto"/>
              <w:left w:val="nil"/>
              <w:bottom w:val="nil"/>
              <w:right w:val="nil"/>
            </w:tcBorders>
            <w:shd w:val="clear" w:color="auto" w:fill="auto"/>
            <w:noWrap/>
            <w:vAlign w:val="center"/>
            <w:hideMark/>
          </w:tcPr>
          <w:p w14:paraId="4A2D70B6" w14:textId="3ADF7BBF"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-30.31</w:t>
            </w:r>
          </w:p>
        </w:tc>
        <w:tc>
          <w:tcPr>
            <w:tcW w:w="1159" w:type="dxa"/>
            <w:tcBorders>
              <w:top w:val="single" w:sz="12" w:space="0" w:color="auto"/>
              <w:left w:val="nil"/>
              <w:bottom w:val="nil"/>
              <w:right w:val="nil"/>
            </w:tcBorders>
            <w:shd w:val="clear" w:color="auto" w:fill="auto"/>
            <w:noWrap/>
            <w:vAlign w:val="center"/>
            <w:hideMark/>
          </w:tcPr>
          <w:p w14:paraId="4C49D713" w14:textId="1AAB6A0B"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8.32</w:t>
            </w:r>
          </w:p>
        </w:tc>
        <w:tc>
          <w:tcPr>
            <w:tcW w:w="960" w:type="dxa"/>
            <w:tcBorders>
              <w:top w:val="single" w:sz="12" w:space="0" w:color="auto"/>
              <w:left w:val="nil"/>
              <w:bottom w:val="nil"/>
              <w:right w:val="nil"/>
            </w:tcBorders>
            <w:shd w:val="clear" w:color="auto" w:fill="auto"/>
            <w:noWrap/>
            <w:vAlign w:val="center"/>
            <w:hideMark/>
          </w:tcPr>
          <w:p w14:paraId="47CCCF64" w14:textId="244C83AA"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-17.33</w:t>
            </w:r>
          </w:p>
        </w:tc>
        <w:tc>
          <w:tcPr>
            <w:tcW w:w="1338" w:type="dxa"/>
            <w:tcBorders>
              <w:top w:val="single" w:sz="12" w:space="0" w:color="auto"/>
              <w:left w:val="nil"/>
              <w:bottom w:val="nil"/>
              <w:right w:val="nil"/>
            </w:tcBorders>
            <w:shd w:val="clear" w:color="auto" w:fill="auto"/>
            <w:noWrap/>
            <w:vAlign w:val="center"/>
            <w:hideMark/>
          </w:tcPr>
          <w:p w14:paraId="173D00DA" w14:textId="614B8B57"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-5.48</w:t>
            </w:r>
          </w:p>
        </w:tc>
        <w:tc>
          <w:tcPr>
            <w:tcW w:w="1344" w:type="dxa"/>
            <w:tcBorders>
              <w:top w:val="single" w:sz="12" w:space="0" w:color="auto"/>
              <w:left w:val="nil"/>
              <w:bottom w:val="nil"/>
              <w:right w:val="single" w:sz="12" w:space="0" w:color="auto"/>
            </w:tcBorders>
            <w:shd w:val="clear" w:color="auto" w:fill="auto"/>
            <w:noWrap/>
            <w:vAlign w:val="center"/>
            <w:hideMark/>
          </w:tcPr>
          <w:p w14:paraId="1A5676A7" w14:textId="2C42E8C6" w:rsidR="006A4921" w:rsidRPr="006A4921" w:rsidRDefault="006A4921" w:rsidP="000B75C1">
            <w:pPr>
              <w:tabs>
                <w:tab w:val="decimal" w:pos="21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19.31</w:t>
            </w:r>
          </w:p>
        </w:tc>
      </w:tr>
      <w:tr w:rsidR="006A4921" w:rsidRPr="006A4921" w14:paraId="3FECAA07" w14:textId="77777777" w:rsidTr="000B75C1">
        <w:trPr>
          <w:trHeight w:val="259"/>
          <w:jc w:val="center"/>
        </w:trPr>
        <w:tc>
          <w:tcPr>
            <w:tcW w:w="1335" w:type="dxa"/>
            <w:vMerge/>
            <w:tcBorders>
              <w:top w:val="nil"/>
              <w:left w:val="single" w:sz="12" w:space="0" w:color="auto"/>
              <w:right w:val="single" w:sz="4" w:space="0" w:color="auto"/>
            </w:tcBorders>
            <w:vAlign w:val="center"/>
            <w:hideMark/>
          </w:tcPr>
          <w:p w14:paraId="1DE23AEF" w14:textId="77777777" w:rsidR="006A4921" w:rsidRPr="006A4921" w:rsidRDefault="006A4921" w:rsidP="006A4921">
            <w:pPr>
              <w:spacing w:after="0" w:line="240" w:lineRule="auto"/>
              <w:rPr>
                <w:rFonts w:eastAsia="Times New Roman" w:cs="Times New Roman"/>
                <w:color w:val="000000"/>
                <w:kern w:val="0"/>
                <w:sz w:val="20"/>
                <w:szCs w:val="20"/>
                <w14:ligatures w14:val="none"/>
              </w:rPr>
            </w:pPr>
          </w:p>
        </w:tc>
        <w:tc>
          <w:tcPr>
            <w:tcW w:w="1805" w:type="dxa"/>
            <w:tcBorders>
              <w:top w:val="nil"/>
              <w:left w:val="single" w:sz="4" w:space="0" w:color="auto"/>
              <w:bottom w:val="single" w:sz="12" w:space="0" w:color="auto"/>
              <w:right w:val="single" w:sz="12" w:space="0" w:color="auto"/>
            </w:tcBorders>
            <w:shd w:val="clear" w:color="auto" w:fill="auto"/>
            <w:noWrap/>
            <w:vAlign w:val="center"/>
            <w:hideMark/>
          </w:tcPr>
          <w:p w14:paraId="0AFBB5DA" w14:textId="6E578D85" w:rsidR="006A4921" w:rsidRPr="006A4921" w:rsidRDefault="006A4921" w:rsidP="006A4921">
            <w:pPr>
              <w:spacing w:after="0" w:line="240" w:lineRule="auto"/>
              <w:rPr>
                <w:rFonts w:eastAsia="Times New Roman" w:cs="Times New Roman"/>
                <w:color w:val="000000"/>
                <w:kern w:val="0"/>
                <w:sz w:val="20"/>
                <w:szCs w:val="20"/>
                <w14:ligatures w14:val="none"/>
              </w:rPr>
            </w:pPr>
            <w:r w:rsidRPr="006A4921">
              <w:rPr>
                <w:rFonts w:eastAsia="Times New Roman" w:cs="Times New Roman"/>
                <w:color w:val="000000"/>
                <w:kern w:val="0"/>
                <w:sz w:val="20"/>
                <w:szCs w:val="20"/>
                <w14:ligatures w14:val="none"/>
              </w:rPr>
              <w:t>Children Present</w:t>
            </w:r>
          </w:p>
        </w:tc>
        <w:tc>
          <w:tcPr>
            <w:tcW w:w="1172" w:type="dxa"/>
            <w:tcBorders>
              <w:top w:val="nil"/>
              <w:left w:val="single" w:sz="12" w:space="0" w:color="auto"/>
              <w:bottom w:val="single" w:sz="12" w:space="0" w:color="auto"/>
              <w:right w:val="nil"/>
            </w:tcBorders>
            <w:shd w:val="clear" w:color="auto" w:fill="auto"/>
            <w:noWrap/>
            <w:vAlign w:val="center"/>
            <w:hideMark/>
          </w:tcPr>
          <w:p w14:paraId="757C1A33" w14:textId="05FA1DF3"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5.38</w:t>
            </w:r>
          </w:p>
        </w:tc>
        <w:tc>
          <w:tcPr>
            <w:tcW w:w="1073" w:type="dxa"/>
            <w:tcBorders>
              <w:top w:val="nil"/>
              <w:left w:val="nil"/>
              <w:bottom w:val="single" w:sz="12" w:space="0" w:color="auto"/>
              <w:right w:val="nil"/>
            </w:tcBorders>
            <w:shd w:val="clear" w:color="auto" w:fill="auto"/>
            <w:noWrap/>
            <w:vAlign w:val="center"/>
            <w:hideMark/>
          </w:tcPr>
          <w:p w14:paraId="35060499" w14:textId="4440F2F4"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-8.74</w:t>
            </w:r>
          </w:p>
        </w:tc>
        <w:tc>
          <w:tcPr>
            <w:tcW w:w="1103" w:type="dxa"/>
            <w:tcBorders>
              <w:top w:val="nil"/>
              <w:left w:val="nil"/>
              <w:bottom w:val="single" w:sz="12" w:space="0" w:color="auto"/>
              <w:right w:val="nil"/>
            </w:tcBorders>
            <w:shd w:val="clear" w:color="auto" w:fill="auto"/>
            <w:noWrap/>
            <w:vAlign w:val="center"/>
            <w:hideMark/>
          </w:tcPr>
          <w:p w14:paraId="42EB34FA" w14:textId="6B8D6C4C"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23.60</w:t>
            </w:r>
          </w:p>
        </w:tc>
        <w:tc>
          <w:tcPr>
            <w:tcW w:w="960" w:type="dxa"/>
            <w:tcBorders>
              <w:top w:val="nil"/>
              <w:left w:val="nil"/>
              <w:bottom w:val="single" w:sz="12" w:space="0" w:color="auto"/>
              <w:right w:val="nil"/>
            </w:tcBorders>
            <w:shd w:val="clear" w:color="auto" w:fill="auto"/>
            <w:noWrap/>
            <w:vAlign w:val="center"/>
            <w:hideMark/>
          </w:tcPr>
          <w:p w14:paraId="545C3B07" w14:textId="008B3FCC"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-3.72</w:t>
            </w:r>
          </w:p>
        </w:tc>
        <w:tc>
          <w:tcPr>
            <w:tcW w:w="960" w:type="dxa"/>
            <w:tcBorders>
              <w:top w:val="nil"/>
              <w:left w:val="nil"/>
              <w:bottom w:val="single" w:sz="12" w:space="0" w:color="auto"/>
              <w:right w:val="nil"/>
            </w:tcBorders>
            <w:shd w:val="clear" w:color="auto" w:fill="auto"/>
            <w:noWrap/>
            <w:vAlign w:val="center"/>
            <w:hideMark/>
          </w:tcPr>
          <w:p w14:paraId="71515E12" w14:textId="2072855E"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-6.56</w:t>
            </w:r>
          </w:p>
        </w:tc>
        <w:tc>
          <w:tcPr>
            <w:tcW w:w="1159" w:type="dxa"/>
            <w:tcBorders>
              <w:top w:val="nil"/>
              <w:left w:val="nil"/>
              <w:bottom w:val="single" w:sz="12" w:space="0" w:color="auto"/>
              <w:right w:val="nil"/>
            </w:tcBorders>
            <w:shd w:val="clear" w:color="auto" w:fill="auto"/>
            <w:noWrap/>
            <w:vAlign w:val="center"/>
            <w:hideMark/>
          </w:tcPr>
          <w:p w14:paraId="5992D345" w14:textId="32241784"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-7.96</w:t>
            </w:r>
          </w:p>
        </w:tc>
        <w:tc>
          <w:tcPr>
            <w:tcW w:w="960" w:type="dxa"/>
            <w:tcBorders>
              <w:top w:val="nil"/>
              <w:left w:val="nil"/>
              <w:bottom w:val="single" w:sz="12" w:space="0" w:color="auto"/>
              <w:right w:val="nil"/>
            </w:tcBorders>
            <w:shd w:val="clear" w:color="auto" w:fill="auto"/>
            <w:noWrap/>
            <w:vAlign w:val="center"/>
            <w:hideMark/>
          </w:tcPr>
          <w:p w14:paraId="70BFEC49" w14:textId="7B567CBE"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-27.23</w:t>
            </w:r>
          </w:p>
        </w:tc>
        <w:tc>
          <w:tcPr>
            <w:tcW w:w="1338" w:type="dxa"/>
            <w:tcBorders>
              <w:top w:val="nil"/>
              <w:left w:val="nil"/>
              <w:bottom w:val="single" w:sz="12" w:space="0" w:color="auto"/>
              <w:right w:val="nil"/>
            </w:tcBorders>
            <w:shd w:val="clear" w:color="auto" w:fill="auto"/>
            <w:noWrap/>
            <w:vAlign w:val="center"/>
            <w:hideMark/>
          </w:tcPr>
          <w:p w14:paraId="0DD88DC8" w14:textId="52767783"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17.87</w:t>
            </w:r>
          </w:p>
        </w:tc>
        <w:tc>
          <w:tcPr>
            <w:tcW w:w="1344" w:type="dxa"/>
            <w:tcBorders>
              <w:top w:val="nil"/>
              <w:left w:val="nil"/>
              <w:bottom w:val="single" w:sz="12" w:space="0" w:color="auto"/>
              <w:right w:val="single" w:sz="12" w:space="0" w:color="auto"/>
            </w:tcBorders>
            <w:shd w:val="clear" w:color="auto" w:fill="auto"/>
            <w:noWrap/>
            <w:vAlign w:val="center"/>
            <w:hideMark/>
          </w:tcPr>
          <w:p w14:paraId="47C3DC71" w14:textId="44FF17A9" w:rsidR="006A4921" w:rsidRPr="006A4921" w:rsidRDefault="006A4921" w:rsidP="000B75C1">
            <w:pPr>
              <w:tabs>
                <w:tab w:val="decimal" w:pos="21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-1.59</w:t>
            </w:r>
          </w:p>
        </w:tc>
      </w:tr>
      <w:tr w:rsidR="006A4921" w:rsidRPr="006A4921" w14:paraId="276C95E5" w14:textId="77777777" w:rsidTr="000B75C1">
        <w:trPr>
          <w:trHeight w:val="259"/>
          <w:jc w:val="center"/>
        </w:trPr>
        <w:tc>
          <w:tcPr>
            <w:tcW w:w="1335" w:type="dxa"/>
            <w:vMerge w:val="restart"/>
            <w:tcBorders>
              <w:top w:val="single" w:sz="12" w:space="0" w:color="auto"/>
              <w:left w:val="single" w:sz="12" w:space="0" w:color="auto"/>
              <w:bottom w:val="nil"/>
              <w:right w:val="single" w:sz="4" w:space="0" w:color="auto"/>
            </w:tcBorders>
            <w:shd w:val="clear" w:color="auto" w:fill="auto"/>
            <w:noWrap/>
            <w:vAlign w:val="center"/>
            <w:hideMark/>
          </w:tcPr>
          <w:p w14:paraId="75439340" w14:textId="77777777" w:rsidR="006A4921" w:rsidRPr="006A4921" w:rsidRDefault="006A4921" w:rsidP="006A4921">
            <w:pPr>
              <w:spacing w:after="0" w:line="240" w:lineRule="auto"/>
              <w:rPr>
                <w:rFonts w:eastAsia="Times New Roman" w:cs="Times New Roman"/>
                <w:color w:val="000000"/>
                <w:kern w:val="0"/>
                <w:sz w:val="20"/>
                <w:szCs w:val="20"/>
                <w14:ligatures w14:val="none"/>
              </w:rPr>
            </w:pPr>
            <w:r w:rsidRPr="006A4921">
              <w:rPr>
                <w:rFonts w:eastAsia="Times New Roman" w:cs="Times New Roman"/>
                <w:color w:val="000000"/>
                <w:kern w:val="0"/>
                <w:sz w:val="20"/>
                <w:szCs w:val="20"/>
                <w14:ligatures w14:val="none"/>
              </w:rPr>
              <w:t>Presence of Retired Adults</w:t>
            </w:r>
          </w:p>
        </w:tc>
        <w:tc>
          <w:tcPr>
            <w:tcW w:w="1805" w:type="dxa"/>
            <w:tcBorders>
              <w:top w:val="single" w:sz="12" w:space="0" w:color="auto"/>
              <w:left w:val="single" w:sz="4" w:space="0" w:color="auto"/>
              <w:bottom w:val="nil"/>
              <w:right w:val="single" w:sz="12" w:space="0" w:color="auto"/>
            </w:tcBorders>
            <w:shd w:val="clear" w:color="auto" w:fill="auto"/>
            <w:noWrap/>
            <w:vAlign w:val="center"/>
            <w:hideMark/>
          </w:tcPr>
          <w:p w14:paraId="3C74EDBE" w14:textId="1C060FE6" w:rsidR="006A4921" w:rsidRPr="006A4921" w:rsidRDefault="006A4921" w:rsidP="006A4921">
            <w:pPr>
              <w:spacing w:after="0" w:line="240" w:lineRule="auto"/>
              <w:rPr>
                <w:rFonts w:eastAsia="Times New Roman" w:cs="Times New Roman"/>
                <w:color w:val="000000"/>
                <w:kern w:val="0"/>
                <w:sz w:val="20"/>
                <w:szCs w:val="20"/>
                <w14:ligatures w14:val="none"/>
              </w:rPr>
            </w:pPr>
            <w:r w:rsidRPr="006A4921">
              <w:rPr>
                <w:rFonts w:eastAsia="Times New Roman" w:cs="Times New Roman"/>
                <w:color w:val="000000"/>
                <w:kern w:val="0"/>
                <w:sz w:val="20"/>
                <w:szCs w:val="20"/>
                <w14:ligatures w14:val="none"/>
              </w:rPr>
              <w:t>No Retired Adults</w:t>
            </w:r>
          </w:p>
        </w:tc>
        <w:tc>
          <w:tcPr>
            <w:tcW w:w="1172" w:type="dxa"/>
            <w:tcBorders>
              <w:top w:val="single" w:sz="12" w:space="0" w:color="auto"/>
              <w:left w:val="single" w:sz="12" w:space="0" w:color="auto"/>
              <w:bottom w:val="nil"/>
              <w:right w:val="nil"/>
            </w:tcBorders>
            <w:shd w:val="clear" w:color="auto" w:fill="auto"/>
            <w:noWrap/>
            <w:vAlign w:val="center"/>
            <w:hideMark/>
          </w:tcPr>
          <w:p w14:paraId="6CD176A6" w14:textId="4BC698E4"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-6.06</w:t>
            </w:r>
          </w:p>
        </w:tc>
        <w:tc>
          <w:tcPr>
            <w:tcW w:w="1073" w:type="dxa"/>
            <w:tcBorders>
              <w:top w:val="single" w:sz="12" w:space="0" w:color="auto"/>
              <w:left w:val="nil"/>
              <w:bottom w:val="nil"/>
              <w:right w:val="nil"/>
            </w:tcBorders>
            <w:shd w:val="clear" w:color="auto" w:fill="auto"/>
            <w:noWrap/>
            <w:vAlign w:val="center"/>
            <w:hideMark/>
          </w:tcPr>
          <w:p w14:paraId="3AC1BC56" w14:textId="7BF2528A"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10.91</w:t>
            </w:r>
          </w:p>
        </w:tc>
        <w:tc>
          <w:tcPr>
            <w:tcW w:w="1103" w:type="dxa"/>
            <w:tcBorders>
              <w:top w:val="single" w:sz="12" w:space="0" w:color="auto"/>
              <w:left w:val="nil"/>
              <w:bottom w:val="nil"/>
              <w:right w:val="nil"/>
            </w:tcBorders>
            <w:shd w:val="clear" w:color="auto" w:fill="auto"/>
            <w:noWrap/>
            <w:vAlign w:val="center"/>
            <w:hideMark/>
          </w:tcPr>
          <w:p w14:paraId="3562F6CD" w14:textId="59E84494"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4.57</w:t>
            </w:r>
          </w:p>
        </w:tc>
        <w:tc>
          <w:tcPr>
            <w:tcW w:w="960" w:type="dxa"/>
            <w:tcBorders>
              <w:top w:val="single" w:sz="12" w:space="0" w:color="auto"/>
              <w:left w:val="nil"/>
              <w:bottom w:val="nil"/>
              <w:right w:val="nil"/>
            </w:tcBorders>
            <w:shd w:val="clear" w:color="auto" w:fill="auto"/>
            <w:noWrap/>
            <w:vAlign w:val="center"/>
            <w:hideMark/>
          </w:tcPr>
          <w:p w14:paraId="30A2DBDC" w14:textId="7B30702C"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28.24</w:t>
            </w:r>
          </w:p>
        </w:tc>
        <w:tc>
          <w:tcPr>
            <w:tcW w:w="960" w:type="dxa"/>
            <w:tcBorders>
              <w:top w:val="single" w:sz="12" w:space="0" w:color="auto"/>
              <w:left w:val="nil"/>
              <w:bottom w:val="nil"/>
              <w:right w:val="nil"/>
            </w:tcBorders>
            <w:shd w:val="clear" w:color="auto" w:fill="auto"/>
            <w:noWrap/>
            <w:vAlign w:val="center"/>
            <w:hideMark/>
          </w:tcPr>
          <w:p w14:paraId="72D9420A" w14:textId="6235B0BE"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-17.04</w:t>
            </w:r>
          </w:p>
        </w:tc>
        <w:tc>
          <w:tcPr>
            <w:tcW w:w="1159" w:type="dxa"/>
            <w:tcBorders>
              <w:top w:val="single" w:sz="12" w:space="0" w:color="auto"/>
              <w:left w:val="nil"/>
              <w:bottom w:val="nil"/>
              <w:right w:val="nil"/>
            </w:tcBorders>
            <w:shd w:val="clear" w:color="auto" w:fill="auto"/>
            <w:noWrap/>
            <w:vAlign w:val="center"/>
            <w:hideMark/>
          </w:tcPr>
          <w:p w14:paraId="13C75F8A" w14:textId="2BE0F989"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1.44</w:t>
            </w:r>
          </w:p>
        </w:tc>
        <w:tc>
          <w:tcPr>
            <w:tcW w:w="960" w:type="dxa"/>
            <w:tcBorders>
              <w:top w:val="single" w:sz="12" w:space="0" w:color="auto"/>
              <w:left w:val="nil"/>
              <w:bottom w:val="nil"/>
              <w:right w:val="nil"/>
            </w:tcBorders>
            <w:shd w:val="clear" w:color="auto" w:fill="auto"/>
            <w:noWrap/>
            <w:vAlign w:val="center"/>
            <w:hideMark/>
          </w:tcPr>
          <w:p w14:paraId="62A8E5CE" w14:textId="395FFBAB"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-19.29</w:t>
            </w:r>
          </w:p>
        </w:tc>
        <w:tc>
          <w:tcPr>
            <w:tcW w:w="1338" w:type="dxa"/>
            <w:tcBorders>
              <w:top w:val="single" w:sz="12" w:space="0" w:color="auto"/>
              <w:left w:val="nil"/>
              <w:bottom w:val="nil"/>
              <w:right w:val="nil"/>
            </w:tcBorders>
            <w:shd w:val="clear" w:color="auto" w:fill="auto"/>
            <w:noWrap/>
            <w:vAlign w:val="center"/>
            <w:hideMark/>
          </w:tcPr>
          <w:p w14:paraId="04850447" w14:textId="5BAA3897"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2.05</w:t>
            </w:r>
          </w:p>
        </w:tc>
        <w:tc>
          <w:tcPr>
            <w:tcW w:w="1344" w:type="dxa"/>
            <w:tcBorders>
              <w:top w:val="single" w:sz="12" w:space="0" w:color="auto"/>
              <w:left w:val="nil"/>
              <w:bottom w:val="nil"/>
              <w:right w:val="single" w:sz="12" w:space="0" w:color="auto"/>
            </w:tcBorders>
            <w:shd w:val="clear" w:color="auto" w:fill="auto"/>
            <w:noWrap/>
            <w:vAlign w:val="center"/>
            <w:hideMark/>
          </w:tcPr>
          <w:p w14:paraId="7E01D59B" w14:textId="28BCF5F9" w:rsidR="006A4921" w:rsidRPr="006A4921" w:rsidRDefault="006A4921" w:rsidP="000B75C1">
            <w:pPr>
              <w:tabs>
                <w:tab w:val="decimal" w:pos="21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21.02</w:t>
            </w:r>
          </w:p>
        </w:tc>
      </w:tr>
      <w:tr w:rsidR="006A4921" w:rsidRPr="006A4921" w14:paraId="3B25F4B7" w14:textId="77777777" w:rsidTr="000B75C1">
        <w:trPr>
          <w:trHeight w:val="259"/>
          <w:jc w:val="center"/>
        </w:trPr>
        <w:tc>
          <w:tcPr>
            <w:tcW w:w="1335" w:type="dxa"/>
            <w:vMerge/>
            <w:tcBorders>
              <w:top w:val="nil"/>
              <w:left w:val="single" w:sz="12" w:space="0" w:color="auto"/>
              <w:right w:val="single" w:sz="4" w:space="0" w:color="auto"/>
            </w:tcBorders>
            <w:vAlign w:val="center"/>
            <w:hideMark/>
          </w:tcPr>
          <w:p w14:paraId="0BBF2BF7" w14:textId="77777777" w:rsidR="006A4921" w:rsidRPr="006A4921" w:rsidRDefault="006A4921" w:rsidP="006A4921">
            <w:pPr>
              <w:spacing w:after="0" w:line="240" w:lineRule="auto"/>
              <w:rPr>
                <w:rFonts w:eastAsia="Times New Roman" w:cs="Times New Roman"/>
                <w:color w:val="000000"/>
                <w:kern w:val="0"/>
                <w:sz w:val="20"/>
                <w:szCs w:val="20"/>
                <w14:ligatures w14:val="none"/>
              </w:rPr>
            </w:pPr>
          </w:p>
        </w:tc>
        <w:tc>
          <w:tcPr>
            <w:tcW w:w="1805" w:type="dxa"/>
            <w:tcBorders>
              <w:top w:val="nil"/>
              <w:left w:val="single" w:sz="4" w:space="0" w:color="auto"/>
              <w:bottom w:val="single" w:sz="12" w:space="0" w:color="auto"/>
              <w:right w:val="single" w:sz="12" w:space="0" w:color="auto"/>
            </w:tcBorders>
            <w:shd w:val="clear" w:color="auto" w:fill="auto"/>
            <w:noWrap/>
            <w:vAlign w:val="center"/>
            <w:hideMark/>
          </w:tcPr>
          <w:p w14:paraId="400657EE" w14:textId="665CDB53" w:rsidR="006A4921" w:rsidRPr="006A4921" w:rsidRDefault="006A4921" w:rsidP="006A4921">
            <w:pPr>
              <w:spacing w:after="0" w:line="240" w:lineRule="auto"/>
              <w:rPr>
                <w:rFonts w:eastAsia="Times New Roman" w:cs="Times New Roman"/>
                <w:color w:val="000000"/>
                <w:kern w:val="0"/>
                <w:sz w:val="20"/>
                <w:szCs w:val="20"/>
                <w14:ligatures w14:val="none"/>
              </w:rPr>
            </w:pPr>
            <w:r w:rsidRPr="006A4921">
              <w:rPr>
                <w:rFonts w:eastAsia="Times New Roman" w:cs="Times New Roman"/>
                <w:color w:val="000000"/>
                <w:kern w:val="0"/>
                <w:sz w:val="20"/>
                <w:szCs w:val="20"/>
                <w14:ligatures w14:val="none"/>
              </w:rPr>
              <w:t xml:space="preserve">Retired Adults </w:t>
            </w:r>
          </w:p>
        </w:tc>
        <w:tc>
          <w:tcPr>
            <w:tcW w:w="1172" w:type="dxa"/>
            <w:tcBorders>
              <w:top w:val="nil"/>
              <w:left w:val="single" w:sz="12" w:space="0" w:color="auto"/>
              <w:bottom w:val="single" w:sz="12" w:space="0" w:color="auto"/>
              <w:right w:val="nil"/>
            </w:tcBorders>
            <w:shd w:val="clear" w:color="auto" w:fill="auto"/>
            <w:noWrap/>
            <w:vAlign w:val="center"/>
            <w:hideMark/>
          </w:tcPr>
          <w:p w14:paraId="4E681DF3" w14:textId="3543E5DF"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17.37</w:t>
            </w:r>
          </w:p>
        </w:tc>
        <w:tc>
          <w:tcPr>
            <w:tcW w:w="1073" w:type="dxa"/>
            <w:tcBorders>
              <w:top w:val="nil"/>
              <w:left w:val="nil"/>
              <w:bottom w:val="single" w:sz="12" w:space="0" w:color="auto"/>
              <w:right w:val="nil"/>
            </w:tcBorders>
            <w:shd w:val="clear" w:color="auto" w:fill="auto"/>
            <w:noWrap/>
            <w:vAlign w:val="center"/>
            <w:hideMark/>
          </w:tcPr>
          <w:p w14:paraId="0B51E0FA" w14:textId="24299840"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47.61</w:t>
            </w:r>
          </w:p>
        </w:tc>
        <w:tc>
          <w:tcPr>
            <w:tcW w:w="1103" w:type="dxa"/>
            <w:tcBorders>
              <w:top w:val="nil"/>
              <w:left w:val="nil"/>
              <w:bottom w:val="single" w:sz="12" w:space="0" w:color="auto"/>
              <w:right w:val="nil"/>
            </w:tcBorders>
            <w:shd w:val="clear" w:color="auto" w:fill="auto"/>
            <w:noWrap/>
            <w:vAlign w:val="center"/>
            <w:hideMark/>
          </w:tcPr>
          <w:p w14:paraId="5F30874C" w14:textId="484DEF7E"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-25.22</w:t>
            </w:r>
          </w:p>
        </w:tc>
        <w:tc>
          <w:tcPr>
            <w:tcW w:w="960" w:type="dxa"/>
            <w:tcBorders>
              <w:top w:val="nil"/>
              <w:left w:val="nil"/>
              <w:bottom w:val="single" w:sz="12" w:space="0" w:color="auto"/>
              <w:right w:val="nil"/>
            </w:tcBorders>
            <w:shd w:val="clear" w:color="auto" w:fill="auto"/>
            <w:noWrap/>
            <w:vAlign w:val="center"/>
            <w:hideMark/>
          </w:tcPr>
          <w:p w14:paraId="63C35C74" w14:textId="4D21D6E9"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-3.85</w:t>
            </w:r>
          </w:p>
        </w:tc>
        <w:tc>
          <w:tcPr>
            <w:tcW w:w="960" w:type="dxa"/>
            <w:tcBorders>
              <w:top w:val="nil"/>
              <w:left w:val="nil"/>
              <w:bottom w:val="single" w:sz="12" w:space="0" w:color="auto"/>
              <w:right w:val="nil"/>
            </w:tcBorders>
            <w:shd w:val="clear" w:color="auto" w:fill="auto"/>
            <w:noWrap/>
            <w:vAlign w:val="center"/>
            <w:hideMark/>
          </w:tcPr>
          <w:p w14:paraId="58BEB2EB" w14:textId="486E11B7"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-27.62</w:t>
            </w:r>
          </w:p>
        </w:tc>
        <w:tc>
          <w:tcPr>
            <w:tcW w:w="1159" w:type="dxa"/>
            <w:tcBorders>
              <w:top w:val="nil"/>
              <w:left w:val="nil"/>
              <w:bottom w:val="single" w:sz="12" w:space="0" w:color="auto"/>
              <w:right w:val="nil"/>
            </w:tcBorders>
            <w:shd w:val="clear" w:color="auto" w:fill="auto"/>
            <w:noWrap/>
            <w:vAlign w:val="center"/>
            <w:hideMark/>
          </w:tcPr>
          <w:p w14:paraId="26E2C6FA" w14:textId="461EFF8B"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22.68</w:t>
            </w:r>
          </w:p>
        </w:tc>
        <w:tc>
          <w:tcPr>
            <w:tcW w:w="960" w:type="dxa"/>
            <w:tcBorders>
              <w:top w:val="nil"/>
              <w:left w:val="nil"/>
              <w:bottom w:val="single" w:sz="12" w:space="0" w:color="auto"/>
              <w:right w:val="nil"/>
            </w:tcBorders>
            <w:shd w:val="clear" w:color="auto" w:fill="auto"/>
            <w:noWrap/>
            <w:vAlign w:val="center"/>
            <w:hideMark/>
          </w:tcPr>
          <w:p w14:paraId="64F823FC" w14:textId="27AC22F3"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-22.01</w:t>
            </w:r>
          </w:p>
        </w:tc>
        <w:tc>
          <w:tcPr>
            <w:tcW w:w="1338" w:type="dxa"/>
            <w:tcBorders>
              <w:top w:val="nil"/>
              <w:left w:val="nil"/>
              <w:bottom w:val="single" w:sz="12" w:space="0" w:color="auto"/>
              <w:right w:val="nil"/>
            </w:tcBorders>
            <w:shd w:val="clear" w:color="auto" w:fill="auto"/>
            <w:noWrap/>
            <w:vAlign w:val="center"/>
            <w:hideMark/>
          </w:tcPr>
          <w:p w14:paraId="1E89591C" w14:textId="646F80A8"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-3.40</w:t>
            </w:r>
          </w:p>
        </w:tc>
        <w:tc>
          <w:tcPr>
            <w:tcW w:w="1344" w:type="dxa"/>
            <w:tcBorders>
              <w:top w:val="nil"/>
              <w:left w:val="nil"/>
              <w:bottom w:val="single" w:sz="12" w:space="0" w:color="auto"/>
              <w:right w:val="single" w:sz="12" w:space="0" w:color="auto"/>
            </w:tcBorders>
            <w:shd w:val="clear" w:color="auto" w:fill="auto"/>
            <w:noWrap/>
            <w:vAlign w:val="center"/>
            <w:hideMark/>
          </w:tcPr>
          <w:p w14:paraId="162C437E" w14:textId="4C0A525F" w:rsidR="006A4921" w:rsidRPr="006A4921" w:rsidRDefault="006A4921" w:rsidP="000B75C1">
            <w:pPr>
              <w:tabs>
                <w:tab w:val="decimal" w:pos="21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-58.76</w:t>
            </w:r>
          </w:p>
        </w:tc>
      </w:tr>
      <w:tr w:rsidR="006A4921" w:rsidRPr="006A4921" w14:paraId="73F6BEA7" w14:textId="77777777" w:rsidTr="000B75C1">
        <w:trPr>
          <w:trHeight w:val="259"/>
          <w:jc w:val="center"/>
        </w:trPr>
        <w:tc>
          <w:tcPr>
            <w:tcW w:w="1335" w:type="dxa"/>
            <w:vMerge w:val="restart"/>
            <w:tcBorders>
              <w:top w:val="single" w:sz="12" w:space="0" w:color="auto"/>
              <w:left w:val="single" w:sz="12" w:space="0" w:color="auto"/>
              <w:bottom w:val="nil"/>
              <w:right w:val="single" w:sz="4" w:space="0" w:color="auto"/>
            </w:tcBorders>
            <w:shd w:val="clear" w:color="auto" w:fill="auto"/>
            <w:noWrap/>
            <w:vAlign w:val="center"/>
            <w:hideMark/>
          </w:tcPr>
          <w:p w14:paraId="6253D8C5" w14:textId="77777777" w:rsidR="006A4921" w:rsidRPr="006A4921" w:rsidRDefault="006A4921" w:rsidP="006A4921">
            <w:pPr>
              <w:spacing w:after="0" w:line="240" w:lineRule="auto"/>
              <w:rPr>
                <w:rFonts w:eastAsia="Times New Roman" w:cs="Times New Roman"/>
                <w:color w:val="000000"/>
                <w:kern w:val="0"/>
                <w:sz w:val="20"/>
                <w:szCs w:val="20"/>
                <w14:ligatures w14:val="none"/>
              </w:rPr>
            </w:pPr>
            <w:r w:rsidRPr="006A4921">
              <w:rPr>
                <w:rFonts w:eastAsia="Times New Roman" w:cs="Times New Roman"/>
                <w:color w:val="000000"/>
                <w:kern w:val="0"/>
                <w:sz w:val="20"/>
                <w:szCs w:val="20"/>
                <w14:ligatures w14:val="none"/>
              </w:rPr>
              <w:t>Employment</w:t>
            </w:r>
          </w:p>
        </w:tc>
        <w:tc>
          <w:tcPr>
            <w:tcW w:w="1805" w:type="dxa"/>
            <w:tcBorders>
              <w:top w:val="single" w:sz="12" w:space="0" w:color="auto"/>
              <w:left w:val="single" w:sz="4" w:space="0" w:color="auto"/>
              <w:bottom w:val="nil"/>
              <w:right w:val="single" w:sz="12" w:space="0" w:color="auto"/>
            </w:tcBorders>
            <w:shd w:val="clear" w:color="auto" w:fill="auto"/>
            <w:noWrap/>
            <w:vAlign w:val="center"/>
            <w:hideMark/>
          </w:tcPr>
          <w:p w14:paraId="45AFDC0D" w14:textId="77777777" w:rsidR="006A4921" w:rsidRPr="006A4921" w:rsidRDefault="006A4921" w:rsidP="006A4921">
            <w:pPr>
              <w:spacing w:after="0" w:line="240" w:lineRule="auto"/>
              <w:rPr>
                <w:rFonts w:eastAsia="Times New Roman" w:cs="Times New Roman"/>
                <w:color w:val="000000"/>
                <w:kern w:val="0"/>
                <w:sz w:val="20"/>
                <w:szCs w:val="20"/>
                <w14:ligatures w14:val="none"/>
              </w:rPr>
            </w:pPr>
            <w:r w:rsidRPr="006A4921">
              <w:rPr>
                <w:rFonts w:eastAsia="Times New Roman" w:cs="Times New Roman"/>
                <w:color w:val="000000"/>
                <w:kern w:val="0"/>
                <w:sz w:val="20"/>
                <w:szCs w:val="20"/>
                <w14:ligatures w14:val="none"/>
              </w:rPr>
              <w:t>No Workers</w:t>
            </w:r>
          </w:p>
        </w:tc>
        <w:tc>
          <w:tcPr>
            <w:tcW w:w="1172" w:type="dxa"/>
            <w:tcBorders>
              <w:top w:val="single" w:sz="12" w:space="0" w:color="auto"/>
              <w:left w:val="single" w:sz="12" w:space="0" w:color="auto"/>
              <w:bottom w:val="nil"/>
              <w:right w:val="nil"/>
            </w:tcBorders>
            <w:shd w:val="clear" w:color="auto" w:fill="auto"/>
            <w:noWrap/>
            <w:vAlign w:val="center"/>
            <w:hideMark/>
          </w:tcPr>
          <w:p w14:paraId="0699BA70" w14:textId="2FC52116"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-2.65</w:t>
            </w:r>
          </w:p>
        </w:tc>
        <w:tc>
          <w:tcPr>
            <w:tcW w:w="1073" w:type="dxa"/>
            <w:tcBorders>
              <w:top w:val="single" w:sz="12" w:space="0" w:color="auto"/>
              <w:left w:val="nil"/>
              <w:bottom w:val="nil"/>
              <w:right w:val="nil"/>
            </w:tcBorders>
            <w:shd w:val="clear" w:color="auto" w:fill="auto"/>
            <w:noWrap/>
            <w:vAlign w:val="center"/>
            <w:hideMark/>
          </w:tcPr>
          <w:p w14:paraId="52921AC0" w14:textId="7EA962B0"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18.97</w:t>
            </w:r>
          </w:p>
        </w:tc>
        <w:tc>
          <w:tcPr>
            <w:tcW w:w="1103" w:type="dxa"/>
            <w:tcBorders>
              <w:top w:val="single" w:sz="12" w:space="0" w:color="auto"/>
              <w:left w:val="nil"/>
              <w:bottom w:val="nil"/>
              <w:right w:val="nil"/>
            </w:tcBorders>
            <w:shd w:val="clear" w:color="auto" w:fill="auto"/>
            <w:noWrap/>
            <w:vAlign w:val="center"/>
            <w:hideMark/>
          </w:tcPr>
          <w:p w14:paraId="4A191D34" w14:textId="6CFE1F95"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2.03</w:t>
            </w:r>
          </w:p>
        </w:tc>
        <w:tc>
          <w:tcPr>
            <w:tcW w:w="960" w:type="dxa"/>
            <w:tcBorders>
              <w:top w:val="single" w:sz="12" w:space="0" w:color="auto"/>
              <w:left w:val="nil"/>
              <w:bottom w:val="nil"/>
              <w:right w:val="nil"/>
            </w:tcBorders>
            <w:shd w:val="clear" w:color="auto" w:fill="auto"/>
            <w:noWrap/>
            <w:vAlign w:val="center"/>
            <w:hideMark/>
          </w:tcPr>
          <w:p w14:paraId="40822B7B" w14:textId="074084A9"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24.63</w:t>
            </w:r>
          </w:p>
        </w:tc>
        <w:tc>
          <w:tcPr>
            <w:tcW w:w="960" w:type="dxa"/>
            <w:tcBorders>
              <w:top w:val="single" w:sz="12" w:space="0" w:color="auto"/>
              <w:left w:val="nil"/>
              <w:bottom w:val="nil"/>
              <w:right w:val="nil"/>
            </w:tcBorders>
            <w:shd w:val="clear" w:color="auto" w:fill="auto"/>
            <w:noWrap/>
            <w:vAlign w:val="center"/>
            <w:hideMark/>
          </w:tcPr>
          <w:p w14:paraId="5CCAF47C" w14:textId="6CEF83D1"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-18.72</w:t>
            </w:r>
          </w:p>
        </w:tc>
        <w:tc>
          <w:tcPr>
            <w:tcW w:w="1159" w:type="dxa"/>
            <w:tcBorders>
              <w:top w:val="single" w:sz="12" w:space="0" w:color="auto"/>
              <w:left w:val="nil"/>
              <w:bottom w:val="nil"/>
              <w:right w:val="nil"/>
            </w:tcBorders>
            <w:shd w:val="clear" w:color="auto" w:fill="auto"/>
            <w:noWrap/>
            <w:vAlign w:val="center"/>
            <w:hideMark/>
          </w:tcPr>
          <w:p w14:paraId="71121AFA" w14:textId="26E8AB11"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4.68</w:t>
            </w:r>
          </w:p>
        </w:tc>
        <w:tc>
          <w:tcPr>
            <w:tcW w:w="960" w:type="dxa"/>
            <w:tcBorders>
              <w:top w:val="single" w:sz="12" w:space="0" w:color="auto"/>
              <w:left w:val="nil"/>
              <w:bottom w:val="nil"/>
              <w:right w:val="nil"/>
            </w:tcBorders>
            <w:shd w:val="clear" w:color="auto" w:fill="auto"/>
            <w:noWrap/>
            <w:vAlign w:val="center"/>
            <w:hideMark/>
          </w:tcPr>
          <w:p w14:paraId="5EA1D22B" w14:textId="1B8F577D"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-19.63</w:t>
            </w:r>
          </w:p>
        </w:tc>
        <w:tc>
          <w:tcPr>
            <w:tcW w:w="1338" w:type="dxa"/>
            <w:tcBorders>
              <w:top w:val="single" w:sz="12" w:space="0" w:color="auto"/>
              <w:left w:val="nil"/>
              <w:bottom w:val="nil"/>
              <w:right w:val="nil"/>
            </w:tcBorders>
            <w:shd w:val="clear" w:color="auto" w:fill="auto"/>
            <w:noWrap/>
            <w:vAlign w:val="center"/>
            <w:hideMark/>
          </w:tcPr>
          <w:p w14:paraId="0108A473" w14:textId="0166279D"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1.45</w:t>
            </w:r>
          </w:p>
        </w:tc>
        <w:tc>
          <w:tcPr>
            <w:tcW w:w="1344" w:type="dxa"/>
            <w:tcBorders>
              <w:top w:val="single" w:sz="12" w:space="0" w:color="auto"/>
              <w:left w:val="nil"/>
              <w:bottom w:val="nil"/>
              <w:right w:val="single" w:sz="12" w:space="0" w:color="auto"/>
            </w:tcBorders>
            <w:shd w:val="clear" w:color="auto" w:fill="auto"/>
            <w:noWrap/>
            <w:vAlign w:val="center"/>
            <w:hideMark/>
          </w:tcPr>
          <w:p w14:paraId="439987AD" w14:textId="738F13A6" w:rsidR="006A4921" w:rsidRPr="006A4921" w:rsidRDefault="006A4921" w:rsidP="000B75C1">
            <w:pPr>
              <w:tabs>
                <w:tab w:val="decimal" w:pos="21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15.46</w:t>
            </w:r>
          </w:p>
        </w:tc>
      </w:tr>
      <w:tr w:rsidR="006A4921" w:rsidRPr="006A4921" w14:paraId="416AB3DA" w14:textId="77777777" w:rsidTr="000B75C1">
        <w:trPr>
          <w:trHeight w:val="259"/>
          <w:jc w:val="center"/>
        </w:trPr>
        <w:tc>
          <w:tcPr>
            <w:tcW w:w="1335" w:type="dxa"/>
            <w:vMerge/>
            <w:tcBorders>
              <w:top w:val="nil"/>
              <w:left w:val="single" w:sz="12" w:space="0" w:color="auto"/>
              <w:right w:val="single" w:sz="4" w:space="0" w:color="auto"/>
            </w:tcBorders>
            <w:vAlign w:val="center"/>
            <w:hideMark/>
          </w:tcPr>
          <w:p w14:paraId="5BFD0AEC" w14:textId="77777777" w:rsidR="006A4921" w:rsidRPr="006A4921" w:rsidRDefault="006A4921" w:rsidP="006A4921">
            <w:pPr>
              <w:spacing w:after="0" w:line="240" w:lineRule="auto"/>
              <w:rPr>
                <w:rFonts w:eastAsia="Times New Roman" w:cs="Times New Roman"/>
                <w:color w:val="000000"/>
                <w:kern w:val="0"/>
                <w:sz w:val="20"/>
                <w:szCs w:val="20"/>
                <w14:ligatures w14:val="none"/>
              </w:rPr>
            </w:pPr>
          </w:p>
        </w:tc>
        <w:tc>
          <w:tcPr>
            <w:tcW w:w="1805" w:type="dxa"/>
            <w:tcBorders>
              <w:top w:val="nil"/>
              <w:left w:val="single" w:sz="4" w:space="0" w:color="auto"/>
              <w:bottom w:val="single" w:sz="12" w:space="0" w:color="auto"/>
              <w:right w:val="single" w:sz="12" w:space="0" w:color="auto"/>
            </w:tcBorders>
            <w:shd w:val="clear" w:color="auto" w:fill="auto"/>
            <w:noWrap/>
            <w:vAlign w:val="center"/>
            <w:hideMark/>
          </w:tcPr>
          <w:p w14:paraId="1598DC20" w14:textId="202E6828" w:rsidR="006A4921" w:rsidRPr="006A4921" w:rsidRDefault="006A4921" w:rsidP="006A4921">
            <w:pPr>
              <w:spacing w:after="0" w:line="240" w:lineRule="auto"/>
              <w:rPr>
                <w:rFonts w:eastAsia="Times New Roman" w:cs="Times New Roman"/>
                <w:color w:val="000000"/>
                <w:kern w:val="0"/>
                <w:sz w:val="20"/>
                <w:szCs w:val="20"/>
                <w14:ligatures w14:val="none"/>
              </w:rPr>
            </w:pPr>
            <w:r w:rsidRPr="006A4921">
              <w:rPr>
                <w:rFonts w:eastAsia="Times New Roman" w:cs="Times New Roman"/>
                <w:color w:val="000000"/>
                <w:kern w:val="0"/>
                <w:sz w:val="20"/>
                <w:szCs w:val="20"/>
                <w14:ligatures w14:val="none"/>
              </w:rPr>
              <w:t>Workers Present</w:t>
            </w:r>
          </w:p>
        </w:tc>
        <w:tc>
          <w:tcPr>
            <w:tcW w:w="1172" w:type="dxa"/>
            <w:tcBorders>
              <w:top w:val="nil"/>
              <w:left w:val="single" w:sz="12" w:space="0" w:color="auto"/>
              <w:bottom w:val="single" w:sz="12" w:space="0" w:color="auto"/>
              <w:right w:val="nil"/>
            </w:tcBorders>
            <w:shd w:val="clear" w:color="auto" w:fill="auto"/>
            <w:noWrap/>
            <w:vAlign w:val="center"/>
            <w:hideMark/>
          </w:tcPr>
          <w:p w14:paraId="244169AE" w14:textId="20E71352"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-3.35</w:t>
            </w:r>
          </w:p>
        </w:tc>
        <w:tc>
          <w:tcPr>
            <w:tcW w:w="1073" w:type="dxa"/>
            <w:tcBorders>
              <w:top w:val="nil"/>
              <w:left w:val="nil"/>
              <w:bottom w:val="single" w:sz="12" w:space="0" w:color="auto"/>
              <w:right w:val="nil"/>
            </w:tcBorders>
            <w:shd w:val="clear" w:color="auto" w:fill="auto"/>
            <w:noWrap/>
            <w:vAlign w:val="center"/>
            <w:hideMark/>
          </w:tcPr>
          <w:p w14:paraId="7C7FF892" w14:textId="45EB6254"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20.95</w:t>
            </w:r>
          </w:p>
        </w:tc>
        <w:tc>
          <w:tcPr>
            <w:tcW w:w="1103" w:type="dxa"/>
            <w:tcBorders>
              <w:top w:val="nil"/>
              <w:left w:val="nil"/>
              <w:bottom w:val="single" w:sz="12" w:space="0" w:color="auto"/>
              <w:right w:val="nil"/>
            </w:tcBorders>
            <w:shd w:val="clear" w:color="auto" w:fill="auto"/>
            <w:noWrap/>
            <w:vAlign w:val="center"/>
            <w:hideMark/>
          </w:tcPr>
          <w:p w14:paraId="546FFA5D" w14:textId="0713605C"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0.87</w:t>
            </w:r>
          </w:p>
        </w:tc>
        <w:tc>
          <w:tcPr>
            <w:tcW w:w="960" w:type="dxa"/>
            <w:tcBorders>
              <w:top w:val="nil"/>
              <w:left w:val="nil"/>
              <w:bottom w:val="single" w:sz="12" w:space="0" w:color="auto"/>
              <w:right w:val="nil"/>
            </w:tcBorders>
            <w:shd w:val="clear" w:color="auto" w:fill="auto"/>
            <w:noWrap/>
            <w:vAlign w:val="center"/>
            <w:hideMark/>
          </w:tcPr>
          <w:p w14:paraId="66E4AF67" w14:textId="60A29A53"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23.47</w:t>
            </w:r>
          </w:p>
        </w:tc>
        <w:tc>
          <w:tcPr>
            <w:tcW w:w="960" w:type="dxa"/>
            <w:tcBorders>
              <w:top w:val="nil"/>
              <w:left w:val="nil"/>
              <w:bottom w:val="single" w:sz="12" w:space="0" w:color="auto"/>
              <w:right w:val="nil"/>
            </w:tcBorders>
            <w:shd w:val="clear" w:color="auto" w:fill="auto"/>
            <w:noWrap/>
            <w:vAlign w:val="center"/>
            <w:hideMark/>
          </w:tcPr>
          <w:p w14:paraId="6E29F8A7" w14:textId="0949E645"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-18.29</w:t>
            </w:r>
          </w:p>
        </w:tc>
        <w:tc>
          <w:tcPr>
            <w:tcW w:w="1159" w:type="dxa"/>
            <w:tcBorders>
              <w:top w:val="nil"/>
              <w:left w:val="nil"/>
              <w:bottom w:val="single" w:sz="12" w:space="0" w:color="auto"/>
              <w:right w:val="nil"/>
            </w:tcBorders>
            <w:shd w:val="clear" w:color="auto" w:fill="auto"/>
            <w:noWrap/>
            <w:vAlign w:val="center"/>
            <w:hideMark/>
          </w:tcPr>
          <w:p w14:paraId="5B3510A2" w14:textId="54E93A79"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4.31</w:t>
            </w:r>
          </w:p>
        </w:tc>
        <w:tc>
          <w:tcPr>
            <w:tcW w:w="960" w:type="dxa"/>
            <w:tcBorders>
              <w:top w:val="nil"/>
              <w:left w:val="nil"/>
              <w:bottom w:val="single" w:sz="12" w:space="0" w:color="auto"/>
              <w:right w:val="nil"/>
            </w:tcBorders>
            <w:shd w:val="clear" w:color="auto" w:fill="auto"/>
            <w:noWrap/>
            <w:vAlign w:val="center"/>
            <w:hideMark/>
          </w:tcPr>
          <w:p w14:paraId="1DCBFB55" w14:textId="31990605"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-19.71</w:t>
            </w:r>
          </w:p>
        </w:tc>
        <w:tc>
          <w:tcPr>
            <w:tcW w:w="1338" w:type="dxa"/>
            <w:tcBorders>
              <w:top w:val="nil"/>
              <w:left w:val="nil"/>
              <w:bottom w:val="single" w:sz="12" w:space="0" w:color="auto"/>
              <w:right w:val="nil"/>
            </w:tcBorders>
            <w:shd w:val="clear" w:color="auto" w:fill="auto"/>
            <w:noWrap/>
            <w:vAlign w:val="center"/>
            <w:hideMark/>
          </w:tcPr>
          <w:p w14:paraId="3575B59C" w14:textId="58D90445"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1.28</w:t>
            </w:r>
          </w:p>
        </w:tc>
        <w:tc>
          <w:tcPr>
            <w:tcW w:w="1344" w:type="dxa"/>
            <w:tcBorders>
              <w:top w:val="nil"/>
              <w:left w:val="nil"/>
              <w:bottom w:val="single" w:sz="12" w:space="0" w:color="auto"/>
              <w:right w:val="single" w:sz="12" w:space="0" w:color="auto"/>
            </w:tcBorders>
            <w:shd w:val="clear" w:color="auto" w:fill="auto"/>
            <w:noWrap/>
            <w:vAlign w:val="center"/>
            <w:hideMark/>
          </w:tcPr>
          <w:p w14:paraId="7FC4F151" w14:textId="5CD18A65" w:rsidR="006A4921" w:rsidRPr="006A4921" w:rsidRDefault="006A4921" w:rsidP="000B75C1">
            <w:pPr>
              <w:tabs>
                <w:tab w:val="decimal" w:pos="21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10.05</w:t>
            </w:r>
          </w:p>
        </w:tc>
      </w:tr>
      <w:tr w:rsidR="006A4921" w:rsidRPr="006A4921" w14:paraId="18FDD0FF" w14:textId="77777777" w:rsidTr="000B75C1">
        <w:trPr>
          <w:trHeight w:val="259"/>
          <w:jc w:val="center"/>
        </w:trPr>
        <w:tc>
          <w:tcPr>
            <w:tcW w:w="1335" w:type="dxa"/>
            <w:vMerge w:val="restart"/>
            <w:tcBorders>
              <w:top w:val="single" w:sz="12" w:space="0" w:color="auto"/>
              <w:left w:val="single" w:sz="12" w:space="0" w:color="auto"/>
              <w:bottom w:val="nil"/>
              <w:right w:val="single" w:sz="4" w:space="0" w:color="auto"/>
            </w:tcBorders>
            <w:shd w:val="clear" w:color="auto" w:fill="auto"/>
            <w:noWrap/>
            <w:vAlign w:val="center"/>
            <w:hideMark/>
          </w:tcPr>
          <w:p w14:paraId="35827CC0" w14:textId="77777777" w:rsidR="006A4921" w:rsidRPr="006A4921" w:rsidRDefault="006A4921" w:rsidP="006A4921">
            <w:pPr>
              <w:spacing w:after="0" w:line="240" w:lineRule="auto"/>
              <w:rPr>
                <w:rFonts w:eastAsia="Times New Roman" w:cs="Times New Roman"/>
                <w:color w:val="000000"/>
                <w:kern w:val="0"/>
                <w:sz w:val="20"/>
                <w:szCs w:val="20"/>
                <w14:ligatures w14:val="none"/>
              </w:rPr>
            </w:pPr>
            <w:r w:rsidRPr="006A4921">
              <w:rPr>
                <w:rFonts w:eastAsia="Times New Roman" w:cs="Times New Roman"/>
                <w:color w:val="000000"/>
                <w:kern w:val="0"/>
                <w:sz w:val="20"/>
                <w:szCs w:val="20"/>
                <w14:ligatures w14:val="none"/>
              </w:rPr>
              <w:t>Education</w:t>
            </w:r>
          </w:p>
        </w:tc>
        <w:tc>
          <w:tcPr>
            <w:tcW w:w="1805" w:type="dxa"/>
            <w:tcBorders>
              <w:top w:val="single" w:sz="12" w:space="0" w:color="auto"/>
              <w:left w:val="single" w:sz="4" w:space="0" w:color="auto"/>
              <w:bottom w:val="nil"/>
              <w:right w:val="single" w:sz="12" w:space="0" w:color="auto"/>
            </w:tcBorders>
            <w:shd w:val="clear" w:color="auto" w:fill="auto"/>
            <w:noWrap/>
            <w:vAlign w:val="center"/>
            <w:hideMark/>
          </w:tcPr>
          <w:p w14:paraId="69F8A152" w14:textId="13C60BA0" w:rsidR="006A4921" w:rsidRPr="006A4921" w:rsidRDefault="006A4921" w:rsidP="006A4921">
            <w:pPr>
              <w:spacing w:after="0" w:line="240" w:lineRule="auto"/>
              <w:rPr>
                <w:rFonts w:eastAsia="Times New Roman" w:cs="Times New Roman"/>
                <w:color w:val="000000"/>
                <w:kern w:val="0"/>
                <w:sz w:val="20"/>
                <w:szCs w:val="20"/>
                <w14:ligatures w14:val="none"/>
              </w:rPr>
            </w:pPr>
            <w:r w:rsidRPr="006A4921">
              <w:rPr>
                <w:rFonts w:eastAsia="Times New Roman" w:cs="Times New Roman"/>
                <w:color w:val="000000"/>
                <w:kern w:val="0"/>
                <w:sz w:val="20"/>
                <w:szCs w:val="20"/>
                <w14:ligatures w14:val="none"/>
              </w:rPr>
              <w:t>Less than Bachelor</w:t>
            </w:r>
            <w:r w:rsidR="003F65A3">
              <w:rPr>
                <w:rFonts w:eastAsia="Times New Roman" w:cs="Times New Roman"/>
                <w:color w:val="000000"/>
                <w:kern w:val="0"/>
                <w:sz w:val="20"/>
                <w:szCs w:val="20"/>
                <w14:ligatures w14:val="none"/>
              </w:rPr>
              <w:t>’</w:t>
            </w:r>
            <w:r w:rsidRPr="006A4921">
              <w:rPr>
                <w:rFonts w:eastAsia="Times New Roman" w:cs="Times New Roman"/>
                <w:color w:val="000000"/>
                <w:kern w:val="0"/>
                <w:sz w:val="20"/>
                <w:szCs w:val="20"/>
                <w14:ligatures w14:val="none"/>
              </w:rPr>
              <w:t>s</w:t>
            </w:r>
          </w:p>
        </w:tc>
        <w:tc>
          <w:tcPr>
            <w:tcW w:w="1172" w:type="dxa"/>
            <w:tcBorders>
              <w:top w:val="single" w:sz="12" w:space="0" w:color="auto"/>
              <w:left w:val="single" w:sz="12" w:space="0" w:color="auto"/>
              <w:bottom w:val="nil"/>
              <w:right w:val="nil"/>
            </w:tcBorders>
            <w:shd w:val="clear" w:color="auto" w:fill="auto"/>
            <w:noWrap/>
            <w:vAlign w:val="center"/>
            <w:hideMark/>
          </w:tcPr>
          <w:p w14:paraId="0251C340" w14:textId="2993259C"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-1.97</w:t>
            </w:r>
          </w:p>
        </w:tc>
        <w:tc>
          <w:tcPr>
            <w:tcW w:w="1073" w:type="dxa"/>
            <w:tcBorders>
              <w:top w:val="single" w:sz="12" w:space="0" w:color="auto"/>
              <w:left w:val="nil"/>
              <w:bottom w:val="nil"/>
              <w:right w:val="nil"/>
            </w:tcBorders>
            <w:shd w:val="clear" w:color="auto" w:fill="auto"/>
            <w:noWrap/>
            <w:vAlign w:val="center"/>
            <w:hideMark/>
          </w:tcPr>
          <w:p w14:paraId="15BC166A" w14:textId="3557C4F5"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20.93</w:t>
            </w:r>
          </w:p>
        </w:tc>
        <w:tc>
          <w:tcPr>
            <w:tcW w:w="1103" w:type="dxa"/>
            <w:tcBorders>
              <w:top w:val="single" w:sz="12" w:space="0" w:color="auto"/>
              <w:left w:val="nil"/>
              <w:bottom w:val="nil"/>
              <w:right w:val="nil"/>
            </w:tcBorders>
            <w:shd w:val="clear" w:color="auto" w:fill="auto"/>
            <w:noWrap/>
            <w:vAlign w:val="center"/>
            <w:hideMark/>
          </w:tcPr>
          <w:p w14:paraId="6BB4A1C5" w14:textId="41BB1DAD"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2.59</w:t>
            </w:r>
          </w:p>
        </w:tc>
        <w:tc>
          <w:tcPr>
            <w:tcW w:w="960" w:type="dxa"/>
            <w:tcBorders>
              <w:top w:val="single" w:sz="12" w:space="0" w:color="auto"/>
              <w:left w:val="nil"/>
              <w:bottom w:val="nil"/>
              <w:right w:val="nil"/>
            </w:tcBorders>
            <w:shd w:val="clear" w:color="auto" w:fill="auto"/>
            <w:noWrap/>
            <w:vAlign w:val="center"/>
            <w:hideMark/>
          </w:tcPr>
          <w:p w14:paraId="0BAEFB6E" w14:textId="1AC094F6"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26.76</w:t>
            </w:r>
          </w:p>
        </w:tc>
        <w:tc>
          <w:tcPr>
            <w:tcW w:w="960" w:type="dxa"/>
            <w:tcBorders>
              <w:top w:val="single" w:sz="12" w:space="0" w:color="auto"/>
              <w:left w:val="nil"/>
              <w:bottom w:val="nil"/>
              <w:right w:val="nil"/>
            </w:tcBorders>
            <w:shd w:val="clear" w:color="auto" w:fill="auto"/>
            <w:noWrap/>
            <w:vAlign w:val="center"/>
            <w:hideMark/>
          </w:tcPr>
          <w:p w14:paraId="52F05DFC" w14:textId="76A9DEBA"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-17.34</w:t>
            </w:r>
          </w:p>
        </w:tc>
        <w:tc>
          <w:tcPr>
            <w:tcW w:w="1159" w:type="dxa"/>
            <w:tcBorders>
              <w:top w:val="single" w:sz="12" w:space="0" w:color="auto"/>
              <w:left w:val="nil"/>
              <w:bottom w:val="nil"/>
              <w:right w:val="nil"/>
            </w:tcBorders>
            <w:shd w:val="clear" w:color="auto" w:fill="auto"/>
            <w:noWrap/>
            <w:vAlign w:val="center"/>
            <w:hideMark/>
          </w:tcPr>
          <w:p w14:paraId="6A528122" w14:textId="3E3807B6"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6.85</w:t>
            </w:r>
          </w:p>
        </w:tc>
        <w:tc>
          <w:tcPr>
            <w:tcW w:w="960" w:type="dxa"/>
            <w:tcBorders>
              <w:top w:val="single" w:sz="12" w:space="0" w:color="auto"/>
              <w:left w:val="nil"/>
              <w:bottom w:val="nil"/>
              <w:right w:val="nil"/>
            </w:tcBorders>
            <w:shd w:val="clear" w:color="auto" w:fill="auto"/>
            <w:noWrap/>
            <w:vAlign w:val="center"/>
            <w:hideMark/>
          </w:tcPr>
          <w:p w14:paraId="7A30E777" w14:textId="5E05C4FC"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-17.43</w:t>
            </w:r>
          </w:p>
        </w:tc>
        <w:tc>
          <w:tcPr>
            <w:tcW w:w="1338" w:type="dxa"/>
            <w:tcBorders>
              <w:top w:val="single" w:sz="12" w:space="0" w:color="auto"/>
              <w:left w:val="nil"/>
              <w:bottom w:val="nil"/>
              <w:right w:val="nil"/>
            </w:tcBorders>
            <w:shd w:val="clear" w:color="auto" w:fill="auto"/>
            <w:noWrap/>
            <w:vAlign w:val="center"/>
            <w:hideMark/>
          </w:tcPr>
          <w:p w14:paraId="412CB292" w14:textId="5188C34E"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-10.28</w:t>
            </w:r>
          </w:p>
        </w:tc>
        <w:tc>
          <w:tcPr>
            <w:tcW w:w="1344" w:type="dxa"/>
            <w:tcBorders>
              <w:top w:val="single" w:sz="12" w:space="0" w:color="auto"/>
              <w:left w:val="nil"/>
              <w:bottom w:val="nil"/>
              <w:right w:val="single" w:sz="12" w:space="0" w:color="auto"/>
            </w:tcBorders>
            <w:shd w:val="clear" w:color="auto" w:fill="auto"/>
            <w:noWrap/>
            <w:vAlign w:val="center"/>
            <w:hideMark/>
          </w:tcPr>
          <w:p w14:paraId="6ACB6C12" w14:textId="143BA5B5" w:rsidR="006A4921" w:rsidRPr="006A4921" w:rsidRDefault="006A4921" w:rsidP="000B75C1">
            <w:pPr>
              <w:tabs>
                <w:tab w:val="decimal" w:pos="21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16.13</w:t>
            </w:r>
          </w:p>
        </w:tc>
      </w:tr>
      <w:tr w:rsidR="006A4921" w:rsidRPr="006A4921" w14:paraId="5AAE1B1B" w14:textId="77777777" w:rsidTr="000B75C1">
        <w:trPr>
          <w:trHeight w:val="259"/>
          <w:jc w:val="center"/>
        </w:trPr>
        <w:tc>
          <w:tcPr>
            <w:tcW w:w="1335" w:type="dxa"/>
            <w:vMerge/>
            <w:tcBorders>
              <w:top w:val="nil"/>
              <w:left w:val="single" w:sz="12" w:space="0" w:color="auto"/>
              <w:bottom w:val="nil"/>
              <w:right w:val="single" w:sz="4" w:space="0" w:color="auto"/>
            </w:tcBorders>
            <w:vAlign w:val="center"/>
            <w:hideMark/>
          </w:tcPr>
          <w:p w14:paraId="5C479430" w14:textId="77777777" w:rsidR="006A4921" w:rsidRPr="006A4921" w:rsidRDefault="006A4921" w:rsidP="006A4921">
            <w:pPr>
              <w:spacing w:after="0" w:line="240" w:lineRule="auto"/>
              <w:rPr>
                <w:rFonts w:eastAsia="Times New Roman" w:cs="Times New Roman"/>
                <w:color w:val="000000"/>
                <w:kern w:val="0"/>
                <w:sz w:val="20"/>
                <w:szCs w:val="20"/>
                <w14:ligatures w14:val="none"/>
              </w:rPr>
            </w:pPr>
          </w:p>
        </w:tc>
        <w:tc>
          <w:tcPr>
            <w:tcW w:w="1805" w:type="dxa"/>
            <w:tcBorders>
              <w:top w:val="nil"/>
              <w:left w:val="single" w:sz="4" w:space="0" w:color="auto"/>
              <w:bottom w:val="nil"/>
              <w:right w:val="single" w:sz="12" w:space="0" w:color="auto"/>
            </w:tcBorders>
            <w:shd w:val="clear" w:color="auto" w:fill="auto"/>
            <w:noWrap/>
            <w:vAlign w:val="center"/>
            <w:hideMark/>
          </w:tcPr>
          <w:p w14:paraId="410CCF34" w14:textId="77777777" w:rsidR="006A4921" w:rsidRPr="006A4921" w:rsidRDefault="006A4921" w:rsidP="006A4921">
            <w:pPr>
              <w:spacing w:after="0" w:line="240" w:lineRule="auto"/>
              <w:rPr>
                <w:rFonts w:eastAsia="Times New Roman" w:cs="Times New Roman"/>
                <w:color w:val="000000"/>
                <w:kern w:val="0"/>
                <w:sz w:val="20"/>
                <w:szCs w:val="20"/>
                <w14:ligatures w14:val="none"/>
              </w:rPr>
            </w:pPr>
            <w:r w:rsidRPr="006A4921">
              <w:rPr>
                <w:rFonts w:eastAsia="Times New Roman" w:cs="Times New Roman"/>
                <w:color w:val="000000"/>
                <w:kern w:val="0"/>
                <w:sz w:val="20"/>
                <w:szCs w:val="20"/>
                <w14:ligatures w14:val="none"/>
              </w:rPr>
              <w:t>Bachelor's Degree</w:t>
            </w:r>
          </w:p>
        </w:tc>
        <w:tc>
          <w:tcPr>
            <w:tcW w:w="1172" w:type="dxa"/>
            <w:tcBorders>
              <w:top w:val="nil"/>
              <w:left w:val="single" w:sz="12" w:space="0" w:color="auto"/>
              <w:bottom w:val="nil"/>
              <w:right w:val="nil"/>
            </w:tcBorders>
            <w:shd w:val="clear" w:color="auto" w:fill="auto"/>
            <w:noWrap/>
            <w:vAlign w:val="center"/>
            <w:hideMark/>
          </w:tcPr>
          <w:p w14:paraId="2375C899" w14:textId="6A6D871E"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-4.28</w:t>
            </w:r>
          </w:p>
        </w:tc>
        <w:tc>
          <w:tcPr>
            <w:tcW w:w="1073" w:type="dxa"/>
            <w:tcBorders>
              <w:top w:val="nil"/>
              <w:left w:val="nil"/>
              <w:bottom w:val="nil"/>
              <w:right w:val="nil"/>
            </w:tcBorders>
            <w:shd w:val="clear" w:color="auto" w:fill="auto"/>
            <w:noWrap/>
            <w:vAlign w:val="center"/>
            <w:hideMark/>
          </w:tcPr>
          <w:p w14:paraId="789D4CBA" w14:textId="2D5D6B39"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18.31</w:t>
            </w:r>
          </w:p>
        </w:tc>
        <w:tc>
          <w:tcPr>
            <w:tcW w:w="1103" w:type="dxa"/>
            <w:tcBorders>
              <w:top w:val="nil"/>
              <w:left w:val="nil"/>
              <w:bottom w:val="nil"/>
              <w:right w:val="nil"/>
            </w:tcBorders>
            <w:shd w:val="clear" w:color="auto" w:fill="auto"/>
            <w:noWrap/>
            <w:vAlign w:val="center"/>
            <w:hideMark/>
          </w:tcPr>
          <w:p w14:paraId="45956FC9" w14:textId="0A3F61B9"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-2.08</w:t>
            </w:r>
          </w:p>
        </w:tc>
        <w:tc>
          <w:tcPr>
            <w:tcW w:w="960" w:type="dxa"/>
            <w:tcBorders>
              <w:top w:val="nil"/>
              <w:left w:val="nil"/>
              <w:bottom w:val="nil"/>
              <w:right w:val="nil"/>
            </w:tcBorders>
            <w:shd w:val="clear" w:color="auto" w:fill="auto"/>
            <w:noWrap/>
            <w:vAlign w:val="center"/>
            <w:hideMark/>
          </w:tcPr>
          <w:p w14:paraId="10EE415F" w14:textId="3107502D"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21.35</w:t>
            </w:r>
          </w:p>
        </w:tc>
        <w:tc>
          <w:tcPr>
            <w:tcW w:w="960" w:type="dxa"/>
            <w:tcBorders>
              <w:top w:val="nil"/>
              <w:left w:val="nil"/>
              <w:bottom w:val="nil"/>
              <w:right w:val="nil"/>
            </w:tcBorders>
            <w:shd w:val="clear" w:color="auto" w:fill="auto"/>
            <w:noWrap/>
            <w:vAlign w:val="center"/>
            <w:hideMark/>
          </w:tcPr>
          <w:p w14:paraId="1F4E9AB4" w14:textId="6ACFF64D"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-19.44</w:t>
            </w:r>
          </w:p>
        </w:tc>
        <w:tc>
          <w:tcPr>
            <w:tcW w:w="1159" w:type="dxa"/>
            <w:tcBorders>
              <w:top w:val="nil"/>
              <w:left w:val="nil"/>
              <w:bottom w:val="nil"/>
              <w:right w:val="nil"/>
            </w:tcBorders>
            <w:shd w:val="clear" w:color="auto" w:fill="auto"/>
            <w:noWrap/>
            <w:vAlign w:val="center"/>
            <w:hideMark/>
          </w:tcPr>
          <w:p w14:paraId="25919FEB" w14:textId="069C6C6E"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3.21</w:t>
            </w:r>
          </w:p>
        </w:tc>
        <w:tc>
          <w:tcPr>
            <w:tcW w:w="960" w:type="dxa"/>
            <w:tcBorders>
              <w:top w:val="nil"/>
              <w:left w:val="nil"/>
              <w:bottom w:val="nil"/>
              <w:right w:val="nil"/>
            </w:tcBorders>
            <w:shd w:val="clear" w:color="auto" w:fill="auto"/>
            <w:noWrap/>
            <w:vAlign w:val="center"/>
            <w:hideMark/>
          </w:tcPr>
          <w:p w14:paraId="5EB0BA82" w14:textId="0CD0BBBF"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-21.10</w:t>
            </w:r>
          </w:p>
        </w:tc>
        <w:tc>
          <w:tcPr>
            <w:tcW w:w="1338" w:type="dxa"/>
            <w:tcBorders>
              <w:top w:val="nil"/>
              <w:left w:val="nil"/>
              <w:bottom w:val="nil"/>
              <w:right w:val="nil"/>
            </w:tcBorders>
            <w:shd w:val="clear" w:color="auto" w:fill="auto"/>
            <w:noWrap/>
            <w:vAlign w:val="center"/>
            <w:hideMark/>
          </w:tcPr>
          <w:p w14:paraId="3CEFF9A6" w14:textId="4C8A9339"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7.35</w:t>
            </w:r>
          </w:p>
        </w:tc>
        <w:tc>
          <w:tcPr>
            <w:tcW w:w="1344" w:type="dxa"/>
            <w:tcBorders>
              <w:top w:val="nil"/>
              <w:left w:val="nil"/>
              <w:bottom w:val="nil"/>
              <w:right w:val="single" w:sz="12" w:space="0" w:color="auto"/>
            </w:tcBorders>
            <w:shd w:val="clear" w:color="auto" w:fill="auto"/>
            <w:noWrap/>
            <w:vAlign w:val="center"/>
            <w:hideMark/>
          </w:tcPr>
          <w:p w14:paraId="5D4928C6" w14:textId="30D78545" w:rsidR="006A4921" w:rsidRPr="006A4921" w:rsidRDefault="006A4921" w:rsidP="000B75C1">
            <w:pPr>
              <w:tabs>
                <w:tab w:val="decimal" w:pos="21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13.41</w:t>
            </w:r>
          </w:p>
        </w:tc>
      </w:tr>
      <w:tr w:rsidR="006A4921" w:rsidRPr="006A4921" w14:paraId="22D42E9F" w14:textId="77777777" w:rsidTr="000B75C1">
        <w:trPr>
          <w:trHeight w:val="259"/>
          <w:jc w:val="center"/>
        </w:trPr>
        <w:tc>
          <w:tcPr>
            <w:tcW w:w="1335" w:type="dxa"/>
            <w:vMerge/>
            <w:tcBorders>
              <w:top w:val="nil"/>
              <w:left w:val="single" w:sz="12" w:space="0" w:color="auto"/>
              <w:right w:val="single" w:sz="4" w:space="0" w:color="auto"/>
            </w:tcBorders>
            <w:vAlign w:val="center"/>
            <w:hideMark/>
          </w:tcPr>
          <w:p w14:paraId="6452B937" w14:textId="77777777" w:rsidR="006A4921" w:rsidRPr="006A4921" w:rsidRDefault="006A4921" w:rsidP="006A4921">
            <w:pPr>
              <w:spacing w:after="0" w:line="240" w:lineRule="auto"/>
              <w:rPr>
                <w:rFonts w:eastAsia="Times New Roman" w:cs="Times New Roman"/>
                <w:color w:val="000000"/>
                <w:kern w:val="0"/>
                <w:sz w:val="20"/>
                <w:szCs w:val="20"/>
                <w14:ligatures w14:val="none"/>
              </w:rPr>
            </w:pPr>
          </w:p>
        </w:tc>
        <w:tc>
          <w:tcPr>
            <w:tcW w:w="1805" w:type="dxa"/>
            <w:tcBorders>
              <w:top w:val="nil"/>
              <w:left w:val="single" w:sz="4" w:space="0" w:color="auto"/>
              <w:bottom w:val="single" w:sz="12" w:space="0" w:color="auto"/>
              <w:right w:val="single" w:sz="12" w:space="0" w:color="auto"/>
            </w:tcBorders>
            <w:shd w:val="clear" w:color="auto" w:fill="auto"/>
            <w:noWrap/>
            <w:vAlign w:val="center"/>
            <w:hideMark/>
          </w:tcPr>
          <w:p w14:paraId="54986E16" w14:textId="77777777" w:rsidR="006A4921" w:rsidRPr="006A4921" w:rsidRDefault="006A4921" w:rsidP="006A4921">
            <w:pPr>
              <w:spacing w:after="0" w:line="240" w:lineRule="auto"/>
              <w:rPr>
                <w:rFonts w:eastAsia="Times New Roman" w:cs="Times New Roman"/>
                <w:color w:val="000000"/>
                <w:kern w:val="0"/>
                <w:sz w:val="20"/>
                <w:szCs w:val="20"/>
                <w14:ligatures w14:val="none"/>
              </w:rPr>
            </w:pPr>
            <w:r w:rsidRPr="006A4921">
              <w:rPr>
                <w:rFonts w:eastAsia="Times New Roman" w:cs="Times New Roman"/>
                <w:color w:val="000000"/>
                <w:kern w:val="0"/>
                <w:sz w:val="20"/>
                <w:szCs w:val="20"/>
                <w14:ligatures w14:val="none"/>
              </w:rPr>
              <w:t>Graduate Degree</w:t>
            </w:r>
          </w:p>
        </w:tc>
        <w:tc>
          <w:tcPr>
            <w:tcW w:w="1172" w:type="dxa"/>
            <w:tcBorders>
              <w:top w:val="nil"/>
              <w:left w:val="single" w:sz="12" w:space="0" w:color="auto"/>
              <w:bottom w:val="single" w:sz="12" w:space="0" w:color="auto"/>
              <w:right w:val="nil"/>
            </w:tcBorders>
            <w:shd w:val="clear" w:color="auto" w:fill="auto"/>
            <w:noWrap/>
            <w:vAlign w:val="center"/>
            <w:hideMark/>
          </w:tcPr>
          <w:p w14:paraId="76C42C8A" w14:textId="11811CDC"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-5.02</w:t>
            </w:r>
          </w:p>
        </w:tc>
        <w:tc>
          <w:tcPr>
            <w:tcW w:w="1073" w:type="dxa"/>
            <w:tcBorders>
              <w:top w:val="nil"/>
              <w:left w:val="nil"/>
              <w:bottom w:val="single" w:sz="12" w:space="0" w:color="auto"/>
              <w:right w:val="nil"/>
            </w:tcBorders>
            <w:shd w:val="clear" w:color="auto" w:fill="auto"/>
            <w:noWrap/>
            <w:vAlign w:val="center"/>
            <w:hideMark/>
          </w:tcPr>
          <w:p w14:paraId="5EED8F36" w14:textId="34EF8370"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20.16</w:t>
            </w:r>
          </w:p>
        </w:tc>
        <w:tc>
          <w:tcPr>
            <w:tcW w:w="1103" w:type="dxa"/>
            <w:tcBorders>
              <w:top w:val="nil"/>
              <w:left w:val="nil"/>
              <w:bottom w:val="single" w:sz="12" w:space="0" w:color="auto"/>
              <w:right w:val="nil"/>
            </w:tcBorders>
            <w:shd w:val="clear" w:color="auto" w:fill="auto"/>
            <w:noWrap/>
            <w:vAlign w:val="center"/>
            <w:hideMark/>
          </w:tcPr>
          <w:p w14:paraId="5A9BE5CE" w14:textId="781DEB19"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-2.58</w:t>
            </w:r>
          </w:p>
        </w:tc>
        <w:tc>
          <w:tcPr>
            <w:tcW w:w="960" w:type="dxa"/>
            <w:tcBorders>
              <w:top w:val="nil"/>
              <w:left w:val="nil"/>
              <w:bottom w:val="single" w:sz="12" w:space="0" w:color="auto"/>
              <w:right w:val="nil"/>
            </w:tcBorders>
            <w:shd w:val="clear" w:color="auto" w:fill="auto"/>
            <w:noWrap/>
            <w:vAlign w:val="center"/>
            <w:hideMark/>
          </w:tcPr>
          <w:p w14:paraId="29CBEBD9" w14:textId="23DA926E"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21.33</w:t>
            </w:r>
          </w:p>
        </w:tc>
        <w:tc>
          <w:tcPr>
            <w:tcW w:w="960" w:type="dxa"/>
            <w:tcBorders>
              <w:top w:val="nil"/>
              <w:left w:val="nil"/>
              <w:bottom w:val="single" w:sz="12" w:space="0" w:color="auto"/>
              <w:right w:val="nil"/>
            </w:tcBorders>
            <w:shd w:val="clear" w:color="auto" w:fill="auto"/>
            <w:noWrap/>
            <w:vAlign w:val="center"/>
            <w:hideMark/>
          </w:tcPr>
          <w:p w14:paraId="0F23BFC6" w14:textId="3D2F22D1"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-19.28</w:t>
            </w:r>
          </w:p>
        </w:tc>
        <w:tc>
          <w:tcPr>
            <w:tcW w:w="1159" w:type="dxa"/>
            <w:tcBorders>
              <w:top w:val="nil"/>
              <w:left w:val="nil"/>
              <w:bottom w:val="single" w:sz="12" w:space="0" w:color="auto"/>
              <w:right w:val="nil"/>
            </w:tcBorders>
            <w:shd w:val="clear" w:color="auto" w:fill="auto"/>
            <w:noWrap/>
            <w:vAlign w:val="center"/>
            <w:hideMark/>
          </w:tcPr>
          <w:p w14:paraId="6980BD88" w14:textId="3A383E75"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2.65</w:t>
            </w:r>
          </w:p>
        </w:tc>
        <w:tc>
          <w:tcPr>
            <w:tcW w:w="960" w:type="dxa"/>
            <w:tcBorders>
              <w:top w:val="nil"/>
              <w:left w:val="nil"/>
              <w:bottom w:val="single" w:sz="12" w:space="0" w:color="auto"/>
              <w:right w:val="nil"/>
            </w:tcBorders>
            <w:shd w:val="clear" w:color="auto" w:fill="auto"/>
            <w:noWrap/>
            <w:vAlign w:val="center"/>
            <w:hideMark/>
          </w:tcPr>
          <w:p w14:paraId="0AF409DD" w14:textId="740EBB9D"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-21.09</w:t>
            </w:r>
          </w:p>
        </w:tc>
        <w:tc>
          <w:tcPr>
            <w:tcW w:w="1338" w:type="dxa"/>
            <w:tcBorders>
              <w:top w:val="nil"/>
              <w:left w:val="nil"/>
              <w:bottom w:val="single" w:sz="12" w:space="0" w:color="auto"/>
              <w:right w:val="nil"/>
            </w:tcBorders>
            <w:shd w:val="clear" w:color="auto" w:fill="auto"/>
            <w:noWrap/>
            <w:vAlign w:val="center"/>
            <w:hideMark/>
          </w:tcPr>
          <w:p w14:paraId="4F2B15A3" w14:textId="678EF948"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7.18</w:t>
            </w:r>
          </w:p>
        </w:tc>
        <w:tc>
          <w:tcPr>
            <w:tcW w:w="1344" w:type="dxa"/>
            <w:tcBorders>
              <w:top w:val="nil"/>
              <w:left w:val="nil"/>
              <w:bottom w:val="single" w:sz="12" w:space="0" w:color="auto"/>
              <w:right w:val="single" w:sz="12" w:space="0" w:color="auto"/>
            </w:tcBorders>
            <w:shd w:val="clear" w:color="auto" w:fill="auto"/>
            <w:noWrap/>
            <w:vAlign w:val="center"/>
            <w:hideMark/>
          </w:tcPr>
          <w:p w14:paraId="42E9EA74" w14:textId="1D6D0E22" w:rsidR="006A4921" w:rsidRPr="006A4921" w:rsidRDefault="006A4921" w:rsidP="000B75C1">
            <w:pPr>
              <w:tabs>
                <w:tab w:val="decimal" w:pos="21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10.46</w:t>
            </w:r>
          </w:p>
        </w:tc>
      </w:tr>
      <w:tr w:rsidR="006A4921" w:rsidRPr="006A4921" w14:paraId="3C9877B6" w14:textId="77777777" w:rsidTr="000B75C1">
        <w:trPr>
          <w:trHeight w:val="259"/>
          <w:jc w:val="center"/>
        </w:trPr>
        <w:tc>
          <w:tcPr>
            <w:tcW w:w="1335" w:type="dxa"/>
            <w:vMerge w:val="restart"/>
            <w:tcBorders>
              <w:top w:val="single" w:sz="12" w:space="0" w:color="auto"/>
              <w:left w:val="single" w:sz="12" w:space="0" w:color="auto"/>
              <w:bottom w:val="nil"/>
              <w:right w:val="single" w:sz="4" w:space="0" w:color="auto"/>
            </w:tcBorders>
            <w:shd w:val="clear" w:color="auto" w:fill="auto"/>
            <w:noWrap/>
            <w:vAlign w:val="center"/>
            <w:hideMark/>
          </w:tcPr>
          <w:p w14:paraId="410D525E" w14:textId="77777777" w:rsidR="006A4921" w:rsidRPr="006A4921" w:rsidRDefault="006A4921" w:rsidP="006A4921">
            <w:pPr>
              <w:spacing w:after="0" w:line="240" w:lineRule="auto"/>
              <w:rPr>
                <w:rFonts w:eastAsia="Times New Roman" w:cs="Times New Roman"/>
                <w:color w:val="000000"/>
                <w:kern w:val="0"/>
                <w:sz w:val="20"/>
                <w:szCs w:val="20"/>
                <w14:ligatures w14:val="none"/>
              </w:rPr>
            </w:pPr>
            <w:r w:rsidRPr="006A4921">
              <w:rPr>
                <w:rFonts w:eastAsia="Times New Roman" w:cs="Times New Roman"/>
                <w:color w:val="000000"/>
                <w:kern w:val="0"/>
                <w:sz w:val="20"/>
                <w:szCs w:val="20"/>
                <w14:ligatures w14:val="none"/>
              </w:rPr>
              <w:t>Household Income</w:t>
            </w:r>
          </w:p>
        </w:tc>
        <w:tc>
          <w:tcPr>
            <w:tcW w:w="1805" w:type="dxa"/>
            <w:tcBorders>
              <w:top w:val="single" w:sz="12" w:space="0" w:color="auto"/>
              <w:left w:val="single" w:sz="4" w:space="0" w:color="auto"/>
              <w:bottom w:val="nil"/>
              <w:right w:val="single" w:sz="12" w:space="0" w:color="auto"/>
            </w:tcBorders>
            <w:shd w:val="clear" w:color="auto" w:fill="auto"/>
            <w:noWrap/>
            <w:vAlign w:val="center"/>
            <w:hideMark/>
          </w:tcPr>
          <w:p w14:paraId="371DBA5D" w14:textId="5A5B23C8" w:rsidR="006A4921" w:rsidRPr="006A4921" w:rsidRDefault="006A4921" w:rsidP="006A4921">
            <w:pPr>
              <w:spacing w:after="0" w:line="240" w:lineRule="auto"/>
              <w:rPr>
                <w:rFonts w:eastAsia="Times New Roman" w:cs="Times New Roman"/>
                <w:color w:val="000000"/>
                <w:kern w:val="0"/>
                <w:sz w:val="20"/>
                <w:szCs w:val="20"/>
                <w14:ligatures w14:val="none"/>
              </w:rPr>
            </w:pPr>
            <w:r w:rsidRPr="006A4921">
              <w:rPr>
                <w:rFonts w:eastAsia="Times New Roman" w:cs="Times New Roman"/>
                <w:color w:val="000000"/>
                <w:kern w:val="0"/>
                <w:sz w:val="20"/>
                <w:szCs w:val="20"/>
                <w14:ligatures w14:val="none"/>
              </w:rPr>
              <w:t>Income &lt; $50,000</w:t>
            </w:r>
          </w:p>
        </w:tc>
        <w:tc>
          <w:tcPr>
            <w:tcW w:w="1172" w:type="dxa"/>
            <w:tcBorders>
              <w:top w:val="single" w:sz="12" w:space="0" w:color="auto"/>
              <w:left w:val="single" w:sz="12" w:space="0" w:color="auto"/>
              <w:bottom w:val="nil"/>
              <w:right w:val="nil"/>
            </w:tcBorders>
            <w:shd w:val="clear" w:color="auto" w:fill="auto"/>
            <w:noWrap/>
            <w:vAlign w:val="center"/>
            <w:hideMark/>
          </w:tcPr>
          <w:p w14:paraId="0A834FF0" w14:textId="26873EFF"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-2.09</w:t>
            </w:r>
          </w:p>
        </w:tc>
        <w:tc>
          <w:tcPr>
            <w:tcW w:w="1073" w:type="dxa"/>
            <w:tcBorders>
              <w:top w:val="single" w:sz="12" w:space="0" w:color="auto"/>
              <w:left w:val="nil"/>
              <w:bottom w:val="nil"/>
              <w:right w:val="nil"/>
            </w:tcBorders>
            <w:shd w:val="clear" w:color="auto" w:fill="auto"/>
            <w:noWrap/>
            <w:vAlign w:val="center"/>
            <w:hideMark/>
          </w:tcPr>
          <w:p w14:paraId="6A9E6EF8" w14:textId="6AE224EC"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-24.82</w:t>
            </w:r>
          </w:p>
        </w:tc>
        <w:tc>
          <w:tcPr>
            <w:tcW w:w="1103" w:type="dxa"/>
            <w:tcBorders>
              <w:top w:val="single" w:sz="12" w:space="0" w:color="auto"/>
              <w:left w:val="nil"/>
              <w:bottom w:val="nil"/>
              <w:right w:val="nil"/>
            </w:tcBorders>
            <w:shd w:val="clear" w:color="auto" w:fill="auto"/>
            <w:noWrap/>
            <w:vAlign w:val="center"/>
            <w:hideMark/>
          </w:tcPr>
          <w:p w14:paraId="5B14168E" w14:textId="642627C8"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3.41</w:t>
            </w:r>
          </w:p>
        </w:tc>
        <w:tc>
          <w:tcPr>
            <w:tcW w:w="960" w:type="dxa"/>
            <w:tcBorders>
              <w:top w:val="single" w:sz="12" w:space="0" w:color="auto"/>
              <w:left w:val="nil"/>
              <w:bottom w:val="nil"/>
              <w:right w:val="nil"/>
            </w:tcBorders>
            <w:shd w:val="clear" w:color="auto" w:fill="auto"/>
            <w:noWrap/>
            <w:vAlign w:val="center"/>
            <w:hideMark/>
          </w:tcPr>
          <w:p w14:paraId="2CB22618" w14:textId="3A912EA9"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26.08</w:t>
            </w:r>
          </w:p>
        </w:tc>
        <w:tc>
          <w:tcPr>
            <w:tcW w:w="960" w:type="dxa"/>
            <w:tcBorders>
              <w:top w:val="single" w:sz="12" w:space="0" w:color="auto"/>
              <w:left w:val="nil"/>
              <w:bottom w:val="nil"/>
              <w:right w:val="nil"/>
            </w:tcBorders>
            <w:shd w:val="clear" w:color="auto" w:fill="auto"/>
            <w:noWrap/>
            <w:vAlign w:val="center"/>
            <w:hideMark/>
          </w:tcPr>
          <w:p w14:paraId="496C3EC2" w14:textId="202ABFBF"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-34.27</w:t>
            </w:r>
          </w:p>
        </w:tc>
        <w:tc>
          <w:tcPr>
            <w:tcW w:w="1159" w:type="dxa"/>
            <w:tcBorders>
              <w:top w:val="single" w:sz="12" w:space="0" w:color="auto"/>
              <w:left w:val="nil"/>
              <w:bottom w:val="nil"/>
              <w:right w:val="nil"/>
            </w:tcBorders>
            <w:shd w:val="clear" w:color="auto" w:fill="auto"/>
            <w:noWrap/>
            <w:vAlign w:val="center"/>
            <w:hideMark/>
          </w:tcPr>
          <w:p w14:paraId="58B082B9" w14:textId="6F45960E"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4.68</w:t>
            </w:r>
          </w:p>
        </w:tc>
        <w:tc>
          <w:tcPr>
            <w:tcW w:w="960" w:type="dxa"/>
            <w:tcBorders>
              <w:top w:val="single" w:sz="12" w:space="0" w:color="auto"/>
              <w:left w:val="nil"/>
              <w:bottom w:val="nil"/>
              <w:right w:val="nil"/>
            </w:tcBorders>
            <w:shd w:val="clear" w:color="auto" w:fill="auto"/>
            <w:noWrap/>
            <w:vAlign w:val="center"/>
            <w:hideMark/>
          </w:tcPr>
          <w:p w14:paraId="0693E2C7" w14:textId="529F9B2B"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-20.08</w:t>
            </w:r>
          </w:p>
        </w:tc>
        <w:tc>
          <w:tcPr>
            <w:tcW w:w="1338" w:type="dxa"/>
            <w:tcBorders>
              <w:top w:val="single" w:sz="12" w:space="0" w:color="auto"/>
              <w:left w:val="nil"/>
              <w:bottom w:val="nil"/>
              <w:right w:val="nil"/>
            </w:tcBorders>
            <w:shd w:val="clear" w:color="auto" w:fill="auto"/>
            <w:noWrap/>
            <w:vAlign w:val="center"/>
            <w:hideMark/>
          </w:tcPr>
          <w:p w14:paraId="726FB186" w14:textId="26676509"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0.72</w:t>
            </w:r>
          </w:p>
        </w:tc>
        <w:tc>
          <w:tcPr>
            <w:tcW w:w="1344" w:type="dxa"/>
            <w:tcBorders>
              <w:top w:val="single" w:sz="12" w:space="0" w:color="auto"/>
              <w:left w:val="nil"/>
              <w:bottom w:val="nil"/>
              <w:right w:val="single" w:sz="12" w:space="0" w:color="auto"/>
            </w:tcBorders>
            <w:shd w:val="clear" w:color="auto" w:fill="auto"/>
            <w:noWrap/>
            <w:vAlign w:val="center"/>
            <w:hideMark/>
          </w:tcPr>
          <w:p w14:paraId="41FA5B97" w14:textId="5ECDA2E8" w:rsidR="006A4921" w:rsidRPr="006A4921" w:rsidRDefault="006A4921" w:rsidP="000B75C1">
            <w:pPr>
              <w:tabs>
                <w:tab w:val="decimal" w:pos="21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28.67</w:t>
            </w:r>
          </w:p>
        </w:tc>
      </w:tr>
      <w:tr w:rsidR="006A4921" w:rsidRPr="006A4921" w14:paraId="3D7B93A7" w14:textId="77777777" w:rsidTr="000B75C1">
        <w:trPr>
          <w:trHeight w:val="259"/>
          <w:jc w:val="center"/>
        </w:trPr>
        <w:tc>
          <w:tcPr>
            <w:tcW w:w="1335" w:type="dxa"/>
            <w:vMerge/>
            <w:tcBorders>
              <w:top w:val="nil"/>
              <w:left w:val="single" w:sz="12" w:space="0" w:color="auto"/>
              <w:bottom w:val="nil"/>
              <w:right w:val="single" w:sz="4" w:space="0" w:color="auto"/>
            </w:tcBorders>
            <w:vAlign w:val="center"/>
            <w:hideMark/>
          </w:tcPr>
          <w:p w14:paraId="40356260" w14:textId="77777777" w:rsidR="006A4921" w:rsidRPr="006A4921" w:rsidRDefault="006A4921" w:rsidP="006A4921">
            <w:pPr>
              <w:spacing w:after="0" w:line="240" w:lineRule="auto"/>
              <w:rPr>
                <w:rFonts w:eastAsia="Times New Roman" w:cs="Times New Roman"/>
                <w:color w:val="000000"/>
                <w:kern w:val="0"/>
                <w:sz w:val="20"/>
                <w:szCs w:val="20"/>
                <w14:ligatures w14:val="none"/>
              </w:rPr>
            </w:pPr>
          </w:p>
        </w:tc>
        <w:tc>
          <w:tcPr>
            <w:tcW w:w="1805" w:type="dxa"/>
            <w:tcBorders>
              <w:top w:val="nil"/>
              <w:left w:val="single" w:sz="4" w:space="0" w:color="auto"/>
              <w:bottom w:val="nil"/>
              <w:right w:val="single" w:sz="12" w:space="0" w:color="auto"/>
            </w:tcBorders>
            <w:shd w:val="clear" w:color="auto" w:fill="auto"/>
            <w:noWrap/>
            <w:vAlign w:val="center"/>
            <w:hideMark/>
          </w:tcPr>
          <w:p w14:paraId="5B0BCDDF" w14:textId="1A9B6B74" w:rsidR="006A4921" w:rsidRPr="006A4921" w:rsidRDefault="006A4921" w:rsidP="006A4921">
            <w:pPr>
              <w:spacing w:after="0" w:line="240" w:lineRule="auto"/>
              <w:rPr>
                <w:rFonts w:eastAsia="Times New Roman" w:cs="Times New Roman"/>
                <w:color w:val="000000"/>
                <w:kern w:val="0"/>
                <w:sz w:val="20"/>
                <w:szCs w:val="20"/>
                <w14:ligatures w14:val="none"/>
              </w:rPr>
            </w:pPr>
            <w:r w:rsidRPr="006A4921">
              <w:rPr>
                <w:rFonts w:eastAsia="Times New Roman" w:cs="Times New Roman"/>
                <w:color w:val="000000"/>
                <w:kern w:val="0"/>
                <w:sz w:val="20"/>
                <w:szCs w:val="20"/>
                <w14:ligatures w14:val="none"/>
              </w:rPr>
              <w:t>$50,000 - $99,999</w:t>
            </w:r>
          </w:p>
        </w:tc>
        <w:tc>
          <w:tcPr>
            <w:tcW w:w="1172" w:type="dxa"/>
            <w:tcBorders>
              <w:top w:val="nil"/>
              <w:left w:val="single" w:sz="12" w:space="0" w:color="auto"/>
              <w:bottom w:val="nil"/>
              <w:right w:val="nil"/>
            </w:tcBorders>
            <w:shd w:val="clear" w:color="auto" w:fill="auto"/>
            <w:noWrap/>
            <w:vAlign w:val="center"/>
            <w:hideMark/>
          </w:tcPr>
          <w:p w14:paraId="6EE5CB69" w14:textId="2F3E3CA1"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-0.78</w:t>
            </w:r>
          </w:p>
        </w:tc>
        <w:tc>
          <w:tcPr>
            <w:tcW w:w="1073" w:type="dxa"/>
            <w:tcBorders>
              <w:top w:val="nil"/>
              <w:left w:val="nil"/>
              <w:bottom w:val="nil"/>
              <w:right w:val="nil"/>
            </w:tcBorders>
            <w:shd w:val="clear" w:color="auto" w:fill="auto"/>
            <w:noWrap/>
            <w:vAlign w:val="center"/>
            <w:hideMark/>
          </w:tcPr>
          <w:p w14:paraId="00B96E77" w14:textId="3E35AB15"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-24.53</w:t>
            </w:r>
          </w:p>
        </w:tc>
        <w:tc>
          <w:tcPr>
            <w:tcW w:w="1103" w:type="dxa"/>
            <w:tcBorders>
              <w:top w:val="nil"/>
              <w:left w:val="nil"/>
              <w:bottom w:val="nil"/>
              <w:right w:val="nil"/>
            </w:tcBorders>
            <w:shd w:val="clear" w:color="auto" w:fill="auto"/>
            <w:noWrap/>
            <w:vAlign w:val="center"/>
            <w:hideMark/>
          </w:tcPr>
          <w:p w14:paraId="64CF6D52" w14:textId="5BBAA3C6"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5.09</w:t>
            </w:r>
          </w:p>
        </w:tc>
        <w:tc>
          <w:tcPr>
            <w:tcW w:w="960" w:type="dxa"/>
            <w:tcBorders>
              <w:top w:val="nil"/>
              <w:left w:val="nil"/>
              <w:bottom w:val="nil"/>
              <w:right w:val="nil"/>
            </w:tcBorders>
            <w:shd w:val="clear" w:color="auto" w:fill="auto"/>
            <w:noWrap/>
            <w:vAlign w:val="center"/>
            <w:hideMark/>
          </w:tcPr>
          <w:p w14:paraId="04A1D56F" w14:textId="360DA54F"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27.92</w:t>
            </w:r>
          </w:p>
        </w:tc>
        <w:tc>
          <w:tcPr>
            <w:tcW w:w="960" w:type="dxa"/>
            <w:tcBorders>
              <w:top w:val="nil"/>
              <w:left w:val="nil"/>
              <w:bottom w:val="nil"/>
              <w:right w:val="nil"/>
            </w:tcBorders>
            <w:shd w:val="clear" w:color="auto" w:fill="auto"/>
            <w:noWrap/>
            <w:vAlign w:val="center"/>
            <w:hideMark/>
          </w:tcPr>
          <w:p w14:paraId="4F85BED1" w14:textId="3A11D034"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-33.87</w:t>
            </w:r>
          </w:p>
        </w:tc>
        <w:tc>
          <w:tcPr>
            <w:tcW w:w="1159" w:type="dxa"/>
            <w:tcBorders>
              <w:top w:val="nil"/>
              <w:left w:val="nil"/>
              <w:bottom w:val="nil"/>
              <w:right w:val="nil"/>
            </w:tcBorders>
            <w:shd w:val="clear" w:color="auto" w:fill="auto"/>
            <w:noWrap/>
            <w:vAlign w:val="center"/>
            <w:hideMark/>
          </w:tcPr>
          <w:p w14:paraId="58F63A4E" w14:textId="712234E1"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5.31</w:t>
            </w:r>
          </w:p>
        </w:tc>
        <w:tc>
          <w:tcPr>
            <w:tcW w:w="960" w:type="dxa"/>
            <w:tcBorders>
              <w:top w:val="nil"/>
              <w:left w:val="nil"/>
              <w:bottom w:val="nil"/>
              <w:right w:val="nil"/>
            </w:tcBorders>
            <w:shd w:val="clear" w:color="auto" w:fill="auto"/>
            <w:noWrap/>
            <w:vAlign w:val="center"/>
            <w:hideMark/>
          </w:tcPr>
          <w:p w14:paraId="7927AF21" w14:textId="4722A5DF"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-19.88</w:t>
            </w:r>
          </w:p>
        </w:tc>
        <w:tc>
          <w:tcPr>
            <w:tcW w:w="1338" w:type="dxa"/>
            <w:tcBorders>
              <w:top w:val="nil"/>
              <w:left w:val="nil"/>
              <w:bottom w:val="nil"/>
              <w:right w:val="nil"/>
            </w:tcBorders>
            <w:shd w:val="clear" w:color="auto" w:fill="auto"/>
            <w:noWrap/>
            <w:vAlign w:val="center"/>
            <w:hideMark/>
          </w:tcPr>
          <w:p w14:paraId="02767B4E" w14:textId="62551B26"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1.07</w:t>
            </w:r>
          </w:p>
        </w:tc>
        <w:tc>
          <w:tcPr>
            <w:tcW w:w="1344" w:type="dxa"/>
            <w:tcBorders>
              <w:top w:val="nil"/>
              <w:left w:val="nil"/>
              <w:bottom w:val="nil"/>
              <w:right w:val="single" w:sz="12" w:space="0" w:color="auto"/>
            </w:tcBorders>
            <w:shd w:val="clear" w:color="auto" w:fill="auto"/>
            <w:noWrap/>
            <w:vAlign w:val="center"/>
            <w:hideMark/>
          </w:tcPr>
          <w:p w14:paraId="16650B9F" w14:textId="647B2D1D" w:rsidR="006A4921" w:rsidRPr="006A4921" w:rsidRDefault="006A4921" w:rsidP="000B75C1">
            <w:pPr>
              <w:tabs>
                <w:tab w:val="decimal" w:pos="21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33.25</w:t>
            </w:r>
          </w:p>
        </w:tc>
      </w:tr>
      <w:tr w:rsidR="006A4921" w:rsidRPr="006A4921" w14:paraId="11FA760E" w14:textId="77777777" w:rsidTr="000B75C1">
        <w:trPr>
          <w:trHeight w:val="259"/>
          <w:jc w:val="center"/>
        </w:trPr>
        <w:tc>
          <w:tcPr>
            <w:tcW w:w="1335" w:type="dxa"/>
            <w:vMerge/>
            <w:tcBorders>
              <w:top w:val="nil"/>
              <w:left w:val="single" w:sz="12" w:space="0" w:color="auto"/>
              <w:right w:val="single" w:sz="4" w:space="0" w:color="auto"/>
            </w:tcBorders>
            <w:vAlign w:val="center"/>
            <w:hideMark/>
          </w:tcPr>
          <w:p w14:paraId="48DC43AF" w14:textId="77777777" w:rsidR="006A4921" w:rsidRPr="006A4921" w:rsidRDefault="006A4921" w:rsidP="006A4921">
            <w:pPr>
              <w:spacing w:after="0" w:line="240" w:lineRule="auto"/>
              <w:rPr>
                <w:rFonts w:eastAsia="Times New Roman" w:cs="Times New Roman"/>
                <w:color w:val="000000"/>
                <w:kern w:val="0"/>
                <w:sz w:val="20"/>
                <w:szCs w:val="20"/>
                <w14:ligatures w14:val="none"/>
              </w:rPr>
            </w:pPr>
          </w:p>
        </w:tc>
        <w:tc>
          <w:tcPr>
            <w:tcW w:w="1805" w:type="dxa"/>
            <w:tcBorders>
              <w:top w:val="nil"/>
              <w:left w:val="single" w:sz="4" w:space="0" w:color="auto"/>
              <w:bottom w:val="single" w:sz="12" w:space="0" w:color="auto"/>
              <w:right w:val="single" w:sz="12" w:space="0" w:color="auto"/>
            </w:tcBorders>
            <w:shd w:val="clear" w:color="auto" w:fill="auto"/>
            <w:noWrap/>
            <w:vAlign w:val="center"/>
            <w:hideMark/>
          </w:tcPr>
          <w:p w14:paraId="451D7E7E" w14:textId="5775F19E" w:rsidR="006A4921" w:rsidRPr="006A4921" w:rsidRDefault="006A4921" w:rsidP="006A4921">
            <w:pPr>
              <w:spacing w:after="0" w:line="240" w:lineRule="auto"/>
              <w:rPr>
                <w:rFonts w:eastAsia="Times New Roman" w:cs="Times New Roman"/>
                <w:color w:val="000000"/>
                <w:kern w:val="0"/>
                <w:sz w:val="20"/>
                <w:szCs w:val="20"/>
                <w14:ligatures w14:val="none"/>
              </w:rPr>
            </w:pPr>
            <w:r w:rsidRPr="006A4921">
              <w:rPr>
                <w:rFonts w:eastAsia="Times New Roman" w:cs="Times New Roman"/>
                <w:color w:val="000000"/>
                <w:kern w:val="0"/>
                <w:sz w:val="20"/>
                <w:szCs w:val="20"/>
                <w14:ligatures w14:val="none"/>
              </w:rPr>
              <w:t>$100,000+</w:t>
            </w:r>
          </w:p>
        </w:tc>
        <w:tc>
          <w:tcPr>
            <w:tcW w:w="1172" w:type="dxa"/>
            <w:tcBorders>
              <w:top w:val="nil"/>
              <w:left w:val="single" w:sz="12" w:space="0" w:color="auto"/>
              <w:bottom w:val="single" w:sz="12" w:space="0" w:color="auto"/>
              <w:right w:val="nil"/>
            </w:tcBorders>
            <w:shd w:val="clear" w:color="auto" w:fill="auto"/>
            <w:noWrap/>
            <w:vAlign w:val="center"/>
            <w:hideMark/>
          </w:tcPr>
          <w:p w14:paraId="178A9386" w14:textId="69C644BB"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-6.20</w:t>
            </w:r>
          </w:p>
        </w:tc>
        <w:tc>
          <w:tcPr>
            <w:tcW w:w="1073" w:type="dxa"/>
            <w:tcBorders>
              <w:top w:val="nil"/>
              <w:left w:val="nil"/>
              <w:bottom w:val="single" w:sz="12" w:space="0" w:color="auto"/>
              <w:right w:val="nil"/>
            </w:tcBorders>
            <w:shd w:val="clear" w:color="auto" w:fill="auto"/>
            <w:noWrap/>
            <w:vAlign w:val="center"/>
            <w:hideMark/>
          </w:tcPr>
          <w:p w14:paraId="3A4A36CC" w14:textId="33925DE1"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79.53</w:t>
            </w:r>
          </w:p>
        </w:tc>
        <w:tc>
          <w:tcPr>
            <w:tcW w:w="1103" w:type="dxa"/>
            <w:tcBorders>
              <w:top w:val="nil"/>
              <w:left w:val="nil"/>
              <w:bottom w:val="single" w:sz="12" w:space="0" w:color="auto"/>
              <w:right w:val="nil"/>
            </w:tcBorders>
            <w:shd w:val="clear" w:color="auto" w:fill="auto"/>
            <w:noWrap/>
            <w:vAlign w:val="center"/>
            <w:hideMark/>
          </w:tcPr>
          <w:p w14:paraId="4C251603" w14:textId="50BDD8C0"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-7.55</w:t>
            </w:r>
          </w:p>
        </w:tc>
        <w:tc>
          <w:tcPr>
            <w:tcW w:w="960" w:type="dxa"/>
            <w:tcBorders>
              <w:top w:val="nil"/>
              <w:left w:val="nil"/>
              <w:bottom w:val="single" w:sz="12" w:space="0" w:color="auto"/>
              <w:right w:val="nil"/>
            </w:tcBorders>
            <w:shd w:val="clear" w:color="auto" w:fill="auto"/>
            <w:noWrap/>
            <w:vAlign w:val="center"/>
            <w:hideMark/>
          </w:tcPr>
          <w:p w14:paraId="45CA4C21" w14:textId="601762D9"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18.51</w:t>
            </w:r>
          </w:p>
        </w:tc>
        <w:tc>
          <w:tcPr>
            <w:tcW w:w="960" w:type="dxa"/>
            <w:tcBorders>
              <w:top w:val="nil"/>
              <w:left w:val="nil"/>
              <w:bottom w:val="single" w:sz="12" w:space="0" w:color="auto"/>
              <w:right w:val="nil"/>
            </w:tcBorders>
            <w:shd w:val="clear" w:color="auto" w:fill="auto"/>
            <w:noWrap/>
            <w:vAlign w:val="center"/>
            <w:hideMark/>
          </w:tcPr>
          <w:p w14:paraId="7CD75C0F" w14:textId="0D650C77"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-8.90</w:t>
            </w:r>
          </w:p>
        </w:tc>
        <w:tc>
          <w:tcPr>
            <w:tcW w:w="1159" w:type="dxa"/>
            <w:tcBorders>
              <w:top w:val="nil"/>
              <w:left w:val="nil"/>
              <w:bottom w:val="single" w:sz="12" w:space="0" w:color="auto"/>
              <w:right w:val="nil"/>
            </w:tcBorders>
            <w:shd w:val="clear" w:color="auto" w:fill="auto"/>
            <w:noWrap/>
            <w:vAlign w:val="center"/>
            <w:hideMark/>
          </w:tcPr>
          <w:p w14:paraId="6CF3B5FD" w14:textId="119BAEAB"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3.21</w:t>
            </w:r>
          </w:p>
        </w:tc>
        <w:tc>
          <w:tcPr>
            <w:tcW w:w="960" w:type="dxa"/>
            <w:tcBorders>
              <w:top w:val="nil"/>
              <w:left w:val="nil"/>
              <w:bottom w:val="single" w:sz="12" w:space="0" w:color="auto"/>
              <w:right w:val="nil"/>
            </w:tcBorders>
            <w:shd w:val="clear" w:color="auto" w:fill="auto"/>
            <w:noWrap/>
            <w:vAlign w:val="center"/>
            <w:hideMark/>
          </w:tcPr>
          <w:p w14:paraId="5C99A591" w14:textId="3D91FE90"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-19.51</w:t>
            </w:r>
          </w:p>
        </w:tc>
        <w:tc>
          <w:tcPr>
            <w:tcW w:w="1338" w:type="dxa"/>
            <w:tcBorders>
              <w:top w:val="nil"/>
              <w:left w:val="nil"/>
              <w:bottom w:val="single" w:sz="12" w:space="0" w:color="auto"/>
              <w:right w:val="nil"/>
            </w:tcBorders>
            <w:shd w:val="clear" w:color="auto" w:fill="auto"/>
            <w:noWrap/>
            <w:vAlign w:val="center"/>
            <w:hideMark/>
          </w:tcPr>
          <w:p w14:paraId="0D7192DB" w14:textId="36903C83"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1.48</w:t>
            </w:r>
          </w:p>
        </w:tc>
        <w:tc>
          <w:tcPr>
            <w:tcW w:w="1344" w:type="dxa"/>
            <w:tcBorders>
              <w:top w:val="nil"/>
              <w:left w:val="nil"/>
              <w:bottom w:val="single" w:sz="12" w:space="0" w:color="auto"/>
              <w:right w:val="single" w:sz="12" w:space="0" w:color="auto"/>
            </w:tcBorders>
            <w:shd w:val="clear" w:color="auto" w:fill="auto"/>
            <w:noWrap/>
            <w:vAlign w:val="center"/>
            <w:hideMark/>
          </w:tcPr>
          <w:p w14:paraId="591B939B" w14:textId="5D613388" w:rsidR="006A4921" w:rsidRPr="006A4921" w:rsidRDefault="006A4921" w:rsidP="000B75C1">
            <w:pPr>
              <w:tabs>
                <w:tab w:val="decimal" w:pos="21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-17.11</w:t>
            </w:r>
          </w:p>
        </w:tc>
      </w:tr>
      <w:tr w:rsidR="006A4921" w:rsidRPr="006A4921" w14:paraId="24E3EE2A" w14:textId="77777777" w:rsidTr="000B75C1">
        <w:trPr>
          <w:trHeight w:val="259"/>
          <w:jc w:val="center"/>
        </w:trPr>
        <w:tc>
          <w:tcPr>
            <w:tcW w:w="1335" w:type="dxa"/>
            <w:vMerge w:val="restart"/>
            <w:tcBorders>
              <w:top w:val="single" w:sz="12" w:space="0" w:color="auto"/>
              <w:left w:val="single" w:sz="12" w:space="0" w:color="auto"/>
              <w:bottom w:val="nil"/>
              <w:right w:val="single" w:sz="4" w:space="0" w:color="auto"/>
            </w:tcBorders>
            <w:shd w:val="clear" w:color="auto" w:fill="auto"/>
            <w:noWrap/>
            <w:vAlign w:val="center"/>
            <w:hideMark/>
          </w:tcPr>
          <w:p w14:paraId="508FBB45" w14:textId="77777777" w:rsidR="006A4921" w:rsidRPr="006A4921" w:rsidRDefault="006A4921" w:rsidP="006A4921">
            <w:pPr>
              <w:spacing w:after="0" w:line="240" w:lineRule="auto"/>
              <w:rPr>
                <w:rFonts w:eastAsia="Times New Roman" w:cs="Times New Roman"/>
                <w:color w:val="000000"/>
                <w:kern w:val="0"/>
                <w:sz w:val="20"/>
                <w:szCs w:val="20"/>
                <w14:ligatures w14:val="none"/>
              </w:rPr>
            </w:pPr>
            <w:r w:rsidRPr="006A4921">
              <w:rPr>
                <w:rFonts w:eastAsia="Times New Roman" w:cs="Times New Roman"/>
                <w:color w:val="000000"/>
                <w:kern w:val="0"/>
                <w:sz w:val="20"/>
                <w:szCs w:val="20"/>
                <w14:ligatures w14:val="none"/>
              </w:rPr>
              <w:t>Household Race</w:t>
            </w:r>
          </w:p>
        </w:tc>
        <w:tc>
          <w:tcPr>
            <w:tcW w:w="1805" w:type="dxa"/>
            <w:tcBorders>
              <w:top w:val="single" w:sz="12" w:space="0" w:color="auto"/>
              <w:left w:val="single" w:sz="4" w:space="0" w:color="auto"/>
              <w:bottom w:val="nil"/>
              <w:right w:val="single" w:sz="12" w:space="0" w:color="auto"/>
            </w:tcBorders>
            <w:shd w:val="clear" w:color="auto" w:fill="auto"/>
            <w:noWrap/>
            <w:vAlign w:val="center"/>
            <w:hideMark/>
          </w:tcPr>
          <w:p w14:paraId="35102B25" w14:textId="77777777" w:rsidR="006A4921" w:rsidRPr="006A4921" w:rsidRDefault="006A4921" w:rsidP="006A4921">
            <w:pPr>
              <w:spacing w:after="0" w:line="240" w:lineRule="auto"/>
              <w:rPr>
                <w:rFonts w:eastAsia="Times New Roman" w:cs="Times New Roman"/>
                <w:color w:val="000000"/>
                <w:kern w:val="0"/>
                <w:sz w:val="20"/>
                <w:szCs w:val="20"/>
                <w14:ligatures w14:val="none"/>
              </w:rPr>
            </w:pPr>
            <w:r w:rsidRPr="006A4921">
              <w:rPr>
                <w:rFonts w:eastAsia="Times New Roman" w:cs="Times New Roman"/>
                <w:color w:val="000000"/>
                <w:kern w:val="0"/>
                <w:sz w:val="20"/>
                <w:szCs w:val="20"/>
                <w14:ligatures w14:val="none"/>
              </w:rPr>
              <w:t>White</w:t>
            </w:r>
          </w:p>
        </w:tc>
        <w:tc>
          <w:tcPr>
            <w:tcW w:w="1172" w:type="dxa"/>
            <w:tcBorders>
              <w:top w:val="single" w:sz="12" w:space="0" w:color="auto"/>
              <w:left w:val="single" w:sz="12" w:space="0" w:color="auto"/>
              <w:bottom w:val="nil"/>
              <w:right w:val="nil"/>
            </w:tcBorders>
            <w:shd w:val="clear" w:color="auto" w:fill="auto"/>
            <w:noWrap/>
            <w:vAlign w:val="center"/>
            <w:hideMark/>
          </w:tcPr>
          <w:p w14:paraId="4854058E" w14:textId="07CB6694"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-5.26</w:t>
            </w:r>
          </w:p>
        </w:tc>
        <w:tc>
          <w:tcPr>
            <w:tcW w:w="1073" w:type="dxa"/>
            <w:tcBorders>
              <w:top w:val="single" w:sz="12" w:space="0" w:color="auto"/>
              <w:left w:val="nil"/>
              <w:bottom w:val="nil"/>
              <w:right w:val="nil"/>
            </w:tcBorders>
            <w:shd w:val="clear" w:color="auto" w:fill="auto"/>
            <w:noWrap/>
            <w:vAlign w:val="center"/>
            <w:hideMark/>
          </w:tcPr>
          <w:p w14:paraId="5A65EDA1" w14:textId="0596814E"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18.76</w:t>
            </w:r>
          </w:p>
        </w:tc>
        <w:tc>
          <w:tcPr>
            <w:tcW w:w="1103" w:type="dxa"/>
            <w:tcBorders>
              <w:top w:val="single" w:sz="12" w:space="0" w:color="auto"/>
              <w:left w:val="nil"/>
              <w:bottom w:val="nil"/>
              <w:right w:val="nil"/>
            </w:tcBorders>
            <w:shd w:val="clear" w:color="auto" w:fill="auto"/>
            <w:noWrap/>
            <w:vAlign w:val="center"/>
            <w:hideMark/>
          </w:tcPr>
          <w:p w14:paraId="135A198D" w14:textId="514A7B6C"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-1.84</w:t>
            </w:r>
          </w:p>
        </w:tc>
        <w:tc>
          <w:tcPr>
            <w:tcW w:w="960" w:type="dxa"/>
            <w:tcBorders>
              <w:top w:val="single" w:sz="12" w:space="0" w:color="auto"/>
              <w:left w:val="nil"/>
              <w:bottom w:val="nil"/>
              <w:right w:val="nil"/>
            </w:tcBorders>
            <w:shd w:val="clear" w:color="auto" w:fill="auto"/>
            <w:noWrap/>
            <w:vAlign w:val="center"/>
            <w:hideMark/>
          </w:tcPr>
          <w:p w14:paraId="0292E475" w14:textId="5C046280"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20.48</w:t>
            </w:r>
          </w:p>
        </w:tc>
        <w:tc>
          <w:tcPr>
            <w:tcW w:w="960" w:type="dxa"/>
            <w:tcBorders>
              <w:top w:val="single" w:sz="12" w:space="0" w:color="auto"/>
              <w:left w:val="nil"/>
              <w:bottom w:val="nil"/>
              <w:right w:val="nil"/>
            </w:tcBorders>
            <w:shd w:val="clear" w:color="auto" w:fill="auto"/>
            <w:noWrap/>
            <w:vAlign w:val="center"/>
            <w:hideMark/>
          </w:tcPr>
          <w:p w14:paraId="585312C0" w14:textId="52B75E42"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-19.51</w:t>
            </w:r>
          </w:p>
        </w:tc>
        <w:tc>
          <w:tcPr>
            <w:tcW w:w="1159" w:type="dxa"/>
            <w:tcBorders>
              <w:top w:val="single" w:sz="12" w:space="0" w:color="auto"/>
              <w:left w:val="nil"/>
              <w:bottom w:val="nil"/>
              <w:right w:val="nil"/>
            </w:tcBorders>
            <w:shd w:val="clear" w:color="auto" w:fill="auto"/>
            <w:noWrap/>
            <w:vAlign w:val="center"/>
            <w:hideMark/>
          </w:tcPr>
          <w:p w14:paraId="06033D14" w14:textId="46182364"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14.50</w:t>
            </w:r>
          </w:p>
        </w:tc>
        <w:tc>
          <w:tcPr>
            <w:tcW w:w="960" w:type="dxa"/>
            <w:tcBorders>
              <w:top w:val="single" w:sz="12" w:space="0" w:color="auto"/>
              <w:left w:val="nil"/>
              <w:bottom w:val="nil"/>
              <w:right w:val="nil"/>
            </w:tcBorders>
            <w:shd w:val="clear" w:color="auto" w:fill="auto"/>
            <w:noWrap/>
            <w:vAlign w:val="center"/>
            <w:hideMark/>
          </w:tcPr>
          <w:p w14:paraId="454ACCE8" w14:textId="0F6DA8E6"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-20.38</w:t>
            </w:r>
          </w:p>
        </w:tc>
        <w:tc>
          <w:tcPr>
            <w:tcW w:w="1338" w:type="dxa"/>
            <w:tcBorders>
              <w:top w:val="single" w:sz="12" w:space="0" w:color="auto"/>
              <w:left w:val="nil"/>
              <w:bottom w:val="nil"/>
              <w:right w:val="nil"/>
            </w:tcBorders>
            <w:shd w:val="clear" w:color="auto" w:fill="auto"/>
            <w:noWrap/>
            <w:vAlign w:val="center"/>
            <w:hideMark/>
          </w:tcPr>
          <w:p w14:paraId="61A3B34D" w14:textId="64FB93DA"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0.58</w:t>
            </w:r>
          </w:p>
        </w:tc>
        <w:tc>
          <w:tcPr>
            <w:tcW w:w="1344" w:type="dxa"/>
            <w:tcBorders>
              <w:top w:val="single" w:sz="12" w:space="0" w:color="auto"/>
              <w:left w:val="nil"/>
              <w:bottom w:val="nil"/>
              <w:right w:val="single" w:sz="12" w:space="0" w:color="auto"/>
            </w:tcBorders>
            <w:shd w:val="clear" w:color="auto" w:fill="auto"/>
            <w:noWrap/>
            <w:vAlign w:val="center"/>
            <w:hideMark/>
          </w:tcPr>
          <w:p w14:paraId="602274B3" w14:textId="735F2D85" w:rsidR="006A4921" w:rsidRPr="006A4921" w:rsidRDefault="006A4921" w:rsidP="000B75C1">
            <w:pPr>
              <w:tabs>
                <w:tab w:val="decimal" w:pos="21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12.27</w:t>
            </w:r>
          </w:p>
        </w:tc>
      </w:tr>
      <w:tr w:rsidR="006A4921" w:rsidRPr="006A4921" w14:paraId="7876E7DE" w14:textId="77777777" w:rsidTr="000B75C1">
        <w:trPr>
          <w:trHeight w:val="259"/>
          <w:jc w:val="center"/>
        </w:trPr>
        <w:tc>
          <w:tcPr>
            <w:tcW w:w="1335" w:type="dxa"/>
            <w:vMerge/>
            <w:tcBorders>
              <w:top w:val="nil"/>
              <w:left w:val="single" w:sz="12" w:space="0" w:color="auto"/>
              <w:bottom w:val="nil"/>
              <w:right w:val="single" w:sz="4" w:space="0" w:color="auto"/>
            </w:tcBorders>
            <w:vAlign w:val="center"/>
            <w:hideMark/>
          </w:tcPr>
          <w:p w14:paraId="573493C1" w14:textId="77777777" w:rsidR="006A4921" w:rsidRPr="006A4921" w:rsidRDefault="006A4921" w:rsidP="006A4921">
            <w:pPr>
              <w:spacing w:after="0" w:line="240" w:lineRule="auto"/>
              <w:rPr>
                <w:rFonts w:eastAsia="Times New Roman" w:cs="Times New Roman"/>
                <w:color w:val="000000"/>
                <w:kern w:val="0"/>
                <w:sz w:val="20"/>
                <w:szCs w:val="20"/>
                <w14:ligatures w14:val="none"/>
              </w:rPr>
            </w:pPr>
          </w:p>
        </w:tc>
        <w:tc>
          <w:tcPr>
            <w:tcW w:w="1805" w:type="dxa"/>
            <w:tcBorders>
              <w:top w:val="nil"/>
              <w:left w:val="single" w:sz="4" w:space="0" w:color="auto"/>
              <w:bottom w:val="nil"/>
              <w:right w:val="single" w:sz="12" w:space="0" w:color="auto"/>
            </w:tcBorders>
            <w:shd w:val="clear" w:color="auto" w:fill="auto"/>
            <w:noWrap/>
            <w:vAlign w:val="center"/>
            <w:hideMark/>
          </w:tcPr>
          <w:p w14:paraId="17152C6E" w14:textId="77777777" w:rsidR="006A4921" w:rsidRPr="006A4921" w:rsidRDefault="006A4921" w:rsidP="006A4921">
            <w:pPr>
              <w:spacing w:after="0" w:line="240" w:lineRule="auto"/>
              <w:rPr>
                <w:rFonts w:eastAsia="Times New Roman" w:cs="Times New Roman"/>
                <w:color w:val="000000"/>
                <w:kern w:val="0"/>
                <w:sz w:val="20"/>
                <w:szCs w:val="20"/>
                <w14:ligatures w14:val="none"/>
              </w:rPr>
            </w:pPr>
            <w:r w:rsidRPr="006A4921">
              <w:rPr>
                <w:rFonts w:eastAsia="Times New Roman" w:cs="Times New Roman"/>
                <w:color w:val="000000"/>
                <w:kern w:val="0"/>
                <w:sz w:val="20"/>
                <w:szCs w:val="20"/>
                <w14:ligatures w14:val="none"/>
              </w:rPr>
              <w:t xml:space="preserve">Asian </w:t>
            </w:r>
          </w:p>
        </w:tc>
        <w:tc>
          <w:tcPr>
            <w:tcW w:w="1172" w:type="dxa"/>
            <w:tcBorders>
              <w:top w:val="nil"/>
              <w:left w:val="single" w:sz="12" w:space="0" w:color="auto"/>
              <w:bottom w:val="nil"/>
              <w:right w:val="nil"/>
            </w:tcBorders>
            <w:shd w:val="clear" w:color="auto" w:fill="auto"/>
            <w:noWrap/>
            <w:vAlign w:val="center"/>
            <w:hideMark/>
          </w:tcPr>
          <w:p w14:paraId="22563F38" w14:textId="424DF9E1"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-4.98</w:t>
            </w:r>
          </w:p>
        </w:tc>
        <w:tc>
          <w:tcPr>
            <w:tcW w:w="1073" w:type="dxa"/>
            <w:tcBorders>
              <w:top w:val="nil"/>
              <w:left w:val="nil"/>
              <w:bottom w:val="nil"/>
              <w:right w:val="nil"/>
            </w:tcBorders>
            <w:shd w:val="clear" w:color="auto" w:fill="auto"/>
            <w:noWrap/>
            <w:vAlign w:val="center"/>
            <w:hideMark/>
          </w:tcPr>
          <w:p w14:paraId="61C41737" w14:textId="4BF489B0"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17.46</w:t>
            </w:r>
          </w:p>
        </w:tc>
        <w:tc>
          <w:tcPr>
            <w:tcW w:w="1103" w:type="dxa"/>
            <w:tcBorders>
              <w:top w:val="nil"/>
              <w:left w:val="nil"/>
              <w:bottom w:val="nil"/>
              <w:right w:val="nil"/>
            </w:tcBorders>
            <w:shd w:val="clear" w:color="auto" w:fill="auto"/>
            <w:noWrap/>
            <w:vAlign w:val="center"/>
            <w:hideMark/>
          </w:tcPr>
          <w:p w14:paraId="3ABB8AF2" w14:textId="2D4A125F"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-1.51</w:t>
            </w:r>
          </w:p>
        </w:tc>
        <w:tc>
          <w:tcPr>
            <w:tcW w:w="960" w:type="dxa"/>
            <w:tcBorders>
              <w:top w:val="nil"/>
              <w:left w:val="nil"/>
              <w:bottom w:val="nil"/>
              <w:right w:val="nil"/>
            </w:tcBorders>
            <w:shd w:val="clear" w:color="auto" w:fill="auto"/>
            <w:noWrap/>
            <w:vAlign w:val="center"/>
            <w:hideMark/>
          </w:tcPr>
          <w:p w14:paraId="47CE4A51" w14:textId="257F302E"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20.40</w:t>
            </w:r>
          </w:p>
        </w:tc>
        <w:tc>
          <w:tcPr>
            <w:tcW w:w="960" w:type="dxa"/>
            <w:tcBorders>
              <w:top w:val="nil"/>
              <w:left w:val="nil"/>
              <w:bottom w:val="nil"/>
              <w:right w:val="nil"/>
            </w:tcBorders>
            <w:shd w:val="clear" w:color="auto" w:fill="auto"/>
            <w:noWrap/>
            <w:vAlign w:val="center"/>
            <w:hideMark/>
          </w:tcPr>
          <w:p w14:paraId="5005EE8D" w14:textId="03E34A86"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-19.23</w:t>
            </w:r>
          </w:p>
        </w:tc>
        <w:tc>
          <w:tcPr>
            <w:tcW w:w="1159" w:type="dxa"/>
            <w:tcBorders>
              <w:top w:val="nil"/>
              <w:left w:val="nil"/>
              <w:bottom w:val="nil"/>
              <w:right w:val="nil"/>
            </w:tcBorders>
            <w:shd w:val="clear" w:color="auto" w:fill="auto"/>
            <w:noWrap/>
            <w:vAlign w:val="center"/>
            <w:hideMark/>
          </w:tcPr>
          <w:p w14:paraId="0E9D6AFF" w14:textId="6449D7A2"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15.78</w:t>
            </w:r>
          </w:p>
        </w:tc>
        <w:tc>
          <w:tcPr>
            <w:tcW w:w="960" w:type="dxa"/>
            <w:tcBorders>
              <w:top w:val="nil"/>
              <w:left w:val="nil"/>
              <w:bottom w:val="nil"/>
              <w:right w:val="nil"/>
            </w:tcBorders>
            <w:shd w:val="clear" w:color="auto" w:fill="auto"/>
            <w:noWrap/>
            <w:vAlign w:val="center"/>
            <w:hideMark/>
          </w:tcPr>
          <w:p w14:paraId="481E6EF6" w14:textId="27F8A5DE"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-19.86</w:t>
            </w:r>
          </w:p>
        </w:tc>
        <w:tc>
          <w:tcPr>
            <w:tcW w:w="1338" w:type="dxa"/>
            <w:tcBorders>
              <w:top w:val="nil"/>
              <w:left w:val="nil"/>
              <w:bottom w:val="nil"/>
              <w:right w:val="nil"/>
            </w:tcBorders>
            <w:shd w:val="clear" w:color="auto" w:fill="auto"/>
            <w:noWrap/>
            <w:vAlign w:val="center"/>
            <w:hideMark/>
          </w:tcPr>
          <w:p w14:paraId="5293A14B" w14:textId="5F73A1B5"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1.27</w:t>
            </w:r>
          </w:p>
        </w:tc>
        <w:tc>
          <w:tcPr>
            <w:tcW w:w="1344" w:type="dxa"/>
            <w:tcBorders>
              <w:top w:val="nil"/>
              <w:left w:val="nil"/>
              <w:bottom w:val="nil"/>
              <w:right w:val="single" w:sz="12" w:space="0" w:color="auto"/>
            </w:tcBorders>
            <w:shd w:val="clear" w:color="auto" w:fill="auto"/>
            <w:noWrap/>
            <w:vAlign w:val="center"/>
            <w:hideMark/>
          </w:tcPr>
          <w:p w14:paraId="049F907E" w14:textId="55CCBC52" w:rsidR="006A4921" w:rsidRPr="006A4921" w:rsidRDefault="006A4921" w:rsidP="000B75C1">
            <w:pPr>
              <w:tabs>
                <w:tab w:val="decimal" w:pos="21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12.45</w:t>
            </w:r>
          </w:p>
        </w:tc>
      </w:tr>
      <w:tr w:rsidR="006A4921" w:rsidRPr="006A4921" w14:paraId="1EDCC229" w14:textId="77777777" w:rsidTr="000B75C1">
        <w:trPr>
          <w:trHeight w:val="259"/>
          <w:jc w:val="center"/>
        </w:trPr>
        <w:tc>
          <w:tcPr>
            <w:tcW w:w="1335" w:type="dxa"/>
            <w:vMerge/>
            <w:tcBorders>
              <w:top w:val="nil"/>
              <w:left w:val="single" w:sz="12" w:space="0" w:color="auto"/>
              <w:right w:val="single" w:sz="4" w:space="0" w:color="auto"/>
            </w:tcBorders>
            <w:vAlign w:val="center"/>
            <w:hideMark/>
          </w:tcPr>
          <w:p w14:paraId="04AA3566" w14:textId="77777777" w:rsidR="006A4921" w:rsidRPr="006A4921" w:rsidRDefault="006A4921" w:rsidP="006A4921">
            <w:pPr>
              <w:spacing w:after="0" w:line="240" w:lineRule="auto"/>
              <w:rPr>
                <w:rFonts w:eastAsia="Times New Roman" w:cs="Times New Roman"/>
                <w:color w:val="000000"/>
                <w:kern w:val="0"/>
                <w:sz w:val="20"/>
                <w:szCs w:val="20"/>
                <w14:ligatures w14:val="none"/>
              </w:rPr>
            </w:pPr>
          </w:p>
        </w:tc>
        <w:tc>
          <w:tcPr>
            <w:tcW w:w="1805" w:type="dxa"/>
            <w:tcBorders>
              <w:top w:val="nil"/>
              <w:left w:val="single" w:sz="4" w:space="0" w:color="auto"/>
              <w:bottom w:val="single" w:sz="12" w:space="0" w:color="auto"/>
              <w:right w:val="single" w:sz="12" w:space="0" w:color="auto"/>
            </w:tcBorders>
            <w:shd w:val="clear" w:color="auto" w:fill="auto"/>
            <w:noWrap/>
            <w:vAlign w:val="center"/>
            <w:hideMark/>
          </w:tcPr>
          <w:p w14:paraId="10CF4660" w14:textId="77777777" w:rsidR="006A4921" w:rsidRPr="006A4921" w:rsidRDefault="006A4921" w:rsidP="006A4921">
            <w:pPr>
              <w:spacing w:after="0" w:line="240" w:lineRule="auto"/>
              <w:rPr>
                <w:rFonts w:eastAsia="Times New Roman" w:cs="Times New Roman"/>
                <w:color w:val="000000"/>
                <w:kern w:val="0"/>
                <w:sz w:val="20"/>
                <w:szCs w:val="20"/>
                <w14:ligatures w14:val="none"/>
              </w:rPr>
            </w:pPr>
            <w:r w:rsidRPr="006A4921">
              <w:rPr>
                <w:rFonts w:eastAsia="Times New Roman" w:cs="Times New Roman"/>
                <w:color w:val="000000"/>
                <w:kern w:val="0"/>
                <w:sz w:val="20"/>
                <w:szCs w:val="20"/>
                <w14:ligatures w14:val="none"/>
              </w:rPr>
              <w:t>Black or Other</w:t>
            </w:r>
          </w:p>
        </w:tc>
        <w:tc>
          <w:tcPr>
            <w:tcW w:w="1172" w:type="dxa"/>
            <w:tcBorders>
              <w:top w:val="nil"/>
              <w:left w:val="single" w:sz="12" w:space="0" w:color="auto"/>
              <w:bottom w:val="single" w:sz="12" w:space="0" w:color="auto"/>
              <w:right w:val="nil"/>
            </w:tcBorders>
            <w:shd w:val="clear" w:color="auto" w:fill="auto"/>
            <w:noWrap/>
            <w:vAlign w:val="center"/>
            <w:hideMark/>
          </w:tcPr>
          <w:p w14:paraId="7ACB8CD0" w14:textId="79E4240D"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1.60</w:t>
            </w:r>
          </w:p>
        </w:tc>
        <w:tc>
          <w:tcPr>
            <w:tcW w:w="1073" w:type="dxa"/>
            <w:tcBorders>
              <w:top w:val="nil"/>
              <w:left w:val="nil"/>
              <w:bottom w:val="single" w:sz="12" w:space="0" w:color="auto"/>
              <w:right w:val="nil"/>
            </w:tcBorders>
            <w:shd w:val="clear" w:color="auto" w:fill="auto"/>
            <w:noWrap/>
            <w:vAlign w:val="center"/>
            <w:hideMark/>
          </w:tcPr>
          <w:p w14:paraId="6DE613C0" w14:textId="234D65BB"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26.06</w:t>
            </w:r>
          </w:p>
        </w:tc>
        <w:tc>
          <w:tcPr>
            <w:tcW w:w="1103" w:type="dxa"/>
            <w:tcBorders>
              <w:top w:val="nil"/>
              <w:left w:val="nil"/>
              <w:bottom w:val="single" w:sz="12" w:space="0" w:color="auto"/>
              <w:right w:val="nil"/>
            </w:tcBorders>
            <w:shd w:val="clear" w:color="auto" w:fill="auto"/>
            <w:noWrap/>
            <w:vAlign w:val="center"/>
            <w:hideMark/>
          </w:tcPr>
          <w:p w14:paraId="2E90A742" w14:textId="3C81DAFF"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4.33</w:t>
            </w:r>
          </w:p>
        </w:tc>
        <w:tc>
          <w:tcPr>
            <w:tcW w:w="960" w:type="dxa"/>
            <w:tcBorders>
              <w:top w:val="nil"/>
              <w:left w:val="nil"/>
              <w:bottom w:val="single" w:sz="12" w:space="0" w:color="auto"/>
              <w:right w:val="nil"/>
            </w:tcBorders>
            <w:shd w:val="clear" w:color="auto" w:fill="auto"/>
            <w:noWrap/>
            <w:vAlign w:val="center"/>
            <w:hideMark/>
          </w:tcPr>
          <w:p w14:paraId="7E6D6836" w14:textId="1531A82C"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32.44</w:t>
            </w:r>
          </w:p>
        </w:tc>
        <w:tc>
          <w:tcPr>
            <w:tcW w:w="960" w:type="dxa"/>
            <w:tcBorders>
              <w:top w:val="nil"/>
              <w:left w:val="nil"/>
              <w:bottom w:val="single" w:sz="12" w:space="0" w:color="auto"/>
              <w:right w:val="nil"/>
            </w:tcBorders>
            <w:shd w:val="clear" w:color="auto" w:fill="auto"/>
            <w:noWrap/>
            <w:vAlign w:val="center"/>
            <w:hideMark/>
          </w:tcPr>
          <w:p w14:paraId="4643ECA2" w14:textId="71D1F859"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-15.45</w:t>
            </w:r>
          </w:p>
        </w:tc>
        <w:tc>
          <w:tcPr>
            <w:tcW w:w="1159" w:type="dxa"/>
            <w:tcBorders>
              <w:top w:val="nil"/>
              <w:left w:val="nil"/>
              <w:bottom w:val="single" w:sz="12" w:space="0" w:color="auto"/>
              <w:right w:val="nil"/>
            </w:tcBorders>
            <w:shd w:val="clear" w:color="auto" w:fill="auto"/>
            <w:noWrap/>
            <w:vAlign w:val="center"/>
            <w:hideMark/>
          </w:tcPr>
          <w:p w14:paraId="36D9D6FF" w14:textId="4625529F"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-33.47</w:t>
            </w:r>
          </w:p>
        </w:tc>
        <w:tc>
          <w:tcPr>
            <w:tcW w:w="960" w:type="dxa"/>
            <w:tcBorders>
              <w:top w:val="nil"/>
              <w:left w:val="nil"/>
              <w:bottom w:val="single" w:sz="12" w:space="0" w:color="auto"/>
              <w:right w:val="nil"/>
            </w:tcBorders>
            <w:shd w:val="clear" w:color="auto" w:fill="auto"/>
            <w:noWrap/>
            <w:vAlign w:val="center"/>
            <w:hideMark/>
          </w:tcPr>
          <w:p w14:paraId="5E19CDCD" w14:textId="3689514D"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-18.60</w:t>
            </w:r>
          </w:p>
        </w:tc>
        <w:tc>
          <w:tcPr>
            <w:tcW w:w="1338" w:type="dxa"/>
            <w:tcBorders>
              <w:top w:val="nil"/>
              <w:left w:val="nil"/>
              <w:bottom w:val="single" w:sz="12" w:space="0" w:color="auto"/>
              <w:right w:val="nil"/>
            </w:tcBorders>
            <w:shd w:val="clear" w:color="auto" w:fill="auto"/>
            <w:noWrap/>
            <w:vAlign w:val="center"/>
            <w:hideMark/>
          </w:tcPr>
          <w:p w14:paraId="1EF91129" w14:textId="32747774"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3.54</w:t>
            </w:r>
          </w:p>
        </w:tc>
        <w:tc>
          <w:tcPr>
            <w:tcW w:w="1344" w:type="dxa"/>
            <w:tcBorders>
              <w:top w:val="nil"/>
              <w:left w:val="nil"/>
              <w:bottom w:val="single" w:sz="12" w:space="0" w:color="auto"/>
              <w:right w:val="single" w:sz="12" w:space="0" w:color="auto"/>
            </w:tcBorders>
            <w:shd w:val="clear" w:color="auto" w:fill="auto"/>
            <w:noWrap/>
            <w:vAlign w:val="center"/>
            <w:hideMark/>
          </w:tcPr>
          <w:p w14:paraId="541403A5" w14:textId="51370FA5" w:rsidR="006A4921" w:rsidRPr="006A4921" w:rsidRDefault="006A4921" w:rsidP="000B75C1">
            <w:pPr>
              <w:tabs>
                <w:tab w:val="decimal" w:pos="21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16.36</w:t>
            </w:r>
          </w:p>
        </w:tc>
      </w:tr>
      <w:tr w:rsidR="006A4921" w:rsidRPr="006A4921" w14:paraId="0E7AAA4F" w14:textId="77777777" w:rsidTr="000B75C1">
        <w:trPr>
          <w:trHeight w:val="259"/>
          <w:jc w:val="center"/>
        </w:trPr>
        <w:tc>
          <w:tcPr>
            <w:tcW w:w="1335" w:type="dxa"/>
            <w:vMerge w:val="restart"/>
            <w:tcBorders>
              <w:top w:val="single" w:sz="12" w:space="0" w:color="auto"/>
              <w:left w:val="single" w:sz="12" w:space="0" w:color="auto"/>
              <w:bottom w:val="nil"/>
              <w:right w:val="single" w:sz="4" w:space="0" w:color="auto"/>
            </w:tcBorders>
            <w:shd w:val="clear" w:color="auto" w:fill="auto"/>
            <w:noWrap/>
            <w:vAlign w:val="center"/>
            <w:hideMark/>
          </w:tcPr>
          <w:p w14:paraId="161163FB" w14:textId="77777777" w:rsidR="006A4921" w:rsidRPr="006A4921" w:rsidRDefault="006A4921" w:rsidP="006A4921">
            <w:pPr>
              <w:spacing w:after="0" w:line="240" w:lineRule="auto"/>
              <w:rPr>
                <w:rFonts w:eastAsia="Times New Roman" w:cs="Times New Roman"/>
                <w:color w:val="000000"/>
                <w:kern w:val="0"/>
                <w:sz w:val="20"/>
                <w:szCs w:val="20"/>
                <w14:ligatures w14:val="none"/>
              </w:rPr>
            </w:pPr>
            <w:r w:rsidRPr="006A4921">
              <w:rPr>
                <w:rFonts w:eastAsia="Times New Roman" w:cs="Times New Roman"/>
                <w:color w:val="000000"/>
                <w:kern w:val="0"/>
                <w:sz w:val="20"/>
                <w:szCs w:val="20"/>
                <w14:ligatures w14:val="none"/>
              </w:rPr>
              <w:t>Ethnicity</w:t>
            </w:r>
          </w:p>
        </w:tc>
        <w:tc>
          <w:tcPr>
            <w:tcW w:w="1805" w:type="dxa"/>
            <w:tcBorders>
              <w:top w:val="single" w:sz="12" w:space="0" w:color="auto"/>
              <w:left w:val="single" w:sz="4" w:space="0" w:color="auto"/>
              <w:bottom w:val="nil"/>
              <w:right w:val="single" w:sz="12" w:space="0" w:color="auto"/>
            </w:tcBorders>
            <w:shd w:val="clear" w:color="auto" w:fill="auto"/>
            <w:noWrap/>
            <w:vAlign w:val="center"/>
            <w:hideMark/>
          </w:tcPr>
          <w:p w14:paraId="343559CB" w14:textId="77777777" w:rsidR="006A4921" w:rsidRPr="006A4921" w:rsidRDefault="006A4921" w:rsidP="006A4921">
            <w:pPr>
              <w:spacing w:after="0" w:line="240" w:lineRule="auto"/>
              <w:rPr>
                <w:rFonts w:eastAsia="Times New Roman" w:cs="Times New Roman"/>
                <w:color w:val="000000"/>
                <w:kern w:val="0"/>
                <w:sz w:val="20"/>
                <w:szCs w:val="20"/>
                <w14:ligatures w14:val="none"/>
              </w:rPr>
            </w:pPr>
            <w:r w:rsidRPr="006A4921">
              <w:rPr>
                <w:rFonts w:eastAsia="Times New Roman" w:cs="Times New Roman"/>
                <w:color w:val="000000"/>
                <w:kern w:val="0"/>
                <w:sz w:val="20"/>
                <w:szCs w:val="20"/>
                <w14:ligatures w14:val="none"/>
              </w:rPr>
              <w:t>Not Hispanic</w:t>
            </w:r>
          </w:p>
        </w:tc>
        <w:tc>
          <w:tcPr>
            <w:tcW w:w="1172" w:type="dxa"/>
            <w:tcBorders>
              <w:top w:val="single" w:sz="12" w:space="0" w:color="auto"/>
              <w:left w:val="single" w:sz="12" w:space="0" w:color="auto"/>
              <w:bottom w:val="nil"/>
              <w:right w:val="nil"/>
            </w:tcBorders>
            <w:shd w:val="clear" w:color="auto" w:fill="auto"/>
            <w:noWrap/>
            <w:vAlign w:val="center"/>
            <w:hideMark/>
          </w:tcPr>
          <w:p w14:paraId="7DC290C4" w14:textId="26475FF6"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-2.24</w:t>
            </w:r>
          </w:p>
        </w:tc>
        <w:tc>
          <w:tcPr>
            <w:tcW w:w="1073" w:type="dxa"/>
            <w:tcBorders>
              <w:top w:val="single" w:sz="12" w:space="0" w:color="auto"/>
              <w:left w:val="nil"/>
              <w:bottom w:val="nil"/>
              <w:right w:val="nil"/>
            </w:tcBorders>
            <w:shd w:val="clear" w:color="auto" w:fill="auto"/>
            <w:noWrap/>
            <w:vAlign w:val="center"/>
            <w:hideMark/>
          </w:tcPr>
          <w:p w14:paraId="2C38AF1B" w14:textId="799B218A"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7.41</w:t>
            </w:r>
          </w:p>
        </w:tc>
        <w:tc>
          <w:tcPr>
            <w:tcW w:w="1103" w:type="dxa"/>
            <w:tcBorders>
              <w:top w:val="single" w:sz="12" w:space="0" w:color="auto"/>
              <w:left w:val="nil"/>
              <w:bottom w:val="nil"/>
              <w:right w:val="nil"/>
            </w:tcBorders>
            <w:shd w:val="clear" w:color="auto" w:fill="auto"/>
            <w:noWrap/>
            <w:vAlign w:val="center"/>
            <w:hideMark/>
          </w:tcPr>
          <w:p w14:paraId="15A27B0C" w14:textId="179BB0AF"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1.22</w:t>
            </w:r>
          </w:p>
        </w:tc>
        <w:tc>
          <w:tcPr>
            <w:tcW w:w="960" w:type="dxa"/>
            <w:tcBorders>
              <w:top w:val="single" w:sz="12" w:space="0" w:color="auto"/>
              <w:left w:val="nil"/>
              <w:bottom w:val="nil"/>
              <w:right w:val="nil"/>
            </w:tcBorders>
            <w:shd w:val="clear" w:color="auto" w:fill="auto"/>
            <w:noWrap/>
            <w:vAlign w:val="center"/>
            <w:hideMark/>
          </w:tcPr>
          <w:p w14:paraId="155745D7" w14:textId="0B4B995A"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25.16</w:t>
            </w:r>
          </w:p>
        </w:tc>
        <w:tc>
          <w:tcPr>
            <w:tcW w:w="960" w:type="dxa"/>
            <w:tcBorders>
              <w:top w:val="single" w:sz="12" w:space="0" w:color="auto"/>
              <w:left w:val="nil"/>
              <w:bottom w:val="nil"/>
              <w:right w:val="nil"/>
            </w:tcBorders>
            <w:shd w:val="clear" w:color="auto" w:fill="auto"/>
            <w:noWrap/>
            <w:vAlign w:val="center"/>
            <w:hideMark/>
          </w:tcPr>
          <w:p w14:paraId="501F11B6" w14:textId="2DF84449"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-18.05</w:t>
            </w:r>
          </w:p>
        </w:tc>
        <w:tc>
          <w:tcPr>
            <w:tcW w:w="1159" w:type="dxa"/>
            <w:tcBorders>
              <w:top w:val="single" w:sz="12" w:space="0" w:color="auto"/>
              <w:left w:val="nil"/>
              <w:bottom w:val="nil"/>
              <w:right w:val="nil"/>
            </w:tcBorders>
            <w:shd w:val="clear" w:color="auto" w:fill="auto"/>
            <w:noWrap/>
            <w:vAlign w:val="center"/>
            <w:hideMark/>
          </w:tcPr>
          <w:p w14:paraId="52F74D54" w14:textId="15728869"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4.42</w:t>
            </w:r>
          </w:p>
        </w:tc>
        <w:tc>
          <w:tcPr>
            <w:tcW w:w="960" w:type="dxa"/>
            <w:tcBorders>
              <w:top w:val="single" w:sz="12" w:space="0" w:color="auto"/>
              <w:left w:val="nil"/>
              <w:bottom w:val="nil"/>
              <w:right w:val="nil"/>
            </w:tcBorders>
            <w:shd w:val="clear" w:color="auto" w:fill="auto"/>
            <w:noWrap/>
            <w:vAlign w:val="center"/>
            <w:hideMark/>
          </w:tcPr>
          <w:p w14:paraId="745E8407" w14:textId="0DFC55C2"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-20.26</w:t>
            </w:r>
          </w:p>
        </w:tc>
        <w:tc>
          <w:tcPr>
            <w:tcW w:w="1338" w:type="dxa"/>
            <w:tcBorders>
              <w:top w:val="single" w:sz="12" w:space="0" w:color="auto"/>
              <w:left w:val="nil"/>
              <w:bottom w:val="nil"/>
              <w:right w:val="nil"/>
            </w:tcBorders>
            <w:shd w:val="clear" w:color="auto" w:fill="auto"/>
            <w:noWrap/>
            <w:vAlign w:val="center"/>
            <w:hideMark/>
          </w:tcPr>
          <w:p w14:paraId="68FBEBB0" w14:textId="60950C9E"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3.95</w:t>
            </w:r>
          </w:p>
        </w:tc>
        <w:tc>
          <w:tcPr>
            <w:tcW w:w="1344" w:type="dxa"/>
            <w:tcBorders>
              <w:top w:val="single" w:sz="12" w:space="0" w:color="auto"/>
              <w:left w:val="nil"/>
              <w:bottom w:val="nil"/>
              <w:right w:val="single" w:sz="12" w:space="0" w:color="auto"/>
            </w:tcBorders>
            <w:shd w:val="clear" w:color="auto" w:fill="auto"/>
            <w:noWrap/>
            <w:vAlign w:val="center"/>
            <w:hideMark/>
          </w:tcPr>
          <w:p w14:paraId="238DB58D" w14:textId="383B9655" w:rsidR="006A4921" w:rsidRPr="006A4921" w:rsidRDefault="006A4921" w:rsidP="000B75C1">
            <w:pPr>
              <w:tabs>
                <w:tab w:val="decimal" w:pos="21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14.18</w:t>
            </w:r>
          </w:p>
        </w:tc>
      </w:tr>
      <w:tr w:rsidR="006A4921" w:rsidRPr="006A4921" w14:paraId="30AE4C58" w14:textId="77777777" w:rsidTr="000B75C1">
        <w:trPr>
          <w:trHeight w:val="259"/>
          <w:jc w:val="center"/>
        </w:trPr>
        <w:tc>
          <w:tcPr>
            <w:tcW w:w="1335" w:type="dxa"/>
            <w:vMerge/>
            <w:tcBorders>
              <w:top w:val="nil"/>
              <w:left w:val="single" w:sz="12" w:space="0" w:color="auto"/>
              <w:right w:val="single" w:sz="4" w:space="0" w:color="auto"/>
            </w:tcBorders>
            <w:vAlign w:val="center"/>
            <w:hideMark/>
          </w:tcPr>
          <w:p w14:paraId="12E44223" w14:textId="77777777" w:rsidR="006A4921" w:rsidRPr="006A4921" w:rsidRDefault="006A4921" w:rsidP="006A4921">
            <w:pPr>
              <w:spacing w:after="0" w:line="240" w:lineRule="auto"/>
              <w:rPr>
                <w:rFonts w:eastAsia="Times New Roman" w:cs="Times New Roman"/>
                <w:color w:val="000000"/>
                <w:kern w:val="0"/>
                <w:sz w:val="20"/>
                <w:szCs w:val="20"/>
                <w14:ligatures w14:val="none"/>
              </w:rPr>
            </w:pPr>
          </w:p>
        </w:tc>
        <w:tc>
          <w:tcPr>
            <w:tcW w:w="1805" w:type="dxa"/>
            <w:tcBorders>
              <w:top w:val="nil"/>
              <w:left w:val="single" w:sz="4" w:space="0" w:color="auto"/>
              <w:bottom w:val="single" w:sz="12" w:space="0" w:color="auto"/>
              <w:right w:val="single" w:sz="12" w:space="0" w:color="auto"/>
            </w:tcBorders>
            <w:shd w:val="clear" w:color="auto" w:fill="auto"/>
            <w:noWrap/>
            <w:vAlign w:val="center"/>
            <w:hideMark/>
          </w:tcPr>
          <w:p w14:paraId="59C9FD59" w14:textId="77777777" w:rsidR="006A4921" w:rsidRPr="006A4921" w:rsidRDefault="006A4921" w:rsidP="006A4921">
            <w:pPr>
              <w:spacing w:after="0" w:line="240" w:lineRule="auto"/>
              <w:rPr>
                <w:rFonts w:eastAsia="Times New Roman" w:cs="Times New Roman"/>
                <w:color w:val="000000"/>
                <w:kern w:val="0"/>
                <w:sz w:val="20"/>
                <w:szCs w:val="20"/>
                <w14:ligatures w14:val="none"/>
              </w:rPr>
            </w:pPr>
            <w:r w:rsidRPr="006A4921">
              <w:rPr>
                <w:rFonts w:eastAsia="Times New Roman" w:cs="Times New Roman"/>
                <w:color w:val="000000"/>
                <w:kern w:val="0"/>
                <w:sz w:val="20"/>
                <w:szCs w:val="20"/>
                <w14:ligatures w14:val="none"/>
              </w:rPr>
              <w:t>Hispanic</w:t>
            </w:r>
          </w:p>
        </w:tc>
        <w:tc>
          <w:tcPr>
            <w:tcW w:w="1172" w:type="dxa"/>
            <w:tcBorders>
              <w:top w:val="nil"/>
              <w:left w:val="single" w:sz="12" w:space="0" w:color="auto"/>
              <w:bottom w:val="single" w:sz="12" w:space="0" w:color="auto"/>
              <w:right w:val="nil"/>
            </w:tcBorders>
            <w:shd w:val="clear" w:color="auto" w:fill="auto"/>
            <w:noWrap/>
            <w:vAlign w:val="center"/>
            <w:hideMark/>
          </w:tcPr>
          <w:p w14:paraId="350927DC" w14:textId="4A33D713"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-19.53</w:t>
            </w:r>
          </w:p>
        </w:tc>
        <w:tc>
          <w:tcPr>
            <w:tcW w:w="1073" w:type="dxa"/>
            <w:tcBorders>
              <w:top w:val="nil"/>
              <w:left w:val="nil"/>
              <w:bottom w:val="single" w:sz="12" w:space="0" w:color="auto"/>
              <w:right w:val="nil"/>
            </w:tcBorders>
            <w:shd w:val="clear" w:color="auto" w:fill="auto"/>
            <w:noWrap/>
            <w:vAlign w:val="center"/>
            <w:hideMark/>
          </w:tcPr>
          <w:p w14:paraId="3B4AE54F" w14:textId="33C39A33"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78.78</w:t>
            </w:r>
          </w:p>
        </w:tc>
        <w:tc>
          <w:tcPr>
            <w:tcW w:w="1103" w:type="dxa"/>
            <w:tcBorders>
              <w:top w:val="nil"/>
              <w:left w:val="nil"/>
              <w:bottom w:val="single" w:sz="12" w:space="0" w:color="auto"/>
              <w:right w:val="nil"/>
            </w:tcBorders>
            <w:shd w:val="clear" w:color="auto" w:fill="auto"/>
            <w:noWrap/>
            <w:vAlign w:val="center"/>
            <w:hideMark/>
          </w:tcPr>
          <w:p w14:paraId="434BDEFE" w14:textId="6DAF2D07"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-19.59</w:t>
            </w:r>
          </w:p>
        </w:tc>
        <w:tc>
          <w:tcPr>
            <w:tcW w:w="960" w:type="dxa"/>
            <w:tcBorders>
              <w:top w:val="nil"/>
              <w:left w:val="nil"/>
              <w:bottom w:val="single" w:sz="12" w:space="0" w:color="auto"/>
              <w:right w:val="nil"/>
            </w:tcBorders>
            <w:shd w:val="clear" w:color="auto" w:fill="auto"/>
            <w:noWrap/>
            <w:vAlign w:val="center"/>
            <w:hideMark/>
          </w:tcPr>
          <w:p w14:paraId="50B68133" w14:textId="08903C01"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1.33</w:t>
            </w:r>
          </w:p>
        </w:tc>
        <w:tc>
          <w:tcPr>
            <w:tcW w:w="960" w:type="dxa"/>
            <w:tcBorders>
              <w:top w:val="nil"/>
              <w:left w:val="nil"/>
              <w:bottom w:val="single" w:sz="12" w:space="0" w:color="auto"/>
              <w:right w:val="nil"/>
            </w:tcBorders>
            <w:shd w:val="clear" w:color="auto" w:fill="auto"/>
            <w:noWrap/>
            <w:vAlign w:val="center"/>
            <w:hideMark/>
          </w:tcPr>
          <w:p w14:paraId="048773F2" w14:textId="4E9F118A"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-21.39</w:t>
            </w:r>
          </w:p>
        </w:tc>
        <w:tc>
          <w:tcPr>
            <w:tcW w:w="1159" w:type="dxa"/>
            <w:tcBorders>
              <w:top w:val="nil"/>
              <w:left w:val="nil"/>
              <w:bottom w:val="single" w:sz="12" w:space="0" w:color="auto"/>
              <w:right w:val="nil"/>
            </w:tcBorders>
            <w:shd w:val="clear" w:color="auto" w:fill="auto"/>
            <w:noWrap/>
            <w:vAlign w:val="center"/>
            <w:hideMark/>
          </w:tcPr>
          <w:p w14:paraId="5B77CC66" w14:textId="49404D1D"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0.88</w:t>
            </w:r>
          </w:p>
        </w:tc>
        <w:tc>
          <w:tcPr>
            <w:tcW w:w="960" w:type="dxa"/>
            <w:tcBorders>
              <w:top w:val="nil"/>
              <w:left w:val="nil"/>
              <w:bottom w:val="single" w:sz="12" w:space="0" w:color="auto"/>
              <w:right w:val="nil"/>
            </w:tcBorders>
            <w:shd w:val="clear" w:color="auto" w:fill="auto"/>
            <w:noWrap/>
            <w:vAlign w:val="center"/>
            <w:hideMark/>
          </w:tcPr>
          <w:p w14:paraId="1DE95BD2" w14:textId="6BE56183"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-15.94</w:t>
            </w:r>
          </w:p>
        </w:tc>
        <w:tc>
          <w:tcPr>
            <w:tcW w:w="1338" w:type="dxa"/>
            <w:tcBorders>
              <w:top w:val="nil"/>
              <w:left w:val="nil"/>
              <w:bottom w:val="single" w:sz="12" w:space="0" w:color="auto"/>
              <w:right w:val="nil"/>
            </w:tcBorders>
            <w:shd w:val="clear" w:color="auto" w:fill="auto"/>
            <w:noWrap/>
            <w:vAlign w:val="center"/>
            <w:hideMark/>
          </w:tcPr>
          <w:p w14:paraId="1C7436F2" w14:textId="3A463EA7"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-23.22</w:t>
            </w:r>
          </w:p>
        </w:tc>
        <w:tc>
          <w:tcPr>
            <w:tcW w:w="1344" w:type="dxa"/>
            <w:tcBorders>
              <w:top w:val="nil"/>
              <w:left w:val="nil"/>
              <w:bottom w:val="single" w:sz="12" w:space="0" w:color="auto"/>
              <w:right w:val="single" w:sz="12" w:space="0" w:color="auto"/>
            </w:tcBorders>
            <w:shd w:val="clear" w:color="auto" w:fill="auto"/>
            <w:noWrap/>
            <w:vAlign w:val="center"/>
            <w:hideMark/>
          </w:tcPr>
          <w:p w14:paraId="316CA979" w14:textId="747FCCDF" w:rsidR="006A4921" w:rsidRPr="006A4921" w:rsidRDefault="006A4921" w:rsidP="000B75C1">
            <w:pPr>
              <w:tabs>
                <w:tab w:val="decimal" w:pos="21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4.28</w:t>
            </w:r>
          </w:p>
        </w:tc>
      </w:tr>
      <w:tr w:rsidR="006A4921" w:rsidRPr="006A4921" w14:paraId="2A767B31" w14:textId="77777777" w:rsidTr="000B75C1">
        <w:trPr>
          <w:trHeight w:val="259"/>
          <w:jc w:val="center"/>
        </w:trPr>
        <w:tc>
          <w:tcPr>
            <w:tcW w:w="1335" w:type="dxa"/>
            <w:vMerge w:val="restart"/>
            <w:tcBorders>
              <w:top w:val="single" w:sz="12" w:space="0" w:color="auto"/>
              <w:left w:val="single" w:sz="12" w:space="0" w:color="auto"/>
              <w:bottom w:val="nil"/>
              <w:right w:val="single" w:sz="4" w:space="0" w:color="auto"/>
            </w:tcBorders>
            <w:shd w:val="clear" w:color="auto" w:fill="auto"/>
            <w:noWrap/>
            <w:vAlign w:val="center"/>
            <w:hideMark/>
          </w:tcPr>
          <w:p w14:paraId="29B38717" w14:textId="77777777" w:rsidR="006A4921" w:rsidRPr="006A4921" w:rsidRDefault="006A4921" w:rsidP="006A4921">
            <w:pPr>
              <w:spacing w:after="0" w:line="240" w:lineRule="auto"/>
              <w:rPr>
                <w:rFonts w:eastAsia="Times New Roman" w:cs="Times New Roman"/>
                <w:color w:val="000000"/>
                <w:kern w:val="0"/>
                <w:sz w:val="20"/>
                <w:szCs w:val="20"/>
                <w14:ligatures w14:val="none"/>
              </w:rPr>
            </w:pPr>
            <w:r w:rsidRPr="006A4921">
              <w:rPr>
                <w:rFonts w:eastAsia="Times New Roman" w:cs="Times New Roman"/>
                <w:color w:val="000000"/>
                <w:kern w:val="0"/>
                <w:sz w:val="20"/>
                <w:szCs w:val="20"/>
                <w14:ligatures w14:val="none"/>
              </w:rPr>
              <w:t>Vehicle Ownership</w:t>
            </w:r>
          </w:p>
        </w:tc>
        <w:tc>
          <w:tcPr>
            <w:tcW w:w="1805" w:type="dxa"/>
            <w:tcBorders>
              <w:top w:val="single" w:sz="12" w:space="0" w:color="auto"/>
              <w:left w:val="single" w:sz="4" w:space="0" w:color="auto"/>
              <w:bottom w:val="nil"/>
              <w:right w:val="single" w:sz="12" w:space="0" w:color="auto"/>
            </w:tcBorders>
            <w:shd w:val="clear" w:color="auto" w:fill="auto"/>
            <w:noWrap/>
            <w:vAlign w:val="center"/>
            <w:hideMark/>
          </w:tcPr>
          <w:p w14:paraId="67523CE5" w14:textId="77777777" w:rsidR="006A4921" w:rsidRPr="006A4921" w:rsidRDefault="006A4921" w:rsidP="006A4921">
            <w:pPr>
              <w:spacing w:after="0" w:line="240" w:lineRule="auto"/>
              <w:rPr>
                <w:rFonts w:eastAsia="Times New Roman" w:cs="Times New Roman"/>
                <w:kern w:val="0"/>
                <w:sz w:val="20"/>
                <w:szCs w:val="20"/>
                <w14:ligatures w14:val="none"/>
              </w:rPr>
            </w:pPr>
            <w:r w:rsidRPr="006A4921">
              <w:rPr>
                <w:rFonts w:eastAsia="Times New Roman" w:cs="Times New Roman"/>
                <w:kern w:val="0"/>
                <w:sz w:val="20"/>
                <w:szCs w:val="20"/>
                <w14:ligatures w14:val="none"/>
              </w:rPr>
              <w:t>No Vehicles</w:t>
            </w:r>
          </w:p>
        </w:tc>
        <w:tc>
          <w:tcPr>
            <w:tcW w:w="1172" w:type="dxa"/>
            <w:tcBorders>
              <w:top w:val="single" w:sz="12" w:space="0" w:color="auto"/>
              <w:left w:val="single" w:sz="12" w:space="0" w:color="auto"/>
              <w:bottom w:val="nil"/>
              <w:right w:val="nil"/>
            </w:tcBorders>
            <w:shd w:val="clear" w:color="auto" w:fill="auto"/>
            <w:noWrap/>
            <w:vAlign w:val="center"/>
            <w:hideMark/>
          </w:tcPr>
          <w:p w14:paraId="58F6F83A" w14:textId="6451401A"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-2.47</w:t>
            </w:r>
          </w:p>
        </w:tc>
        <w:tc>
          <w:tcPr>
            <w:tcW w:w="1073" w:type="dxa"/>
            <w:tcBorders>
              <w:top w:val="single" w:sz="12" w:space="0" w:color="auto"/>
              <w:left w:val="nil"/>
              <w:bottom w:val="nil"/>
              <w:right w:val="nil"/>
            </w:tcBorders>
            <w:shd w:val="clear" w:color="auto" w:fill="auto"/>
            <w:noWrap/>
            <w:vAlign w:val="center"/>
            <w:hideMark/>
          </w:tcPr>
          <w:p w14:paraId="159DBD83" w14:textId="70EAD324"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21.21</w:t>
            </w:r>
          </w:p>
        </w:tc>
        <w:tc>
          <w:tcPr>
            <w:tcW w:w="1103" w:type="dxa"/>
            <w:tcBorders>
              <w:top w:val="single" w:sz="12" w:space="0" w:color="auto"/>
              <w:left w:val="nil"/>
              <w:bottom w:val="nil"/>
              <w:right w:val="nil"/>
            </w:tcBorders>
            <w:shd w:val="clear" w:color="auto" w:fill="auto"/>
            <w:noWrap/>
            <w:vAlign w:val="center"/>
            <w:hideMark/>
          </w:tcPr>
          <w:p w14:paraId="5F7C0867" w14:textId="1B8F7E80"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1.69</w:t>
            </w:r>
          </w:p>
        </w:tc>
        <w:tc>
          <w:tcPr>
            <w:tcW w:w="960" w:type="dxa"/>
            <w:tcBorders>
              <w:top w:val="single" w:sz="12" w:space="0" w:color="auto"/>
              <w:left w:val="nil"/>
              <w:bottom w:val="nil"/>
              <w:right w:val="nil"/>
            </w:tcBorders>
            <w:shd w:val="clear" w:color="auto" w:fill="auto"/>
            <w:noWrap/>
            <w:vAlign w:val="center"/>
            <w:hideMark/>
          </w:tcPr>
          <w:p w14:paraId="345B5200" w14:textId="477DEC40"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26.07</w:t>
            </w:r>
          </w:p>
        </w:tc>
        <w:tc>
          <w:tcPr>
            <w:tcW w:w="960" w:type="dxa"/>
            <w:tcBorders>
              <w:top w:val="single" w:sz="12" w:space="0" w:color="auto"/>
              <w:left w:val="nil"/>
              <w:bottom w:val="nil"/>
              <w:right w:val="nil"/>
            </w:tcBorders>
            <w:shd w:val="clear" w:color="auto" w:fill="auto"/>
            <w:noWrap/>
            <w:vAlign w:val="center"/>
            <w:hideMark/>
          </w:tcPr>
          <w:p w14:paraId="2E65AA22" w14:textId="73F51E94"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-17.39</w:t>
            </w:r>
          </w:p>
        </w:tc>
        <w:tc>
          <w:tcPr>
            <w:tcW w:w="1159" w:type="dxa"/>
            <w:tcBorders>
              <w:top w:val="single" w:sz="12" w:space="0" w:color="auto"/>
              <w:left w:val="nil"/>
              <w:bottom w:val="nil"/>
              <w:right w:val="nil"/>
            </w:tcBorders>
            <w:shd w:val="clear" w:color="auto" w:fill="auto"/>
            <w:noWrap/>
            <w:vAlign w:val="center"/>
            <w:hideMark/>
          </w:tcPr>
          <w:p w14:paraId="0D3CB5EB" w14:textId="101A52B2"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0.95</w:t>
            </w:r>
          </w:p>
        </w:tc>
        <w:tc>
          <w:tcPr>
            <w:tcW w:w="960" w:type="dxa"/>
            <w:tcBorders>
              <w:top w:val="single" w:sz="12" w:space="0" w:color="auto"/>
              <w:left w:val="nil"/>
              <w:bottom w:val="nil"/>
              <w:right w:val="nil"/>
            </w:tcBorders>
            <w:shd w:val="clear" w:color="auto" w:fill="auto"/>
            <w:noWrap/>
            <w:vAlign w:val="center"/>
            <w:hideMark/>
          </w:tcPr>
          <w:p w14:paraId="6D1BAA7F" w14:textId="1158DE50"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-17.63</w:t>
            </w:r>
          </w:p>
        </w:tc>
        <w:tc>
          <w:tcPr>
            <w:tcW w:w="1338" w:type="dxa"/>
            <w:tcBorders>
              <w:top w:val="single" w:sz="12" w:space="0" w:color="auto"/>
              <w:left w:val="nil"/>
              <w:bottom w:val="nil"/>
              <w:right w:val="nil"/>
            </w:tcBorders>
            <w:shd w:val="clear" w:color="auto" w:fill="auto"/>
            <w:noWrap/>
            <w:vAlign w:val="center"/>
            <w:hideMark/>
          </w:tcPr>
          <w:p w14:paraId="5968B7D5" w14:textId="7D63B595"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2.87</w:t>
            </w:r>
          </w:p>
        </w:tc>
        <w:tc>
          <w:tcPr>
            <w:tcW w:w="1344" w:type="dxa"/>
            <w:tcBorders>
              <w:top w:val="single" w:sz="12" w:space="0" w:color="auto"/>
              <w:left w:val="nil"/>
              <w:bottom w:val="nil"/>
              <w:right w:val="single" w:sz="12" w:space="0" w:color="auto"/>
            </w:tcBorders>
            <w:shd w:val="clear" w:color="auto" w:fill="auto"/>
            <w:noWrap/>
            <w:vAlign w:val="center"/>
            <w:hideMark/>
          </w:tcPr>
          <w:p w14:paraId="21613D39" w14:textId="4DE72B5B" w:rsidR="006A4921" w:rsidRPr="006A4921" w:rsidRDefault="006A4921" w:rsidP="000B75C1">
            <w:pPr>
              <w:tabs>
                <w:tab w:val="decimal" w:pos="21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14.46</w:t>
            </w:r>
          </w:p>
        </w:tc>
      </w:tr>
      <w:tr w:rsidR="006A4921" w:rsidRPr="006A4921" w14:paraId="044AA1F4" w14:textId="77777777" w:rsidTr="000B75C1">
        <w:trPr>
          <w:trHeight w:val="259"/>
          <w:jc w:val="center"/>
        </w:trPr>
        <w:tc>
          <w:tcPr>
            <w:tcW w:w="1335" w:type="dxa"/>
            <w:vMerge/>
            <w:tcBorders>
              <w:top w:val="nil"/>
              <w:left w:val="single" w:sz="12" w:space="0" w:color="auto"/>
              <w:bottom w:val="nil"/>
              <w:right w:val="single" w:sz="4" w:space="0" w:color="auto"/>
            </w:tcBorders>
            <w:vAlign w:val="center"/>
            <w:hideMark/>
          </w:tcPr>
          <w:p w14:paraId="1E60C538" w14:textId="77777777" w:rsidR="006A4921" w:rsidRPr="006A4921" w:rsidRDefault="006A4921" w:rsidP="006A4921">
            <w:pPr>
              <w:spacing w:after="0" w:line="240" w:lineRule="auto"/>
              <w:rPr>
                <w:rFonts w:eastAsia="Times New Roman" w:cs="Times New Roman"/>
                <w:color w:val="000000"/>
                <w:kern w:val="0"/>
                <w:sz w:val="20"/>
                <w:szCs w:val="20"/>
                <w14:ligatures w14:val="none"/>
              </w:rPr>
            </w:pPr>
          </w:p>
        </w:tc>
        <w:tc>
          <w:tcPr>
            <w:tcW w:w="1805" w:type="dxa"/>
            <w:tcBorders>
              <w:top w:val="nil"/>
              <w:left w:val="single" w:sz="4" w:space="0" w:color="auto"/>
              <w:bottom w:val="nil"/>
              <w:right w:val="single" w:sz="12" w:space="0" w:color="auto"/>
            </w:tcBorders>
            <w:shd w:val="clear" w:color="auto" w:fill="auto"/>
            <w:noWrap/>
            <w:vAlign w:val="center"/>
            <w:hideMark/>
          </w:tcPr>
          <w:p w14:paraId="017AB496" w14:textId="77777777" w:rsidR="006A4921" w:rsidRPr="006A4921" w:rsidRDefault="006A4921" w:rsidP="006A4921">
            <w:pPr>
              <w:spacing w:after="0" w:line="240" w:lineRule="auto"/>
              <w:rPr>
                <w:rFonts w:eastAsia="Times New Roman" w:cs="Times New Roman"/>
                <w:color w:val="000000"/>
                <w:kern w:val="0"/>
                <w:sz w:val="20"/>
                <w:szCs w:val="20"/>
                <w14:ligatures w14:val="none"/>
              </w:rPr>
            </w:pPr>
            <w:r w:rsidRPr="006A4921">
              <w:rPr>
                <w:rFonts w:eastAsia="Times New Roman" w:cs="Times New Roman"/>
                <w:color w:val="000000"/>
                <w:kern w:val="0"/>
                <w:sz w:val="20"/>
                <w:szCs w:val="20"/>
                <w14:ligatures w14:val="none"/>
              </w:rPr>
              <w:t>1 Vehicle</w:t>
            </w:r>
          </w:p>
        </w:tc>
        <w:tc>
          <w:tcPr>
            <w:tcW w:w="1172" w:type="dxa"/>
            <w:tcBorders>
              <w:top w:val="nil"/>
              <w:left w:val="single" w:sz="12" w:space="0" w:color="auto"/>
              <w:bottom w:val="nil"/>
              <w:right w:val="nil"/>
            </w:tcBorders>
            <w:shd w:val="clear" w:color="auto" w:fill="auto"/>
            <w:noWrap/>
            <w:vAlign w:val="center"/>
            <w:hideMark/>
          </w:tcPr>
          <w:p w14:paraId="5B6E9DA8" w14:textId="4CF49289"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-3.40</w:t>
            </w:r>
          </w:p>
        </w:tc>
        <w:tc>
          <w:tcPr>
            <w:tcW w:w="1073" w:type="dxa"/>
            <w:tcBorders>
              <w:top w:val="nil"/>
              <w:left w:val="nil"/>
              <w:bottom w:val="nil"/>
              <w:right w:val="nil"/>
            </w:tcBorders>
            <w:shd w:val="clear" w:color="auto" w:fill="auto"/>
            <w:noWrap/>
            <w:vAlign w:val="center"/>
            <w:hideMark/>
          </w:tcPr>
          <w:p w14:paraId="3DA31498" w14:textId="55FC4003"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20.36</w:t>
            </w:r>
          </w:p>
        </w:tc>
        <w:tc>
          <w:tcPr>
            <w:tcW w:w="1103" w:type="dxa"/>
            <w:tcBorders>
              <w:top w:val="nil"/>
              <w:left w:val="nil"/>
              <w:bottom w:val="nil"/>
              <w:right w:val="nil"/>
            </w:tcBorders>
            <w:shd w:val="clear" w:color="auto" w:fill="auto"/>
            <w:noWrap/>
            <w:vAlign w:val="center"/>
            <w:hideMark/>
          </w:tcPr>
          <w:p w14:paraId="3459D300" w14:textId="6A0530D1"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-0.61</w:t>
            </w:r>
          </w:p>
        </w:tc>
        <w:tc>
          <w:tcPr>
            <w:tcW w:w="960" w:type="dxa"/>
            <w:tcBorders>
              <w:top w:val="nil"/>
              <w:left w:val="nil"/>
              <w:bottom w:val="nil"/>
              <w:right w:val="nil"/>
            </w:tcBorders>
            <w:shd w:val="clear" w:color="auto" w:fill="auto"/>
            <w:noWrap/>
            <w:vAlign w:val="center"/>
            <w:hideMark/>
          </w:tcPr>
          <w:p w14:paraId="75008149" w14:textId="6D0329E3"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21.44</w:t>
            </w:r>
          </w:p>
        </w:tc>
        <w:tc>
          <w:tcPr>
            <w:tcW w:w="960" w:type="dxa"/>
            <w:tcBorders>
              <w:top w:val="nil"/>
              <w:left w:val="nil"/>
              <w:bottom w:val="nil"/>
              <w:right w:val="nil"/>
            </w:tcBorders>
            <w:shd w:val="clear" w:color="auto" w:fill="auto"/>
            <w:noWrap/>
            <w:vAlign w:val="center"/>
            <w:hideMark/>
          </w:tcPr>
          <w:p w14:paraId="2F6CC901" w14:textId="7800A8F8"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-18.24</w:t>
            </w:r>
          </w:p>
        </w:tc>
        <w:tc>
          <w:tcPr>
            <w:tcW w:w="1159" w:type="dxa"/>
            <w:tcBorders>
              <w:top w:val="nil"/>
              <w:left w:val="nil"/>
              <w:bottom w:val="nil"/>
              <w:right w:val="nil"/>
            </w:tcBorders>
            <w:shd w:val="clear" w:color="auto" w:fill="auto"/>
            <w:noWrap/>
            <w:vAlign w:val="center"/>
            <w:hideMark/>
          </w:tcPr>
          <w:p w14:paraId="7B67EC06" w14:textId="7C4CF197"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-0.44</w:t>
            </w:r>
          </w:p>
        </w:tc>
        <w:tc>
          <w:tcPr>
            <w:tcW w:w="960" w:type="dxa"/>
            <w:tcBorders>
              <w:top w:val="nil"/>
              <w:left w:val="nil"/>
              <w:bottom w:val="nil"/>
              <w:right w:val="nil"/>
            </w:tcBorders>
            <w:shd w:val="clear" w:color="auto" w:fill="auto"/>
            <w:noWrap/>
            <w:vAlign w:val="center"/>
            <w:hideMark/>
          </w:tcPr>
          <w:p w14:paraId="5CD69904" w14:textId="756AF0B5"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-19.33</w:t>
            </w:r>
          </w:p>
        </w:tc>
        <w:tc>
          <w:tcPr>
            <w:tcW w:w="1338" w:type="dxa"/>
            <w:tcBorders>
              <w:top w:val="nil"/>
              <w:left w:val="nil"/>
              <w:bottom w:val="nil"/>
              <w:right w:val="nil"/>
            </w:tcBorders>
            <w:shd w:val="clear" w:color="auto" w:fill="auto"/>
            <w:noWrap/>
            <w:vAlign w:val="center"/>
            <w:hideMark/>
          </w:tcPr>
          <w:p w14:paraId="2FB90B97" w14:textId="22A1CF06"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1.33</w:t>
            </w:r>
          </w:p>
        </w:tc>
        <w:tc>
          <w:tcPr>
            <w:tcW w:w="1344" w:type="dxa"/>
            <w:tcBorders>
              <w:top w:val="nil"/>
              <w:left w:val="nil"/>
              <w:bottom w:val="nil"/>
              <w:right w:val="single" w:sz="12" w:space="0" w:color="auto"/>
            </w:tcBorders>
            <w:shd w:val="clear" w:color="auto" w:fill="auto"/>
            <w:noWrap/>
            <w:vAlign w:val="center"/>
            <w:hideMark/>
          </w:tcPr>
          <w:p w14:paraId="68FE713A" w14:textId="0FCA0B3E" w:rsidR="006A4921" w:rsidRPr="006A4921" w:rsidRDefault="006A4921" w:rsidP="000B75C1">
            <w:pPr>
              <w:tabs>
                <w:tab w:val="decimal" w:pos="21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13.39</w:t>
            </w:r>
          </w:p>
        </w:tc>
      </w:tr>
      <w:tr w:rsidR="006A4921" w:rsidRPr="006A4921" w14:paraId="2FBD3F38" w14:textId="77777777" w:rsidTr="000B75C1">
        <w:trPr>
          <w:trHeight w:val="259"/>
          <w:jc w:val="center"/>
        </w:trPr>
        <w:tc>
          <w:tcPr>
            <w:tcW w:w="1335" w:type="dxa"/>
            <w:vMerge/>
            <w:tcBorders>
              <w:top w:val="nil"/>
              <w:left w:val="single" w:sz="12" w:space="0" w:color="auto"/>
              <w:bottom w:val="nil"/>
              <w:right w:val="single" w:sz="4" w:space="0" w:color="auto"/>
            </w:tcBorders>
            <w:vAlign w:val="center"/>
            <w:hideMark/>
          </w:tcPr>
          <w:p w14:paraId="3E33C5FD" w14:textId="77777777" w:rsidR="006A4921" w:rsidRPr="006A4921" w:rsidRDefault="006A4921" w:rsidP="006A4921">
            <w:pPr>
              <w:spacing w:after="0" w:line="240" w:lineRule="auto"/>
              <w:rPr>
                <w:rFonts w:eastAsia="Times New Roman" w:cs="Times New Roman"/>
                <w:color w:val="000000"/>
                <w:kern w:val="0"/>
                <w:sz w:val="20"/>
                <w:szCs w:val="20"/>
                <w14:ligatures w14:val="none"/>
              </w:rPr>
            </w:pPr>
          </w:p>
        </w:tc>
        <w:tc>
          <w:tcPr>
            <w:tcW w:w="1805" w:type="dxa"/>
            <w:tcBorders>
              <w:top w:val="nil"/>
              <w:left w:val="single" w:sz="4" w:space="0" w:color="auto"/>
              <w:bottom w:val="nil"/>
              <w:right w:val="single" w:sz="12" w:space="0" w:color="auto"/>
            </w:tcBorders>
            <w:shd w:val="clear" w:color="auto" w:fill="auto"/>
            <w:noWrap/>
            <w:vAlign w:val="center"/>
            <w:hideMark/>
          </w:tcPr>
          <w:p w14:paraId="633F452A" w14:textId="77777777" w:rsidR="006A4921" w:rsidRPr="006A4921" w:rsidRDefault="006A4921" w:rsidP="006A4921">
            <w:pPr>
              <w:spacing w:after="0" w:line="240" w:lineRule="auto"/>
              <w:rPr>
                <w:rFonts w:eastAsia="Times New Roman" w:cs="Times New Roman"/>
                <w:color w:val="000000"/>
                <w:kern w:val="0"/>
                <w:sz w:val="20"/>
                <w:szCs w:val="20"/>
                <w14:ligatures w14:val="none"/>
              </w:rPr>
            </w:pPr>
            <w:r w:rsidRPr="006A4921">
              <w:rPr>
                <w:rFonts w:eastAsia="Times New Roman" w:cs="Times New Roman"/>
                <w:color w:val="000000"/>
                <w:kern w:val="0"/>
                <w:sz w:val="20"/>
                <w:szCs w:val="20"/>
                <w14:ligatures w14:val="none"/>
              </w:rPr>
              <w:t>2 Vehicles</w:t>
            </w:r>
          </w:p>
        </w:tc>
        <w:tc>
          <w:tcPr>
            <w:tcW w:w="1172" w:type="dxa"/>
            <w:tcBorders>
              <w:top w:val="nil"/>
              <w:left w:val="single" w:sz="12" w:space="0" w:color="auto"/>
              <w:bottom w:val="nil"/>
              <w:right w:val="nil"/>
            </w:tcBorders>
            <w:shd w:val="clear" w:color="auto" w:fill="auto"/>
            <w:noWrap/>
            <w:vAlign w:val="center"/>
            <w:hideMark/>
          </w:tcPr>
          <w:p w14:paraId="0D4D3653" w14:textId="7DBE754B"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-3.10</w:t>
            </w:r>
          </w:p>
        </w:tc>
        <w:tc>
          <w:tcPr>
            <w:tcW w:w="1073" w:type="dxa"/>
            <w:tcBorders>
              <w:top w:val="nil"/>
              <w:left w:val="nil"/>
              <w:bottom w:val="nil"/>
              <w:right w:val="nil"/>
            </w:tcBorders>
            <w:shd w:val="clear" w:color="auto" w:fill="auto"/>
            <w:noWrap/>
            <w:vAlign w:val="center"/>
            <w:hideMark/>
          </w:tcPr>
          <w:p w14:paraId="6629CE5D" w14:textId="2D91B75A"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20.73</w:t>
            </w:r>
          </w:p>
        </w:tc>
        <w:tc>
          <w:tcPr>
            <w:tcW w:w="1103" w:type="dxa"/>
            <w:tcBorders>
              <w:top w:val="nil"/>
              <w:left w:val="nil"/>
              <w:bottom w:val="nil"/>
              <w:right w:val="nil"/>
            </w:tcBorders>
            <w:shd w:val="clear" w:color="auto" w:fill="auto"/>
            <w:noWrap/>
            <w:vAlign w:val="center"/>
            <w:hideMark/>
          </w:tcPr>
          <w:p w14:paraId="6CDEB92C" w14:textId="3DE989BF"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0.03</w:t>
            </w:r>
          </w:p>
        </w:tc>
        <w:tc>
          <w:tcPr>
            <w:tcW w:w="960" w:type="dxa"/>
            <w:tcBorders>
              <w:top w:val="nil"/>
              <w:left w:val="nil"/>
              <w:bottom w:val="nil"/>
              <w:right w:val="nil"/>
            </w:tcBorders>
            <w:shd w:val="clear" w:color="auto" w:fill="auto"/>
            <w:noWrap/>
            <w:vAlign w:val="center"/>
            <w:hideMark/>
          </w:tcPr>
          <w:p w14:paraId="3772C2B3" w14:textId="606CD3EB"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24.50</w:t>
            </w:r>
          </w:p>
        </w:tc>
        <w:tc>
          <w:tcPr>
            <w:tcW w:w="960" w:type="dxa"/>
            <w:tcBorders>
              <w:top w:val="nil"/>
              <w:left w:val="nil"/>
              <w:bottom w:val="nil"/>
              <w:right w:val="nil"/>
            </w:tcBorders>
            <w:shd w:val="clear" w:color="auto" w:fill="auto"/>
            <w:noWrap/>
            <w:vAlign w:val="center"/>
            <w:hideMark/>
          </w:tcPr>
          <w:p w14:paraId="48A40E4A" w14:textId="1C463361"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-18.18</w:t>
            </w:r>
          </w:p>
        </w:tc>
        <w:tc>
          <w:tcPr>
            <w:tcW w:w="1159" w:type="dxa"/>
            <w:tcBorders>
              <w:top w:val="nil"/>
              <w:left w:val="nil"/>
              <w:bottom w:val="nil"/>
              <w:right w:val="nil"/>
            </w:tcBorders>
            <w:shd w:val="clear" w:color="auto" w:fill="auto"/>
            <w:noWrap/>
            <w:vAlign w:val="center"/>
            <w:hideMark/>
          </w:tcPr>
          <w:p w14:paraId="58C50EBD" w14:textId="17A23CA4"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-0.55</w:t>
            </w:r>
          </w:p>
        </w:tc>
        <w:tc>
          <w:tcPr>
            <w:tcW w:w="960" w:type="dxa"/>
            <w:tcBorders>
              <w:top w:val="nil"/>
              <w:left w:val="nil"/>
              <w:bottom w:val="nil"/>
              <w:right w:val="nil"/>
            </w:tcBorders>
            <w:shd w:val="clear" w:color="auto" w:fill="auto"/>
            <w:noWrap/>
            <w:vAlign w:val="center"/>
            <w:hideMark/>
          </w:tcPr>
          <w:p w14:paraId="1AD34B0B" w14:textId="1912EEC9"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-20.37</w:t>
            </w:r>
          </w:p>
        </w:tc>
        <w:tc>
          <w:tcPr>
            <w:tcW w:w="1338" w:type="dxa"/>
            <w:tcBorders>
              <w:top w:val="nil"/>
              <w:left w:val="nil"/>
              <w:bottom w:val="nil"/>
              <w:right w:val="nil"/>
            </w:tcBorders>
            <w:shd w:val="clear" w:color="auto" w:fill="auto"/>
            <w:noWrap/>
            <w:vAlign w:val="center"/>
            <w:hideMark/>
          </w:tcPr>
          <w:p w14:paraId="36F2AB6E" w14:textId="1366BF8A"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0.24</w:t>
            </w:r>
          </w:p>
        </w:tc>
        <w:tc>
          <w:tcPr>
            <w:tcW w:w="1344" w:type="dxa"/>
            <w:tcBorders>
              <w:top w:val="nil"/>
              <w:left w:val="nil"/>
              <w:bottom w:val="nil"/>
              <w:right w:val="single" w:sz="12" w:space="0" w:color="auto"/>
            </w:tcBorders>
            <w:shd w:val="clear" w:color="auto" w:fill="auto"/>
            <w:noWrap/>
            <w:vAlign w:val="center"/>
            <w:hideMark/>
          </w:tcPr>
          <w:p w14:paraId="16A76AEA" w14:textId="0558E3D1" w:rsidR="006A4921" w:rsidRPr="006A4921" w:rsidRDefault="006A4921" w:rsidP="000B75C1">
            <w:pPr>
              <w:tabs>
                <w:tab w:val="decimal" w:pos="21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13.61</w:t>
            </w:r>
          </w:p>
        </w:tc>
      </w:tr>
      <w:tr w:rsidR="006A4921" w:rsidRPr="006A4921" w14:paraId="44BD1B24" w14:textId="77777777" w:rsidTr="000B75C1">
        <w:trPr>
          <w:trHeight w:val="259"/>
          <w:jc w:val="center"/>
        </w:trPr>
        <w:tc>
          <w:tcPr>
            <w:tcW w:w="1335" w:type="dxa"/>
            <w:vMerge/>
            <w:tcBorders>
              <w:top w:val="nil"/>
              <w:left w:val="single" w:sz="12" w:space="0" w:color="auto"/>
              <w:bottom w:val="single" w:sz="12" w:space="0" w:color="auto"/>
              <w:right w:val="single" w:sz="4" w:space="0" w:color="auto"/>
            </w:tcBorders>
            <w:vAlign w:val="center"/>
            <w:hideMark/>
          </w:tcPr>
          <w:p w14:paraId="0A2F0144" w14:textId="77777777" w:rsidR="006A4921" w:rsidRPr="006A4921" w:rsidRDefault="006A4921" w:rsidP="006A4921">
            <w:pPr>
              <w:spacing w:after="0" w:line="240" w:lineRule="auto"/>
              <w:rPr>
                <w:rFonts w:eastAsia="Times New Roman" w:cs="Times New Roman"/>
                <w:color w:val="000000"/>
                <w:kern w:val="0"/>
                <w:sz w:val="20"/>
                <w:szCs w:val="20"/>
                <w14:ligatures w14:val="none"/>
              </w:rPr>
            </w:pPr>
          </w:p>
        </w:tc>
        <w:tc>
          <w:tcPr>
            <w:tcW w:w="1805" w:type="dxa"/>
            <w:tcBorders>
              <w:top w:val="nil"/>
              <w:left w:val="single" w:sz="4" w:space="0" w:color="auto"/>
              <w:bottom w:val="single" w:sz="12" w:space="0" w:color="auto"/>
              <w:right w:val="single" w:sz="12" w:space="0" w:color="auto"/>
            </w:tcBorders>
            <w:shd w:val="clear" w:color="auto" w:fill="auto"/>
            <w:noWrap/>
            <w:vAlign w:val="center"/>
            <w:hideMark/>
          </w:tcPr>
          <w:p w14:paraId="485050D7" w14:textId="77777777" w:rsidR="006A4921" w:rsidRPr="006A4921" w:rsidRDefault="006A4921" w:rsidP="006A4921">
            <w:pPr>
              <w:spacing w:after="0" w:line="240" w:lineRule="auto"/>
              <w:rPr>
                <w:rFonts w:eastAsia="Times New Roman" w:cs="Times New Roman"/>
                <w:color w:val="000000"/>
                <w:kern w:val="0"/>
                <w:sz w:val="20"/>
                <w:szCs w:val="20"/>
                <w14:ligatures w14:val="none"/>
              </w:rPr>
            </w:pPr>
            <w:r w:rsidRPr="006A4921">
              <w:rPr>
                <w:rFonts w:eastAsia="Times New Roman" w:cs="Times New Roman"/>
                <w:color w:val="000000"/>
                <w:kern w:val="0"/>
                <w:sz w:val="20"/>
                <w:szCs w:val="20"/>
                <w14:ligatures w14:val="none"/>
              </w:rPr>
              <w:t>3+ Vehicles</w:t>
            </w:r>
          </w:p>
        </w:tc>
        <w:tc>
          <w:tcPr>
            <w:tcW w:w="1172" w:type="dxa"/>
            <w:tcBorders>
              <w:top w:val="nil"/>
              <w:left w:val="single" w:sz="12" w:space="0" w:color="auto"/>
              <w:bottom w:val="single" w:sz="12" w:space="0" w:color="auto"/>
              <w:right w:val="nil"/>
            </w:tcBorders>
            <w:shd w:val="clear" w:color="auto" w:fill="auto"/>
            <w:noWrap/>
            <w:vAlign w:val="center"/>
            <w:hideMark/>
          </w:tcPr>
          <w:p w14:paraId="4C3A185A" w14:textId="33FC98C9"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-10.24</w:t>
            </w:r>
          </w:p>
        </w:tc>
        <w:tc>
          <w:tcPr>
            <w:tcW w:w="1073" w:type="dxa"/>
            <w:tcBorders>
              <w:top w:val="nil"/>
              <w:left w:val="nil"/>
              <w:bottom w:val="single" w:sz="12" w:space="0" w:color="auto"/>
              <w:right w:val="nil"/>
            </w:tcBorders>
            <w:shd w:val="clear" w:color="auto" w:fill="auto"/>
            <w:noWrap/>
            <w:vAlign w:val="center"/>
            <w:hideMark/>
          </w:tcPr>
          <w:p w14:paraId="6BC52323" w14:textId="10DA5173"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12.87</w:t>
            </w:r>
          </w:p>
        </w:tc>
        <w:tc>
          <w:tcPr>
            <w:tcW w:w="1103" w:type="dxa"/>
            <w:tcBorders>
              <w:top w:val="nil"/>
              <w:left w:val="nil"/>
              <w:bottom w:val="single" w:sz="12" w:space="0" w:color="auto"/>
              <w:right w:val="nil"/>
            </w:tcBorders>
            <w:shd w:val="clear" w:color="auto" w:fill="auto"/>
            <w:noWrap/>
            <w:vAlign w:val="center"/>
            <w:hideMark/>
          </w:tcPr>
          <w:p w14:paraId="04E1EBE1" w14:textId="3FEEAC8B"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-6.38</w:t>
            </w:r>
          </w:p>
        </w:tc>
        <w:tc>
          <w:tcPr>
            <w:tcW w:w="960" w:type="dxa"/>
            <w:tcBorders>
              <w:top w:val="nil"/>
              <w:left w:val="nil"/>
              <w:bottom w:val="single" w:sz="12" w:space="0" w:color="auto"/>
              <w:right w:val="nil"/>
            </w:tcBorders>
            <w:shd w:val="clear" w:color="auto" w:fill="auto"/>
            <w:noWrap/>
            <w:vAlign w:val="center"/>
            <w:hideMark/>
          </w:tcPr>
          <w:p w14:paraId="6A22DB72" w14:textId="300F87FD"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12.81</w:t>
            </w:r>
          </w:p>
        </w:tc>
        <w:tc>
          <w:tcPr>
            <w:tcW w:w="960" w:type="dxa"/>
            <w:tcBorders>
              <w:top w:val="nil"/>
              <w:left w:val="nil"/>
              <w:bottom w:val="single" w:sz="12" w:space="0" w:color="auto"/>
              <w:right w:val="nil"/>
            </w:tcBorders>
            <w:shd w:val="clear" w:color="auto" w:fill="auto"/>
            <w:noWrap/>
            <w:vAlign w:val="center"/>
            <w:hideMark/>
          </w:tcPr>
          <w:p w14:paraId="564993E8" w14:textId="6C9FE483"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-22.25</w:t>
            </w:r>
          </w:p>
        </w:tc>
        <w:tc>
          <w:tcPr>
            <w:tcW w:w="1159" w:type="dxa"/>
            <w:tcBorders>
              <w:top w:val="nil"/>
              <w:left w:val="nil"/>
              <w:bottom w:val="single" w:sz="12" w:space="0" w:color="auto"/>
              <w:right w:val="nil"/>
            </w:tcBorders>
            <w:shd w:val="clear" w:color="auto" w:fill="auto"/>
            <w:noWrap/>
            <w:vAlign w:val="center"/>
            <w:hideMark/>
          </w:tcPr>
          <w:p w14:paraId="5FBC0FE9" w14:textId="3D59CF0C"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38.85</w:t>
            </w:r>
          </w:p>
        </w:tc>
        <w:tc>
          <w:tcPr>
            <w:tcW w:w="960" w:type="dxa"/>
            <w:tcBorders>
              <w:top w:val="nil"/>
              <w:left w:val="nil"/>
              <w:bottom w:val="single" w:sz="12" w:space="0" w:color="auto"/>
              <w:right w:val="nil"/>
            </w:tcBorders>
            <w:shd w:val="clear" w:color="auto" w:fill="auto"/>
            <w:noWrap/>
            <w:vAlign w:val="center"/>
            <w:hideMark/>
          </w:tcPr>
          <w:p w14:paraId="4CBB354F" w14:textId="05EB7081"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-21.58</w:t>
            </w:r>
          </w:p>
        </w:tc>
        <w:tc>
          <w:tcPr>
            <w:tcW w:w="1338" w:type="dxa"/>
            <w:tcBorders>
              <w:top w:val="nil"/>
              <w:left w:val="nil"/>
              <w:bottom w:val="single" w:sz="12" w:space="0" w:color="auto"/>
              <w:right w:val="nil"/>
            </w:tcBorders>
            <w:shd w:val="clear" w:color="auto" w:fill="auto"/>
            <w:noWrap/>
            <w:vAlign w:val="center"/>
            <w:hideMark/>
          </w:tcPr>
          <w:p w14:paraId="44F90578" w14:textId="40B97948" w:rsidR="006A4921" w:rsidRPr="006A4921" w:rsidRDefault="006A4921" w:rsidP="000B75C1">
            <w:pPr>
              <w:tabs>
                <w:tab w:val="decimal" w:pos="38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-2.14</w:t>
            </w:r>
          </w:p>
        </w:tc>
        <w:tc>
          <w:tcPr>
            <w:tcW w:w="1344" w:type="dxa"/>
            <w:tcBorders>
              <w:top w:val="nil"/>
              <w:left w:val="nil"/>
              <w:bottom w:val="single" w:sz="12" w:space="0" w:color="auto"/>
              <w:right w:val="single" w:sz="12" w:space="0" w:color="auto"/>
            </w:tcBorders>
            <w:shd w:val="clear" w:color="auto" w:fill="auto"/>
            <w:noWrap/>
            <w:vAlign w:val="center"/>
            <w:hideMark/>
          </w:tcPr>
          <w:p w14:paraId="2053AA68" w14:textId="7E37C60D" w:rsidR="006A4921" w:rsidRPr="006A4921" w:rsidRDefault="006A4921" w:rsidP="000B75C1">
            <w:pPr>
              <w:tabs>
                <w:tab w:val="decimal" w:pos="213"/>
              </w:tabs>
              <w:spacing w:after="0" w:line="240" w:lineRule="auto"/>
              <w:jc w:val="center"/>
              <w:rPr>
                <w:rFonts w:eastAsia="Times New Roman" w:cs="Times New Roman"/>
                <w:color w:val="000000"/>
                <w:kern w:val="0"/>
                <w:sz w:val="20"/>
                <w:szCs w:val="20"/>
                <w14:ligatures w14:val="none"/>
              </w:rPr>
            </w:pPr>
            <w:r w:rsidRPr="006A4921">
              <w:rPr>
                <w:rFonts w:cs="Times New Roman"/>
                <w:sz w:val="20"/>
                <w:szCs w:val="20"/>
              </w:rPr>
              <w:t>9.06</w:t>
            </w:r>
          </w:p>
        </w:tc>
      </w:tr>
      <w:tr w:rsidR="003C7E73" w:rsidRPr="006A4921" w14:paraId="2864514F" w14:textId="77777777" w:rsidTr="000B75C1">
        <w:trPr>
          <w:trHeight w:val="259"/>
          <w:jc w:val="center"/>
        </w:trPr>
        <w:tc>
          <w:tcPr>
            <w:tcW w:w="3140"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5C7193C" w14:textId="77777777" w:rsidR="003C7E73" w:rsidRPr="006A4921" w:rsidRDefault="003C7E73" w:rsidP="003C7E73">
            <w:pPr>
              <w:spacing w:after="0" w:line="240" w:lineRule="auto"/>
              <w:rPr>
                <w:rFonts w:eastAsia="Times New Roman" w:cs="Times New Roman"/>
                <w:color w:val="000000"/>
                <w:kern w:val="0"/>
                <w:sz w:val="20"/>
                <w:szCs w:val="20"/>
                <w14:ligatures w14:val="none"/>
              </w:rPr>
            </w:pPr>
            <w:r w:rsidRPr="006A4921">
              <w:rPr>
                <w:rFonts w:eastAsia="Times New Roman" w:cs="Times New Roman"/>
                <w:color w:val="000000"/>
                <w:kern w:val="0"/>
                <w:sz w:val="20"/>
                <w:szCs w:val="20"/>
                <w14:ligatures w14:val="none"/>
              </w:rPr>
              <w:t>Overall</w:t>
            </w:r>
          </w:p>
        </w:tc>
        <w:tc>
          <w:tcPr>
            <w:tcW w:w="1172" w:type="dxa"/>
            <w:tcBorders>
              <w:top w:val="single" w:sz="12" w:space="0" w:color="auto"/>
              <w:left w:val="single" w:sz="12" w:space="0" w:color="auto"/>
              <w:bottom w:val="single" w:sz="12" w:space="0" w:color="auto"/>
              <w:right w:val="nil"/>
            </w:tcBorders>
            <w:shd w:val="clear" w:color="auto" w:fill="auto"/>
            <w:noWrap/>
            <w:vAlign w:val="center"/>
            <w:hideMark/>
          </w:tcPr>
          <w:p w14:paraId="621FCE83" w14:textId="0C74922D" w:rsidR="003C7E73" w:rsidRPr="003C7E73" w:rsidRDefault="003C7E73" w:rsidP="000B75C1">
            <w:pPr>
              <w:tabs>
                <w:tab w:val="decimal" w:pos="383"/>
              </w:tabs>
              <w:spacing w:after="0" w:line="240" w:lineRule="auto"/>
              <w:jc w:val="center"/>
              <w:rPr>
                <w:rFonts w:eastAsia="Times New Roman" w:cs="Times New Roman"/>
                <w:color w:val="000000"/>
                <w:kern w:val="0"/>
                <w:sz w:val="20"/>
                <w:szCs w:val="20"/>
                <w14:ligatures w14:val="none"/>
              </w:rPr>
            </w:pPr>
            <w:r w:rsidRPr="003C7E73">
              <w:rPr>
                <w:sz w:val="20"/>
                <w:szCs w:val="20"/>
              </w:rPr>
              <w:t>-3.74</w:t>
            </w:r>
          </w:p>
        </w:tc>
        <w:tc>
          <w:tcPr>
            <w:tcW w:w="1073" w:type="dxa"/>
            <w:tcBorders>
              <w:top w:val="single" w:sz="12" w:space="0" w:color="auto"/>
              <w:left w:val="nil"/>
              <w:bottom w:val="single" w:sz="12" w:space="0" w:color="auto"/>
              <w:right w:val="nil"/>
            </w:tcBorders>
            <w:shd w:val="clear" w:color="auto" w:fill="auto"/>
            <w:noWrap/>
            <w:vAlign w:val="center"/>
            <w:hideMark/>
          </w:tcPr>
          <w:p w14:paraId="79426EDF" w14:textId="177E9468" w:rsidR="003C7E73" w:rsidRPr="003C7E73" w:rsidRDefault="003C7E73" w:rsidP="000B75C1">
            <w:pPr>
              <w:tabs>
                <w:tab w:val="decimal" w:pos="383"/>
              </w:tabs>
              <w:spacing w:after="0" w:line="240" w:lineRule="auto"/>
              <w:jc w:val="center"/>
              <w:rPr>
                <w:rFonts w:eastAsia="Times New Roman" w:cs="Times New Roman"/>
                <w:color w:val="000000"/>
                <w:kern w:val="0"/>
                <w:sz w:val="20"/>
                <w:szCs w:val="20"/>
                <w14:ligatures w14:val="none"/>
              </w:rPr>
            </w:pPr>
            <w:r w:rsidRPr="003C7E73">
              <w:rPr>
                <w:sz w:val="20"/>
                <w:szCs w:val="20"/>
              </w:rPr>
              <w:t>20.02</w:t>
            </w:r>
          </w:p>
        </w:tc>
        <w:tc>
          <w:tcPr>
            <w:tcW w:w="1103" w:type="dxa"/>
            <w:tcBorders>
              <w:top w:val="single" w:sz="12" w:space="0" w:color="auto"/>
              <w:left w:val="nil"/>
              <w:bottom w:val="single" w:sz="12" w:space="0" w:color="auto"/>
              <w:right w:val="nil"/>
            </w:tcBorders>
            <w:shd w:val="clear" w:color="auto" w:fill="auto"/>
            <w:noWrap/>
            <w:vAlign w:val="center"/>
            <w:hideMark/>
          </w:tcPr>
          <w:p w14:paraId="04A467D0" w14:textId="7BB94D8A" w:rsidR="003C7E73" w:rsidRPr="003C7E73" w:rsidRDefault="003C7E73" w:rsidP="000B75C1">
            <w:pPr>
              <w:tabs>
                <w:tab w:val="decimal" w:pos="383"/>
              </w:tabs>
              <w:spacing w:after="0" w:line="240" w:lineRule="auto"/>
              <w:jc w:val="center"/>
              <w:rPr>
                <w:rFonts w:eastAsia="Times New Roman" w:cs="Times New Roman"/>
                <w:color w:val="000000"/>
                <w:kern w:val="0"/>
                <w:sz w:val="20"/>
                <w:szCs w:val="20"/>
                <w14:ligatures w14:val="none"/>
              </w:rPr>
            </w:pPr>
            <w:r w:rsidRPr="003C7E73">
              <w:rPr>
                <w:sz w:val="20"/>
                <w:szCs w:val="20"/>
              </w:rPr>
              <w:t>-0.57</w:t>
            </w:r>
          </w:p>
        </w:tc>
        <w:tc>
          <w:tcPr>
            <w:tcW w:w="960" w:type="dxa"/>
            <w:tcBorders>
              <w:top w:val="single" w:sz="12" w:space="0" w:color="auto"/>
              <w:left w:val="nil"/>
              <w:bottom w:val="single" w:sz="12" w:space="0" w:color="auto"/>
              <w:right w:val="nil"/>
            </w:tcBorders>
            <w:shd w:val="clear" w:color="auto" w:fill="auto"/>
            <w:noWrap/>
            <w:vAlign w:val="center"/>
            <w:hideMark/>
          </w:tcPr>
          <w:p w14:paraId="322F4159" w14:textId="5895019D" w:rsidR="003C7E73" w:rsidRPr="003C7E73" w:rsidRDefault="003C7E73" w:rsidP="000B75C1">
            <w:pPr>
              <w:tabs>
                <w:tab w:val="decimal" w:pos="383"/>
              </w:tabs>
              <w:spacing w:after="0" w:line="240" w:lineRule="auto"/>
              <w:jc w:val="center"/>
              <w:rPr>
                <w:rFonts w:eastAsia="Times New Roman" w:cs="Times New Roman"/>
                <w:color w:val="000000"/>
                <w:kern w:val="0"/>
                <w:sz w:val="20"/>
                <w:szCs w:val="20"/>
                <w14:ligatures w14:val="none"/>
              </w:rPr>
            </w:pPr>
            <w:r w:rsidRPr="003C7E73">
              <w:rPr>
                <w:sz w:val="20"/>
                <w:szCs w:val="20"/>
              </w:rPr>
              <w:t>23.02</w:t>
            </w:r>
          </w:p>
        </w:tc>
        <w:tc>
          <w:tcPr>
            <w:tcW w:w="960" w:type="dxa"/>
            <w:tcBorders>
              <w:top w:val="single" w:sz="12" w:space="0" w:color="auto"/>
              <w:left w:val="nil"/>
              <w:bottom w:val="single" w:sz="12" w:space="0" w:color="auto"/>
              <w:right w:val="nil"/>
            </w:tcBorders>
            <w:shd w:val="clear" w:color="auto" w:fill="auto"/>
            <w:noWrap/>
            <w:vAlign w:val="center"/>
            <w:hideMark/>
          </w:tcPr>
          <w:p w14:paraId="59EAC24E" w14:textId="2BF2A574" w:rsidR="003C7E73" w:rsidRPr="003C7E73" w:rsidRDefault="003C7E73" w:rsidP="000B75C1">
            <w:pPr>
              <w:tabs>
                <w:tab w:val="decimal" w:pos="383"/>
              </w:tabs>
              <w:spacing w:after="0" w:line="240" w:lineRule="auto"/>
              <w:jc w:val="center"/>
              <w:rPr>
                <w:rFonts w:eastAsia="Times New Roman" w:cs="Times New Roman"/>
                <w:color w:val="000000"/>
                <w:kern w:val="0"/>
                <w:sz w:val="20"/>
                <w:szCs w:val="20"/>
                <w14:ligatures w14:val="none"/>
              </w:rPr>
            </w:pPr>
            <w:r w:rsidRPr="003C7E73">
              <w:rPr>
                <w:sz w:val="20"/>
                <w:szCs w:val="20"/>
              </w:rPr>
              <w:t>-18.51</w:t>
            </w:r>
          </w:p>
        </w:tc>
        <w:tc>
          <w:tcPr>
            <w:tcW w:w="1159" w:type="dxa"/>
            <w:tcBorders>
              <w:top w:val="single" w:sz="12" w:space="0" w:color="auto"/>
              <w:left w:val="nil"/>
              <w:bottom w:val="single" w:sz="12" w:space="0" w:color="auto"/>
              <w:right w:val="nil"/>
            </w:tcBorders>
            <w:shd w:val="clear" w:color="auto" w:fill="auto"/>
            <w:noWrap/>
            <w:vAlign w:val="center"/>
            <w:hideMark/>
          </w:tcPr>
          <w:p w14:paraId="1E2D1569" w14:textId="2F72EB51" w:rsidR="003C7E73" w:rsidRPr="003C7E73" w:rsidRDefault="003C7E73" w:rsidP="000B75C1">
            <w:pPr>
              <w:tabs>
                <w:tab w:val="decimal" w:pos="383"/>
              </w:tabs>
              <w:spacing w:after="0" w:line="240" w:lineRule="auto"/>
              <w:jc w:val="center"/>
              <w:rPr>
                <w:rFonts w:eastAsia="Times New Roman" w:cs="Times New Roman"/>
                <w:color w:val="000000"/>
                <w:kern w:val="0"/>
                <w:sz w:val="20"/>
                <w:szCs w:val="20"/>
                <w14:ligatures w14:val="none"/>
              </w:rPr>
            </w:pPr>
            <w:r w:rsidRPr="003C7E73">
              <w:rPr>
                <w:sz w:val="20"/>
                <w:szCs w:val="20"/>
              </w:rPr>
              <w:t>4.15</w:t>
            </w:r>
          </w:p>
        </w:tc>
        <w:tc>
          <w:tcPr>
            <w:tcW w:w="960" w:type="dxa"/>
            <w:tcBorders>
              <w:top w:val="single" w:sz="12" w:space="0" w:color="auto"/>
              <w:left w:val="nil"/>
              <w:bottom w:val="single" w:sz="12" w:space="0" w:color="auto"/>
              <w:right w:val="nil"/>
            </w:tcBorders>
            <w:shd w:val="clear" w:color="auto" w:fill="auto"/>
            <w:noWrap/>
            <w:vAlign w:val="center"/>
            <w:hideMark/>
          </w:tcPr>
          <w:p w14:paraId="429B2646" w14:textId="162A919C" w:rsidR="003C7E73" w:rsidRPr="003C7E73" w:rsidRDefault="003C7E73" w:rsidP="000B75C1">
            <w:pPr>
              <w:tabs>
                <w:tab w:val="decimal" w:pos="383"/>
              </w:tabs>
              <w:spacing w:after="0" w:line="240" w:lineRule="auto"/>
              <w:jc w:val="center"/>
              <w:rPr>
                <w:rFonts w:eastAsia="Times New Roman" w:cs="Times New Roman"/>
                <w:color w:val="000000"/>
                <w:kern w:val="0"/>
                <w:sz w:val="20"/>
                <w:szCs w:val="20"/>
                <w14:ligatures w14:val="none"/>
              </w:rPr>
            </w:pPr>
            <w:r w:rsidRPr="003C7E73">
              <w:rPr>
                <w:sz w:val="20"/>
                <w:szCs w:val="20"/>
              </w:rPr>
              <w:t>-19.79</w:t>
            </w:r>
          </w:p>
        </w:tc>
        <w:tc>
          <w:tcPr>
            <w:tcW w:w="1338" w:type="dxa"/>
            <w:tcBorders>
              <w:top w:val="single" w:sz="12" w:space="0" w:color="auto"/>
              <w:left w:val="nil"/>
              <w:bottom w:val="single" w:sz="12" w:space="0" w:color="auto"/>
              <w:right w:val="nil"/>
            </w:tcBorders>
            <w:shd w:val="clear" w:color="auto" w:fill="auto"/>
            <w:noWrap/>
            <w:vAlign w:val="center"/>
            <w:hideMark/>
          </w:tcPr>
          <w:p w14:paraId="5518300F" w14:textId="597E53DC" w:rsidR="003C7E73" w:rsidRPr="003C7E73" w:rsidRDefault="003C7E73" w:rsidP="000B75C1">
            <w:pPr>
              <w:tabs>
                <w:tab w:val="decimal" w:pos="383"/>
              </w:tabs>
              <w:spacing w:after="0" w:line="240" w:lineRule="auto"/>
              <w:jc w:val="center"/>
              <w:rPr>
                <w:rFonts w:eastAsia="Times New Roman" w:cs="Times New Roman"/>
                <w:color w:val="000000"/>
                <w:kern w:val="0"/>
                <w:sz w:val="20"/>
                <w:szCs w:val="20"/>
                <w14:ligatures w14:val="none"/>
              </w:rPr>
            </w:pPr>
            <w:r w:rsidRPr="003C7E73">
              <w:rPr>
                <w:sz w:val="20"/>
                <w:szCs w:val="20"/>
              </w:rPr>
              <w:t>1.15</w:t>
            </w:r>
          </w:p>
        </w:tc>
        <w:tc>
          <w:tcPr>
            <w:tcW w:w="1344" w:type="dxa"/>
            <w:tcBorders>
              <w:top w:val="single" w:sz="12" w:space="0" w:color="auto"/>
              <w:left w:val="nil"/>
              <w:bottom w:val="single" w:sz="12" w:space="0" w:color="auto"/>
              <w:right w:val="single" w:sz="12" w:space="0" w:color="auto"/>
            </w:tcBorders>
            <w:shd w:val="clear" w:color="auto" w:fill="auto"/>
            <w:noWrap/>
            <w:vAlign w:val="center"/>
            <w:hideMark/>
          </w:tcPr>
          <w:p w14:paraId="1BF8871E" w14:textId="3BE3A72B" w:rsidR="003C7E73" w:rsidRPr="003C7E73" w:rsidRDefault="003C7E73" w:rsidP="000B75C1">
            <w:pPr>
              <w:tabs>
                <w:tab w:val="decimal" w:pos="211"/>
              </w:tabs>
              <w:spacing w:after="0" w:line="240" w:lineRule="auto"/>
              <w:jc w:val="center"/>
              <w:rPr>
                <w:rFonts w:eastAsia="Times New Roman" w:cs="Times New Roman"/>
                <w:color w:val="000000"/>
                <w:kern w:val="0"/>
                <w:sz w:val="20"/>
                <w:szCs w:val="20"/>
                <w14:ligatures w14:val="none"/>
              </w:rPr>
            </w:pPr>
            <w:r w:rsidRPr="003C7E73">
              <w:rPr>
                <w:sz w:val="20"/>
                <w:szCs w:val="20"/>
              </w:rPr>
              <w:t>13.22</w:t>
            </w:r>
          </w:p>
        </w:tc>
      </w:tr>
      <w:bookmarkEnd w:id="7"/>
    </w:tbl>
    <w:p w14:paraId="12A64284" w14:textId="71637D6C" w:rsidR="00E202EB" w:rsidRDefault="00E202EB" w:rsidP="00CF241C">
      <w:pPr>
        <w:spacing w:after="0" w:line="240" w:lineRule="auto"/>
        <w:jc w:val="both"/>
        <w:rPr>
          <w:rFonts w:cs="Times New Roman"/>
        </w:rPr>
      </w:pPr>
    </w:p>
    <w:sectPr w:rsidR="00E202EB" w:rsidSect="00956D9D">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C1DA0" w14:textId="77777777" w:rsidR="0047747E" w:rsidRDefault="0047747E" w:rsidP="00412240">
      <w:pPr>
        <w:spacing w:after="0" w:line="240" w:lineRule="auto"/>
      </w:pPr>
      <w:r>
        <w:separator/>
      </w:r>
    </w:p>
  </w:endnote>
  <w:endnote w:type="continuationSeparator" w:id="0">
    <w:p w14:paraId="128A968B" w14:textId="77777777" w:rsidR="0047747E" w:rsidRDefault="0047747E" w:rsidP="00412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802381"/>
      <w:docPartObj>
        <w:docPartGallery w:val="Page Numbers (Bottom of Page)"/>
        <w:docPartUnique/>
      </w:docPartObj>
    </w:sdtPr>
    <w:sdtEndPr>
      <w:rPr>
        <w:noProof/>
      </w:rPr>
    </w:sdtEndPr>
    <w:sdtContent>
      <w:p w14:paraId="234A0454" w14:textId="1EABC440" w:rsidR="00920201" w:rsidRDefault="00920201" w:rsidP="00251A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471D9" w14:textId="77777777" w:rsidR="0047747E" w:rsidRDefault="0047747E" w:rsidP="00412240">
      <w:pPr>
        <w:spacing w:after="0" w:line="240" w:lineRule="auto"/>
      </w:pPr>
      <w:r>
        <w:separator/>
      </w:r>
    </w:p>
  </w:footnote>
  <w:footnote w:type="continuationSeparator" w:id="0">
    <w:p w14:paraId="689686AC" w14:textId="77777777" w:rsidR="0047747E" w:rsidRDefault="0047747E" w:rsidP="00412240">
      <w:pPr>
        <w:spacing w:after="0" w:line="240" w:lineRule="auto"/>
      </w:pPr>
      <w:r>
        <w:continuationSeparator/>
      </w:r>
    </w:p>
  </w:footnote>
  <w:footnote w:id="1">
    <w:p w14:paraId="65F12615" w14:textId="7B742B56" w:rsidR="00412240" w:rsidRPr="00251A17" w:rsidRDefault="00412240" w:rsidP="00251A17">
      <w:pPr>
        <w:spacing w:after="0" w:line="240" w:lineRule="auto"/>
        <w:jc w:val="both"/>
        <w:rPr>
          <w:rFonts w:cs="Times New Roman"/>
          <w:bCs/>
          <w:sz w:val="20"/>
          <w:szCs w:val="20"/>
        </w:rPr>
      </w:pPr>
      <w:r w:rsidRPr="007F7AD5">
        <w:rPr>
          <w:rStyle w:val="FootnoteReference"/>
        </w:rPr>
        <w:footnoteRef/>
      </w:r>
      <w:r w:rsidR="00251A17">
        <w:rPr>
          <w:rFonts w:cs="Times New Roman"/>
          <w:sz w:val="20"/>
          <w:szCs w:val="20"/>
        </w:rPr>
        <w:t xml:space="preserve"> </w:t>
      </w:r>
      <w:r w:rsidRPr="00DB17DD">
        <w:rPr>
          <w:rFonts w:cs="Times New Roman"/>
          <w:sz w:val="20"/>
          <w:szCs w:val="20"/>
        </w:rPr>
        <w:t xml:space="preserve">We acknowledge that, in the housing relocation statistics just provided, </w:t>
      </w:r>
      <w:r w:rsidRPr="00DB17DD">
        <w:rPr>
          <w:rFonts w:cs="Times New Roman"/>
          <w:bCs/>
          <w:sz w:val="20"/>
          <w:szCs w:val="20"/>
        </w:rPr>
        <w:t xml:space="preserve">there is </w:t>
      </w:r>
      <w:r w:rsidR="004A2C68">
        <w:rPr>
          <w:rFonts w:cs="Times New Roman"/>
          <w:bCs/>
          <w:sz w:val="20"/>
          <w:szCs w:val="20"/>
        </w:rPr>
        <w:t xml:space="preserve">some </w:t>
      </w:r>
      <w:r w:rsidRPr="00DB17DD">
        <w:rPr>
          <w:rFonts w:cs="Times New Roman"/>
          <w:bCs/>
          <w:sz w:val="20"/>
          <w:szCs w:val="20"/>
        </w:rPr>
        <w:t xml:space="preserve">confounding between temporary moves during the pandemic (for example, moving to a rented home in Florida from a small apartment in downtown New York, with the intent to return to the apartment after the worst of COVID) from longer-term moves. However, </w:t>
      </w:r>
      <w:r w:rsidR="004A2C68">
        <w:rPr>
          <w:rFonts w:cs="Times New Roman"/>
          <w:bCs/>
          <w:sz w:val="20"/>
          <w:szCs w:val="20"/>
        </w:rPr>
        <w:t xml:space="preserve">the reduced percentage of address changes in 2021 and 2022 </w:t>
      </w:r>
      <w:r w:rsidR="00746C5B">
        <w:rPr>
          <w:rFonts w:cs="Times New Roman"/>
          <w:bCs/>
          <w:sz w:val="20"/>
          <w:szCs w:val="20"/>
        </w:rPr>
        <w:t xml:space="preserve">also show that </w:t>
      </w:r>
      <w:r w:rsidR="004A2C68">
        <w:rPr>
          <w:rFonts w:cs="Times New Roman"/>
          <w:bCs/>
          <w:sz w:val="20"/>
          <w:szCs w:val="20"/>
        </w:rPr>
        <w:t xml:space="preserve">there were longer-term moves that contributed </w:t>
      </w:r>
      <w:r w:rsidRPr="00DB17DD">
        <w:rPr>
          <w:rFonts w:cs="Times New Roman"/>
          <w:bCs/>
          <w:sz w:val="20"/>
          <w:szCs w:val="20"/>
        </w:rPr>
        <w:t>to the overall moves</w:t>
      </w:r>
      <w:r w:rsidR="004A2C68">
        <w:rPr>
          <w:rFonts w:cs="Times New Roman"/>
          <w:bCs/>
          <w:sz w:val="20"/>
          <w:szCs w:val="20"/>
        </w:rPr>
        <w:t xml:space="preserve"> immediately after the onset of the pandemic</w:t>
      </w:r>
      <w:r w:rsidRPr="00DB17DD">
        <w:rPr>
          <w:rFonts w:cs="Times New Roman"/>
          <w:bCs/>
          <w:sz w:val="20"/>
          <w:szCs w:val="20"/>
        </w:rPr>
        <w:t>.</w:t>
      </w:r>
    </w:p>
  </w:footnote>
  <w:footnote w:id="2">
    <w:p w14:paraId="6C3268F5" w14:textId="0FCD9C60" w:rsidR="00702F1D" w:rsidRDefault="00702F1D" w:rsidP="00251A17">
      <w:pPr>
        <w:pStyle w:val="FootnoteText"/>
        <w:jc w:val="both"/>
      </w:pPr>
      <w:r>
        <w:rPr>
          <w:rStyle w:val="FootnoteReference"/>
        </w:rPr>
        <w:footnoteRef/>
      </w:r>
      <w:r w:rsidR="00251A17">
        <w:t xml:space="preserve"> </w:t>
      </w:r>
      <w:r>
        <w:t xml:space="preserve">This is not to say that before-COVID studies have not considered non-commute distance factors in residential location choice. </w:t>
      </w:r>
      <w:r>
        <w:rPr>
          <w:bCs/>
        </w:rPr>
        <w:t xml:space="preserve">Examples include the consideration of land-use factors </w:t>
      </w:r>
      <w:r>
        <w:fldChar w:fldCharType="begin"/>
      </w:r>
      <w:r>
        <w:instrText xml:space="preserve"> ADDIN ZOTERO_ITEM CSL_CITATION {"citationID":"BB7Umays","properties":{"formattedCitation":"(Chen et al., 2008; Marois et al., 2019)","plainCitation":"(Chen et al., 2008; Marois et al., 2019)","noteIndex":0},"citationItems":[{"id":316,"uris":["http://zotero.org/users/12832277/items/UTUZ78LD"],"itemData":{"id":316,"type":"article-journal","abstract":"The literature for residential location choice is deficient in two aspects. First, many studies model location choice as a static choice, with no memory of the past. Second, current understanding of household tradeoffs between attributes is limited. These two issues are addressed by developing and estimating a residential location model that accounts for prior locations by using the Puget Sound Panel (1989?2002) data set. Four types of accessibility attributes are examined: work, open space, retail opportunity, and recreation. A comparison between the proposed model and the existing literature model demonstrates the superiority of the former. Prior commute distance, open space, and recreation opportunity are all shown to influence current residential location choices.","container-title":"Transportation Research Record","DOI":"10.3141/2077-10","ISSN":"0361-1981","issue":"1","note":"publisher: SAGE Publications Inc","page":"71-79","source":"SAGE Journals","title":"Accessibility Trade-Offs in Household Residential Location Decisions","volume":"2077","author":[{"family":"Chen","given":"Jason"},{"family":"Chen","given":"Cynthia"},{"family":"Timmermans","given":"Harry J. P."}],"issued":{"date-parts":[["2008",1,1]]}}},{"id":797,"uris":["http://zotero.org/users/12832277/items/2EM5XRS2"],"itemData":{"id":797,"type":"article-journal","abstract":"The residential choices of seniors are an important issue to be considered in both social sciences and in urban planning. In this study, we aimed to analyze how the young-elderly in the Montreal metropolitan area deal with the duality opposing a dwelling's characteristics with those of the neighborhood in their residential choices. Therefore, those who move need to make choices within the constraints of both dwelling and neighborhood characteristics. We employed a statistical approach combining both dwelling and neighborhood characteristics from the 2011 National Household Survey (2011 NHS) and geospatial data, first in separate models and then in a joint model. Our results revealed that the general characteristics of an ideal home of retirees are 3 to 4 rooms, a high-rise building, and a low-density neighborhood. We noted that the geographical location of the previous dwelling is an important determinant of the geographical location of the new one, suggesting a strong territorial attachment among the young-elderly. By stratifying the model with the income quintile, we noted that choices varied widely according to the socioeconomic profile. Thus, for the lower-class of young-elderly, housing costs are a predominant factor, while condos are the preferred housing tenure of the upper class, who also sought to live in a wealthy neighborhood. This segregation dynamic may lead to territorial segmentation, where the upper class seeks to live apart from the rest of the population.","container-title":"Journal of Housing Economics","DOI":"10.1016/j.jhe.2018.08.004","ISSN":"1051-1377","language":"en","page":"141-149","source":"ScienceDirect","title":"A Mixed Logit Model Analysis of Residential Choices of the Young-Elderly in the Montreal Metropolitan Area","volume":"44","author":[{"family":"Marois","given":"Guillaume"},{"family":"Lord","given":"Sébastien"},{"family":"Morency","given":"Catherine"}],"issued":{"date-parts":[["2019",6,1]]}}}],"schema":"https://github.com/citation-style-language/schema/raw/master/csl-citation.json"} </w:instrText>
      </w:r>
      <w:r>
        <w:fldChar w:fldCharType="separate"/>
      </w:r>
      <w:r w:rsidRPr="00BE2513">
        <w:t>(Chen et al., 2008; Marois et al., 2019)</w:t>
      </w:r>
      <w:r>
        <w:fldChar w:fldCharType="end"/>
      </w:r>
      <w:r>
        <w:t xml:space="preserve">, </w:t>
      </w:r>
      <w:r w:rsidRPr="006807BB">
        <w:t xml:space="preserve">neighborhood </w:t>
      </w:r>
      <w:r>
        <w:t xml:space="preserve">crime rates and </w:t>
      </w:r>
      <w:r w:rsidRPr="006807BB">
        <w:t>safety</w:t>
      </w:r>
      <w:r>
        <w:t xml:space="preserve"> </w:t>
      </w:r>
      <w:r>
        <w:fldChar w:fldCharType="begin"/>
      </w:r>
      <w:r>
        <w:instrText xml:space="preserve"> ADDIN ZOTERO_ITEM CSL_CITATION {"citationID":"MnUhS3t9","properties":{"formattedCitation":"(McIlhatton et al., 2016; Olanrewaju and Wong, 2020)","plainCitation":"(McIlhatton et al., 2016; Olanrewaju and Wong, 2020)","noteIndex":0},"citationItems":[{"id":2124,"uris":["http://zotero.org/users/12832277/items/4WQAFETD"],"itemData":{"id":2124,"type":"article-journal","abstract":"Purpose There is a lack of understanding in the literature on the spatial relationships between crime and house price. This paper aims to test the impact of spatial effects in the housing market, how these are related to the incidence of crime and whether effects vary by the type of crime. Design/methodology/approach The analysis initially explores univariate and bivariate spatial patterns in crime and house price data for the Belfast Metropolitan Area using Moran’s I and Local Indicator Spatial Association (LISA) models, and secondly uses spatial autoregression models to estimate the role of crime on house prices. A spatially weighted two-stage least-squares model is specified to analyse the joint impact of crime variables. The analysis is cross sectional, based on a panel of data. Findings The paper illustrates that the pricing impact of crime is complex and varies by type of crime, property type and location. It is shown that burglary and theft are associated with higher-income neighbourhoods, whereas violence against persons, criminal damage and drugs offences are mainly associated with lower-priced neighbourhoods. Spatial error effects are reduced in models based on specific crime variables. Originality/value The originality of this paper is the application of spatial analysis in the study of the impact of crime upon house prices. Criticisms of hedonic price models are based on unexplained error effects; the significance of this paper is the reduction of spatial error effects achievable through the analysis of crime data.","container-title":"International Journal of Housing Markets and Analysis","DOI":"10.1108/IJHMA-10-2015-0065","ISSN":"1753-8270","issue":"4","note":"publisher: Emerald Group Publishing Limited","page":"627-647","source":"Emerald Insight","title":"Impact of Crime on Spatial Analysis of House Prices: Evidence from a UK City","volume":"9","author":[{"family":"McIlhatton","given":"David"},{"family":"McGreal","given":"William"},{"family":"Taltavul de la Paz","given":"Paloma"},{"family":"Adair","given":"Alastair"}],"issued":{"date-parts":[["2016",1,1]]}}},{"id":611,"uris":["http://zotero.org/users/12832277/items/7JPD4GVC"],"itemData":{"id":611,"type":"article-journal","abstract":"The overall Malaysian homeownership rate is declining. However, despite the introduction of various schemes and interventions, especially to the first time buyers, the gap between demand and supply is widening unabated. Thus, this research aims to evaluate the requirements of first-time home buyers. Primary data were collected through a cross-sectional survey questionnaire involving 196 homebuyers. House price, crime rate, care for the environment, availability of parking and housing types are the five main requirements of the first time home buyers in the purchase of affordable housing. An exploratory factor analysis generated five underlying clusters named in order of their significance, as price configuration, accessibility, transportation and sustainability. The findings provide fresh insights into addressing housing deficits in Malaysia and beyond. The findings will be useful to urban planners and place managers involved in housing distribution and location management. The housing developers would use this information to plan their housing delivery and design criteria, while home buyers require this to develop or adjust their buying plans. This research will enhance social well-being and increase measures to increase homeowner rates in Malaysia and elsewhere.","container-title":"Journal of Housing and the Built Environment","DOI":"10.1007/s10901-019-09681-z","ISSN":"1573-7772","issue":"1","language":"en","page":"309-333","source":"Springer Link","title":"Evaluation of the Requirements of First Time Buyers in the Purchase of Affordable Housing in Malaysia","volume":"35","author":[{"family":"Olanrewaju","given":"AbdulLateef"},{"family":"Wong","given":"HWong Chew"}],"issued":{"date-parts":[["2020",3,1]]}}}],"schema":"https://github.com/citation-style-language/schema/raw/master/csl-citation.json"} </w:instrText>
      </w:r>
      <w:r>
        <w:fldChar w:fldCharType="separate"/>
      </w:r>
      <w:r w:rsidRPr="009358BF">
        <w:t>(McIlhatton et al., 2016; Olanrewaju and Wong, 2020)</w:t>
      </w:r>
      <w:r>
        <w:fldChar w:fldCharType="end"/>
      </w:r>
      <w:r>
        <w:t>,</w:t>
      </w:r>
      <w:r w:rsidRPr="006807BB">
        <w:t xml:space="preserve"> </w:t>
      </w:r>
      <w:r>
        <w:t xml:space="preserve">activity accessibility </w:t>
      </w:r>
      <w:r>
        <w:fldChar w:fldCharType="begin"/>
      </w:r>
      <w:r>
        <w:instrText xml:space="preserve"> ADDIN ZOTERO_ITEM CSL_CITATION {"citationID":"tH6BF0As","properties":{"unsorted":true,"formattedCitation":"(Wang and Li, 2006; Li et al., 2016)","plainCitation":"(Wang and Li, 2006; Li et al., 2016)","noteIndex":0},"citationItems":[{"id":2064,"uris":["http://zotero.org/users/12832277/items/PYPAYVR4"],"itemData":{"id":2064,"type":"article-journal","abstract":"Households in Chinese cities today have to increasingly rely on the market to satisfy their housing needs. The growing freedom in choosing one's own residence implies increased variations in all aspects of housing consumption. Examination of individuals’ housing preferences is crucial in understanding these variations. This paper studies the housing preference of Guangzhou people through choice experiments framed in state-of-the-art experimental design methods. Joint logit models comprising both neighbourhood and dwelling attributes are estimated for all subjects and for various sub-samples classified by family income, age, education, nature of employment organization, district of current residence, etc. The models are then used to compute utilities for different attribute levels, the impacts of these attributes on choice probabilities, and the relative prices that the subjects are willing to pay for buying a home in different districts, with different accessibilities, of different types, etc. Neighbourhood and location-related attributes are found to be more important than dwelling-related attributes in home purchase decisions. Further, factors such as family income, age, education, nature of employment organization, etc. are found, to various degrees, have affected housing preference. Based on the preference structures revealed, we envision a new urban morphology to take shape in Chinese cities which is not too dissimilar from the ones in cities in the West, with the inner core dominated by the aged and the urban poor and the outskirts occupied by younger people and the rich and well-educated class.","collection-title":"Urbanization in China, A Special Issue in Two Parts. Part 1 China's Globalizing Cities. Part 2 Affordable Housing in China.","container-title":"Habitat International","DOI":"10.1016/j.habitatint.2004.02.009","ISSN":"0197-3975","issue":"2","page":"305-326","source":"ScienceDirect","title":"Socio-Economic Differentials and Stated Housing Preferences in Guangzhou, China","volume":"30","author":[{"family":"Wang","given":"Donggen"},{"family":"Li","given":"Si-ming"}],"issued":{"date-parts":[["2006",6,1]]}}},{"id":608,"uris":["http://zotero.org/users/12832277/items/Y9U724KS"],"itemData":{"id":608,"type":"article-journal","abstract":"Negative amenities, such as air pollutions, have plagued many rapidly growing cities. However, researchers have not comprehensively examined their effects on housing values and on the local economy. These effects may be spatially auto-correlated with accessibility factors, differ in how they are dispersed over space and time, and have sizable localized effects. In this study, we use the assessed property value data and hedonic pricing models to examine consumers' underlying preferences for various amenities and accessibility factors in Salt Lake County, with a particular focus on air pollutions and forest coverage. Three models are used to address the problem of special and temporal heterogeneity. Results from ordinary least squares (OLS) regression show that single-family home values are affected not only by structural attributes, but also by urban amenities and accessibility factors such as air pollution, forest coverage, quality of public schools, and commuting cost. After controlling the covariates in spatial lag regression (SLR), we find that air pollutions and the lack of forest coverage have a significant and detrimental effect on housing values over time. Finally, results from geographically weighted regression (GWR) indicate that spatial heterogeneity is evident and that the forest coverage has more positive influences in the east side of Salt Lake County, while the negative effect of air pollutions is less pronounced on housing values in the southeast. However, air pollutions and forest cover matter irrespective of the method used.","container-title":"Cities","DOI":"10.1016/j.cities.2016.07.001","ISSN":"0264-2751","language":"en","page":"113-125","source":"ScienceDirect","title":"Amenity, Accessibility and Housing Values in Metropolitan USA: A Study of Salt Lake County, Utah","volume":"59","author":[{"family":"Li","given":"Han"},{"family":"Wei","given":"Yehua Dennis"},{"family":"Yu","given":"Zhou"},{"family":"Tian","given":"Guang"}],"issued":{"date-parts":[["2016",11,1]]}}}],"schema":"https://github.com/citation-style-language/schema/raw/master/csl-citation.json"} </w:instrText>
      </w:r>
      <w:r>
        <w:fldChar w:fldCharType="separate"/>
      </w:r>
      <w:r w:rsidRPr="00E85B97">
        <w:t>(Wang and Li, 2006; Li et al., 2016)</w:t>
      </w:r>
      <w:r>
        <w:fldChar w:fldCharType="end"/>
      </w:r>
      <w:r>
        <w:t xml:space="preserve">, and </w:t>
      </w:r>
      <w:r w:rsidRPr="006807BB">
        <w:t xml:space="preserve">local school quality </w:t>
      </w:r>
      <w:r>
        <w:fldChar w:fldCharType="begin"/>
      </w:r>
      <w:r>
        <w:instrText xml:space="preserve"> ADDIN ZOTERO_ITEM CSL_CITATION {"citationID":"fTCrDrPO","properties":{"unsorted":true,"formattedCitation":"(Li et al., 2016; Lee et al., 2019)","plainCitation":"(Li et al., 2016; Lee et al., 2019)","noteIndex":0},"citationItems":[{"id":608,"uris":["http://zotero.org/users/12832277/items/Y9U724KS"],"itemData":{"id":608,"type":"article-journal","abstract":"Negative amenities, such as air pollutions, have plagued many rapidly growing cities. However, researchers have not comprehensively examined their effects on housing values and on the local economy. These effects may be spatially auto-correlated with accessibility factors, differ in how they are dispersed over space and time, and have sizable localized effects. In this study, we use the assessed property value data and hedonic pricing models to examine consumers' underlying preferences for various amenities and accessibility factors in Salt Lake County, with a particular focus on air pollutions and forest coverage. Three models are used to address the problem of special and temporal heterogeneity. Results from ordinary least squares (OLS) regression show that single-family home values are affected not only by structural attributes, but also by urban amenities and accessibility factors such as air pollution, forest coverage, quality of public schools, and commuting cost. After controlling the covariates in spatial lag regression (SLR), we find that air pollutions and the lack of forest coverage have a significant and detrimental effect on housing values over time. Finally, results from geographically weighted regression (GWR) indicate that spatial heterogeneity is evident and that the forest coverage has more positive influences in the east side of Salt Lake County, while the negative effect of air pollutions is less pronounced on housing values in the southeast. However, air pollutions and forest cover matter irrespective of the method used.","container-title":"Cities","DOI":"10.1016/j.cities.2016.07.001","ISSN":"0264-2751","language":"en","page":"113-125","source":"ScienceDirect","title":"Amenity, Accessibility and Housing Values in Metropolitan USA: A Study of Salt Lake County, Utah","volume":"59","author":[{"family":"Li","given":"Han"},{"family":"Wei","given":"Yehua Dennis"},{"family":"Yu","given":"Zhou"},{"family":"Tian","given":"Guang"}],"issued":{"date-parts":[["2016",11,1]]}}},{"id":1184,"uris":["http://zotero.org/users/12832277/items/4FD88KR5"],"itemData":{"id":1184,"type":"article-journal","abstract":"The millennial generation, the cohort born from 1981 to 1996, lives in large cities or denser parts of metropolitan areas more than preceding generations did at the same age. Studies have theorized that a combination of temporary economic hardship, long-term societal changes, and changing preferences and attitudes have been responsible for Millennials’ unique residential choices. This study examines a less-explored question about the presence and significance of heterogeneity in residential preferences across and within generations. In doing so, this study employs a latent-class choice model on a commuter subsample of Millennials and members of Generation X (n = 729) of the California Millennials Dataset, which collected a rich set of variables on various dimensions in Fall 2015. Using randomly-generated unlabeled choice sets at the US Census block group level, this study identifies three latent classes. The Younger, Pro-Urban Class (53% of our dataset; 66% of its millennial cases and 42% of its Gen Xers) behaves as the stereotypical Millennials in popular media, preferring urban amenities; the Affluent, Highly-Educated Class (32% of our dataset; 25% of its millennials and 38% of its Gen Xers) appears to pursue lifestyles and high socioeconomic status over homeownership or good school districts; and the Middle-Class Homeowner Class (15% of our dataset; 8% of its millennial cases and 21% of its Gen Xers) presents more traditional family-oriented suburban lifestyles. After the examination of shares of the three classes by age and neighborhood type, we provide suggestions for future research and effective planning responses.","container-title":"Transportation Research Part D: Transport and Environment","DOI":"10.1016/j.trd.2019.08.001","ISSN":"1361-9209","page":"289-304","source":"ScienceDirect","title":"Heterogeneous Residential Preferences Among Millennials and Members of Generation X in California: A Latent-Class Approach","volume":"76","author":[{"family":"Lee","given":"Yongsung"},{"family":"Circella","given":"Giovanni"},{"family":"Mokhtarian","given":"Patricia L."},{"family":"Guhathakurta","given":"Subhrajit"}],"issued":{"date-parts":[["2019",11,1]]}}}],"schema":"https://github.com/citation-style-language/schema/raw/master/csl-citation.json"} </w:instrText>
      </w:r>
      <w:r>
        <w:fldChar w:fldCharType="separate"/>
      </w:r>
      <w:r w:rsidRPr="002D0A58">
        <w:t>(Li et al., 2016; Lee et al., 2019)</w:t>
      </w:r>
      <w:r>
        <w:fldChar w:fldCharType="end"/>
      </w:r>
      <w:r>
        <w:t xml:space="preserve">. However, the general before-COVID emphasis has been on commute distance. </w:t>
      </w:r>
    </w:p>
  </w:footnote>
  <w:footnote w:id="3">
    <w:p w14:paraId="3D2BBFD8" w14:textId="1593BD0C" w:rsidR="00C07EB7" w:rsidRPr="00251A17" w:rsidRDefault="00C07EB7" w:rsidP="00251A17">
      <w:pPr>
        <w:autoSpaceDE w:val="0"/>
        <w:autoSpaceDN w:val="0"/>
        <w:adjustRightInd w:val="0"/>
        <w:spacing w:after="0" w:line="240" w:lineRule="auto"/>
        <w:jc w:val="both"/>
        <w:rPr>
          <w:rFonts w:cs="Times New Roman"/>
          <w:bCs/>
        </w:rPr>
      </w:pPr>
      <w:r>
        <w:rPr>
          <w:rStyle w:val="FootnoteReference"/>
        </w:rPr>
        <w:footnoteRef/>
      </w:r>
      <w:r w:rsidR="00251A17">
        <w:rPr>
          <w:sz w:val="20"/>
          <w:szCs w:val="20"/>
        </w:rPr>
        <w:t xml:space="preserve"> </w:t>
      </w:r>
      <w:r w:rsidRPr="00CB2014">
        <w:rPr>
          <w:sz w:val="20"/>
          <w:szCs w:val="20"/>
        </w:rPr>
        <w:t xml:space="preserve">We had to go back up to five years </w:t>
      </w:r>
      <w:r w:rsidRPr="00CB2014">
        <w:rPr>
          <w:rFonts w:cs="Times New Roman"/>
          <w:bCs/>
          <w:sz w:val="20"/>
          <w:szCs w:val="20"/>
        </w:rPr>
        <w:t xml:space="preserve">to </w:t>
      </w:r>
      <w:r w:rsidR="00BF41FA" w:rsidRPr="00CB2014">
        <w:rPr>
          <w:rFonts w:cs="Times New Roman"/>
          <w:bCs/>
          <w:sz w:val="20"/>
          <w:szCs w:val="20"/>
        </w:rPr>
        <w:t xml:space="preserve">obtain </w:t>
      </w:r>
      <w:r w:rsidRPr="00CB2014">
        <w:rPr>
          <w:rFonts w:cs="Times New Roman"/>
          <w:bCs/>
          <w:sz w:val="20"/>
          <w:szCs w:val="20"/>
        </w:rPr>
        <w:t xml:space="preserve">a reasonable number of households who relocated before the pandemic. Admittedly, it is quite possible that </w:t>
      </w:r>
      <w:r w:rsidR="00BF41FA" w:rsidRPr="00CB2014">
        <w:rPr>
          <w:rFonts w:cs="Times New Roman"/>
          <w:bCs/>
          <w:sz w:val="20"/>
          <w:szCs w:val="20"/>
        </w:rPr>
        <w:t xml:space="preserve">some demographics may have changed even through this </w:t>
      </w:r>
      <w:r w:rsidR="0078131A" w:rsidRPr="00CB2014">
        <w:rPr>
          <w:rFonts w:cs="Times New Roman"/>
          <w:bCs/>
          <w:sz w:val="20"/>
          <w:szCs w:val="20"/>
        </w:rPr>
        <w:t>five-year</w:t>
      </w:r>
      <w:r w:rsidR="00BF41FA" w:rsidRPr="00CB2014">
        <w:rPr>
          <w:rFonts w:cs="Times New Roman"/>
          <w:bCs/>
          <w:sz w:val="20"/>
          <w:szCs w:val="20"/>
        </w:rPr>
        <w:t xml:space="preserve"> period, but that is the data we have. On the positive side, the 2021 Puget Sound Regional Household Travel Survey provides the opportunity for a </w:t>
      </w:r>
      <w:r w:rsidR="00702F1D">
        <w:rPr>
          <w:rFonts w:cs="Times New Roman"/>
          <w:bCs/>
          <w:sz w:val="20"/>
          <w:szCs w:val="20"/>
        </w:rPr>
        <w:t xml:space="preserve">very </w:t>
      </w:r>
      <w:r w:rsidR="00BF41FA" w:rsidRPr="00CB2014">
        <w:rPr>
          <w:rFonts w:cs="Times New Roman"/>
          <w:bCs/>
          <w:sz w:val="20"/>
          <w:szCs w:val="20"/>
        </w:rPr>
        <w:t xml:space="preserve">timely investigation of </w:t>
      </w:r>
      <w:r w:rsidR="00BF41FA">
        <w:rPr>
          <w:rFonts w:cs="Times New Roman"/>
          <w:bCs/>
          <w:sz w:val="20"/>
          <w:szCs w:val="20"/>
        </w:rPr>
        <w:t xml:space="preserve">residential location decisions </w:t>
      </w:r>
      <w:r w:rsidR="00BF41FA" w:rsidRPr="00CB2014">
        <w:rPr>
          <w:rFonts w:cs="Times New Roman"/>
          <w:bCs/>
          <w:sz w:val="20"/>
          <w:szCs w:val="20"/>
        </w:rPr>
        <w:t xml:space="preserve">in the </w:t>
      </w:r>
      <w:r w:rsidR="00BC3D48">
        <w:rPr>
          <w:rFonts w:cs="Times New Roman"/>
          <w:bCs/>
          <w:sz w:val="20"/>
          <w:szCs w:val="20"/>
        </w:rPr>
        <w:t>during</w:t>
      </w:r>
      <w:r w:rsidR="00BF41FA" w:rsidRPr="00CB2014">
        <w:rPr>
          <w:rFonts w:cs="Times New Roman"/>
          <w:bCs/>
          <w:sz w:val="20"/>
          <w:szCs w:val="20"/>
        </w:rPr>
        <w:t>-COVID period</w:t>
      </w:r>
      <w:r w:rsidR="00BF41FA">
        <w:rPr>
          <w:rFonts w:cs="Times New Roman"/>
          <w:bCs/>
          <w:sz w:val="20"/>
          <w:szCs w:val="20"/>
        </w:rPr>
        <w:t>.</w:t>
      </w:r>
    </w:p>
  </w:footnote>
  <w:footnote w:id="4">
    <w:p w14:paraId="562D6747" w14:textId="778C96C6" w:rsidR="008A303C" w:rsidRDefault="008A303C" w:rsidP="00AF03B7">
      <w:pPr>
        <w:pStyle w:val="FootnoteText"/>
        <w:jc w:val="both"/>
      </w:pPr>
      <w:r w:rsidRPr="002D66B1">
        <w:rPr>
          <w:rStyle w:val="FootnoteReference"/>
        </w:rPr>
        <w:footnoteRef/>
      </w:r>
      <w:r w:rsidR="00251A17">
        <w:t xml:space="preserve"> </w:t>
      </w:r>
      <w:r w:rsidRPr="00D97F68">
        <w:t xml:space="preserve">In this table, we allocated ties equally across the tied </w:t>
      </w:r>
      <w:r w:rsidRPr="002D66B1">
        <w:t xml:space="preserve">rank categories. For example, if an individual identified factors 1, 2, and 3 as </w:t>
      </w:r>
      <w:r w:rsidR="008321EB" w:rsidRPr="002D66B1">
        <w:t xml:space="preserve">tied for </w:t>
      </w:r>
      <w:r w:rsidRPr="002D66B1">
        <w:t xml:space="preserve">rank 1, the individual’s contribution of each factor toward rank #1 </w:t>
      </w:r>
      <w:r w:rsidR="008321EB" w:rsidRPr="002D66B1">
        <w:t xml:space="preserve">was assigned as 0.33, toward rank #2 as 0.33, and toward rank #3 as 0.33. </w:t>
      </w:r>
      <w:r w:rsidR="002D66B1" w:rsidRPr="002D66B1">
        <w:t xml:space="preserve">Thus, the sum of the percentages in each column </w:t>
      </w:r>
      <w:r w:rsidR="00641B3F">
        <w:t xml:space="preserve">for the top-ranked factor and last-ranked factor in each period </w:t>
      </w:r>
      <w:r w:rsidR="002D66B1" w:rsidRPr="002D66B1">
        <w:t>sum to 100%</w:t>
      </w:r>
      <w:r w:rsidR="00BF26A3">
        <w:t>.</w:t>
      </w:r>
      <w:r w:rsidR="00641B3F">
        <w:t xml:space="preserve"> </w:t>
      </w:r>
    </w:p>
  </w:footnote>
  <w:footnote w:id="5">
    <w:p w14:paraId="7DD847AE" w14:textId="60915009" w:rsidR="00C77C39" w:rsidRDefault="00C77C39" w:rsidP="00CB2014">
      <w:pPr>
        <w:pStyle w:val="FootnoteText"/>
        <w:jc w:val="both"/>
      </w:pPr>
      <w:r>
        <w:rPr>
          <w:rStyle w:val="FootnoteReference"/>
        </w:rPr>
        <w:footnoteRef/>
      </w:r>
      <w:r w:rsidR="003F65A3">
        <w:t xml:space="preserve"> </w:t>
      </w:r>
      <w:r>
        <w:t xml:space="preserve">Several other household composition variables were initially </w:t>
      </w:r>
      <w:r w:rsidR="007A6AFD">
        <w:t>considered but</w:t>
      </w:r>
      <w:r>
        <w:t xml:space="preserve"> did not have significant </w:t>
      </w:r>
      <w:r w:rsidR="005A6BAE">
        <w:t xml:space="preserve">statistical </w:t>
      </w:r>
      <w:r>
        <w:t>impacts on</w:t>
      </w:r>
      <w:r w:rsidR="005A6BAE">
        <w:t xml:space="preserve"> residential location utilities even at the 80% confidence level</w:t>
      </w:r>
      <w:r>
        <w:t xml:space="preserve">. In particular, the gender of single-adult households and the structure of multi-adult households (whether the </w:t>
      </w:r>
      <w:r w:rsidR="00800A3E">
        <w:t>adults were a couple, living with older parents, or living with unrelated roommates)</w:t>
      </w:r>
      <w:r>
        <w:t xml:space="preserve">, other than the presence of retired adults, did not have a </w:t>
      </w:r>
      <w:r w:rsidR="00BF34E5">
        <w:t xml:space="preserve">statistically </w:t>
      </w:r>
      <w:r>
        <w:t>significant impact o</w:t>
      </w:r>
      <w:r w:rsidR="00BF34E5">
        <w:t xml:space="preserve">n </w:t>
      </w:r>
      <w:r>
        <w:t xml:space="preserve">the prioritization of the housing factors. </w:t>
      </w:r>
    </w:p>
  </w:footnote>
  <w:footnote w:id="6">
    <w:p w14:paraId="0D62DDCB" w14:textId="1F22BA43" w:rsidR="00206CEC" w:rsidRPr="003F65A3" w:rsidRDefault="00206CEC" w:rsidP="003F65A3">
      <w:pPr>
        <w:autoSpaceDE w:val="0"/>
        <w:autoSpaceDN w:val="0"/>
        <w:adjustRightInd w:val="0"/>
        <w:spacing w:after="0" w:line="240" w:lineRule="auto"/>
        <w:jc w:val="both"/>
        <w:rPr>
          <w:sz w:val="20"/>
          <w:szCs w:val="20"/>
        </w:rPr>
      </w:pPr>
      <w:r w:rsidRPr="00B91564">
        <w:rPr>
          <w:rStyle w:val="FootnoteReference"/>
          <w:rFonts w:eastAsia="Times New Roman" w:cs="Times New Roman"/>
          <w:kern w:val="0"/>
          <w:sz w:val="20"/>
          <w:szCs w:val="20"/>
          <w14:ligatures w14:val="none"/>
        </w:rPr>
        <w:footnoteRef/>
      </w:r>
      <w:r w:rsidRPr="007A6AFD">
        <w:rPr>
          <w:sz w:val="20"/>
          <w:szCs w:val="20"/>
        </w:rPr>
        <w:t xml:space="preserve"> </w:t>
      </w:r>
      <w:r w:rsidRPr="007A6AFD">
        <w:rPr>
          <w:rFonts w:cs="Times New Roman"/>
          <w:bCs/>
          <w:sz w:val="20"/>
          <w:szCs w:val="20"/>
        </w:rPr>
        <w:t>As an example, consider the effect of children on</w:t>
      </w:r>
      <w:r w:rsidR="002472B1">
        <w:rPr>
          <w:rFonts w:cs="Times New Roman"/>
          <w:bCs/>
          <w:sz w:val="20"/>
          <w:szCs w:val="20"/>
        </w:rPr>
        <w:t xml:space="preserve"> the</w:t>
      </w:r>
      <w:r w:rsidRPr="007A6AFD">
        <w:rPr>
          <w:rFonts w:cs="Times New Roman"/>
          <w:bCs/>
          <w:sz w:val="20"/>
          <w:szCs w:val="20"/>
        </w:rPr>
        <w:t xml:space="preserve"> “Being close to </w:t>
      </w:r>
      <w:r w:rsidR="00102B23">
        <w:rPr>
          <w:rFonts w:cs="Times New Roman"/>
          <w:bCs/>
          <w:sz w:val="20"/>
          <w:szCs w:val="20"/>
        </w:rPr>
        <w:t>f</w:t>
      </w:r>
      <w:r w:rsidRPr="007A6AFD">
        <w:rPr>
          <w:rFonts w:cs="Times New Roman"/>
          <w:bCs/>
          <w:sz w:val="20"/>
          <w:szCs w:val="20"/>
        </w:rPr>
        <w:t xml:space="preserve">amily and </w:t>
      </w:r>
      <w:r w:rsidR="00102B23">
        <w:rPr>
          <w:rFonts w:cs="Times New Roman"/>
          <w:bCs/>
          <w:sz w:val="20"/>
          <w:szCs w:val="20"/>
        </w:rPr>
        <w:t>f</w:t>
      </w:r>
      <w:r w:rsidRPr="007A6AFD">
        <w:rPr>
          <w:rFonts w:cs="Times New Roman"/>
          <w:bCs/>
          <w:sz w:val="20"/>
          <w:szCs w:val="20"/>
        </w:rPr>
        <w:t>riends”</w:t>
      </w:r>
      <w:r w:rsidR="0020715D">
        <w:rPr>
          <w:rFonts w:cs="Times New Roman"/>
          <w:bCs/>
          <w:sz w:val="20"/>
          <w:szCs w:val="20"/>
        </w:rPr>
        <w:t xml:space="preserve"> column in Table 3.</w:t>
      </w:r>
      <w:r w:rsidRPr="007A6AFD">
        <w:rPr>
          <w:rFonts w:cs="Times New Roman"/>
          <w:bCs/>
          <w:sz w:val="20"/>
          <w:szCs w:val="20"/>
        </w:rPr>
        <w:t xml:space="preserve"> Based on the entry of “0.16</w:t>
      </w:r>
      <w:r w:rsidR="00386333" w:rsidRPr="007A6AFD">
        <w:rPr>
          <w:rFonts w:cs="Times New Roman"/>
          <w:bCs/>
          <w:sz w:val="20"/>
          <w:szCs w:val="20"/>
        </w:rPr>
        <w:t>,”</w:t>
      </w:r>
      <w:r w:rsidRPr="007A6AFD">
        <w:rPr>
          <w:rFonts w:cs="Times New Roman"/>
          <w:bCs/>
          <w:sz w:val="20"/>
          <w:szCs w:val="20"/>
        </w:rPr>
        <w:t xml:space="preserve"> the implication is that households with children attribute a higher utility to this factor in both the before-COVID and </w:t>
      </w:r>
      <w:r w:rsidR="00BC3D48">
        <w:rPr>
          <w:rFonts w:cs="Times New Roman"/>
          <w:bCs/>
          <w:sz w:val="20"/>
          <w:szCs w:val="20"/>
        </w:rPr>
        <w:t>during</w:t>
      </w:r>
      <w:r w:rsidRPr="007A6AFD">
        <w:rPr>
          <w:rFonts w:cs="Times New Roman"/>
          <w:bCs/>
          <w:sz w:val="20"/>
          <w:szCs w:val="20"/>
        </w:rPr>
        <w:t xml:space="preserve">-COVID periods, relative to households without children. However, the ATE effect shows an entry of “33.07” for households with no children as the COVID-shift effect for this factor and the entry of “-8.74” for children. This is because there is a positive COVID shift effect for “Presence of Children” on the utility of other factors such as “Affordability” and “Access to </w:t>
      </w:r>
      <w:r w:rsidR="00102B23">
        <w:rPr>
          <w:rFonts w:cs="Times New Roman"/>
          <w:bCs/>
          <w:sz w:val="20"/>
          <w:szCs w:val="20"/>
        </w:rPr>
        <w:t>c</w:t>
      </w:r>
      <w:r w:rsidRPr="007A6AFD">
        <w:rPr>
          <w:rFonts w:cs="Times New Roman"/>
          <w:bCs/>
          <w:sz w:val="20"/>
          <w:szCs w:val="20"/>
        </w:rPr>
        <w:t xml:space="preserve">ultural </w:t>
      </w:r>
      <w:r w:rsidR="00102B23">
        <w:rPr>
          <w:rFonts w:cs="Times New Roman"/>
          <w:bCs/>
          <w:sz w:val="20"/>
          <w:szCs w:val="20"/>
        </w:rPr>
        <w:t>c</w:t>
      </w:r>
      <w:r w:rsidRPr="007A6AFD">
        <w:rPr>
          <w:rFonts w:cs="Times New Roman"/>
          <w:bCs/>
          <w:sz w:val="20"/>
          <w:szCs w:val="20"/>
        </w:rPr>
        <w:t xml:space="preserve">enters and </w:t>
      </w:r>
      <w:r w:rsidR="00102B23">
        <w:rPr>
          <w:rFonts w:cs="Times New Roman"/>
          <w:bCs/>
          <w:sz w:val="20"/>
          <w:szCs w:val="20"/>
        </w:rPr>
        <w:t>a</w:t>
      </w:r>
      <w:r w:rsidRPr="007A6AFD">
        <w:rPr>
          <w:rFonts w:cs="Times New Roman"/>
          <w:bCs/>
          <w:sz w:val="20"/>
          <w:szCs w:val="20"/>
        </w:rPr>
        <w:t>ctivities” in Table 3, which translates to positive ATE effects for these other factors in Table 6. But, as the utilit</w:t>
      </w:r>
      <w:r w:rsidR="00EF0C20" w:rsidRPr="007A6AFD">
        <w:rPr>
          <w:rFonts w:cs="Times New Roman"/>
          <w:bCs/>
          <w:sz w:val="20"/>
          <w:szCs w:val="20"/>
        </w:rPr>
        <w:t>ies</w:t>
      </w:r>
      <w:r w:rsidRPr="007A6AFD">
        <w:rPr>
          <w:rFonts w:cs="Times New Roman"/>
          <w:bCs/>
          <w:sz w:val="20"/>
          <w:szCs w:val="20"/>
        </w:rPr>
        <w:t xml:space="preserve"> for these other factors rises in the post-COVID period</w:t>
      </w:r>
      <w:r w:rsidR="00EF0C20" w:rsidRPr="007A6AFD">
        <w:rPr>
          <w:rFonts w:cs="Times New Roman"/>
          <w:bCs/>
          <w:sz w:val="20"/>
          <w:szCs w:val="20"/>
        </w:rPr>
        <w:t xml:space="preserve"> for households with children, they swamp the generic utility of “presence of children” in the post-COVID period for “Being </w:t>
      </w:r>
      <w:r w:rsidR="00102B23">
        <w:rPr>
          <w:rFonts w:cs="Times New Roman"/>
          <w:bCs/>
          <w:sz w:val="20"/>
          <w:szCs w:val="20"/>
        </w:rPr>
        <w:t>c</w:t>
      </w:r>
      <w:r w:rsidR="00EF0C20" w:rsidRPr="007A6AFD">
        <w:rPr>
          <w:rFonts w:cs="Times New Roman"/>
          <w:bCs/>
          <w:sz w:val="20"/>
          <w:szCs w:val="20"/>
        </w:rPr>
        <w:t xml:space="preserve">lose to </w:t>
      </w:r>
      <w:r w:rsidR="00102B23">
        <w:rPr>
          <w:rFonts w:cs="Times New Roman"/>
          <w:bCs/>
          <w:sz w:val="20"/>
          <w:szCs w:val="20"/>
        </w:rPr>
        <w:t>f</w:t>
      </w:r>
      <w:r w:rsidR="00EF0C20" w:rsidRPr="007A6AFD">
        <w:rPr>
          <w:rFonts w:cs="Times New Roman"/>
          <w:bCs/>
          <w:sz w:val="20"/>
          <w:szCs w:val="20"/>
        </w:rPr>
        <w:t xml:space="preserve">amily and </w:t>
      </w:r>
      <w:r w:rsidR="00102B23">
        <w:rPr>
          <w:rFonts w:cs="Times New Roman"/>
          <w:bCs/>
          <w:sz w:val="20"/>
          <w:szCs w:val="20"/>
        </w:rPr>
        <w:t>f</w:t>
      </w:r>
      <w:r w:rsidR="00EF0C20" w:rsidRPr="007A6AFD">
        <w:rPr>
          <w:rFonts w:cs="Times New Roman"/>
          <w:bCs/>
          <w:sz w:val="20"/>
          <w:szCs w:val="20"/>
        </w:rPr>
        <w:t>riends</w:t>
      </w:r>
      <w:r w:rsidR="00386333" w:rsidRPr="007A6AFD">
        <w:rPr>
          <w:rFonts w:cs="Times New Roman"/>
          <w:bCs/>
          <w:sz w:val="20"/>
          <w:szCs w:val="20"/>
        </w:rPr>
        <w:t>,”</w:t>
      </w:r>
      <w:r w:rsidR="00EF0C20" w:rsidRPr="007A6AFD">
        <w:rPr>
          <w:rFonts w:cs="Times New Roman"/>
          <w:bCs/>
          <w:sz w:val="20"/>
          <w:szCs w:val="20"/>
        </w:rPr>
        <w:t xml:space="preserve"> leading to the “-8.74” ATE effect.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B490D"/>
    <w:multiLevelType w:val="hybridMultilevel"/>
    <w:tmpl w:val="CB12F4FA"/>
    <w:lvl w:ilvl="0" w:tplc="EF703CA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AD44B5B"/>
    <w:multiLevelType w:val="hybridMultilevel"/>
    <w:tmpl w:val="F7DA1CE0"/>
    <w:lvl w:ilvl="0" w:tplc="AD366C8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9D591B"/>
    <w:multiLevelType w:val="hybridMultilevel"/>
    <w:tmpl w:val="05B06A48"/>
    <w:lvl w:ilvl="0" w:tplc="5EE4D13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C21ABA"/>
    <w:multiLevelType w:val="hybridMultilevel"/>
    <w:tmpl w:val="262E2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9C52C1"/>
    <w:multiLevelType w:val="hybridMultilevel"/>
    <w:tmpl w:val="490CA920"/>
    <w:lvl w:ilvl="0" w:tplc="3BA22066">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37DC2D53"/>
    <w:multiLevelType w:val="hybridMultilevel"/>
    <w:tmpl w:val="C5F6E6E4"/>
    <w:lvl w:ilvl="0" w:tplc="DB20E58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0C1184"/>
    <w:multiLevelType w:val="hybridMultilevel"/>
    <w:tmpl w:val="E36AF428"/>
    <w:lvl w:ilvl="0" w:tplc="56464F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BB326B"/>
    <w:multiLevelType w:val="hybridMultilevel"/>
    <w:tmpl w:val="55EEE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B91964"/>
    <w:multiLevelType w:val="hybridMultilevel"/>
    <w:tmpl w:val="9CDA0422"/>
    <w:lvl w:ilvl="0" w:tplc="0C2066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BF15A9"/>
    <w:multiLevelType w:val="hybridMultilevel"/>
    <w:tmpl w:val="A5C055B4"/>
    <w:lvl w:ilvl="0" w:tplc="EED02C7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0129AC"/>
    <w:multiLevelType w:val="hybridMultilevel"/>
    <w:tmpl w:val="9D705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1B54B5"/>
    <w:multiLevelType w:val="hybridMultilevel"/>
    <w:tmpl w:val="602C10C6"/>
    <w:lvl w:ilvl="0" w:tplc="583E9646">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3857AA"/>
    <w:multiLevelType w:val="hybridMultilevel"/>
    <w:tmpl w:val="F7D8DF50"/>
    <w:lvl w:ilvl="0" w:tplc="4542503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B77850"/>
    <w:multiLevelType w:val="hybridMultilevel"/>
    <w:tmpl w:val="6AC23474"/>
    <w:lvl w:ilvl="0" w:tplc="BAB66F18">
      <w:numFmt w:val="bullet"/>
      <w:lvlText w:val=""/>
      <w:lvlJc w:val="left"/>
      <w:pPr>
        <w:ind w:left="420" w:hanging="360"/>
      </w:pPr>
      <w:rPr>
        <w:rFonts w:ascii="Wingdings" w:eastAsiaTheme="minorHAnsi" w:hAnsi="Wingding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3"/>
  </w:num>
  <w:num w:numId="2">
    <w:abstractNumId w:val="10"/>
  </w:num>
  <w:num w:numId="3">
    <w:abstractNumId w:val="7"/>
  </w:num>
  <w:num w:numId="4">
    <w:abstractNumId w:val="0"/>
  </w:num>
  <w:num w:numId="5">
    <w:abstractNumId w:val="12"/>
  </w:num>
  <w:num w:numId="6">
    <w:abstractNumId w:val="9"/>
  </w:num>
  <w:num w:numId="7">
    <w:abstractNumId w:val="2"/>
  </w:num>
  <w:num w:numId="8">
    <w:abstractNumId w:val="4"/>
  </w:num>
  <w:num w:numId="9">
    <w:abstractNumId w:val="13"/>
  </w:num>
  <w:num w:numId="10">
    <w:abstractNumId w:val="11"/>
  </w:num>
  <w:num w:numId="11">
    <w:abstractNumId w:val="8"/>
  </w:num>
  <w:num w:numId="12">
    <w:abstractNumId w:val="6"/>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12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6E7"/>
    <w:rsid w:val="0000088F"/>
    <w:rsid w:val="0000223D"/>
    <w:rsid w:val="000039BA"/>
    <w:rsid w:val="00003D03"/>
    <w:rsid w:val="00003FDD"/>
    <w:rsid w:val="00004BC2"/>
    <w:rsid w:val="00004FEF"/>
    <w:rsid w:val="00005892"/>
    <w:rsid w:val="000066AA"/>
    <w:rsid w:val="00006F47"/>
    <w:rsid w:val="00007184"/>
    <w:rsid w:val="0000718E"/>
    <w:rsid w:val="000075C0"/>
    <w:rsid w:val="00010F0D"/>
    <w:rsid w:val="00010FCE"/>
    <w:rsid w:val="000111CD"/>
    <w:rsid w:val="00011C75"/>
    <w:rsid w:val="00012A61"/>
    <w:rsid w:val="000131DA"/>
    <w:rsid w:val="00013294"/>
    <w:rsid w:val="000132A8"/>
    <w:rsid w:val="0001422E"/>
    <w:rsid w:val="000143F6"/>
    <w:rsid w:val="000148C4"/>
    <w:rsid w:val="00014A31"/>
    <w:rsid w:val="000153CC"/>
    <w:rsid w:val="00015497"/>
    <w:rsid w:val="0001653F"/>
    <w:rsid w:val="00016684"/>
    <w:rsid w:val="00017199"/>
    <w:rsid w:val="00017703"/>
    <w:rsid w:val="00017BEB"/>
    <w:rsid w:val="000201DA"/>
    <w:rsid w:val="000211E3"/>
    <w:rsid w:val="00021669"/>
    <w:rsid w:val="00022BCC"/>
    <w:rsid w:val="00022FD8"/>
    <w:rsid w:val="00023E9A"/>
    <w:rsid w:val="00024584"/>
    <w:rsid w:val="00024613"/>
    <w:rsid w:val="00024690"/>
    <w:rsid w:val="00024B06"/>
    <w:rsid w:val="00025DA6"/>
    <w:rsid w:val="000278AE"/>
    <w:rsid w:val="000308F7"/>
    <w:rsid w:val="00030A77"/>
    <w:rsid w:val="00032566"/>
    <w:rsid w:val="00032A11"/>
    <w:rsid w:val="00032A97"/>
    <w:rsid w:val="00032B88"/>
    <w:rsid w:val="000330EE"/>
    <w:rsid w:val="0003472D"/>
    <w:rsid w:val="0003498E"/>
    <w:rsid w:val="000400E4"/>
    <w:rsid w:val="00040DC6"/>
    <w:rsid w:val="00041967"/>
    <w:rsid w:val="000436BF"/>
    <w:rsid w:val="00043955"/>
    <w:rsid w:val="00044B03"/>
    <w:rsid w:val="00044FCD"/>
    <w:rsid w:val="000454AD"/>
    <w:rsid w:val="00046221"/>
    <w:rsid w:val="000471EB"/>
    <w:rsid w:val="00047E0C"/>
    <w:rsid w:val="000518EF"/>
    <w:rsid w:val="00051B58"/>
    <w:rsid w:val="000523F0"/>
    <w:rsid w:val="000524CF"/>
    <w:rsid w:val="000554EC"/>
    <w:rsid w:val="000557C0"/>
    <w:rsid w:val="00055DFE"/>
    <w:rsid w:val="00055F67"/>
    <w:rsid w:val="00056F9B"/>
    <w:rsid w:val="0005752E"/>
    <w:rsid w:val="000579E5"/>
    <w:rsid w:val="00057A81"/>
    <w:rsid w:val="00057D88"/>
    <w:rsid w:val="00060632"/>
    <w:rsid w:val="00060E22"/>
    <w:rsid w:val="00061242"/>
    <w:rsid w:val="00061A3E"/>
    <w:rsid w:val="00061F90"/>
    <w:rsid w:val="00062FC2"/>
    <w:rsid w:val="0006484F"/>
    <w:rsid w:val="00065197"/>
    <w:rsid w:val="00065957"/>
    <w:rsid w:val="00067949"/>
    <w:rsid w:val="00067D42"/>
    <w:rsid w:val="00067D55"/>
    <w:rsid w:val="00070057"/>
    <w:rsid w:val="00070995"/>
    <w:rsid w:val="00070AC9"/>
    <w:rsid w:val="00071396"/>
    <w:rsid w:val="0007146B"/>
    <w:rsid w:val="00072B1A"/>
    <w:rsid w:val="000734CB"/>
    <w:rsid w:val="00073F57"/>
    <w:rsid w:val="000749CF"/>
    <w:rsid w:val="00074EF6"/>
    <w:rsid w:val="000750A7"/>
    <w:rsid w:val="00075723"/>
    <w:rsid w:val="00075A28"/>
    <w:rsid w:val="00075AE7"/>
    <w:rsid w:val="00075F84"/>
    <w:rsid w:val="00080AB7"/>
    <w:rsid w:val="00081946"/>
    <w:rsid w:val="000824D5"/>
    <w:rsid w:val="00082AC4"/>
    <w:rsid w:val="000835F3"/>
    <w:rsid w:val="000837EE"/>
    <w:rsid w:val="00083C12"/>
    <w:rsid w:val="000840AF"/>
    <w:rsid w:val="00085ED1"/>
    <w:rsid w:val="00086133"/>
    <w:rsid w:val="00086C93"/>
    <w:rsid w:val="00087321"/>
    <w:rsid w:val="000874AB"/>
    <w:rsid w:val="00087755"/>
    <w:rsid w:val="00087FA3"/>
    <w:rsid w:val="000905FD"/>
    <w:rsid w:val="0009259F"/>
    <w:rsid w:val="00092A50"/>
    <w:rsid w:val="00092EF8"/>
    <w:rsid w:val="0009370E"/>
    <w:rsid w:val="00094651"/>
    <w:rsid w:val="000946EA"/>
    <w:rsid w:val="00094937"/>
    <w:rsid w:val="00095F97"/>
    <w:rsid w:val="000960AC"/>
    <w:rsid w:val="00096C42"/>
    <w:rsid w:val="00096C4F"/>
    <w:rsid w:val="00097046"/>
    <w:rsid w:val="000A146B"/>
    <w:rsid w:val="000A2E15"/>
    <w:rsid w:val="000A44FC"/>
    <w:rsid w:val="000A46F3"/>
    <w:rsid w:val="000A4B07"/>
    <w:rsid w:val="000A4E2B"/>
    <w:rsid w:val="000A58FB"/>
    <w:rsid w:val="000A5F51"/>
    <w:rsid w:val="000A6034"/>
    <w:rsid w:val="000A6F4D"/>
    <w:rsid w:val="000A7811"/>
    <w:rsid w:val="000B080D"/>
    <w:rsid w:val="000B0864"/>
    <w:rsid w:val="000B0B71"/>
    <w:rsid w:val="000B0C78"/>
    <w:rsid w:val="000B0FC8"/>
    <w:rsid w:val="000B1252"/>
    <w:rsid w:val="000B2089"/>
    <w:rsid w:val="000B24F7"/>
    <w:rsid w:val="000B25F5"/>
    <w:rsid w:val="000B2902"/>
    <w:rsid w:val="000B2B26"/>
    <w:rsid w:val="000B44E2"/>
    <w:rsid w:val="000B477B"/>
    <w:rsid w:val="000B4B78"/>
    <w:rsid w:val="000B5032"/>
    <w:rsid w:val="000B52E3"/>
    <w:rsid w:val="000B55E3"/>
    <w:rsid w:val="000B5927"/>
    <w:rsid w:val="000B59F1"/>
    <w:rsid w:val="000B5A39"/>
    <w:rsid w:val="000B65A5"/>
    <w:rsid w:val="000B74FC"/>
    <w:rsid w:val="000B75C1"/>
    <w:rsid w:val="000B777B"/>
    <w:rsid w:val="000C0B73"/>
    <w:rsid w:val="000C1552"/>
    <w:rsid w:val="000C1EB9"/>
    <w:rsid w:val="000C21D8"/>
    <w:rsid w:val="000C222E"/>
    <w:rsid w:val="000C2243"/>
    <w:rsid w:val="000C308A"/>
    <w:rsid w:val="000C3A62"/>
    <w:rsid w:val="000C4B5D"/>
    <w:rsid w:val="000C6A85"/>
    <w:rsid w:val="000D124F"/>
    <w:rsid w:val="000D1322"/>
    <w:rsid w:val="000D1A64"/>
    <w:rsid w:val="000D25B9"/>
    <w:rsid w:val="000D34CE"/>
    <w:rsid w:val="000D3501"/>
    <w:rsid w:val="000D4069"/>
    <w:rsid w:val="000D62AC"/>
    <w:rsid w:val="000D68AE"/>
    <w:rsid w:val="000D6DC8"/>
    <w:rsid w:val="000D7078"/>
    <w:rsid w:val="000D7773"/>
    <w:rsid w:val="000D7A6D"/>
    <w:rsid w:val="000E0192"/>
    <w:rsid w:val="000E05AF"/>
    <w:rsid w:val="000E0C98"/>
    <w:rsid w:val="000E1094"/>
    <w:rsid w:val="000E2C68"/>
    <w:rsid w:val="000E33A6"/>
    <w:rsid w:val="000E43D8"/>
    <w:rsid w:val="000E5713"/>
    <w:rsid w:val="000E57B8"/>
    <w:rsid w:val="000E588E"/>
    <w:rsid w:val="000E5EE7"/>
    <w:rsid w:val="000E7E7D"/>
    <w:rsid w:val="000F000C"/>
    <w:rsid w:val="000F0615"/>
    <w:rsid w:val="000F0D7A"/>
    <w:rsid w:val="000F1216"/>
    <w:rsid w:val="000F1FF4"/>
    <w:rsid w:val="000F2A22"/>
    <w:rsid w:val="000F3098"/>
    <w:rsid w:val="000F34D1"/>
    <w:rsid w:val="000F35F3"/>
    <w:rsid w:val="000F389C"/>
    <w:rsid w:val="000F3A7C"/>
    <w:rsid w:val="000F473C"/>
    <w:rsid w:val="000F4E5D"/>
    <w:rsid w:val="000F55AB"/>
    <w:rsid w:val="000F701B"/>
    <w:rsid w:val="000F785D"/>
    <w:rsid w:val="000F7BA9"/>
    <w:rsid w:val="000F7C94"/>
    <w:rsid w:val="00100705"/>
    <w:rsid w:val="0010084F"/>
    <w:rsid w:val="00100AEA"/>
    <w:rsid w:val="00100BD9"/>
    <w:rsid w:val="00100E16"/>
    <w:rsid w:val="00101039"/>
    <w:rsid w:val="0010116A"/>
    <w:rsid w:val="0010117B"/>
    <w:rsid w:val="0010155A"/>
    <w:rsid w:val="00101ADE"/>
    <w:rsid w:val="00102473"/>
    <w:rsid w:val="001027EF"/>
    <w:rsid w:val="00102A2F"/>
    <w:rsid w:val="00102AAF"/>
    <w:rsid w:val="00102B23"/>
    <w:rsid w:val="00102BE0"/>
    <w:rsid w:val="00102C48"/>
    <w:rsid w:val="00103846"/>
    <w:rsid w:val="001046D8"/>
    <w:rsid w:val="001049F2"/>
    <w:rsid w:val="00104F4F"/>
    <w:rsid w:val="00106257"/>
    <w:rsid w:val="001074C3"/>
    <w:rsid w:val="00107E61"/>
    <w:rsid w:val="001103A2"/>
    <w:rsid w:val="00110CB6"/>
    <w:rsid w:val="001123C1"/>
    <w:rsid w:val="0011316E"/>
    <w:rsid w:val="00113409"/>
    <w:rsid w:val="00113FE0"/>
    <w:rsid w:val="001142A5"/>
    <w:rsid w:val="00114506"/>
    <w:rsid w:val="0011621C"/>
    <w:rsid w:val="001167C4"/>
    <w:rsid w:val="0011709D"/>
    <w:rsid w:val="00117327"/>
    <w:rsid w:val="00117388"/>
    <w:rsid w:val="00117A94"/>
    <w:rsid w:val="00121907"/>
    <w:rsid w:val="0012191B"/>
    <w:rsid w:val="0012260F"/>
    <w:rsid w:val="001228D0"/>
    <w:rsid w:val="00122B26"/>
    <w:rsid w:val="00123375"/>
    <w:rsid w:val="00123E79"/>
    <w:rsid w:val="001242FF"/>
    <w:rsid w:val="00125AB2"/>
    <w:rsid w:val="00125B86"/>
    <w:rsid w:val="00125F35"/>
    <w:rsid w:val="00126169"/>
    <w:rsid w:val="001262C0"/>
    <w:rsid w:val="00126307"/>
    <w:rsid w:val="001264B2"/>
    <w:rsid w:val="00126C27"/>
    <w:rsid w:val="00127894"/>
    <w:rsid w:val="00127E25"/>
    <w:rsid w:val="001311C0"/>
    <w:rsid w:val="001323A5"/>
    <w:rsid w:val="00132AF2"/>
    <w:rsid w:val="0013315D"/>
    <w:rsid w:val="00133BCC"/>
    <w:rsid w:val="00133F09"/>
    <w:rsid w:val="00133FC9"/>
    <w:rsid w:val="00134F7C"/>
    <w:rsid w:val="001353F9"/>
    <w:rsid w:val="0013573A"/>
    <w:rsid w:val="001359FE"/>
    <w:rsid w:val="00135A6A"/>
    <w:rsid w:val="00136E94"/>
    <w:rsid w:val="001372B1"/>
    <w:rsid w:val="00137C00"/>
    <w:rsid w:val="001403A0"/>
    <w:rsid w:val="001415CC"/>
    <w:rsid w:val="00143832"/>
    <w:rsid w:val="00143978"/>
    <w:rsid w:val="00143D9F"/>
    <w:rsid w:val="00144011"/>
    <w:rsid w:val="001445E4"/>
    <w:rsid w:val="00144B40"/>
    <w:rsid w:val="0014502A"/>
    <w:rsid w:val="00145245"/>
    <w:rsid w:val="001460F1"/>
    <w:rsid w:val="0014648A"/>
    <w:rsid w:val="001470DF"/>
    <w:rsid w:val="00147683"/>
    <w:rsid w:val="00150008"/>
    <w:rsid w:val="001505C2"/>
    <w:rsid w:val="00150E5E"/>
    <w:rsid w:val="001515B1"/>
    <w:rsid w:val="001522C2"/>
    <w:rsid w:val="001522CD"/>
    <w:rsid w:val="00152887"/>
    <w:rsid w:val="00152AA4"/>
    <w:rsid w:val="00152BA2"/>
    <w:rsid w:val="00152C57"/>
    <w:rsid w:val="00152C84"/>
    <w:rsid w:val="00153206"/>
    <w:rsid w:val="00154837"/>
    <w:rsid w:val="001549E9"/>
    <w:rsid w:val="00154BE1"/>
    <w:rsid w:val="00154EA6"/>
    <w:rsid w:val="001551C9"/>
    <w:rsid w:val="00156336"/>
    <w:rsid w:val="0015758F"/>
    <w:rsid w:val="00160669"/>
    <w:rsid w:val="00161435"/>
    <w:rsid w:val="001625EB"/>
    <w:rsid w:val="00162A1D"/>
    <w:rsid w:val="001636A0"/>
    <w:rsid w:val="001636FA"/>
    <w:rsid w:val="00163AE1"/>
    <w:rsid w:val="0016414E"/>
    <w:rsid w:val="0016575C"/>
    <w:rsid w:val="00165960"/>
    <w:rsid w:val="00165C63"/>
    <w:rsid w:val="001668BD"/>
    <w:rsid w:val="001669B6"/>
    <w:rsid w:val="00166FEF"/>
    <w:rsid w:val="00167178"/>
    <w:rsid w:val="00167A9B"/>
    <w:rsid w:val="001715DB"/>
    <w:rsid w:val="00172429"/>
    <w:rsid w:val="00172AF6"/>
    <w:rsid w:val="001736B4"/>
    <w:rsid w:val="00176078"/>
    <w:rsid w:val="00176A7C"/>
    <w:rsid w:val="00176BF6"/>
    <w:rsid w:val="00177081"/>
    <w:rsid w:val="001773C7"/>
    <w:rsid w:val="00177584"/>
    <w:rsid w:val="001804E1"/>
    <w:rsid w:val="00180DDB"/>
    <w:rsid w:val="00181702"/>
    <w:rsid w:val="00181789"/>
    <w:rsid w:val="001824E7"/>
    <w:rsid w:val="0018378D"/>
    <w:rsid w:val="00183E6F"/>
    <w:rsid w:val="00184109"/>
    <w:rsid w:val="00184466"/>
    <w:rsid w:val="00185D7D"/>
    <w:rsid w:val="00186F16"/>
    <w:rsid w:val="00187425"/>
    <w:rsid w:val="001875D7"/>
    <w:rsid w:val="00190671"/>
    <w:rsid w:val="001907B2"/>
    <w:rsid w:val="00192B1E"/>
    <w:rsid w:val="00193C25"/>
    <w:rsid w:val="001944A8"/>
    <w:rsid w:val="00194978"/>
    <w:rsid w:val="00195159"/>
    <w:rsid w:val="001956AB"/>
    <w:rsid w:val="00195B79"/>
    <w:rsid w:val="00195B7F"/>
    <w:rsid w:val="00196A85"/>
    <w:rsid w:val="00197659"/>
    <w:rsid w:val="00197824"/>
    <w:rsid w:val="00197A81"/>
    <w:rsid w:val="00197C55"/>
    <w:rsid w:val="001A03E2"/>
    <w:rsid w:val="001A03F7"/>
    <w:rsid w:val="001A34EC"/>
    <w:rsid w:val="001A47B8"/>
    <w:rsid w:val="001A51D0"/>
    <w:rsid w:val="001A55F1"/>
    <w:rsid w:val="001A5FD9"/>
    <w:rsid w:val="001A6058"/>
    <w:rsid w:val="001A63F3"/>
    <w:rsid w:val="001A7A01"/>
    <w:rsid w:val="001B048C"/>
    <w:rsid w:val="001B10F3"/>
    <w:rsid w:val="001B1894"/>
    <w:rsid w:val="001B2DCA"/>
    <w:rsid w:val="001B3537"/>
    <w:rsid w:val="001B44BC"/>
    <w:rsid w:val="001B482E"/>
    <w:rsid w:val="001B532A"/>
    <w:rsid w:val="001B6C6A"/>
    <w:rsid w:val="001B73F1"/>
    <w:rsid w:val="001B7FAA"/>
    <w:rsid w:val="001C0079"/>
    <w:rsid w:val="001C0492"/>
    <w:rsid w:val="001C0CC2"/>
    <w:rsid w:val="001C1134"/>
    <w:rsid w:val="001C11A9"/>
    <w:rsid w:val="001C1283"/>
    <w:rsid w:val="001C17EC"/>
    <w:rsid w:val="001C2F0D"/>
    <w:rsid w:val="001C3598"/>
    <w:rsid w:val="001C35BA"/>
    <w:rsid w:val="001C4077"/>
    <w:rsid w:val="001C40F7"/>
    <w:rsid w:val="001C544A"/>
    <w:rsid w:val="001C609F"/>
    <w:rsid w:val="001C66B3"/>
    <w:rsid w:val="001C72B7"/>
    <w:rsid w:val="001C72D6"/>
    <w:rsid w:val="001C7A48"/>
    <w:rsid w:val="001C7BBE"/>
    <w:rsid w:val="001D12AC"/>
    <w:rsid w:val="001D205A"/>
    <w:rsid w:val="001D2573"/>
    <w:rsid w:val="001D2707"/>
    <w:rsid w:val="001D282B"/>
    <w:rsid w:val="001D3F33"/>
    <w:rsid w:val="001D474D"/>
    <w:rsid w:val="001D47B3"/>
    <w:rsid w:val="001D4A3E"/>
    <w:rsid w:val="001D588C"/>
    <w:rsid w:val="001D58A1"/>
    <w:rsid w:val="001D60B1"/>
    <w:rsid w:val="001E0009"/>
    <w:rsid w:val="001E03FD"/>
    <w:rsid w:val="001E090B"/>
    <w:rsid w:val="001E0CDD"/>
    <w:rsid w:val="001E0EC3"/>
    <w:rsid w:val="001E1257"/>
    <w:rsid w:val="001E1D01"/>
    <w:rsid w:val="001E26CC"/>
    <w:rsid w:val="001E313E"/>
    <w:rsid w:val="001E397E"/>
    <w:rsid w:val="001E3A38"/>
    <w:rsid w:val="001E3C10"/>
    <w:rsid w:val="001E3D5B"/>
    <w:rsid w:val="001E4104"/>
    <w:rsid w:val="001E49DC"/>
    <w:rsid w:val="001E57BD"/>
    <w:rsid w:val="001E753A"/>
    <w:rsid w:val="001E7A82"/>
    <w:rsid w:val="001F0841"/>
    <w:rsid w:val="001F0BB7"/>
    <w:rsid w:val="001F0D0E"/>
    <w:rsid w:val="001F12AF"/>
    <w:rsid w:val="001F1544"/>
    <w:rsid w:val="001F1BCE"/>
    <w:rsid w:val="001F2011"/>
    <w:rsid w:val="001F257F"/>
    <w:rsid w:val="001F279D"/>
    <w:rsid w:val="001F3032"/>
    <w:rsid w:val="001F37DC"/>
    <w:rsid w:val="001F3D46"/>
    <w:rsid w:val="001F4633"/>
    <w:rsid w:val="001F68DC"/>
    <w:rsid w:val="001F71AC"/>
    <w:rsid w:val="001F7228"/>
    <w:rsid w:val="00200C41"/>
    <w:rsid w:val="00200E14"/>
    <w:rsid w:val="00201942"/>
    <w:rsid w:val="00201FD9"/>
    <w:rsid w:val="002029DD"/>
    <w:rsid w:val="00203654"/>
    <w:rsid w:val="00203D81"/>
    <w:rsid w:val="00206AE8"/>
    <w:rsid w:val="00206CEC"/>
    <w:rsid w:val="00206DFF"/>
    <w:rsid w:val="0020715D"/>
    <w:rsid w:val="00210B61"/>
    <w:rsid w:val="00211226"/>
    <w:rsid w:val="002143D6"/>
    <w:rsid w:val="002163E7"/>
    <w:rsid w:val="00216439"/>
    <w:rsid w:val="00216925"/>
    <w:rsid w:val="002169DF"/>
    <w:rsid w:val="00216B82"/>
    <w:rsid w:val="00217178"/>
    <w:rsid w:val="00217710"/>
    <w:rsid w:val="002179CF"/>
    <w:rsid w:val="00220022"/>
    <w:rsid w:val="002203D1"/>
    <w:rsid w:val="002205E2"/>
    <w:rsid w:val="002209C5"/>
    <w:rsid w:val="00220CE2"/>
    <w:rsid w:val="00221C7C"/>
    <w:rsid w:val="00221DD1"/>
    <w:rsid w:val="00222893"/>
    <w:rsid w:val="002229A2"/>
    <w:rsid w:val="00222BA2"/>
    <w:rsid w:val="00222D21"/>
    <w:rsid w:val="00223221"/>
    <w:rsid w:val="0022495F"/>
    <w:rsid w:val="00224B5F"/>
    <w:rsid w:val="00224E5C"/>
    <w:rsid w:val="00224F19"/>
    <w:rsid w:val="00226F2C"/>
    <w:rsid w:val="002270F8"/>
    <w:rsid w:val="0022763B"/>
    <w:rsid w:val="00227EB3"/>
    <w:rsid w:val="002307A2"/>
    <w:rsid w:val="00230C51"/>
    <w:rsid w:val="002328AF"/>
    <w:rsid w:val="0023332D"/>
    <w:rsid w:val="00233FD2"/>
    <w:rsid w:val="00235178"/>
    <w:rsid w:val="00236414"/>
    <w:rsid w:val="00236C67"/>
    <w:rsid w:val="00236D64"/>
    <w:rsid w:val="0023700B"/>
    <w:rsid w:val="00237D66"/>
    <w:rsid w:val="0024044B"/>
    <w:rsid w:val="00240A12"/>
    <w:rsid w:val="00240C6E"/>
    <w:rsid w:val="00240EB4"/>
    <w:rsid w:val="002410DC"/>
    <w:rsid w:val="002417D6"/>
    <w:rsid w:val="002429AA"/>
    <w:rsid w:val="00242B27"/>
    <w:rsid w:val="00242D3A"/>
    <w:rsid w:val="00243802"/>
    <w:rsid w:val="00243F5E"/>
    <w:rsid w:val="0024409E"/>
    <w:rsid w:val="002442BA"/>
    <w:rsid w:val="002442D5"/>
    <w:rsid w:val="00244500"/>
    <w:rsid w:val="002452A1"/>
    <w:rsid w:val="00245BDB"/>
    <w:rsid w:val="00246164"/>
    <w:rsid w:val="00246EF3"/>
    <w:rsid w:val="00246F3F"/>
    <w:rsid w:val="00247240"/>
    <w:rsid w:val="002472B1"/>
    <w:rsid w:val="00247CA3"/>
    <w:rsid w:val="00247F55"/>
    <w:rsid w:val="00250BDA"/>
    <w:rsid w:val="00251063"/>
    <w:rsid w:val="00251930"/>
    <w:rsid w:val="002519FE"/>
    <w:rsid w:val="00251A17"/>
    <w:rsid w:val="00251D3B"/>
    <w:rsid w:val="00251E95"/>
    <w:rsid w:val="00252126"/>
    <w:rsid w:val="00253250"/>
    <w:rsid w:val="00253977"/>
    <w:rsid w:val="00254A3D"/>
    <w:rsid w:val="00255744"/>
    <w:rsid w:val="00256266"/>
    <w:rsid w:val="002565F2"/>
    <w:rsid w:val="00256D3F"/>
    <w:rsid w:val="00256F07"/>
    <w:rsid w:val="002573E0"/>
    <w:rsid w:val="0025743A"/>
    <w:rsid w:val="00257D78"/>
    <w:rsid w:val="002600FA"/>
    <w:rsid w:val="0026174F"/>
    <w:rsid w:val="00262850"/>
    <w:rsid w:val="002629DB"/>
    <w:rsid w:val="00262A92"/>
    <w:rsid w:val="00263546"/>
    <w:rsid w:val="002637D8"/>
    <w:rsid w:val="0026412C"/>
    <w:rsid w:val="002642AD"/>
    <w:rsid w:val="0026491E"/>
    <w:rsid w:val="00265700"/>
    <w:rsid w:val="00265B2D"/>
    <w:rsid w:val="00266137"/>
    <w:rsid w:val="0026724E"/>
    <w:rsid w:val="00267BC2"/>
    <w:rsid w:val="00270365"/>
    <w:rsid w:val="00270A83"/>
    <w:rsid w:val="002713E6"/>
    <w:rsid w:val="002720B5"/>
    <w:rsid w:val="00272324"/>
    <w:rsid w:val="002744C2"/>
    <w:rsid w:val="00274E36"/>
    <w:rsid w:val="00276FAD"/>
    <w:rsid w:val="00277277"/>
    <w:rsid w:val="00281627"/>
    <w:rsid w:val="00281650"/>
    <w:rsid w:val="00281E16"/>
    <w:rsid w:val="00281F6E"/>
    <w:rsid w:val="00282821"/>
    <w:rsid w:val="00283167"/>
    <w:rsid w:val="002834D7"/>
    <w:rsid w:val="00283E0E"/>
    <w:rsid w:val="00284BE5"/>
    <w:rsid w:val="00285107"/>
    <w:rsid w:val="002864E9"/>
    <w:rsid w:val="0028654E"/>
    <w:rsid w:val="0028664E"/>
    <w:rsid w:val="0028715D"/>
    <w:rsid w:val="00287352"/>
    <w:rsid w:val="00290725"/>
    <w:rsid w:val="00290A46"/>
    <w:rsid w:val="002918AE"/>
    <w:rsid w:val="00291A64"/>
    <w:rsid w:val="00291AD0"/>
    <w:rsid w:val="00291B3D"/>
    <w:rsid w:val="00291D61"/>
    <w:rsid w:val="00293974"/>
    <w:rsid w:val="00294009"/>
    <w:rsid w:val="00294417"/>
    <w:rsid w:val="0029456C"/>
    <w:rsid w:val="00294E3D"/>
    <w:rsid w:val="0029569E"/>
    <w:rsid w:val="00295BEC"/>
    <w:rsid w:val="00295DC2"/>
    <w:rsid w:val="002962CF"/>
    <w:rsid w:val="00297750"/>
    <w:rsid w:val="002A0091"/>
    <w:rsid w:val="002A059E"/>
    <w:rsid w:val="002A10D2"/>
    <w:rsid w:val="002A2923"/>
    <w:rsid w:val="002A2FCF"/>
    <w:rsid w:val="002A320E"/>
    <w:rsid w:val="002A40C9"/>
    <w:rsid w:val="002A440A"/>
    <w:rsid w:val="002A5227"/>
    <w:rsid w:val="002A5537"/>
    <w:rsid w:val="002A6469"/>
    <w:rsid w:val="002A72C3"/>
    <w:rsid w:val="002A75D0"/>
    <w:rsid w:val="002A76DA"/>
    <w:rsid w:val="002A7804"/>
    <w:rsid w:val="002A7E05"/>
    <w:rsid w:val="002B0C97"/>
    <w:rsid w:val="002B12C2"/>
    <w:rsid w:val="002B13DE"/>
    <w:rsid w:val="002B13E3"/>
    <w:rsid w:val="002B250C"/>
    <w:rsid w:val="002B2EA7"/>
    <w:rsid w:val="002B39EA"/>
    <w:rsid w:val="002B4405"/>
    <w:rsid w:val="002B454C"/>
    <w:rsid w:val="002B5305"/>
    <w:rsid w:val="002B539C"/>
    <w:rsid w:val="002B6020"/>
    <w:rsid w:val="002B60D1"/>
    <w:rsid w:val="002B6503"/>
    <w:rsid w:val="002B662C"/>
    <w:rsid w:val="002B66D2"/>
    <w:rsid w:val="002B6835"/>
    <w:rsid w:val="002B6941"/>
    <w:rsid w:val="002B7704"/>
    <w:rsid w:val="002C059B"/>
    <w:rsid w:val="002C0985"/>
    <w:rsid w:val="002C0E99"/>
    <w:rsid w:val="002C0ECC"/>
    <w:rsid w:val="002C1DAC"/>
    <w:rsid w:val="002C213B"/>
    <w:rsid w:val="002C2C99"/>
    <w:rsid w:val="002C4BD2"/>
    <w:rsid w:val="002C50CB"/>
    <w:rsid w:val="002C66C5"/>
    <w:rsid w:val="002C7574"/>
    <w:rsid w:val="002C7DD9"/>
    <w:rsid w:val="002D03AF"/>
    <w:rsid w:val="002D0A58"/>
    <w:rsid w:val="002D0ABE"/>
    <w:rsid w:val="002D1283"/>
    <w:rsid w:val="002D28FD"/>
    <w:rsid w:val="002D29A5"/>
    <w:rsid w:val="002D2FB3"/>
    <w:rsid w:val="002D33E6"/>
    <w:rsid w:val="002D3EBE"/>
    <w:rsid w:val="002D461C"/>
    <w:rsid w:val="002D4E84"/>
    <w:rsid w:val="002D5279"/>
    <w:rsid w:val="002D55B0"/>
    <w:rsid w:val="002D5B14"/>
    <w:rsid w:val="002D5B9D"/>
    <w:rsid w:val="002D66B1"/>
    <w:rsid w:val="002D68AE"/>
    <w:rsid w:val="002D6B53"/>
    <w:rsid w:val="002D6BDD"/>
    <w:rsid w:val="002D6CBC"/>
    <w:rsid w:val="002D7454"/>
    <w:rsid w:val="002E0434"/>
    <w:rsid w:val="002E06B2"/>
    <w:rsid w:val="002E1197"/>
    <w:rsid w:val="002E16ED"/>
    <w:rsid w:val="002E1ACD"/>
    <w:rsid w:val="002E303E"/>
    <w:rsid w:val="002E343A"/>
    <w:rsid w:val="002E36C5"/>
    <w:rsid w:val="002E373F"/>
    <w:rsid w:val="002E3CCB"/>
    <w:rsid w:val="002E4146"/>
    <w:rsid w:val="002E4307"/>
    <w:rsid w:val="002E4BE0"/>
    <w:rsid w:val="002E5EAB"/>
    <w:rsid w:val="002E5F88"/>
    <w:rsid w:val="002E7191"/>
    <w:rsid w:val="002E7254"/>
    <w:rsid w:val="002E7270"/>
    <w:rsid w:val="002E7DF5"/>
    <w:rsid w:val="002F029C"/>
    <w:rsid w:val="002F07FA"/>
    <w:rsid w:val="002F11D5"/>
    <w:rsid w:val="002F209E"/>
    <w:rsid w:val="002F2628"/>
    <w:rsid w:val="002F2B6B"/>
    <w:rsid w:val="002F36C3"/>
    <w:rsid w:val="002F37C2"/>
    <w:rsid w:val="002F3DDF"/>
    <w:rsid w:val="002F52AC"/>
    <w:rsid w:val="002F5503"/>
    <w:rsid w:val="002F573F"/>
    <w:rsid w:val="002F6A31"/>
    <w:rsid w:val="002F7543"/>
    <w:rsid w:val="002F7960"/>
    <w:rsid w:val="0030080C"/>
    <w:rsid w:val="00300A56"/>
    <w:rsid w:val="003016CB"/>
    <w:rsid w:val="00301D95"/>
    <w:rsid w:val="00303030"/>
    <w:rsid w:val="00303246"/>
    <w:rsid w:val="00303622"/>
    <w:rsid w:val="003038BE"/>
    <w:rsid w:val="00303AD9"/>
    <w:rsid w:val="00303BF8"/>
    <w:rsid w:val="00304309"/>
    <w:rsid w:val="0030446A"/>
    <w:rsid w:val="00304D53"/>
    <w:rsid w:val="00305965"/>
    <w:rsid w:val="003068EC"/>
    <w:rsid w:val="00306B9F"/>
    <w:rsid w:val="00307BEA"/>
    <w:rsid w:val="00310929"/>
    <w:rsid w:val="00310C34"/>
    <w:rsid w:val="00310E07"/>
    <w:rsid w:val="00311BE3"/>
    <w:rsid w:val="0031278B"/>
    <w:rsid w:val="003127D2"/>
    <w:rsid w:val="00312FE7"/>
    <w:rsid w:val="0031310B"/>
    <w:rsid w:val="00313D5F"/>
    <w:rsid w:val="003141BC"/>
    <w:rsid w:val="00314EDD"/>
    <w:rsid w:val="00315816"/>
    <w:rsid w:val="0031637A"/>
    <w:rsid w:val="00316DC9"/>
    <w:rsid w:val="00317225"/>
    <w:rsid w:val="003176CB"/>
    <w:rsid w:val="00317B88"/>
    <w:rsid w:val="0032020A"/>
    <w:rsid w:val="00320CA0"/>
    <w:rsid w:val="0032109A"/>
    <w:rsid w:val="00322B00"/>
    <w:rsid w:val="00322BE2"/>
    <w:rsid w:val="0032308F"/>
    <w:rsid w:val="0032353F"/>
    <w:rsid w:val="00324DDE"/>
    <w:rsid w:val="003250C8"/>
    <w:rsid w:val="00325833"/>
    <w:rsid w:val="0032669D"/>
    <w:rsid w:val="003267F7"/>
    <w:rsid w:val="00326E71"/>
    <w:rsid w:val="003271A8"/>
    <w:rsid w:val="003272BE"/>
    <w:rsid w:val="003274C2"/>
    <w:rsid w:val="00330238"/>
    <w:rsid w:val="0033035D"/>
    <w:rsid w:val="0033093F"/>
    <w:rsid w:val="00330A98"/>
    <w:rsid w:val="00330AA3"/>
    <w:rsid w:val="00330C6D"/>
    <w:rsid w:val="003319D7"/>
    <w:rsid w:val="00332860"/>
    <w:rsid w:val="00333143"/>
    <w:rsid w:val="00333904"/>
    <w:rsid w:val="003346D9"/>
    <w:rsid w:val="00334D7F"/>
    <w:rsid w:val="003353DA"/>
    <w:rsid w:val="003360D3"/>
    <w:rsid w:val="003366D9"/>
    <w:rsid w:val="00336A53"/>
    <w:rsid w:val="00337645"/>
    <w:rsid w:val="00340559"/>
    <w:rsid w:val="0034056B"/>
    <w:rsid w:val="0034074F"/>
    <w:rsid w:val="003410D9"/>
    <w:rsid w:val="00341581"/>
    <w:rsid w:val="00341827"/>
    <w:rsid w:val="00342776"/>
    <w:rsid w:val="00343BB9"/>
    <w:rsid w:val="00345EF4"/>
    <w:rsid w:val="00345F87"/>
    <w:rsid w:val="003462A5"/>
    <w:rsid w:val="00346550"/>
    <w:rsid w:val="00347DD6"/>
    <w:rsid w:val="0035043C"/>
    <w:rsid w:val="003524AE"/>
    <w:rsid w:val="003525CF"/>
    <w:rsid w:val="00356A01"/>
    <w:rsid w:val="00356D1C"/>
    <w:rsid w:val="00356F13"/>
    <w:rsid w:val="0035741F"/>
    <w:rsid w:val="00360542"/>
    <w:rsid w:val="003609BA"/>
    <w:rsid w:val="003609F8"/>
    <w:rsid w:val="003638B0"/>
    <w:rsid w:val="00363B27"/>
    <w:rsid w:val="00364182"/>
    <w:rsid w:val="00365458"/>
    <w:rsid w:val="00365A6E"/>
    <w:rsid w:val="00367F82"/>
    <w:rsid w:val="003704AD"/>
    <w:rsid w:val="0037068E"/>
    <w:rsid w:val="003710A8"/>
    <w:rsid w:val="003715E2"/>
    <w:rsid w:val="0037161B"/>
    <w:rsid w:val="00371DA7"/>
    <w:rsid w:val="003728B2"/>
    <w:rsid w:val="00372CC1"/>
    <w:rsid w:val="003738CF"/>
    <w:rsid w:val="00373AFC"/>
    <w:rsid w:val="00373FC9"/>
    <w:rsid w:val="00374EED"/>
    <w:rsid w:val="003754FC"/>
    <w:rsid w:val="003765D7"/>
    <w:rsid w:val="00376EC2"/>
    <w:rsid w:val="00376FE1"/>
    <w:rsid w:val="0037720E"/>
    <w:rsid w:val="00377E70"/>
    <w:rsid w:val="00377FA6"/>
    <w:rsid w:val="003802B4"/>
    <w:rsid w:val="003804FB"/>
    <w:rsid w:val="00380856"/>
    <w:rsid w:val="00380A70"/>
    <w:rsid w:val="003814C5"/>
    <w:rsid w:val="00381A81"/>
    <w:rsid w:val="00383EA1"/>
    <w:rsid w:val="00383F0F"/>
    <w:rsid w:val="00385648"/>
    <w:rsid w:val="00385C07"/>
    <w:rsid w:val="00386333"/>
    <w:rsid w:val="0038765C"/>
    <w:rsid w:val="00390947"/>
    <w:rsid w:val="0039172B"/>
    <w:rsid w:val="0039358F"/>
    <w:rsid w:val="003938DF"/>
    <w:rsid w:val="003939BB"/>
    <w:rsid w:val="00393C93"/>
    <w:rsid w:val="003946E1"/>
    <w:rsid w:val="0039577C"/>
    <w:rsid w:val="003959A9"/>
    <w:rsid w:val="00396BB3"/>
    <w:rsid w:val="00396DCB"/>
    <w:rsid w:val="003977E9"/>
    <w:rsid w:val="0039792F"/>
    <w:rsid w:val="00397E75"/>
    <w:rsid w:val="003A02DE"/>
    <w:rsid w:val="003A0614"/>
    <w:rsid w:val="003A0749"/>
    <w:rsid w:val="003A0F2E"/>
    <w:rsid w:val="003A1A82"/>
    <w:rsid w:val="003A1F51"/>
    <w:rsid w:val="003A2367"/>
    <w:rsid w:val="003A2980"/>
    <w:rsid w:val="003A37DD"/>
    <w:rsid w:val="003A54C3"/>
    <w:rsid w:val="003A5963"/>
    <w:rsid w:val="003A5F00"/>
    <w:rsid w:val="003A6E5D"/>
    <w:rsid w:val="003A7E6B"/>
    <w:rsid w:val="003B088C"/>
    <w:rsid w:val="003B0E85"/>
    <w:rsid w:val="003B11B7"/>
    <w:rsid w:val="003B2561"/>
    <w:rsid w:val="003B28B8"/>
    <w:rsid w:val="003B341E"/>
    <w:rsid w:val="003B463D"/>
    <w:rsid w:val="003B5D58"/>
    <w:rsid w:val="003B5FB4"/>
    <w:rsid w:val="003B66CE"/>
    <w:rsid w:val="003B6790"/>
    <w:rsid w:val="003B6A08"/>
    <w:rsid w:val="003B7215"/>
    <w:rsid w:val="003C12B2"/>
    <w:rsid w:val="003C1439"/>
    <w:rsid w:val="003C22F1"/>
    <w:rsid w:val="003C2987"/>
    <w:rsid w:val="003C4A46"/>
    <w:rsid w:val="003C4F60"/>
    <w:rsid w:val="003C598F"/>
    <w:rsid w:val="003C684F"/>
    <w:rsid w:val="003C7E73"/>
    <w:rsid w:val="003D08A8"/>
    <w:rsid w:val="003D0A52"/>
    <w:rsid w:val="003D1958"/>
    <w:rsid w:val="003D1A16"/>
    <w:rsid w:val="003D2231"/>
    <w:rsid w:val="003D2527"/>
    <w:rsid w:val="003D274A"/>
    <w:rsid w:val="003D5C22"/>
    <w:rsid w:val="003D6DD0"/>
    <w:rsid w:val="003D7A14"/>
    <w:rsid w:val="003D7ADD"/>
    <w:rsid w:val="003E0B92"/>
    <w:rsid w:val="003E17FB"/>
    <w:rsid w:val="003E1B40"/>
    <w:rsid w:val="003E1BA5"/>
    <w:rsid w:val="003E21E8"/>
    <w:rsid w:val="003E3971"/>
    <w:rsid w:val="003E4002"/>
    <w:rsid w:val="003E48D2"/>
    <w:rsid w:val="003E5EE5"/>
    <w:rsid w:val="003E6C97"/>
    <w:rsid w:val="003E6CF6"/>
    <w:rsid w:val="003E7635"/>
    <w:rsid w:val="003F0322"/>
    <w:rsid w:val="003F03AB"/>
    <w:rsid w:val="003F0BAC"/>
    <w:rsid w:val="003F15FA"/>
    <w:rsid w:val="003F1B01"/>
    <w:rsid w:val="003F2EB0"/>
    <w:rsid w:val="003F3477"/>
    <w:rsid w:val="003F3F98"/>
    <w:rsid w:val="003F4576"/>
    <w:rsid w:val="003F4AF8"/>
    <w:rsid w:val="003F4C4A"/>
    <w:rsid w:val="003F501A"/>
    <w:rsid w:val="003F5641"/>
    <w:rsid w:val="003F569B"/>
    <w:rsid w:val="003F65A3"/>
    <w:rsid w:val="003F77F4"/>
    <w:rsid w:val="004002A8"/>
    <w:rsid w:val="004006EC"/>
    <w:rsid w:val="004008A8"/>
    <w:rsid w:val="004008D3"/>
    <w:rsid w:val="00401233"/>
    <w:rsid w:val="00401BCC"/>
    <w:rsid w:val="00401C8F"/>
    <w:rsid w:val="00401DF9"/>
    <w:rsid w:val="00401FCF"/>
    <w:rsid w:val="00402A36"/>
    <w:rsid w:val="00403033"/>
    <w:rsid w:val="0040310C"/>
    <w:rsid w:val="0040686C"/>
    <w:rsid w:val="00406D42"/>
    <w:rsid w:val="004071CA"/>
    <w:rsid w:val="004074CA"/>
    <w:rsid w:val="004077AA"/>
    <w:rsid w:val="004079B3"/>
    <w:rsid w:val="00410AD8"/>
    <w:rsid w:val="004114D9"/>
    <w:rsid w:val="00411DAB"/>
    <w:rsid w:val="00412240"/>
    <w:rsid w:val="004122B2"/>
    <w:rsid w:val="00412C5D"/>
    <w:rsid w:val="00412F5B"/>
    <w:rsid w:val="00414541"/>
    <w:rsid w:val="00414C22"/>
    <w:rsid w:val="00415612"/>
    <w:rsid w:val="00415E12"/>
    <w:rsid w:val="00416028"/>
    <w:rsid w:val="0041765E"/>
    <w:rsid w:val="00417C6B"/>
    <w:rsid w:val="00417E89"/>
    <w:rsid w:val="004204DC"/>
    <w:rsid w:val="00421082"/>
    <w:rsid w:val="0042142B"/>
    <w:rsid w:val="00421587"/>
    <w:rsid w:val="00423DB4"/>
    <w:rsid w:val="00424191"/>
    <w:rsid w:val="004247D2"/>
    <w:rsid w:val="00427B0C"/>
    <w:rsid w:val="00430355"/>
    <w:rsid w:val="004316AB"/>
    <w:rsid w:val="00433191"/>
    <w:rsid w:val="00433C08"/>
    <w:rsid w:val="00434FB2"/>
    <w:rsid w:val="00436465"/>
    <w:rsid w:val="00437543"/>
    <w:rsid w:val="0043782E"/>
    <w:rsid w:val="004419D2"/>
    <w:rsid w:val="00441C24"/>
    <w:rsid w:val="00442315"/>
    <w:rsid w:val="004452F2"/>
    <w:rsid w:val="004456ED"/>
    <w:rsid w:val="00446DE8"/>
    <w:rsid w:val="00446F29"/>
    <w:rsid w:val="004507D1"/>
    <w:rsid w:val="004508E5"/>
    <w:rsid w:val="00450900"/>
    <w:rsid w:val="00452A21"/>
    <w:rsid w:val="00454A34"/>
    <w:rsid w:val="00454AF5"/>
    <w:rsid w:val="00455D92"/>
    <w:rsid w:val="00456E44"/>
    <w:rsid w:val="00456FD2"/>
    <w:rsid w:val="004579E5"/>
    <w:rsid w:val="00457E43"/>
    <w:rsid w:val="004600E2"/>
    <w:rsid w:val="00460B89"/>
    <w:rsid w:val="00460F21"/>
    <w:rsid w:val="0046142C"/>
    <w:rsid w:val="0046182C"/>
    <w:rsid w:val="004620B3"/>
    <w:rsid w:val="0046213B"/>
    <w:rsid w:val="004657F4"/>
    <w:rsid w:val="00465BB9"/>
    <w:rsid w:val="00466768"/>
    <w:rsid w:val="00466799"/>
    <w:rsid w:val="00466DA8"/>
    <w:rsid w:val="0047074A"/>
    <w:rsid w:val="00470E46"/>
    <w:rsid w:val="00474283"/>
    <w:rsid w:val="004743CC"/>
    <w:rsid w:val="004749DF"/>
    <w:rsid w:val="00475C3C"/>
    <w:rsid w:val="00475F1D"/>
    <w:rsid w:val="00476B7B"/>
    <w:rsid w:val="00477123"/>
    <w:rsid w:val="0047747E"/>
    <w:rsid w:val="00477B00"/>
    <w:rsid w:val="00477B32"/>
    <w:rsid w:val="00477C95"/>
    <w:rsid w:val="004810C4"/>
    <w:rsid w:val="00481884"/>
    <w:rsid w:val="00482D0F"/>
    <w:rsid w:val="00483511"/>
    <w:rsid w:val="00483D36"/>
    <w:rsid w:val="0048614E"/>
    <w:rsid w:val="0048682E"/>
    <w:rsid w:val="00486AD1"/>
    <w:rsid w:val="00486B30"/>
    <w:rsid w:val="00487430"/>
    <w:rsid w:val="00487729"/>
    <w:rsid w:val="00487898"/>
    <w:rsid w:val="00487A6A"/>
    <w:rsid w:val="00493CAE"/>
    <w:rsid w:val="00494D4D"/>
    <w:rsid w:val="00496042"/>
    <w:rsid w:val="004A0E40"/>
    <w:rsid w:val="004A23BE"/>
    <w:rsid w:val="004A258E"/>
    <w:rsid w:val="004A2C68"/>
    <w:rsid w:val="004A375E"/>
    <w:rsid w:val="004A37AB"/>
    <w:rsid w:val="004A39AB"/>
    <w:rsid w:val="004A3C3A"/>
    <w:rsid w:val="004A410F"/>
    <w:rsid w:val="004A4405"/>
    <w:rsid w:val="004A477A"/>
    <w:rsid w:val="004A52AB"/>
    <w:rsid w:val="004A5DE2"/>
    <w:rsid w:val="004A7C18"/>
    <w:rsid w:val="004A7D0E"/>
    <w:rsid w:val="004B1275"/>
    <w:rsid w:val="004B25EE"/>
    <w:rsid w:val="004B44C3"/>
    <w:rsid w:val="004B5B16"/>
    <w:rsid w:val="004B5BB7"/>
    <w:rsid w:val="004B6059"/>
    <w:rsid w:val="004B689C"/>
    <w:rsid w:val="004B75A5"/>
    <w:rsid w:val="004B7ACB"/>
    <w:rsid w:val="004C0650"/>
    <w:rsid w:val="004C0A9E"/>
    <w:rsid w:val="004C0DF1"/>
    <w:rsid w:val="004C2A74"/>
    <w:rsid w:val="004C3610"/>
    <w:rsid w:val="004C3C5B"/>
    <w:rsid w:val="004C3CE3"/>
    <w:rsid w:val="004C3E54"/>
    <w:rsid w:val="004C5625"/>
    <w:rsid w:val="004C6078"/>
    <w:rsid w:val="004C618D"/>
    <w:rsid w:val="004C7647"/>
    <w:rsid w:val="004C7AAF"/>
    <w:rsid w:val="004D1AA3"/>
    <w:rsid w:val="004D1E0E"/>
    <w:rsid w:val="004D2A82"/>
    <w:rsid w:val="004D33EF"/>
    <w:rsid w:val="004D5329"/>
    <w:rsid w:val="004D53BC"/>
    <w:rsid w:val="004D54AF"/>
    <w:rsid w:val="004D690D"/>
    <w:rsid w:val="004E0027"/>
    <w:rsid w:val="004E180C"/>
    <w:rsid w:val="004E2304"/>
    <w:rsid w:val="004E38C0"/>
    <w:rsid w:val="004E3B70"/>
    <w:rsid w:val="004E4B83"/>
    <w:rsid w:val="004E50E8"/>
    <w:rsid w:val="004E596A"/>
    <w:rsid w:val="004E5D42"/>
    <w:rsid w:val="004E5E2B"/>
    <w:rsid w:val="004E63E1"/>
    <w:rsid w:val="004E6EE6"/>
    <w:rsid w:val="004E7589"/>
    <w:rsid w:val="004F017E"/>
    <w:rsid w:val="004F025A"/>
    <w:rsid w:val="004F0B22"/>
    <w:rsid w:val="004F0DD8"/>
    <w:rsid w:val="004F0EBC"/>
    <w:rsid w:val="004F20D5"/>
    <w:rsid w:val="004F2E47"/>
    <w:rsid w:val="004F2FAB"/>
    <w:rsid w:val="004F39CC"/>
    <w:rsid w:val="004F3BA1"/>
    <w:rsid w:val="004F3CD4"/>
    <w:rsid w:val="004F3E6E"/>
    <w:rsid w:val="004F4175"/>
    <w:rsid w:val="004F4710"/>
    <w:rsid w:val="004F4760"/>
    <w:rsid w:val="004F56F4"/>
    <w:rsid w:val="004F5E4B"/>
    <w:rsid w:val="004F6078"/>
    <w:rsid w:val="004F64F5"/>
    <w:rsid w:val="004F67F8"/>
    <w:rsid w:val="004F7705"/>
    <w:rsid w:val="004F7735"/>
    <w:rsid w:val="004F78CC"/>
    <w:rsid w:val="004F7E28"/>
    <w:rsid w:val="00500247"/>
    <w:rsid w:val="0050047E"/>
    <w:rsid w:val="005005EB"/>
    <w:rsid w:val="00500F32"/>
    <w:rsid w:val="00502FF9"/>
    <w:rsid w:val="00505024"/>
    <w:rsid w:val="005058CA"/>
    <w:rsid w:val="00505D99"/>
    <w:rsid w:val="005064DD"/>
    <w:rsid w:val="00507226"/>
    <w:rsid w:val="0050762D"/>
    <w:rsid w:val="00507A58"/>
    <w:rsid w:val="00507EFA"/>
    <w:rsid w:val="00510A6C"/>
    <w:rsid w:val="00512362"/>
    <w:rsid w:val="0051386F"/>
    <w:rsid w:val="0051424A"/>
    <w:rsid w:val="00514D1D"/>
    <w:rsid w:val="00515069"/>
    <w:rsid w:val="005150B3"/>
    <w:rsid w:val="00515D44"/>
    <w:rsid w:val="00516106"/>
    <w:rsid w:val="005175AF"/>
    <w:rsid w:val="00517AED"/>
    <w:rsid w:val="00517B4E"/>
    <w:rsid w:val="00521937"/>
    <w:rsid w:val="005223FC"/>
    <w:rsid w:val="00522430"/>
    <w:rsid w:val="00523309"/>
    <w:rsid w:val="00523984"/>
    <w:rsid w:val="00523B5A"/>
    <w:rsid w:val="00523F70"/>
    <w:rsid w:val="005240C4"/>
    <w:rsid w:val="0052426E"/>
    <w:rsid w:val="00524495"/>
    <w:rsid w:val="00526453"/>
    <w:rsid w:val="00526705"/>
    <w:rsid w:val="0052685A"/>
    <w:rsid w:val="0053074B"/>
    <w:rsid w:val="005312C4"/>
    <w:rsid w:val="00531430"/>
    <w:rsid w:val="005322D0"/>
    <w:rsid w:val="00533E8F"/>
    <w:rsid w:val="00534A2B"/>
    <w:rsid w:val="00536381"/>
    <w:rsid w:val="00536481"/>
    <w:rsid w:val="005373E4"/>
    <w:rsid w:val="005403CE"/>
    <w:rsid w:val="005405B1"/>
    <w:rsid w:val="00540979"/>
    <w:rsid w:val="00541496"/>
    <w:rsid w:val="00541989"/>
    <w:rsid w:val="00541E10"/>
    <w:rsid w:val="00542066"/>
    <w:rsid w:val="005424CC"/>
    <w:rsid w:val="00542501"/>
    <w:rsid w:val="00542A61"/>
    <w:rsid w:val="00542F17"/>
    <w:rsid w:val="00544BFE"/>
    <w:rsid w:val="00544DAE"/>
    <w:rsid w:val="00544E86"/>
    <w:rsid w:val="00545018"/>
    <w:rsid w:val="0054517C"/>
    <w:rsid w:val="005451A4"/>
    <w:rsid w:val="00545734"/>
    <w:rsid w:val="00546194"/>
    <w:rsid w:val="00546CB4"/>
    <w:rsid w:val="0054721C"/>
    <w:rsid w:val="00547D33"/>
    <w:rsid w:val="00550892"/>
    <w:rsid w:val="0055092C"/>
    <w:rsid w:val="00552104"/>
    <w:rsid w:val="00552334"/>
    <w:rsid w:val="00552AE9"/>
    <w:rsid w:val="00552F74"/>
    <w:rsid w:val="0055332A"/>
    <w:rsid w:val="005538EB"/>
    <w:rsid w:val="005540E2"/>
    <w:rsid w:val="00554308"/>
    <w:rsid w:val="00555936"/>
    <w:rsid w:val="00556EA7"/>
    <w:rsid w:val="005579EB"/>
    <w:rsid w:val="00557A4F"/>
    <w:rsid w:val="00560154"/>
    <w:rsid w:val="005604AC"/>
    <w:rsid w:val="00562C4E"/>
    <w:rsid w:val="00563FA0"/>
    <w:rsid w:val="005640D0"/>
    <w:rsid w:val="00564C8C"/>
    <w:rsid w:val="005679F0"/>
    <w:rsid w:val="005717E1"/>
    <w:rsid w:val="0057271E"/>
    <w:rsid w:val="00572A45"/>
    <w:rsid w:val="00572B1E"/>
    <w:rsid w:val="00572EB2"/>
    <w:rsid w:val="00573E2A"/>
    <w:rsid w:val="00573ECF"/>
    <w:rsid w:val="00575599"/>
    <w:rsid w:val="00575744"/>
    <w:rsid w:val="00575EEB"/>
    <w:rsid w:val="005761E5"/>
    <w:rsid w:val="00576774"/>
    <w:rsid w:val="00577051"/>
    <w:rsid w:val="005777D5"/>
    <w:rsid w:val="005778FA"/>
    <w:rsid w:val="00577E27"/>
    <w:rsid w:val="005803BD"/>
    <w:rsid w:val="00581289"/>
    <w:rsid w:val="005816F0"/>
    <w:rsid w:val="0058329E"/>
    <w:rsid w:val="00583E20"/>
    <w:rsid w:val="005850D9"/>
    <w:rsid w:val="005852BD"/>
    <w:rsid w:val="00586120"/>
    <w:rsid w:val="0058628D"/>
    <w:rsid w:val="00586453"/>
    <w:rsid w:val="00587718"/>
    <w:rsid w:val="00587B25"/>
    <w:rsid w:val="00587B80"/>
    <w:rsid w:val="00591332"/>
    <w:rsid w:val="00591F1F"/>
    <w:rsid w:val="00593159"/>
    <w:rsid w:val="00593778"/>
    <w:rsid w:val="00593D2D"/>
    <w:rsid w:val="0059582F"/>
    <w:rsid w:val="0059718A"/>
    <w:rsid w:val="005A057D"/>
    <w:rsid w:val="005A073E"/>
    <w:rsid w:val="005A0F01"/>
    <w:rsid w:val="005A1913"/>
    <w:rsid w:val="005A3314"/>
    <w:rsid w:val="005A3755"/>
    <w:rsid w:val="005A44DE"/>
    <w:rsid w:val="005A5A9C"/>
    <w:rsid w:val="005A662F"/>
    <w:rsid w:val="005A6BAE"/>
    <w:rsid w:val="005A7139"/>
    <w:rsid w:val="005B0015"/>
    <w:rsid w:val="005B02EA"/>
    <w:rsid w:val="005B0B80"/>
    <w:rsid w:val="005B16E7"/>
    <w:rsid w:val="005B17AA"/>
    <w:rsid w:val="005B1E36"/>
    <w:rsid w:val="005B2438"/>
    <w:rsid w:val="005B28C6"/>
    <w:rsid w:val="005B3328"/>
    <w:rsid w:val="005B3851"/>
    <w:rsid w:val="005B3A0E"/>
    <w:rsid w:val="005B42AE"/>
    <w:rsid w:val="005B4443"/>
    <w:rsid w:val="005B4F31"/>
    <w:rsid w:val="005B5245"/>
    <w:rsid w:val="005B5DA2"/>
    <w:rsid w:val="005B7969"/>
    <w:rsid w:val="005C0520"/>
    <w:rsid w:val="005C2C0E"/>
    <w:rsid w:val="005C38A0"/>
    <w:rsid w:val="005C3B95"/>
    <w:rsid w:val="005C6292"/>
    <w:rsid w:val="005C6797"/>
    <w:rsid w:val="005C6A1A"/>
    <w:rsid w:val="005C6C09"/>
    <w:rsid w:val="005C6EF4"/>
    <w:rsid w:val="005C6EFA"/>
    <w:rsid w:val="005C713B"/>
    <w:rsid w:val="005C7151"/>
    <w:rsid w:val="005C7E37"/>
    <w:rsid w:val="005D10B4"/>
    <w:rsid w:val="005D11B5"/>
    <w:rsid w:val="005D2409"/>
    <w:rsid w:val="005D2A2D"/>
    <w:rsid w:val="005D2CC7"/>
    <w:rsid w:val="005D2DD7"/>
    <w:rsid w:val="005D3B90"/>
    <w:rsid w:val="005D3F44"/>
    <w:rsid w:val="005D4134"/>
    <w:rsid w:val="005D4288"/>
    <w:rsid w:val="005D4C82"/>
    <w:rsid w:val="005D5AE0"/>
    <w:rsid w:val="005D7384"/>
    <w:rsid w:val="005D7B4F"/>
    <w:rsid w:val="005E168A"/>
    <w:rsid w:val="005E194F"/>
    <w:rsid w:val="005E197B"/>
    <w:rsid w:val="005E1BD3"/>
    <w:rsid w:val="005E1F69"/>
    <w:rsid w:val="005E29BF"/>
    <w:rsid w:val="005E33B0"/>
    <w:rsid w:val="005E348D"/>
    <w:rsid w:val="005E3DF9"/>
    <w:rsid w:val="005E3F89"/>
    <w:rsid w:val="005E549E"/>
    <w:rsid w:val="005E55B1"/>
    <w:rsid w:val="005E57D4"/>
    <w:rsid w:val="005E6139"/>
    <w:rsid w:val="005E6583"/>
    <w:rsid w:val="005E6F7B"/>
    <w:rsid w:val="005E7166"/>
    <w:rsid w:val="005F0801"/>
    <w:rsid w:val="005F0A84"/>
    <w:rsid w:val="005F1A04"/>
    <w:rsid w:val="005F1A4A"/>
    <w:rsid w:val="005F238A"/>
    <w:rsid w:val="005F2DE4"/>
    <w:rsid w:val="005F3942"/>
    <w:rsid w:val="005F3944"/>
    <w:rsid w:val="005F4AAD"/>
    <w:rsid w:val="005F4FA8"/>
    <w:rsid w:val="005F5B0D"/>
    <w:rsid w:val="005F63AC"/>
    <w:rsid w:val="005F6A75"/>
    <w:rsid w:val="005F6B91"/>
    <w:rsid w:val="005F6F36"/>
    <w:rsid w:val="005F7B2F"/>
    <w:rsid w:val="005F7C75"/>
    <w:rsid w:val="006011BC"/>
    <w:rsid w:val="00603A74"/>
    <w:rsid w:val="00603D00"/>
    <w:rsid w:val="006041EC"/>
    <w:rsid w:val="006049A0"/>
    <w:rsid w:val="00605750"/>
    <w:rsid w:val="0060644B"/>
    <w:rsid w:val="00606894"/>
    <w:rsid w:val="00606C5F"/>
    <w:rsid w:val="00606D6B"/>
    <w:rsid w:val="0061086D"/>
    <w:rsid w:val="00610C41"/>
    <w:rsid w:val="00611716"/>
    <w:rsid w:val="00611B57"/>
    <w:rsid w:val="006126EA"/>
    <w:rsid w:val="00612DDB"/>
    <w:rsid w:val="00612DED"/>
    <w:rsid w:val="00612F95"/>
    <w:rsid w:val="00614462"/>
    <w:rsid w:val="00615319"/>
    <w:rsid w:val="0061547D"/>
    <w:rsid w:val="0061630E"/>
    <w:rsid w:val="006164B2"/>
    <w:rsid w:val="00617117"/>
    <w:rsid w:val="00617550"/>
    <w:rsid w:val="00617B7C"/>
    <w:rsid w:val="00617B8D"/>
    <w:rsid w:val="00620FE5"/>
    <w:rsid w:val="006210CB"/>
    <w:rsid w:val="0062142E"/>
    <w:rsid w:val="00622A69"/>
    <w:rsid w:val="00622DD5"/>
    <w:rsid w:val="00623443"/>
    <w:rsid w:val="0062428C"/>
    <w:rsid w:val="00624D8D"/>
    <w:rsid w:val="00624F99"/>
    <w:rsid w:val="0062780F"/>
    <w:rsid w:val="0063058D"/>
    <w:rsid w:val="00630AF1"/>
    <w:rsid w:val="00630C26"/>
    <w:rsid w:val="00630D6F"/>
    <w:rsid w:val="0063117B"/>
    <w:rsid w:val="00631233"/>
    <w:rsid w:val="00631486"/>
    <w:rsid w:val="006323BE"/>
    <w:rsid w:val="0063258C"/>
    <w:rsid w:val="00632E4C"/>
    <w:rsid w:val="00632F55"/>
    <w:rsid w:val="0063334A"/>
    <w:rsid w:val="00633528"/>
    <w:rsid w:val="00633681"/>
    <w:rsid w:val="00633861"/>
    <w:rsid w:val="00634842"/>
    <w:rsid w:val="00634EEA"/>
    <w:rsid w:val="0063649B"/>
    <w:rsid w:val="00636AF1"/>
    <w:rsid w:val="006371A4"/>
    <w:rsid w:val="0063733D"/>
    <w:rsid w:val="0063781B"/>
    <w:rsid w:val="00641806"/>
    <w:rsid w:val="00641B3F"/>
    <w:rsid w:val="006420B0"/>
    <w:rsid w:val="00642331"/>
    <w:rsid w:val="00642671"/>
    <w:rsid w:val="00642BEC"/>
    <w:rsid w:val="006430D5"/>
    <w:rsid w:val="00643D1E"/>
    <w:rsid w:val="006452FD"/>
    <w:rsid w:val="00645942"/>
    <w:rsid w:val="00646360"/>
    <w:rsid w:val="00646BB0"/>
    <w:rsid w:val="00650244"/>
    <w:rsid w:val="00650279"/>
    <w:rsid w:val="00650390"/>
    <w:rsid w:val="0065075F"/>
    <w:rsid w:val="00650BC8"/>
    <w:rsid w:val="00650ECB"/>
    <w:rsid w:val="00651296"/>
    <w:rsid w:val="0065188E"/>
    <w:rsid w:val="00652449"/>
    <w:rsid w:val="006534E8"/>
    <w:rsid w:val="006547D1"/>
    <w:rsid w:val="00654978"/>
    <w:rsid w:val="00655077"/>
    <w:rsid w:val="006555D1"/>
    <w:rsid w:val="006605D7"/>
    <w:rsid w:val="00660E1D"/>
    <w:rsid w:val="006619AD"/>
    <w:rsid w:val="00661D79"/>
    <w:rsid w:val="006621B7"/>
    <w:rsid w:val="00662DDA"/>
    <w:rsid w:val="0066317C"/>
    <w:rsid w:val="00663CCE"/>
    <w:rsid w:val="00663D6C"/>
    <w:rsid w:val="00664113"/>
    <w:rsid w:val="00665201"/>
    <w:rsid w:val="0066784F"/>
    <w:rsid w:val="00671627"/>
    <w:rsid w:val="00671ABB"/>
    <w:rsid w:val="006721F1"/>
    <w:rsid w:val="00672340"/>
    <w:rsid w:val="006727DF"/>
    <w:rsid w:val="00673950"/>
    <w:rsid w:val="00676056"/>
    <w:rsid w:val="0067681B"/>
    <w:rsid w:val="0067740A"/>
    <w:rsid w:val="0067795A"/>
    <w:rsid w:val="006805CD"/>
    <w:rsid w:val="006807BB"/>
    <w:rsid w:val="00680801"/>
    <w:rsid w:val="00680F72"/>
    <w:rsid w:val="00681161"/>
    <w:rsid w:val="00681497"/>
    <w:rsid w:val="00682A4F"/>
    <w:rsid w:val="00686659"/>
    <w:rsid w:val="0068694F"/>
    <w:rsid w:val="00686AB3"/>
    <w:rsid w:val="00686B83"/>
    <w:rsid w:val="00686DF4"/>
    <w:rsid w:val="0069102F"/>
    <w:rsid w:val="0069186E"/>
    <w:rsid w:val="00691D24"/>
    <w:rsid w:val="00692723"/>
    <w:rsid w:val="00692AB6"/>
    <w:rsid w:val="00692AD1"/>
    <w:rsid w:val="0069334A"/>
    <w:rsid w:val="00694038"/>
    <w:rsid w:val="006944CA"/>
    <w:rsid w:val="006945F5"/>
    <w:rsid w:val="00694DC9"/>
    <w:rsid w:val="00694E41"/>
    <w:rsid w:val="00695B92"/>
    <w:rsid w:val="0069797A"/>
    <w:rsid w:val="00697E02"/>
    <w:rsid w:val="006A061F"/>
    <w:rsid w:val="006A15B5"/>
    <w:rsid w:val="006A1C28"/>
    <w:rsid w:val="006A2949"/>
    <w:rsid w:val="006A2AE1"/>
    <w:rsid w:val="006A4921"/>
    <w:rsid w:val="006A4D93"/>
    <w:rsid w:val="006A53CF"/>
    <w:rsid w:val="006A628F"/>
    <w:rsid w:val="006A62A4"/>
    <w:rsid w:val="006A63F6"/>
    <w:rsid w:val="006A695B"/>
    <w:rsid w:val="006A696A"/>
    <w:rsid w:val="006A6BC4"/>
    <w:rsid w:val="006A6F99"/>
    <w:rsid w:val="006A7AB8"/>
    <w:rsid w:val="006A7C35"/>
    <w:rsid w:val="006A7E4E"/>
    <w:rsid w:val="006B0FF9"/>
    <w:rsid w:val="006B1421"/>
    <w:rsid w:val="006B2036"/>
    <w:rsid w:val="006B27C9"/>
    <w:rsid w:val="006B2FB4"/>
    <w:rsid w:val="006B31F5"/>
    <w:rsid w:val="006B376A"/>
    <w:rsid w:val="006B4D4C"/>
    <w:rsid w:val="006B4F01"/>
    <w:rsid w:val="006B61E8"/>
    <w:rsid w:val="006B631F"/>
    <w:rsid w:val="006B6FBA"/>
    <w:rsid w:val="006B75EB"/>
    <w:rsid w:val="006B7F04"/>
    <w:rsid w:val="006C11D3"/>
    <w:rsid w:val="006C4ECE"/>
    <w:rsid w:val="006C4F3C"/>
    <w:rsid w:val="006C5CF9"/>
    <w:rsid w:val="006C5E8B"/>
    <w:rsid w:val="006C6C4F"/>
    <w:rsid w:val="006D02FB"/>
    <w:rsid w:val="006D08AD"/>
    <w:rsid w:val="006D0907"/>
    <w:rsid w:val="006D0D3A"/>
    <w:rsid w:val="006D10A3"/>
    <w:rsid w:val="006D1E44"/>
    <w:rsid w:val="006D20B1"/>
    <w:rsid w:val="006D2BD6"/>
    <w:rsid w:val="006D2BDC"/>
    <w:rsid w:val="006D2D2D"/>
    <w:rsid w:val="006D2F50"/>
    <w:rsid w:val="006D2F6C"/>
    <w:rsid w:val="006D3244"/>
    <w:rsid w:val="006D3565"/>
    <w:rsid w:val="006D3CB8"/>
    <w:rsid w:val="006D45AD"/>
    <w:rsid w:val="006D4D18"/>
    <w:rsid w:val="006D5A6D"/>
    <w:rsid w:val="006D5BBF"/>
    <w:rsid w:val="006D6BBA"/>
    <w:rsid w:val="006D6EFA"/>
    <w:rsid w:val="006D741D"/>
    <w:rsid w:val="006E0542"/>
    <w:rsid w:val="006E102B"/>
    <w:rsid w:val="006E10B9"/>
    <w:rsid w:val="006E1424"/>
    <w:rsid w:val="006E1E66"/>
    <w:rsid w:val="006E258E"/>
    <w:rsid w:val="006E29E6"/>
    <w:rsid w:val="006E396B"/>
    <w:rsid w:val="006E3B90"/>
    <w:rsid w:val="006E5C53"/>
    <w:rsid w:val="006E6036"/>
    <w:rsid w:val="006E6991"/>
    <w:rsid w:val="006E6A75"/>
    <w:rsid w:val="006E745D"/>
    <w:rsid w:val="006E76DF"/>
    <w:rsid w:val="006E7EB0"/>
    <w:rsid w:val="006F009E"/>
    <w:rsid w:val="006F1839"/>
    <w:rsid w:val="006F2BCC"/>
    <w:rsid w:val="006F3204"/>
    <w:rsid w:val="006F353D"/>
    <w:rsid w:val="006F3554"/>
    <w:rsid w:val="006F3B45"/>
    <w:rsid w:val="006F3B99"/>
    <w:rsid w:val="006F3BA4"/>
    <w:rsid w:val="006F4170"/>
    <w:rsid w:val="006F68C6"/>
    <w:rsid w:val="006F7CCC"/>
    <w:rsid w:val="00701588"/>
    <w:rsid w:val="00701775"/>
    <w:rsid w:val="00702CE6"/>
    <w:rsid w:val="00702D87"/>
    <w:rsid w:val="00702F1D"/>
    <w:rsid w:val="0070327B"/>
    <w:rsid w:val="007037EC"/>
    <w:rsid w:val="00703E42"/>
    <w:rsid w:val="00704E9D"/>
    <w:rsid w:val="00705C1E"/>
    <w:rsid w:val="00705E9E"/>
    <w:rsid w:val="007066CC"/>
    <w:rsid w:val="00707F9E"/>
    <w:rsid w:val="00710198"/>
    <w:rsid w:val="0071069B"/>
    <w:rsid w:val="00710A2E"/>
    <w:rsid w:val="00710B5D"/>
    <w:rsid w:val="00711082"/>
    <w:rsid w:val="0071163A"/>
    <w:rsid w:val="00711B71"/>
    <w:rsid w:val="00711F1B"/>
    <w:rsid w:val="007125BC"/>
    <w:rsid w:val="007129E4"/>
    <w:rsid w:val="00712A0F"/>
    <w:rsid w:val="00713026"/>
    <w:rsid w:val="0071327F"/>
    <w:rsid w:val="0071354C"/>
    <w:rsid w:val="0071376F"/>
    <w:rsid w:val="00713861"/>
    <w:rsid w:val="00713B2A"/>
    <w:rsid w:val="00714BC9"/>
    <w:rsid w:val="00715A98"/>
    <w:rsid w:val="00715F2C"/>
    <w:rsid w:val="00716901"/>
    <w:rsid w:val="00716C2B"/>
    <w:rsid w:val="00717486"/>
    <w:rsid w:val="0072015C"/>
    <w:rsid w:val="0072024F"/>
    <w:rsid w:val="00720300"/>
    <w:rsid w:val="007206AE"/>
    <w:rsid w:val="0072098E"/>
    <w:rsid w:val="00720D01"/>
    <w:rsid w:val="00721422"/>
    <w:rsid w:val="0072304A"/>
    <w:rsid w:val="007232E8"/>
    <w:rsid w:val="00723739"/>
    <w:rsid w:val="00724B84"/>
    <w:rsid w:val="00724D16"/>
    <w:rsid w:val="0072531F"/>
    <w:rsid w:val="00725583"/>
    <w:rsid w:val="00725DAF"/>
    <w:rsid w:val="00726123"/>
    <w:rsid w:val="00726514"/>
    <w:rsid w:val="00726560"/>
    <w:rsid w:val="00726975"/>
    <w:rsid w:val="00726E02"/>
    <w:rsid w:val="007277D7"/>
    <w:rsid w:val="00727863"/>
    <w:rsid w:val="00727D88"/>
    <w:rsid w:val="007308AE"/>
    <w:rsid w:val="00731341"/>
    <w:rsid w:val="00731896"/>
    <w:rsid w:val="00731A9C"/>
    <w:rsid w:val="00731BBC"/>
    <w:rsid w:val="007327BF"/>
    <w:rsid w:val="00732894"/>
    <w:rsid w:val="00732A84"/>
    <w:rsid w:val="00732FF0"/>
    <w:rsid w:val="007331B8"/>
    <w:rsid w:val="007335B9"/>
    <w:rsid w:val="00734A15"/>
    <w:rsid w:val="00734EC3"/>
    <w:rsid w:val="00735155"/>
    <w:rsid w:val="007353B7"/>
    <w:rsid w:val="00735C98"/>
    <w:rsid w:val="00736107"/>
    <w:rsid w:val="00736CF6"/>
    <w:rsid w:val="00737417"/>
    <w:rsid w:val="007377E7"/>
    <w:rsid w:val="00737EBD"/>
    <w:rsid w:val="0074216D"/>
    <w:rsid w:val="00743795"/>
    <w:rsid w:val="00744269"/>
    <w:rsid w:val="007456A3"/>
    <w:rsid w:val="0074683C"/>
    <w:rsid w:val="00746847"/>
    <w:rsid w:val="00746A52"/>
    <w:rsid w:val="00746C5B"/>
    <w:rsid w:val="00746E98"/>
    <w:rsid w:val="00747305"/>
    <w:rsid w:val="00747539"/>
    <w:rsid w:val="00750A50"/>
    <w:rsid w:val="00750CBD"/>
    <w:rsid w:val="00750D1A"/>
    <w:rsid w:val="00750E15"/>
    <w:rsid w:val="0075202D"/>
    <w:rsid w:val="00752490"/>
    <w:rsid w:val="0075274C"/>
    <w:rsid w:val="007529F7"/>
    <w:rsid w:val="0075309C"/>
    <w:rsid w:val="00754593"/>
    <w:rsid w:val="007547A1"/>
    <w:rsid w:val="00755499"/>
    <w:rsid w:val="00755CA7"/>
    <w:rsid w:val="00755D62"/>
    <w:rsid w:val="007560C5"/>
    <w:rsid w:val="00756BDD"/>
    <w:rsid w:val="00756D1A"/>
    <w:rsid w:val="00757246"/>
    <w:rsid w:val="007578B4"/>
    <w:rsid w:val="00757E59"/>
    <w:rsid w:val="00757ED2"/>
    <w:rsid w:val="00761452"/>
    <w:rsid w:val="00761658"/>
    <w:rsid w:val="00761832"/>
    <w:rsid w:val="00761C37"/>
    <w:rsid w:val="00761EBB"/>
    <w:rsid w:val="00762092"/>
    <w:rsid w:val="00762274"/>
    <w:rsid w:val="00763028"/>
    <w:rsid w:val="007638F1"/>
    <w:rsid w:val="007646B5"/>
    <w:rsid w:val="007648C1"/>
    <w:rsid w:val="007661EB"/>
    <w:rsid w:val="00766F52"/>
    <w:rsid w:val="00770537"/>
    <w:rsid w:val="00770A97"/>
    <w:rsid w:val="00771010"/>
    <w:rsid w:val="00771717"/>
    <w:rsid w:val="007720A5"/>
    <w:rsid w:val="00772523"/>
    <w:rsid w:val="007725B0"/>
    <w:rsid w:val="00772782"/>
    <w:rsid w:val="00772E50"/>
    <w:rsid w:val="00773970"/>
    <w:rsid w:val="007739E3"/>
    <w:rsid w:val="007740FD"/>
    <w:rsid w:val="00774601"/>
    <w:rsid w:val="00774989"/>
    <w:rsid w:val="00776346"/>
    <w:rsid w:val="00776B7A"/>
    <w:rsid w:val="00776FB2"/>
    <w:rsid w:val="007807C2"/>
    <w:rsid w:val="00780A8F"/>
    <w:rsid w:val="0078131A"/>
    <w:rsid w:val="007822F2"/>
    <w:rsid w:val="00783B55"/>
    <w:rsid w:val="0078492F"/>
    <w:rsid w:val="0078510E"/>
    <w:rsid w:val="00785294"/>
    <w:rsid w:val="00786557"/>
    <w:rsid w:val="00786D18"/>
    <w:rsid w:val="00787675"/>
    <w:rsid w:val="00787B70"/>
    <w:rsid w:val="0079034F"/>
    <w:rsid w:val="00791096"/>
    <w:rsid w:val="00791508"/>
    <w:rsid w:val="00792511"/>
    <w:rsid w:val="00793A08"/>
    <w:rsid w:val="0079456A"/>
    <w:rsid w:val="007953E6"/>
    <w:rsid w:val="00795DB4"/>
    <w:rsid w:val="00796D01"/>
    <w:rsid w:val="00797B59"/>
    <w:rsid w:val="00797F4E"/>
    <w:rsid w:val="007A0262"/>
    <w:rsid w:val="007A063F"/>
    <w:rsid w:val="007A09FB"/>
    <w:rsid w:val="007A0D21"/>
    <w:rsid w:val="007A193E"/>
    <w:rsid w:val="007A194D"/>
    <w:rsid w:val="007A30BA"/>
    <w:rsid w:val="007A30E6"/>
    <w:rsid w:val="007A3475"/>
    <w:rsid w:val="007A35DB"/>
    <w:rsid w:val="007A4945"/>
    <w:rsid w:val="007A4F29"/>
    <w:rsid w:val="007A5339"/>
    <w:rsid w:val="007A5B64"/>
    <w:rsid w:val="007A6021"/>
    <w:rsid w:val="007A6AFD"/>
    <w:rsid w:val="007A73BE"/>
    <w:rsid w:val="007A7CC9"/>
    <w:rsid w:val="007B0245"/>
    <w:rsid w:val="007B1AC5"/>
    <w:rsid w:val="007B1DA0"/>
    <w:rsid w:val="007B3D8D"/>
    <w:rsid w:val="007B402D"/>
    <w:rsid w:val="007B4C2A"/>
    <w:rsid w:val="007B53B2"/>
    <w:rsid w:val="007B5BDE"/>
    <w:rsid w:val="007B6869"/>
    <w:rsid w:val="007C035E"/>
    <w:rsid w:val="007C0532"/>
    <w:rsid w:val="007C0DDF"/>
    <w:rsid w:val="007C198B"/>
    <w:rsid w:val="007C1D06"/>
    <w:rsid w:val="007C3890"/>
    <w:rsid w:val="007C3B99"/>
    <w:rsid w:val="007C4266"/>
    <w:rsid w:val="007C42CF"/>
    <w:rsid w:val="007C43DF"/>
    <w:rsid w:val="007C44DA"/>
    <w:rsid w:val="007C5D76"/>
    <w:rsid w:val="007C5DC2"/>
    <w:rsid w:val="007C6B85"/>
    <w:rsid w:val="007C753B"/>
    <w:rsid w:val="007C760D"/>
    <w:rsid w:val="007D0BAE"/>
    <w:rsid w:val="007D1028"/>
    <w:rsid w:val="007D1CDA"/>
    <w:rsid w:val="007D478B"/>
    <w:rsid w:val="007D65AC"/>
    <w:rsid w:val="007D7BB7"/>
    <w:rsid w:val="007E0599"/>
    <w:rsid w:val="007E16B5"/>
    <w:rsid w:val="007E2070"/>
    <w:rsid w:val="007E2595"/>
    <w:rsid w:val="007E3964"/>
    <w:rsid w:val="007E44AB"/>
    <w:rsid w:val="007E56D0"/>
    <w:rsid w:val="007E65DF"/>
    <w:rsid w:val="007E663F"/>
    <w:rsid w:val="007E677B"/>
    <w:rsid w:val="007E6870"/>
    <w:rsid w:val="007E7FFE"/>
    <w:rsid w:val="007F0447"/>
    <w:rsid w:val="007F0BCB"/>
    <w:rsid w:val="007F36DB"/>
    <w:rsid w:val="007F3ADC"/>
    <w:rsid w:val="007F3E28"/>
    <w:rsid w:val="007F3F1B"/>
    <w:rsid w:val="007F5392"/>
    <w:rsid w:val="007F5737"/>
    <w:rsid w:val="007F5EB1"/>
    <w:rsid w:val="007F65A6"/>
    <w:rsid w:val="007F7134"/>
    <w:rsid w:val="007F7AD5"/>
    <w:rsid w:val="00800A3E"/>
    <w:rsid w:val="00800D9B"/>
    <w:rsid w:val="00800EFE"/>
    <w:rsid w:val="00800F5B"/>
    <w:rsid w:val="008011B1"/>
    <w:rsid w:val="00801913"/>
    <w:rsid w:val="00801972"/>
    <w:rsid w:val="008025D1"/>
    <w:rsid w:val="008027F9"/>
    <w:rsid w:val="00802A17"/>
    <w:rsid w:val="00802BC1"/>
    <w:rsid w:val="00802CA3"/>
    <w:rsid w:val="00803BFF"/>
    <w:rsid w:val="00804BCF"/>
    <w:rsid w:val="00804BDB"/>
    <w:rsid w:val="00804D39"/>
    <w:rsid w:val="008052EB"/>
    <w:rsid w:val="00805524"/>
    <w:rsid w:val="008057DA"/>
    <w:rsid w:val="00805DAB"/>
    <w:rsid w:val="0080658F"/>
    <w:rsid w:val="00807A01"/>
    <w:rsid w:val="0081029C"/>
    <w:rsid w:val="00810D04"/>
    <w:rsid w:val="0081153F"/>
    <w:rsid w:val="0081243E"/>
    <w:rsid w:val="00812825"/>
    <w:rsid w:val="00812ACC"/>
    <w:rsid w:val="00812BAD"/>
    <w:rsid w:val="00812E5A"/>
    <w:rsid w:val="00813D95"/>
    <w:rsid w:val="00813D99"/>
    <w:rsid w:val="00814652"/>
    <w:rsid w:val="00814B4E"/>
    <w:rsid w:val="00815581"/>
    <w:rsid w:val="0081661F"/>
    <w:rsid w:val="00816F1F"/>
    <w:rsid w:val="00817012"/>
    <w:rsid w:val="00820A52"/>
    <w:rsid w:val="00822EB0"/>
    <w:rsid w:val="00823A1D"/>
    <w:rsid w:val="00823ACD"/>
    <w:rsid w:val="00823B9B"/>
    <w:rsid w:val="00823E58"/>
    <w:rsid w:val="008259EC"/>
    <w:rsid w:val="00826E4F"/>
    <w:rsid w:val="00827EE6"/>
    <w:rsid w:val="00830285"/>
    <w:rsid w:val="008304AA"/>
    <w:rsid w:val="00830C99"/>
    <w:rsid w:val="008311DD"/>
    <w:rsid w:val="008321EB"/>
    <w:rsid w:val="0083221C"/>
    <w:rsid w:val="00832D32"/>
    <w:rsid w:val="008330D0"/>
    <w:rsid w:val="008341C9"/>
    <w:rsid w:val="008347D9"/>
    <w:rsid w:val="0083488F"/>
    <w:rsid w:val="00835140"/>
    <w:rsid w:val="008359A3"/>
    <w:rsid w:val="0083733A"/>
    <w:rsid w:val="00837478"/>
    <w:rsid w:val="00837BBC"/>
    <w:rsid w:val="00840070"/>
    <w:rsid w:val="008404F6"/>
    <w:rsid w:val="008408C9"/>
    <w:rsid w:val="0084113E"/>
    <w:rsid w:val="00841A1B"/>
    <w:rsid w:val="00841CC5"/>
    <w:rsid w:val="00841DE5"/>
    <w:rsid w:val="008421DB"/>
    <w:rsid w:val="00842308"/>
    <w:rsid w:val="0084310D"/>
    <w:rsid w:val="008437A0"/>
    <w:rsid w:val="0084506D"/>
    <w:rsid w:val="00845A1B"/>
    <w:rsid w:val="00845BFA"/>
    <w:rsid w:val="00845D9E"/>
    <w:rsid w:val="00845DED"/>
    <w:rsid w:val="00846312"/>
    <w:rsid w:val="00847593"/>
    <w:rsid w:val="0084776E"/>
    <w:rsid w:val="0084799C"/>
    <w:rsid w:val="00850D39"/>
    <w:rsid w:val="0085163E"/>
    <w:rsid w:val="00851B0B"/>
    <w:rsid w:val="00851FC7"/>
    <w:rsid w:val="00852448"/>
    <w:rsid w:val="00852F28"/>
    <w:rsid w:val="00853B63"/>
    <w:rsid w:val="00853BDE"/>
    <w:rsid w:val="00853BFE"/>
    <w:rsid w:val="00853E35"/>
    <w:rsid w:val="0085496B"/>
    <w:rsid w:val="00855364"/>
    <w:rsid w:val="00856E0C"/>
    <w:rsid w:val="00856E9F"/>
    <w:rsid w:val="008573E1"/>
    <w:rsid w:val="00857442"/>
    <w:rsid w:val="008574CC"/>
    <w:rsid w:val="0086040C"/>
    <w:rsid w:val="00860E38"/>
    <w:rsid w:val="00860EBD"/>
    <w:rsid w:val="00861A35"/>
    <w:rsid w:val="00861F3F"/>
    <w:rsid w:val="0086213D"/>
    <w:rsid w:val="00862529"/>
    <w:rsid w:val="008630E4"/>
    <w:rsid w:val="00863BB1"/>
    <w:rsid w:val="00866615"/>
    <w:rsid w:val="00867234"/>
    <w:rsid w:val="008673E1"/>
    <w:rsid w:val="00867B76"/>
    <w:rsid w:val="00867C74"/>
    <w:rsid w:val="00867F88"/>
    <w:rsid w:val="00872B52"/>
    <w:rsid w:val="00874250"/>
    <w:rsid w:val="00875107"/>
    <w:rsid w:val="008757ED"/>
    <w:rsid w:val="00875D0D"/>
    <w:rsid w:val="008801D2"/>
    <w:rsid w:val="00880243"/>
    <w:rsid w:val="008805E1"/>
    <w:rsid w:val="0088098D"/>
    <w:rsid w:val="00880F41"/>
    <w:rsid w:val="00881F60"/>
    <w:rsid w:val="008826DF"/>
    <w:rsid w:val="00882F46"/>
    <w:rsid w:val="008836BB"/>
    <w:rsid w:val="008839AD"/>
    <w:rsid w:val="00883C36"/>
    <w:rsid w:val="00883F3A"/>
    <w:rsid w:val="008843E8"/>
    <w:rsid w:val="008854A4"/>
    <w:rsid w:val="00885694"/>
    <w:rsid w:val="00887B9F"/>
    <w:rsid w:val="00887DC6"/>
    <w:rsid w:val="00890533"/>
    <w:rsid w:val="0089069F"/>
    <w:rsid w:val="008909E9"/>
    <w:rsid w:val="00890B49"/>
    <w:rsid w:val="00891A61"/>
    <w:rsid w:val="008921DA"/>
    <w:rsid w:val="00892735"/>
    <w:rsid w:val="00892E7E"/>
    <w:rsid w:val="0089346D"/>
    <w:rsid w:val="008939B2"/>
    <w:rsid w:val="00894D95"/>
    <w:rsid w:val="00895583"/>
    <w:rsid w:val="0089579F"/>
    <w:rsid w:val="0089583B"/>
    <w:rsid w:val="00896C00"/>
    <w:rsid w:val="0089742D"/>
    <w:rsid w:val="008A0F7B"/>
    <w:rsid w:val="008A23FB"/>
    <w:rsid w:val="008A2604"/>
    <w:rsid w:val="008A303C"/>
    <w:rsid w:val="008A398D"/>
    <w:rsid w:val="008A5D4F"/>
    <w:rsid w:val="008A5E8E"/>
    <w:rsid w:val="008A682B"/>
    <w:rsid w:val="008A6FBF"/>
    <w:rsid w:val="008A7540"/>
    <w:rsid w:val="008A7ACB"/>
    <w:rsid w:val="008A7EDC"/>
    <w:rsid w:val="008B0024"/>
    <w:rsid w:val="008B0460"/>
    <w:rsid w:val="008B1073"/>
    <w:rsid w:val="008B32B2"/>
    <w:rsid w:val="008B332B"/>
    <w:rsid w:val="008B366D"/>
    <w:rsid w:val="008B4987"/>
    <w:rsid w:val="008B588A"/>
    <w:rsid w:val="008B5945"/>
    <w:rsid w:val="008B6553"/>
    <w:rsid w:val="008B7D6E"/>
    <w:rsid w:val="008B7F7F"/>
    <w:rsid w:val="008C02B5"/>
    <w:rsid w:val="008C0470"/>
    <w:rsid w:val="008C0636"/>
    <w:rsid w:val="008C0AE3"/>
    <w:rsid w:val="008C0C03"/>
    <w:rsid w:val="008C0E78"/>
    <w:rsid w:val="008C17F0"/>
    <w:rsid w:val="008C2BCE"/>
    <w:rsid w:val="008C3BE4"/>
    <w:rsid w:val="008C3ECE"/>
    <w:rsid w:val="008C633E"/>
    <w:rsid w:val="008C7E07"/>
    <w:rsid w:val="008C7F8A"/>
    <w:rsid w:val="008D193C"/>
    <w:rsid w:val="008D2240"/>
    <w:rsid w:val="008D3041"/>
    <w:rsid w:val="008D33A3"/>
    <w:rsid w:val="008D35FA"/>
    <w:rsid w:val="008D453F"/>
    <w:rsid w:val="008D4643"/>
    <w:rsid w:val="008D4E17"/>
    <w:rsid w:val="008D52EC"/>
    <w:rsid w:val="008D5DAA"/>
    <w:rsid w:val="008D6C59"/>
    <w:rsid w:val="008E1C81"/>
    <w:rsid w:val="008E2238"/>
    <w:rsid w:val="008E26B8"/>
    <w:rsid w:val="008E5BF3"/>
    <w:rsid w:val="008E5CDA"/>
    <w:rsid w:val="008E6DCC"/>
    <w:rsid w:val="008E7DAF"/>
    <w:rsid w:val="008F1F7D"/>
    <w:rsid w:val="008F2341"/>
    <w:rsid w:val="008F283D"/>
    <w:rsid w:val="008F28F8"/>
    <w:rsid w:val="008F3472"/>
    <w:rsid w:val="008F3BBF"/>
    <w:rsid w:val="008F40A4"/>
    <w:rsid w:val="008F5462"/>
    <w:rsid w:val="008F54FF"/>
    <w:rsid w:val="008F60DA"/>
    <w:rsid w:val="008F6BA5"/>
    <w:rsid w:val="00900C2E"/>
    <w:rsid w:val="00900CD9"/>
    <w:rsid w:val="00901717"/>
    <w:rsid w:val="009023CB"/>
    <w:rsid w:val="00902B76"/>
    <w:rsid w:val="00903124"/>
    <w:rsid w:val="00903838"/>
    <w:rsid w:val="0090429C"/>
    <w:rsid w:val="009043E7"/>
    <w:rsid w:val="00906C16"/>
    <w:rsid w:val="009070CC"/>
    <w:rsid w:val="00910F1F"/>
    <w:rsid w:val="0091225D"/>
    <w:rsid w:val="00912AC0"/>
    <w:rsid w:val="00913127"/>
    <w:rsid w:val="009140CE"/>
    <w:rsid w:val="00914CCA"/>
    <w:rsid w:val="00914CD0"/>
    <w:rsid w:val="0091502B"/>
    <w:rsid w:val="009154D7"/>
    <w:rsid w:val="00916C32"/>
    <w:rsid w:val="00917B08"/>
    <w:rsid w:val="00920201"/>
    <w:rsid w:val="009206D8"/>
    <w:rsid w:val="00921572"/>
    <w:rsid w:val="00921649"/>
    <w:rsid w:val="009237EA"/>
    <w:rsid w:val="00923B48"/>
    <w:rsid w:val="009243B2"/>
    <w:rsid w:val="00925256"/>
    <w:rsid w:val="00925D84"/>
    <w:rsid w:val="00926420"/>
    <w:rsid w:val="0092664D"/>
    <w:rsid w:val="00927788"/>
    <w:rsid w:val="00930C65"/>
    <w:rsid w:val="00932B52"/>
    <w:rsid w:val="0093321F"/>
    <w:rsid w:val="0093331F"/>
    <w:rsid w:val="009337EC"/>
    <w:rsid w:val="009338BA"/>
    <w:rsid w:val="00933ECC"/>
    <w:rsid w:val="0093477C"/>
    <w:rsid w:val="00934C85"/>
    <w:rsid w:val="00934DCD"/>
    <w:rsid w:val="00934E6C"/>
    <w:rsid w:val="00935068"/>
    <w:rsid w:val="009352FC"/>
    <w:rsid w:val="009355C9"/>
    <w:rsid w:val="00935664"/>
    <w:rsid w:val="0093583B"/>
    <w:rsid w:val="009358BF"/>
    <w:rsid w:val="0093791D"/>
    <w:rsid w:val="00937F56"/>
    <w:rsid w:val="009411E9"/>
    <w:rsid w:val="009415F4"/>
    <w:rsid w:val="00941DD0"/>
    <w:rsid w:val="0094226A"/>
    <w:rsid w:val="009422D9"/>
    <w:rsid w:val="009424CF"/>
    <w:rsid w:val="00943DE7"/>
    <w:rsid w:val="00944508"/>
    <w:rsid w:val="00946A52"/>
    <w:rsid w:val="00947A18"/>
    <w:rsid w:val="00950BEB"/>
    <w:rsid w:val="00951A31"/>
    <w:rsid w:val="00951A97"/>
    <w:rsid w:val="009530DF"/>
    <w:rsid w:val="009537DE"/>
    <w:rsid w:val="00953CAA"/>
    <w:rsid w:val="00954534"/>
    <w:rsid w:val="0095496E"/>
    <w:rsid w:val="00954B22"/>
    <w:rsid w:val="00954D11"/>
    <w:rsid w:val="00954E1A"/>
    <w:rsid w:val="00954F49"/>
    <w:rsid w:val="009559FD"/>
    <w:rsid w:val="00955B78"/>
    <w:rsid w:val="00955FE9"/>
    <w:rsid w:val="0095609A"/>
    <w:rsid w:val="00956D9D"/>
    <w:rsid w:val="00960373"/>
    <w:rsid w:val="00960BF2"/>
    <w:rsid w:val="00960FAD"/>
    <w:rsid w:val="00962260"/>
    <w:rsid w:val="009626FB"/>
    <w:rsid w:val="009632C2"/>
    <w:rsid w:val="009633F8"/>
    <w:rsid w:val="0096391A"/>
    <w:rsid w:val="009648D7"/>
    <w:rsid w:val="00965021"/>
    <w:rsid w:val="009652B9"/>
    <w:rsid w:val="00965617"/>
    <w:rsid w:val="009660EC"/>
    <w:rsid w:val="0096635F"/>
    <w:rsid w:val="00966710"/>
    <w:rsid w:val="00966C41"/>
    <w:rsid w:val="009674BB"/>
    <w:rsid w:val="009709D7"/>
    <w:rsid w:val="0097125B"/>
    <w:rsid w:val="00971675"/>
    <w:rsid w:val="00971BCB"/>
    <w:rsid w:val="0097458A"/>
    <w:rsid w:val="00974EDB"/>
    <w:rsid w:val="00975D32"/>
    <w:rsid w:val="00976545"/>
    <w:rsid w:val="00976EF9"/>
    <w:rsid w:val="00976FA9"/>
    <w:rsid w:val="009770FB"/>
    <w:rsid w:val="00977ADE"/>
    <w:rsid w:val="00980332"/>
    <w:rsid w:val="00980AB9"/>
    <w:rsid w:val="00982EA6"/>
    <w:rsid w:val="00983DFD"/>
    <w:rsid w:val="0098401E"/>
    <w:rsid w:val="00985645"/>
    <w:rsid w:val="009865E2"/>
    <w:rsid w:val="009867DB"/>
    <w:rsid w:val="009875E5"/>
    <w:rsid w:val="009879DA"/>
    <w:rsid w:val="009879DD"/>
    <w:rsid w:val="00990430"/>
    <w:rsid w:val="009921CD"/>
    <w:rsid w:val="009928C4"/>
    <w:rsid w:val="00992CE3"/>
    <w:rsid w:val="00992D44"/>
    <w:rsid w:val="00993236"/>
    <w:rsid w:val="0099438F"/>
    <w:rsid w:val="00994ABD"/>
    <w:rsid w:val="00995730"/>
    <w:rsid w:val="009A0127"/>
    <w:rsid w:val="009A0920"/>
    <w:rsid w:val="009A1514"/>
    <w:rsid w:val="009A1B27"/>
    <w:rsid w:val="009A1EAA"/>
    <w:rsid w:val="009A278D"/>
    <w:rsid w:val="009A3CCD"/>
    <w:rsid w:val="009A3FBA"/>
    <w:rsid w:val="009A40CC"/>
    <w:rsid w:val="009A4264"/>
    <w:rsid w:val="009A51A8"/>
    <w:rsid w:val="009A5463"/>
    <w:rsid w:val="009A570A"/>
    <w:rsid w:val="009A5C7E"/>
    <w:rsid w:val="009A6138"/>
    <w:rsid w:val="009A637F"/>
    <w:rsid w:val="009A6E4F"/>
    <w:rsid w:val="009B0041"/>
    <w:rsid w:val="009B034E"/>
    <w:rsid w:val="009B082D"/>
    <w:rsid w:val="009B0DDC"/>
    <w:rsid w:val="009B17A0"/>
    <w:rsid w:val="009B3929"/>
    <w:rsid w:val="009B3D3D"/>
    <w:rsid w:val="009B43DF"/>
    <w:rsid w:val="009B4D16"/>
    <w:rsid w:val="009B505F"/>
    <w:rsid w:val="009B5B91"/>
    <w:rsid w:val="009B5D0B"/>
    <w:rsid w:val="009B6918"/>
    <w:rsid w:val="009B7148"/>
    <w:rsid w:val="009B7733"/>
    <w:rsid w:val="009C09E8"/>
    <w:rsid w:val="009C18F0"/>
    <w:rsid w:val="009C1AE6"/>
    <w:rsid w:val="009C1BC6"/>
    <w:rsid w:val="009C1F51"/>
    <w:rsid w:val="009C269F"/>
    <w:rsid w:val="009C3102"/>
    <w:rsid w:val="009C419B"/>
    <w:rsid w:val="009C4D01"/>
    <w:rsid w:val="009C594B"/>
    <w:rsid w:val="009C5E12"/>
    <w:rsid w:val="009C6A46"/>
    <w:rsid w:val="009C70A9"/>
    <w:rsid w:val="009C767D"/>
    <w:rsid w:val="009C7757"/>
    <w:rsid w:val="009C7953"/>
    <w:rsid w:val="009D0868"/>
    <w:rsid w:val="009D1065"/>
    <w:rsid w:val="009D1E5E"/>
    <w:rsid w:val="009D27BC"/>
    <w:rsid w:val="009D4057"/>
    <w:rsid w:val="009D4111"/>
    <w:rsid w:val="009D6133"/>
    <w:rsid w:val="009D698C"/>
    <w:rsid w:val="009D6CC4"/>
    <w:rsid w:val="009D7A78"/>
    <w:rsid w:val="009D7E41"/>
    <w:rsid w:val="009E1D64"/>
    <w:rsid w:val="009E2DD0"/>
    <w:rsid w:val="009E46C6"/>
    <w:rsid w:val="009E4ACB"/>
    <w:rsid w:val="009E4B3E"/>
    <w:rsid w:val="009E4C39"/>
    <w:rsid w:val="009E589E"/>
    <w:rsid w:val="009E61BA"/>
    <w:rsid w:val="009E665D"/>
    <w:rsid w:val="009E6E24"/>
    <w:rsid w:val="009E7004"/>
    <w:rsid w:val="009E766C"/>
    <w:rsid w:val="009F0566"/>
    <w:rsid w:val="009F08C0"/>
    <w:rsid w:val="009F0F95"/>
    <w:rsid w:val="009F12FC"/>
    <w:rsid w:val="009F13B3"/>
    <w:rsid w:val="009F2254"/>
    <w:rsid w:val="009F2A41"/>
    <w:rsid w:val="009F343E"/>
    <w:rsid w:val="009F3AD5"/>
    <w:rsid w:val="009F3B9A"/>
    <w:rsid w:val="009F5017"/>
    <w:rsid w:val="009F522A"/>
    <w:rsid w:val="009F53D6"/>
    <w:rsid w:val="009F55A9"/>
    <w:rsid w:val="009F69E8"/>
    <w:rsid w:val="009F6A40"/>
    <w:rsid w:val="00A002FE"/>
    <w:rsid w:val="00A00507"/>
    <w:rsid w:val="00A00AE4"/>
    <w:rsid w:val="00A0209B"/>
    <w:rsid w:val="00A03359"/>
    <w:rsid w:val="00A0347D"/>
    <w:rsid w:val="00A035C6"/>
    <w:rsid w:val="00A03E2E"/>
    <w:rsid w:val="00A03FF3"/>
    <w:rsid w:val="00A04A5F"/>
    <w:rsid w:val="00A06818"/>
    <w:rsid w:val="00A06CCF"/>
    <w:rsid w:val="00A076B9"/>
    <w:rsid w:val="00A07A85"/>
    <w:rsid w:val="00A07BC8"/>
    <w:rsid w:val="00A07E08"/>
    <w:rsid w:val="00A07E85"/>
    <w:rsid w:val="00A1069E"/>
    <w:rsid w:val="00A111FB"/>
    <w:rsid w:val="00A1172E"/>
    <w:rsid w:val="00A12021"/>
    <w:rsid w:val="00A134B5"/>
    <w:rsid w:val="00A13CEA"/>
    <w:rsid w:val="00A13F44"/>
    <w:rsid w:val="00A142C6"/>
    <w:rsid w:val="00A15C3C"/>
    <w:rsid w:val="00A160B9"/>
    <w:rsid w:val="00A16141"/>
    <w:rsid w:val="00A17C29"/>
    <w:rsid w:val="00A21019"/>
    <w:rsid w:val="00A22307"/>
    <w:rsid w:val="00A22A43"/>
    <w:rsid w:val="00A22A52"/>
    <w:rsid w:val="00A23290"/>
    <w:rsid w:val="00A23925"/>
    <w:rsid w:val="00A24166"/>
    <w:rsid w:val="00A25042"/>
    <w:rsid w:val="00A2649F"/>
    <w:rsid w:val="00A26F96"/>
    <w:rsid w:val="00A270B2"/>
    <w:rsid w:val="00A270FC"/>
    <w:rsid w:val="00A272BE"/>
    <w:rsid w:val="00A27638"/>
    <w:rsid w:val="00A2772D"/>
    <w:rsid w:val="00A27B33"/>
    <w:rsid w:val="00A27FD3"/>
    <w:rsid w:val="00A3106C"/>
    <w:rsid w:val="00A3144F"/>
    <w:rsid w:val="00A315DC"/>
    <w:rsid w:val="00A31A91"/>
    <w:rsid w:val="00A31B6C"/>
    <w:rsid w:val="00A32212"/>
    <w:rsid w:val="00A32DC2"/>
    <w:rsid w:val="00A35F4E"/>
    <w:rsid w:val="00A374E5"/>
    <w:rsid w:val="00A40503"/>
    <w:rsid w:val="00A40905"/>
    <w:rsid w:val="00A40E5F"/>
    <w:rsid w:val="00A41051"/>
    <w:rsid w:val="00A4175F"/>
    <w:rsid w:val="00A41E72"/>
    <w:rsid w:val="00A427E9"/>
    <w:rsid w:val="00A42B1E"/>
    <w:rsid w:val="00A4382F"/>
    <w:rsid w:val="00A45069"/>
    <w:rsid w:val="00A451CF"/>
    <w:rsid w:val="00A459AD"/>
    <w:rsid w:val="00A46F81"/>
    <w:rsid w:val="00A472FD"/>
    <w:rsid w:val="00A47C2D"/>
    <w:rsid w:val="00A50E41"/>
    <w:rsid w:val="00A51382"/>
    <w:rsid w:val="00A5190E"/>
    <w:rsid w:val="00A529B6"/>
    <w:rsid w:val="00A54BC5"/>
    <w:rsid w:val="00A54C14"/>
    <w:rsid w:val="00A54EB8"/>
    <w:rsid w:val="00A5634A"/>
    <w:rsid w:val="00A56583"/>
    <w:rsid w:val="00A56E59"/>
    <w:rsid w:val="00A60A78"/>
    <w:rsid w:val="00A613A0"/>
    <w:rsid w:val="00A62290"/>
    <w:rsid w:val="00A6319C"/>
    <w:rsid w:val="00A63CE6"/>
    <w:rsid w:val="00A63EB0"/>
    <w:rsid w:val="00A64507"/>
    <w:rsid w:val="00A65897"/>
    <w:rsid w:val="00A66096"/>
    <w:rsid w:val="00A7031F"/>
    <w:rsid w:val="00A7336D"/>
    <w:rsid w:val="00A73671"/>
    <w:rsid w:val="00A750B5"/>
    <w:rsid w:val="00A75229"/>
    <w:rsid w:val="00A757B6"/>
    <w:rsid w:val="00A76395"/>
    <w:rsid w:val="00A76962"/>
    <w:rsid w:val="00A769B7"/>
    <w:rsid w:val="00A77082"/>
    <w:rsid w:val="00A7767B"/>
    <w:rsid w:val="00A80482"/>
    <w:rsid w:val="00A804B1"/>
    <w:rsid w:val="00A80AD3"/>
    <w:rsid w:val="00A812AE"/>
    <w:rsid w:val="00A82508"/>
    <w:rsid w:val="00A82594"/>
    <w:rsid w:val="00A829AA"/>
    <w:rsid w:val="00A82DEE"/>
    <w:rsid w:val="00A8367F"/>
    <w:rsid w:val="00A84D61"/>
    <w:rsid w:val="00A84D62"/>
    <w:rsid w:val="00A85F7B"/>
    <w:rsid w:val="00A86126"/>
    <w:rsid w:val="00A86517"/>
    <w:rsid w:val="00A868E2"/>
    <w:rsid w:val="00A86995"/>
    <w:rsid w:val="00A871CD"/>
    <w:rsid w:val="00A8792F"/>
    <w:rsid w:val="00A87FF4"/>
    <w:rsid w:val="00A90096"/>
    <w:rsid w:val="00A90675"/>
    <w:rsid w:val="00A915F7"/>
    <w:rsid w:val="00A91AE3"/>
    <w:rsid w:val="00A9242E"/>
    <w:rsid w:val="00A94041"/>
    <w:rsid w:val="00A94CCA"/>
    <w:rsid w:val="00A95FF6"/>
    <w:rsid w:val="00A964D1"/>
    <w:rsid w:val="00A972BD"/>
    <w:rsid w:val="00A97E8E"/>
    <w:rsid w:val="00AA05CA"/>
    <w:rsid w:val="00AA0968"/>
    <w:rsid w:val="00AA2E89"/>
    <w:rsid w:val="00AA356E"/>
    <w:rsid w:val="00AA3771"/>
    <w:rsid w:val="00AA39AB"/>
    <w:rsid w:val="00AA406C"/>
    <w:rsid w:val="00AA43F7"/>
    <w:rsid w:val="00AA4BF5"/>
    <w:rsid w:val="00AA5181"/>
    <w:rsid w:val="00AA5AA5"/>
    <w:rsid w:val="00AA640D"/>
    <w:rsid w:val="00AA69A3"/>
    <w:rsid w:val="00AA6EAC"/>
    <w:rsid w:val="00AA7447"/>
    <w:rsid w:val="00AA77A1"/>
    <w:rsid w:val="00AB02D6"/>
    <w:rsid w:val="00AB0B3F"/>
    <w:rsid w:val="00AB0B6D"/>
    <w:rsid w:val="00AB0D0C"/>
    <w:rsid w:val="00AB152E"/>
    <w:rsid w:val="00AB15DE"/>
    <w:rsid w:val="00AB1D74"/>
    <w:rsid w:val="00AB2074"/>
    <w:rsid w:val="00AB2A82"/>
    <w:rsid w:val="00AB3D53"/>
    <w:rsid w:val="00AB4897"/>
    <w:rsid w:val="00AB54AB"/>
    <w:rsid w:val="00AB5948"/>
    <w:rsid w:val="00AB5B98"/>
    <w:rsid w:val="00AB5F98"/>
    <w:rsid w:val="00AB611F"/>
    <w:rsid w:val="00AB6D16"/>
    <w:rsid w:val="00AB6D30"/>
    <w:rsid w:val="00AB756B"/>
    <w:rsid w:val="00AB761F"/>
    <w:rsid w:val="00AB781E"/>
    <w:rsid w:val="00AC0192"/>
    <w:rsid w:val="00AC0B6D"/>
    <w:rsid w:val="00AC0E53"/>
    <w:rsid w:val="00AC2D3C"/>
    <w:rsid w:val="00AC2F24"/>
    <w:rsid w:val="00AC4458"/>
    <w:rsid w:val="00AC480F"/>
    <w:rsid w:val="00AC4BDE"/>
    <w:rsid w:val="00AC54B3"/>
    <w:rsid w:val="00AC6BE4"/>
    <w:rsid w:val="00AD00BF"/>
    <w:rsid w:val="00AD0437"/>
    <w:rsid w:val="00AD0799"/>
    <w:rsid w:val="00AD0891"/>
    <w:rsid w:val="00AD1698"/>
    <w:rsid w:val="00AD2010"/>
    <w:rsid w:val="00AD2413"/>
    <w:rsid w:val="00AD2700"/>
    <w:rsid w:val="00AD382D"/>
    <w:rsid w:val="00AD4AF4"/>
    <w:rsid w:val="00AD4C96"/>
    <w:rsid w:val="00AD4DA3"/>
    <w:rsid w:val="00AD54DC"/>
    <w:rsid w:val="00AD5683"/>
    <w:rsid w:val="00AD5878"/>
    <w:rsid w:val="00AD59C6"/>
    <w:rsid w:val="00AD68D1"/>
    <w:rsid w:val="00AD6917"/>
    <w:rsid w:val="00AE2DDE"/>
    <w:rsid w:val="00AE3EF5"/>
    <w:rsid w:val="00AE3FAA"/>
    <w:rsid w:val="00AE45F1"/>
    <w:rsid w:val="00AE4E12"/>
    <w:rsid w:val="00AE593F"/>
    <w:rsid w:val="00AE5971"/>
    <w:rsid w:val="00AE5EDF"/>
    <w:rsid w:val="00AE6744"/>
    <w:rsid w:val="00AE6F4D"/>
    <w:rsid w:val="00AF03A9"/>
    <w:rsid w:val="00AF03B7"/>
    <w:rsid w:val="00AF062F"/>
    <w:rsid w:val="00AF0C93"/>
    <w:rsid w:val="00AF0E31"/>
    <w:rsid w:val="00AF1714"/>
    <w:rsid w:val="00AF20CF"/>
    <w:rsid w:val="00AF3786"/>
    <w:rsid w:val="00AF37AD"/>
    <w:rsid w:val="00AF3F82"/>
    <w:rsid w:val="00AF40B7"/>
    <w:rsid w:val="00AF50D9"/>
    <w:rsid w:val="00AF5D63"/>
    <w:rsid w:val="00AF5E18"/>
    <w:rsid w:val="00AF5FF2"/>
    <w:rsid w:val="00AF6904"/>
    <w:rsid w:val="00B01FA9"/>
    <w:rsid w:val="00B027B6"/>
    <w:rsid w:val="00B034A9"/>
    <w:rsid w:val="00B03706"/>
    <w:rsid w:val="00B04583"/>
    <w:rsid w:val="00B04842"/>
    <w:rsid w:val="00B04C1E"/>
    <w:rsid w:val="00B04FB2"/>
    <w:rsid w:val="00B051A1"/>
    <w:rsid w:val="00B07364"/>
    <w:rsid w:val="00B077A7"/>
    <w:rsid w:val="00B07D25"/>
    <w:rsid w:val="00B10CB1"/>
    <w:rsid w:val="00B12652"/>
    <w:rsid w:val="00B126D7"/>
    <w:rsid w:val="00B129FE"/>
    <w:rsid w:val="00B12B37"/>
    <w:rsid w:val="00B13027"/>
    <w:rsid w:val="00B134E3"/>
    <w:rsid w:val="00B13FA9"/>
    <w:rsid w:val="00B14039"/>
    <w:rsid w:val="00B14A63"/>
    <w:rsid w:val="00B15925"/>
    <w:rsid w:val="00B15B75"/>
    <w:rsid w:val="00B1638D"/>
    <w:rsid w:val="00B170F5"/>
    <w:rsid w:val="00B17827"/>
    <w:rsid w:val="00B1789D"/>
    <w:rsid w:val="00B17A44"/>
    <w:rsid w:val="00B17F10"/>
    <w:rsid w:val="00B17FEB"/>
    <w:rsid w:val="00B20026"/>
    <w:rsid w:val="00B2062B"/>
    <w:rsid w:val="00B206D3"/>
    <w:rsid w:val="00B207E5"/>
    <w:rsid w:val="00B208E2"/>
    <w:rsid w:val="00B209D9"/>
    <w:rsid w:val="00B20B2F"/>
    <w:rsid w:val="00B20D88"/>
    <w:rsid w:val="00B21392"/>
    <w:rsid w:val="00B216A9"/>
    <w:rsid w:val="00B21E3C"/>
    <w:rsid w:val="00B223DF"/>
    <w:rsid w:val="00B2263E"/>
    <w:rsid w:val="00B23598"/>
    <w:rsid w:val="00B23F94"/>
    <w:rsid w:val="00B24A74"/>
    <w:rsid w:val="00B25483"/>
    <w:rsid w:val="00B2614B"/>
    <w:rsid w:val="00B26D73"/>
    <w:rsid w:val="00B275CE"/>
    <w:rsid w:val="00B3016E"/>
    <w:rsid w:val="00B302D8"/>
    <w:rsid w:val="00B31C34"/>
    <w:rsid w:val="00B32107"/>
    <w:rsid w:val="00B326E7"/>
    <w:rsid w:val="00B33C37"/>
    <w:rsid w:val="00B33FF4"/>
    <w:rsid w:val="00B3440F"/>
    <w:rsid w:val="00B347C1"/>
    <w:rsid w:val="00B35204"/>
    <w:rsid w:val="00B359B4"/>
    <w:rsid w:val="00B35E6B"/>
    <w:rsid w:val="00B35F61"/>
    <w:rsid w:val="00B36890"/>
    <w:rsid w:val="00B36FEC"/>
    <w:rsid w:val="00B37EB3"/>
    <w:rsid w:val="00B37F29"/>
    <w:rsid w:val="00B4014C"/>
    <w:rsid w:val="00B41517"/>
    <w:rsid w:val="00B415B2"/>
    <w:rsid w:val="00B41F98"/>
    <w:rsid w:val="00B423F4"/>
    <w:rsid w:val="00B424C4"/>
    <w:rsid w:val="00B425A5"/>
    <w:rsid w:val="00B43E48"/>
    <w:rsid w:val="00B450F3"/>
    <w:rsid w:val="00B45635"/>
    <w:rsid w:val="00B459C1"/>
    <w:rsid w:val="00B45FA1"/>
    <w:rsid w:val="00B465F3"/>
    <w:rsid w:val="00B467AF"/>
    <w:rsid w:val="00B46ECC"/>
    <w:rsid w:val="00B47A14"/>
    <w:rsid w:val="00B505F1"/>
    <w:rsid w:val="00B50896"/>
    <w:rsid w:val="00B50A04"/>
    <w:rsid w:val="00B50A5C"/>
    <w:rsid w:val="00B51B34"/>
    <w:rsid w:val="00B526E6"/>
    <w:rsid w:val="00B53F76"/>
    <w:rsid w:val="00B5401E"/>
    <w:rsid w:val="00B54DF1"/>
    <w:rsid w:val="00B554C6"/>
    <w:rsid w:val="00B563F4"/>
    <w:rsid w:val="00B57E5F"/>
    <w:rsid w:val="00B57FB6"/>
    <w:rsid w:val="00B6054D"/>
    <w:rsid w:val="00B60B1F"/>
    <w:rsid w:val="00B61F5B"/>
    <w:rsid w:val="00B62A6C"/>
    <w:rsid w:val="00B640D3"/>
    <w:rsid w:val="00B64F18"/>
    <w:rsid w:val="00B65153"/>
    <w:rsid w:val="00B6549C"/>
    <w:rsid w:val="00B65C79"/>
    <w:rsid w:val="00B66629"/>
    <w:rsid w:val="00B66E07"/>
    <w:rsid w:val="00B67C32"/>
    <w:rsid w:val="00B67C38"/>
    <w:rsid w:val="00B67E3F"/>
    <w:rsid w:val="00B70947"/>
    <w:rsid w:val="00B71189"/>
    <w:rsid w:val="00B7202B"/>
    <w:rsid w:val="00B72132"/>
    <w:rsid w:val="00B72C1A"/>
    <w:rsid w:val="00B73C62"/>
    <w:rsid w:val="00B74267"/>
    <w:rsid w:val="00B748B6"/>
    <w:rsid w:val="00B75127"/>
    <w:rsid w:val="00B75EE4"/>
    <w:rsid w:val="00B76115"/>
    <w:rsid w:val="00B7652D"/>
    <w:rsid w:val="00B77538"/>
    <w:rsid w:val="00B77EEA"/>
    <w:rsid w:val="00B80335"/>
    <w:rsid w:val="00B80524"/>
    <w:rsid w:val="00B8178E"/>
    <w:rsid w:val="00B81AC7"/>
    <w:rsid w:val="00B81E5E"/>
    <w:rsid w:val="00B82AA8"/>
    <w:rsid w:val="00B83575"/>
    <w:rsid w:val="00B83F9C"/>
    <w:rsid w:val="00B86BD7"/>
    <w:rsid w:val="00B87AD8"/>
    <w:rsid w:val="00B90BB6"/>
    <w:rsid w:val="00B90BED"/>
    <w:rsid w:val="00B90C79"/>
    <w:rsid w:val="00B91564"/>
    <w:rsid w:val="00B91FD4"/>
    <w:rsid w:val="00B92376"/>
    <w:rsid w:val="00B93112"/>
    <w:rsid w:val="00B9341A"/>
    <w:rsid w:val="00B943DC"/>
    <w:rsid w:val="00B94D0B"/>
    <w:rsid w:val="00B956CA"/>
    <w:rsid w:val="00B9600F"/>
    <w:rsid w:val="00B96409"/>
    <w:rsid w:val="00B9736C"/>
    <w:rsid w:val="00B976AF"/>
    <w:rsid w:val="00BA091B"/>
    <w:rsid w:val="00BA0EED"/>
    <w:rsid w:val="00BA124E"/>
    <w:rsid w:val="00BA3613"/>
    <w:rsid w:val="00BA45FB"/>
    <w:rsid w:val="00BA4A9C"/>
    <w:rsid w:val="00BA4F5C"/>
    <w:rsid w:val="00BA7740"/>
    <w:rsid w:val="00BB02D4"/>
    <w:rsid w:val="00BB0328"/>
    <w:rsid w:val="00BB15E5"/>
    <w:rsid w:val="00BB1E0F"/>
    <w:rsid w:val="00BB20E7"/>
    <w:rsid w:val="00BB20F5"/>
    <w:rsid w:val="00BB2221"/>
    <w:rsid w:val="00BB249E"/>
    <w:rsid w:val="00BB24DE"/>
    <w:rsid w:val="00BB2749"/>
    <w:rsid w:val="00BB2EB6"/>
    <w:rsid w:val="00BB3088"/>
    <w:rsid w:val="00BB380B"/>
    <w:rsid w:val="00BB3BD9"/>
    <w:rsid w:val="00BB3FD7"/>
    <w:rsid w:val="00BB5143"/>
    <w:rsid w:val="00BB51CF"/>
    <w:rsid w:val="00BB5B4E"/>
    <w:rsid w:val="00BB642B"/>
    <w:rsid w:val="00BB6BD6"/>
    <w:rsid w:val="00BB6E6C"/>
    <w:rsid w:val="00BB78CD"/>
    <w:rsid w:val="00BB7B29"/>
    <w:rsid w:val="00BC0B5E"/>
    <w:rsid w:val="00BC2305"/>
    <w:rsid w:val="00BC254B"/>
    <w:rsid w:val="00BC3D48"/>
    <w:rsid w:val="00BC4EED"/>
    <w:rsid w:val="00BC4F87"/>
    <w:rsid w:val="00BC51C0"/>
    <w:rsid w:val="00BC57AD"/>
    <w:rsid w:val="00BC58BC"/>
    <w:rsid w:val="00BC6DF3"/>
    <w:rsid w:val="00BD0229"/>
    <w:rsid w:val="00BD0541"/>
    <w:rsid w:val="00BD0AB8"/>
    <w:rsid w:val="00BD15D2"/>
    <w:rsid w:val="00BD2514"/>
    <w:rsid w:val="00BD2C9A"/>
    <w:rsid w:val="00BD30D9"/>
    <w:rsid w:val="00BD3C9E"/>
    <w:rsid w:val="00BD46A1"/>
    <w:rsid w:val="00BD54BA"/>
    <w:rsid w:val="00BD6566"/>
    <w:rsid w:val="00BD66E5"/>
    <w:rsid w:val="00BD6A45"/>
    <w:rsid w:val="00BD7F1E"/>
    <w:rsid w:val="00BE0DEA"/>
    <w:rsid w:val="00BE1D7D"/>
    <w:rsid w:val="00BE2204"/>
    <w:rsid w:val="00BE2513"/>
    <w:rsid w:val="00BE2902"/>
    <w:rsid w:val="00BE2E98"/>
    <w:rsid w:val="00BE3472"/>
    <w:rsid w:val="00BE3576"/>
    <w:rsid w:val="00BE3DBA"/>
    <w:rsid w:val="00BE410B"/>
    <w:rsid w:val="00BE5555"/>
    <w:rsid w:val="00BE5992"/>
    <w:rsid w:val="00BE5AEB"/>
    <w:rsid w:val="00BE6015"/>
    <w:rsid w:val="00BE644F"/>
    <w:rsid w:val="00BE67A1"/>
    <w:rsid w:val="00BE6A2D"/>
    <w:rsid w:val="00BE7136"/>
    <w:rsid w:val="00BE7BEF"/>
    <w:rsid w:val="00BE7C15"/>
    <w:rsid w:val="00BF0282"/>
    <w:rsid w:val="00BF06CE"/>
    <w:rsid w:val="00BF1E61"/>
    <w:rsid w:val="00BF26A3"/>
    <w:rsid w:val="00BF34E5"/>
    <w:rsid w:val="00BF41FA"/>
    <w:rsid w:val="00BF7210"/>
    <w:rsid w:val="00BF7995"/>
    <w:rsid w:val="00BF7E3F"/>
    <w:rsid w:val="00C00047"/>
    <w:rsid w:val="00C025F2"/>
    <w:rsid w:val="00C0306B"/>
    <w:rsid w:val="00C03D67"/>
    <w:rsid w:val="00C04371"/>
    <w:rsid w:val="00C04654"/>
    <w:rsid w:val="00C04775"/>
    <w:rsid w:val="00C05683"/>
    <w:rsid w:val="00C058B3"/>
    <w:rsid w:val="00C059E6"/>
    <w:rsid w:val="00C05BBA"/>
    <w:rsid w:val="00C05C2B"/>
    <w:rsid w:val="00C06C2C"/>
    <w:rsid w:val="00C06FB6"/>
    <w:rsid w:val="00C07ABC"/>
    <w:rsid w:val="00C07EB7"/>
    <w:rsid w:val="00C10FD5"/>
    <w:rsid w:val="00C11594"/>
    <w:rsid w:val="00C12112"/>
    <w:rsid w:val="00C12493"/>
    <w:rsid w:val="00C13802"/>
    <w:rsid w:val="00C13C39"/>
    <w:rsid w:val="00C14107"/>
    <w:rsid w:val="00C14AFC"/>
    <w:rsid w:val="00C14BFB"/>
    <w:rsid w:val="00C15829"/>
    <w:rsid w:val="00C15B50"/>
    <w:rsid w:val="00C160E6"/>
    <w:rsid w:val="00C162DB"/>
    <w:rsid w:val="00C16672"/>
    <w:rsid w:val="00C179A0"/>
    <w:rsid w:val="00C20339"/>
    <w:rsid w:val="00C206CC"/>
    <w:rsid w:val="00C20717"/>
    <w:rsid w:val="00C20B07"/>
    <w:rsid w:val="00C2118E"/>
    <w:rsid w:val="00C21220"/>
    <w:rsid w:val="00C218B2"/>
    <w:rsid w:val="00C21D7A"/>
    <w:rsid w:val="00C22919"/>
    <w:rsid w:val="00C22D7F"/>
    <w:rsid w:val="00C22E85"/>
    <w:rsid w:val="00C22EF3"/>
    <w:rsid w:val="00C22F6C"/>
    <w:rsid w:val="00C2361F"/>
    <w:rsid w:val="00C240E6"/>
    <w:rsid w:val="00C24211"/>
    <w:rsid w:val="00C2546D"/>
    <w:rsid w:val="00C268EB"/>
    <w:rsid w:val="00C26B10"/>
    <w:rsid w:val="00C26B3C"/>
    <w:rsid w:val="00C27FF4"/>
    <w:rsid w:val="00C30B47"/>
    <w:rsid w:val="00C31234"/>
    <w:rsid w:val="00C31DAF"/>
    <w:rsid w:val="00C330B0"/>
    <w:rsid w:val="00C3348A"/>
    <w:rsid w:val="00C33A03"/>
    <w:rsid w:val="00C342EF"/>
    <w:rsid w:val="00C34317"/>
    <w:rsid w:val="00C35D94"/>
    <w:rsid w:val="00C3637C"/>
    <w:rsid w:val="00C36D7E"/>
    <w:rsid w:val="00C37E85"/>
    <w:rsid w:val="00C406FC"/>
    <w:rsid w:val="00C40712"/>
    <w:rsid w:val="00C41022"/>
    <w:rsid w:val="00C41DFF"/>
    <w:rsid w:val="00C430BB"/>
    <w:rsid w:val="00C4351D"/>
    <w:rsid w:val="00C43681"/>
    <w:rsid w:val="00C4384D"/>
    <w:rsid w:val="00C4634D"/>
    <w:rsid w:val="00C4665B"/>
    <w:rsid w:val="00C468AC"/>
    <w:rsid w:val="00C479BB"/>
    <w:rsid w:val="00C5060D"/>
    <w:rsid w:val="00C511EA"/>
    <w:rsid w:val="00C515BE"/>
    <w:rsid w:val="00C5237E"/>
    <w:rsid w:val="00C526B2"/>
    <w:rsid w:val="00C52925"/>
    <w:rsid w:val="00C52F64"/>
    <w:rsid w:val="00C53F2C"/>
    <w:rsid w:val="00C544A8"/>
    <w:rsid w:val="00C56559"/>
    <w:rsid w:val="00C56626"/>
    <w:rsid w:val="00C56D51"/>
    <w:rsid w:val="00C57B09"/>
    <w:rsid w:val="00C61B5A"/>
    <w:rsid w:val="00C61FD7"/>
    <w:rsid w:val="00C62757"/>
    <w:rsid w:val="00C63AAD"/>
    <w:rsid w:val="00C63BEA"/>
    <w:rsid w:val="00C63BFC"/>
    <w:rsid w:val="00C63EA5"/>
    <w:rsid w:val="00C63FC3"/>
    <w:rsid w:val="00C646BE"/>
    <w:rsid w:val="00C64ADD"/>
    <w:rsid w:val="00C65A0F"/>
    <w:rsid w:val="00C65FF0"/>
    <w:rsid w:val="00C662F5"/>
    <w:rsid w:val="00C664CB"/>
    <w:rsid w:val="00C675D6"/>
    <w:rsid w:val="00C677AB"/>
    <w:rsid w:val="00C701FC"/>
    <w:rsid w:val="00C7027B"/>
    <w:rsid w:val="00C706AA"/>
    <w:rsid w:val="00C70BF1"/>
    <w:rsid w:val="00C7258E"/>
    <w:rsid w:val="00C72822"/>
    <w:rsid w:val="00C72E74"/>
    <w:rsid w:val="00C73B2F"/>
    <w:rsid w:val="00C743B9"/>
    <w:rsid w:val="00C74DB0"/>
    <w:rsid w:val="00C756B2"/>
    <w:rsid w:val="00C75BE1"/>
    <w:rsid w:val="00C76DD9"/>
    <w:rsid w:val="00C77C39"/>
    <w:rsid w:val="00C77CEB"/>
    <w:rsid w:val="00C81D25"/>
    <w:rsid w:val="00C82475"/>
    <w:rsid w:val="00C829D6"/>
    <w:rsid w:val="00C836AD"/>
    <w:rsid w:val="00C83843"/>
    <w:rsid w:val="00C83A28"/>
    <w:rsid w:val="00C85499"/>
    <w:rsid w:val="00C85848"/>
    <w:rsid w:val="00C865F7"/>
    <w:rsid w:val="00C87038"/>
    <w:rsid w:val="00C8709B"/>
    <w:rsid w:val="00C87185"/>
    <w:rsid w:val="00C87477"/>
    <w:rsid w:val="00C87856"/>
    <w:rsid w:val="00C90099"/>
    <w:rsid w:val="00C90C3D"/>
    <w:rsid w:val="00C90CFA"/>
    <w:rsid w:val="00C922F8"/>
    <w:rsid w:val="00C92730"/>
    <w:rsid w:val="00C92EA7"/>
    <w:rsid w:val="00C931F4"/>
    <w:rsid w:val="00C93344"/>
    <w:rsid w:val="00C93E04"/>
    <w:rsid w:val="00C93ED4"/>
    <w:rsid w:val="00C943DC"/>
    <w:rsid w:val="00C954B2"/>
    <w:rsid w:val="00C96890"/>
    <w:rsid w:val="00C97FDB"/>
    <w:rsid w:val="00CA1383"/>
    <w:rsid w:val="00CA1ABC"/>
    <w:rsid w:val="00CA27F1"/>
    <w:rsid w:val="00CA27F5"/>
    <w:rsid w:val="00CA33AD"/>
    <w:rsid w:val="00CA3736"/>
    <w:rsid w:val="00CA5069"/>
    <w:rsid w:val="00CA519B"/>
    <w:rsid w:val="00CA5AE3"/>
    <w:rsid w:val="00CA7D53"/>
    <w:rsid w:val="00CA7F44"/>
    <w:rsid w:val="00CB0DC2"/>
    <w:rsid w:val="00CB2014"/>
    <w:rsid w:val="00CB2894"/>
    <w:rsid w:val="00CB3B16"/>
    <w:rsid w:val="00CB3FBB"/>
    <w:rsid w:val="00CB4B32"/>
    <w:rsid w:val="00CB5A13"/>
    <w:rsid w:val="00CB5FA4"/>
    <w:rsid w:val="00CB6106"/>
    <w:rsid w:val="00CB6F74"/>
    <w:rsid w:val="00CB7473"/>
    <w:rsid w:val="00CB7EEC"/>
    <w:rsid w:val="00CC04C3"/>
    <w:rsid w:val="00CC0628"/>
    <w:rsid w:val="00CC0789"/>
    <w:rsid w:val="00CC0E1F"/>
    <w:rsid w:val="00CC160B"/>
    <w:rsid w:val="00CC227F"/>
    <w:rsid w:val="00CC232D"/>
    <w:rsid w:val="00CC3901"/>
    <w:rsid w:val="00CC3F48"/>
    <w:rsid w:val="00CC4098"/>
    <w:rsid w:val="00CC51E5"/>
    <w:rsid w:val="00CC6925"/>
    <w:rsid w:val="00CC70D5"/>
    <w:rsid w:val="00CC72F3"/>
    <w:rsid w:val="00CC7366"/>
    <w:rsid w:val="00CC7970"/>
    <w:rsid w:val="00CD07D3"/>
    <w:rsid w:val="00CD10BA"/>
    <w:rsid w:val="00CD1567"/>
    <w:rsid w:val="00CD399A"/>
    <w:rsid w:val="00CD4224"/>
    <w:rsid w:val="00CD4A0A"/>
    <w:rsid w:val="00CD5208"/>
    <w:rsid w:val="00CD5279"/>
    <w:rsid w:val="00CD6607"/>
    <w:rsid w:val="00CD6894"/>
    <w:rsid w:val="00CD6E07"/>
    <w:rsid w:val="00CD6ED5"/>
    <w:rsid w:val="00CD76BE"/>
    <w:rsid w:val="00CE12AC"/>
    <w:rsid w:val="00CE1AA8"/>
    <w:rsid w:val="00CE28C6"/>
    <w:rsid w:val="00CE3AA2"/>
    <w:rsid w:val="00CE48D6"/>
    <w:rsid w:val="00CE578A"/>
    <w:rsid w:val="00CE6E75"/>
    <w:rsid w:val="00CE7056"/>
    <w:rsid w:val="00CE7729"/>
    <w:rsid w:val="00CE78A9"/>
    <w:rsid w:val="00CF02BF"/>
    <w:rsid w:val="00CF03B5"/>
    <w:rsid w:val="00CF0944"/>
    <w:rsid w:val="00CF0AAC"/>
    <w:rsid w:val="00CF0B2D"/>
    <w:rsid w:val="00CF241C"/>
    <w:rsid w:val="00CF3A10"/>
    <w:rsid w:val="00CF42F3"/>
    <w:rsid w:val="00CF4701"/>
    <w:rsid w:val="00CF4CC0"/>
    <w:rsid w:val="00CF510D"/>
    <w:rsid w:val="00CF5BD4"/>
    <w:rsid w:val="00CF5C83"/>
    <w:rsid w:val="00CF63DA"/>
    <w:rsid w:val="00CF66DF"/>
    <w:rsid w:val="00CF6762"/>
    <w:rsid w:val="00CF6F4E"/>
    <w:rsid w:val="00CF72D3"/>
    <w:rsid w:val="00CF7D57"/>
    <w:rsid w:val="00CF7D6A"/>
    <w:rsid w:val="00D0006D"/>
    <w:rsid w:val="00D006CB"/>
    <w:rsid w:val="00D00AC8"/>
    <w:rsid w:val="00D0101F"/>
    <w:rsid w:val="00D011C0"/>
    <w:rsid w:val="00D01317"/>
    <w:rsid w:val="00D01829"/>
    <w:rsid w:val="00D01C05"/>
    <w:rsid w:val="00D02CA1"/>
    <w:rsid w:val="00D02E86"/>
    <w:rsid w:val="00D0358D"/>
    <w:rsid w:val="00D049EA"/>
    <w:rsid w:val="00D0501E"/>
    <w:rsid w:val="00D05529"/>
    <w:rsid w:val="00D058D1"/>
    <w:rsid w:val="00D05AD7"/>
    <w:rsid w:val="00D06C75"/>
    <w:rsid w:val="00D06CB0"/>
    <w:rsid w:val="00D06E24"/>
    <w:rsid w:val="00D0701C"/>
    <w:rsid w:val="00D10950"/>
    <w:rsid w:val="00D11493"/>
    <w:rsid w:val="00D115D7"/>
    <w:rsid w:val="00D1176A"/>
    <w:rsid w:val="00D1227B"/>
    <w:rsid w:val="00D127AC"/>
    <w:rsid w:val="00D12801"/>
    <w:rsid w:val="00D12A98"/>
    <w:rsid w:val="00D13723"/>
    <w:rsid w:val="00D13AA6"/>
    <w:rsid w:val="00D14510"/>
    <w:rsid w:val="00D15498"/>
    <w:rsid w:val="00D160F6"/>
    <w:rsid w:val="00D161F9"/>
    <w:rsid w:val="00D17A9C"/>
    <w:rsid w:val="00D17DD4"/>
    <w:rsid w:val="00D2006A"/>
    <w:rsid w:val="00D2099B"/>
    <w:rsid w:val="00D2136B"/>
    <w:rsid w:val="00D21476"/>
    <w:rsid w:val="00D21A2C"/>
    <w:rsid w:val="00D21C01"/>
    <w:rsid w:val="00D22786"/>
    <w:rsid w:val="00D229B3"/>
    <w:rsid w:val="00D22A72"/>
    <w:rsid w:val="00D2388E"/>
    <w:rsid w:val="00D23B7D"/>
    <w:rsid w:val="00D24CAA"/>
    <w:rsid w:val="00D2593C"/>
    <w:rsid w:val="00D265EC"/>
    <w:rsid w:val="00D26DD3"/>
    <w:rsid w:val="00D27C11"/>
    <w:rsid w:val="00D30767"/>
    <w:rsid w:val="00D30B1D"/>
    <w:rsid w:val="00D30C24"/>
    <w:rsid w:val="00D33496"/>
    <w:rsid w:val="00D33A41"/>
    <w:rsid w:val="00D33CFD"/>
    <w:rsid w:val="00D340BD"/>
    <w:rsid w:val="00D34FAF"/>
    <w:rsid w:val="00D35561"/>
    <w:rsid w:val="00D35DFD"/>
    <w:rsid w:val="00D364A8"/>
    <w:rsid w:val="00D367B0"/>
    <w:rsid w:val="00D37B11"/>
    <w:rsid w:val="00D4090A"/>
    <w:rsid w:val="00D4113D"/>
    <w:rsid w:val="00D41C8B"/>
    <w:rsid w:val="00D41C9A"/>
    <w:rsid w:val="00D42EB9"/>
    <w:rsid w:val="00D43639"/>
    <w:rsid w:val="00D43EF1"/>
    <w:rsid w:val="00D44899"/>
    <w:rsid w:val="00D44B00"/>
    <w:rsid w:val="00D4624A"/>
    <w:rsid w:val="00D466F6"/>
    <w:rsid w:val="00D46E62"/>
    <w:rsid w:val="00D46F7F"/>
    <w:rsid w:val="00D47962"/>
    <w:rsid w:val="00D47B42"/>
    <w:rsid w:val="00D5075F"/>
    <w:rsid w:val="00D50928"/>
    <w:rsid w:val="00D511EB"/>
    <w:rsid w:val="00D514D0"/>
    <w:rsid w:val="00D533F9"/>
    <w:rsid w:val="00D5372A"/>
    <w:rsid w:val="00D53B46"/>
    <w:rsid w:val="00D55A45"/>
    <w:rsid w:val="00D5600F"/>
    <w:rsid w:val="00D56950"/>
    <w:rsid w:val="00D57D6A"/>
    <w:rsid w:val="00D6010B"/>
    <w:rsid w:val="00D607E6"/>
    <w:rsid w:val="00D60B3C"/>
    <w:rsid w:val="00D61066"/>
    <w:rsid w:val="00D61793"/>
    <w:rsid w:val="00D6184E"/>
    <w:rsid w:val="00D61BFB"/>
    <w:rsid w:val="00D61EFE"/>
    <w:rsid w:val="00D62658"/>
    <w:rsid w:val="00D62FF3"/>
    <w:rsid w:val="00D631B1"/>
    <w:rsid w:val="00D63C29"/>
    <w:rsid w:val="00D63EAE"/>
    <w:rsid w:val="00D640D5"/>
    <w:rsid w:val="00D642DA"/>
    <w:rsid w:val="00D64992"/>
    <w:rsid w:val="00D64DEE"/>
    <w:rsid w:val="00D651C1"/>
    <w:rsid w:val="00D654A4"/>
    <w:rsid w:val="00D65775"/>
    <w:rsid w:val="00D659B2"/>
    <w:rsid w:val="00D66709"/>
    <w:rsid w:val="00D669FA"/>
    <w:rsid w:val="00D66FF8"/>
    <w:rsid w:val="00D6700B"/>
    <w:rsid w:val="00D67173"/>
    <w:rsid w:val="00D70BDC"/>
    <w:rsid w:val="00D71063"/>
    <w:rsid w:val="00D7154D"/>
    <w:rsid w:val="00D716A9"/>
    <w:rsid w:val="00D7205A"/>
    <w:rsid w:val="00D73736"/>
    <w:rsid w:val="00D75488"/>
    <w:rsid w:val="00D7580F"/>
    <w:rsid w:val="00D75842"/>
    <w:rsid w:val="00D761A4"/>
    <w:rsid w:val="00D77225"/>
    <w:rsid w:val="00D77C6A"/>
    <w:rsid w:val="00D80871"/>
    <w:rsid w:val="00D80AEB"/>
    <w:rsid w:val="00D80F2D"/>
    <w:rsid w:val="00D81023"/>
    <w:rsid w:val="00D81A85"/>
    <w:rsid w:val="00D82A2D"/>
    <w:rsid w:val="00D8362F"/>
    <w:rsid w:val="00D83A7E"/>
    <w:rsid w:val="00D84347"/>
    <w:rsid w:val="00D8437B"/>
    <w:rsid w:val="00D84FD4"/>
    <w:rsid w:val="00D850B2"/>
    <w:rsid w:val="00D861A9"/>
    <w:rsid w:val="00D863DE"/>
    <w:rsid w:val="00D86891"/>
    <w:rsid w:val="00D86A3C"/>
    <w:rsid w:val="00D8795C"/>
    <w:rsid w:val="00D87D14"/>
    <w:rsid w:val="00D90A6A"/>
    <w:rsid w:val="00D90AF4"/>
    <w:rsid w:val="00D9210C"/>
    <w:rsid w:val="00D92642"/>
    <w:rsid w:val="00D93F3A"/>
    <w:rsid w:val="00D940BE"/>
    <w:rsid w:val="00D94386"/>
    <w:rsid w:val="00D94574"/>
    <w:rsid w:val="00D94E0D"/>
    <w:rsid w:val="00D95E1D"/>
    <w:rsid w:val="00D965ED"/>
    <w:rsid w:val="00D976F5"/>
    <w:rsid w:val="00D97802"/>
    <w:rsid w:val="00D979D1"/>
    <w:rsid w:val="00D97F68"/>
    <w:rsid w:val="00DA02D0"/>
    <w:rsid w:val="00DA03DA"/>
    <w:rsid w:val="00DA0D69"/>
    <w:rsid w:val="00DA0DEA"/>
    <w:rsid w:val="00DA24B9"/>
    <w:rsid w:val="00DA3372"/>
    <w:rsid w:val="00DA3E0D"/>
    <w:rsid w:val="00DA42AD"/>
    <w:rsid w:val="00DA4C32"/>
    <w:rsid w:val="00DA5247"/>
    <w:rsid w:val="00DA57BB"/>
    <w:rsid w:val="00DA6282"/>
    <w:rsid w:val="00DA62EC"/>
    <w:rsid w:val="00DA669F"/>
    <w:rsid w:val="00DA6843"/>
    <w:rsid w:val="00DB17DD"/>
    <w:rsid w:val="00DB2D14"/>
    <w:rsid w:val="00DB2F65"/>
    <w:rsid w:val="00DB4279"/>
    <w:rsid w:val="00DB5173"/>
    <w:rsid w:val="00DB5EC4"/>
    <w:rsid w:val="00DB6458"/>
    <w:rsid w:val="00DB6F00"/>
    <w:rsid w:val="00DB7160"/>
    <w:rsid w:val="00DB78E1"/>
    <w:rsid w:val="00DB7977"/>
    <w:rsid w:val="00DB7C3C"/>
    <w:rsid w:val="00DC0838"/>
    <w:rsid w:val="00DC0982"/>
    <w:rsid w:val="00DC16A5"/>
    <w:rsid w:val="00DC1765"/>
    <w:rsid w:val="00DC1775"/>
    <w:rsid w:val="00DC17AF"/>
    <w:rsid w:val="00DC2318"/>
    <w:rsid w:val="00DC2DDD"/>
    <w:rsid w:val="00DC2DFF"/>
    <w:rsid w:val="00DC34A0"/>
    <w:rsid w:val="00DC3564"/>
    <w:rsid w:val="00DC3B05"/>
    <w:rsid w:val="00DC3F80"/>
    <w:rsid w:val="00DC4174"/>
    <w:rsid w:val="00DC4880"/>
    <w:rsid w:val="00DC4989"/>
    <w:rsid w:val="00DC4AD8"/>
    <w:rsid w:val="00DC77A8"/>
    <w:rsid w:val="00DC7C06"/>
    <w:rsid w:val="00DD043E"/>
    <w:rsid w:val="00DD07EF"/>
    <w:rsid w:val="00DD10B8"/>
    <w:rsid w:val="00DD1430"/>
    <w:rsid w:val="00DD302A"/>
    <w:rsid w:val="00DD3882"/>
    <w:rsid w:val="00DD43A5"/>
    <w:rsid w:val="00DD48F0"/>
    <w:rsid w:val="00DD5900"/>
    <w:rsid w:val="00DD5FE5"/>
    <w:rsid w:val="00DD771C"/>
    <w:rsid w:val="00DE0EA1"/>
    <w:rsid w:val="00DE14D2"/>
    <w:rsid w:val="00DE23D8"/>
    <w:rsid w:val="00DE30D9"/>
    <w:rsid w:val="00DE310A"/>
    <w:rsid w:val="00DE3808"/>
    <w:rsid w:val="00DE53EB"/>
    <w:rsid w:val="00DE57C3"/>
    <w:rsid w:val="00DE5910"/>
    <w:rsid w:val="00DE5DA4"/>
    <w:rsid w:val="00DE6603"/>
    <w:rsid w:val="00DE6B6F"/>
    <w:rsid w:val="00DE7397"/>
    <w:rsid w:val="00DE7E28"/>
    <w:rsid w:val="00DF02BF"/>
    <w:rsid w:val="00DF1506"/>
    <w:rsid w:val="00DF196B"/>
    <w:rsid w:val="00DF1CCB"/>
    <w:rsid w:val="00DF20AB"/>
    <w:rsid w:val="00DF2B7D"/>
    <w:rsid w:val="00DF3EBD"/>
    <w:rsid w:val="00DF4483"/>
    <w:rsid w:val="00DF45B0"/>
    <w:rsid w:val="00DF4619"/>
    <w:rsid w:val="00DF4B0D"/>
    <w:rsid w:val="00DF53EB"/>
    <w:rsid w:val="00DF59BA"/>
    <w:rsid w:val="00DF60B7"/>
    <w:rsid w:val="00DF677D"/>
    <w:rsid w:val="00DF6CE3"/>
    <w:rsid w:val="00DF6F77"/>
    <w:rsid w:val="00DF7042"/>
    <w:rsid w:val="00DF7179"/>
    <w:rsid w:val="00E00B11"/>
    <w:rsid w:val="00E01168"/>
    <w:rsid w:val="00E01D59"/>
    <w:rsid w:val="00E01D8A"/>
    <w:rsid w:val="00E01E1F"/>
    <w:rsid w:val="00E02DA8"/>
    <w:rsid w:val="00E03428"/>
    <w:rsid w:val="00E0343A"/>
    <w:rsid w:val="00E034FE"/>
    <w:rsid w:val="00E037C0"/>
    <w:rsid w:val="00E044FF"/>
    <w:rsid w:val="00E04577"/>
    <w:rsid w:val="00E04D42"/>
    <w:rsid w:val="00E05BF9"/>
    <w:rsid w:val="00E05E55"/>
    <w:rsid w:val="00E06219"/>
    <w:rsid w:val="00E06C40"/>
    <w:rsid w:val="00E06F46"/>
    <w:rsid w:val="00E06FBD"/>
    <w:rsid w:val="00E10F7E"/>
    <w:rsid w:val="00E1150E"/>
    <w:rsid w:val="00E12BEC"/>
    <w:rsid w:val="00E13776"/>
    <w:rsid w:val="00E140D3"/>
    <w:rsid w:val="00E15613"/>
    <w:rsid w:val="00E164B6"/>
    <w:rsid w:val="00E16583"/>
    <w:rsid w:val="00E170B9"/>
    <w:rsid w:val="00E202EB"/>
    <w:rsid w:val="00E20454"/>
    <w:rsid w:val="00E21696"/>
    <w:rsid w:val="00E21F61"/>
    <w:rsid w:val="00E22A1A"/>
    <w:rsid w:val="00E22ED0"/>
    <w:rsid w:val="00E23F48"/>
    <w:rsid w:val="00E246BB"/>
    <w:rsid w:val="00E250A3"/>
    <w:rsid w:val="00E25691"/>
    <w:rsid w:val="00E2591C"/>
    <w:rsid w:val="00E27844"/>
    <w:rsid w:val="00E27CE1"/>
    <w:rsid w:val="00E31DD1"/>
    <w:rsid w:val="00E31EC7"/>
    <w:rsid w:val="00E32BA4"/>
    <w:rsid w:val="00E3320A"/>
    <w:rsid w:val="00E338B5"/>
    <w:rsid w:val="00E33BD3"/>
    <w:rsid w:val="00E34017"/>
    <w:rsid w:val="00E3422B"/>
    <w:rsid w:val="00E34B57"/>
    <w:rsid w:val="00E356A0"/>
    <w:rsid w:val="00E358BD"/>
    <w:rsid w:val="00E35D80"/>
    <w:rsid w:val="00E36B7B"/>
    <w:rsid w:val="00E37135"/>
    <w:rsid w:val="00E37E48"/>
    <w:rsid w:val="00E40845"/>
    <w:rsid w:val="00E40E8B"/>
    <w:rsid w:val="00E41A41"/>
    <w:rsid w:val="00E432DC"/>
    <w:rsid w:val="00E44540"/>
    <w:rsid w:val="00E44A11"/>
    <w:rsid w:val="00E44F93"/>
    <w:rsid w:val="00E4528D"/>
    <w:rsid w:val="00E45B2D"/>
    <w:rsid w:val="00E47AF8"/>
    <w:rsid w:val="00E50BBC"/>
    <w:rsid w:val="00E51004"/>
    <w:rsid w:val="00E51897"/>
    <w:rsid w:val="00E5244A"/>
    <w:rsid w:val="00E5259E"/>
    <w:rsid w:val="00E54719"/>
    <w:rsid w:val="00E54C95"/>
    <w:rsid w:val="00E54D34"/>
    <w:rsid w:val="00E552B6"/>
    <w:rsid w:val="00E5605A"/>
    <w:rsid w:val="00E56427"/>
    <w:rsid w:val="00E564A5"/>
    <w:rsid w:val="00E57CCF"/>
    <w:rsid w:val="00E60C2F"/>
    <w:rsid w:val="00E61F9D"/>
    <w:rsid w:val="00E62A98"/>
    <w:rsid w:val="00E633E9"/>
    <w:rsid w:val="00E63E02"/>
    <w:rsid w:val="00E64896"/>
    <w:rsid w:val="00E64C47"/>
    <w:rsid w:val="00E65C21"/>
    <w:rsid w:val="00E67DD7"/>
    <w:rsid w:val="00E70577"/>
    <w:rsid w:val="00E719ED"/>
    <w:rsid w:val="00E71AFF"/>
    <w:rsid w:val="00E72285"/>
    <w:rsid w:val="00E72CC7"/>
    <w:rsid w:val="00E740CB"/>
    <w:rsid w:val="00E75849"/>
    <w:rsid w:val="00E7658B"/>
    <w:rsid w:val="00E776BF"/>
    <w:rsid w:val="00E80388"/>
    <w:rsid w:val="00E804B0"/>
    <w:rsid w:val="00E82293"/>
    <w:rsid w:val="00E82561"/>
    <w:rsid w:val="00E82F86"/>
    <w:rsid w:val="00E83779"/>
    <w:rsid w:val="00E83DD5"/>
    <w:rsid w:val="00E842C3"/>
    <w:rsid w:val="00E848EB"/>
    <w:rsid w:val="00E85A71"/>
    <w:rsid w:val="00E85B97"/>
    <w:rsid w:val="00E85BB1"/>
    <w:rsid w:val="00E8729C"/>
    <w:rsid w:val="00E8788A"/>
    <w:rsid w:val="00E878EE"/>
    <w:rsid w:val="00E87F47"/>
    <w:rsid w:val="00E905E2"/>
    <w:rsid w:val="00E90D47"/>
    <w:rsid w:val="00E92197"/>
    <w:rsid w:val="00E93032"/>
    <w:rsid w:val="00E938FA"/>
    <w:rsid w:val="00E93EBB"/>
    <w:rsid w:val="00E94C75"/>
    <w:rsid w:val="00E94FF2"/>
    <w:rsid w:val="00E952BC"/>
    <w:rsid w:val="00E9566D"/>
    <w:rsid w:val="00E95AA4"/>
    <w:rsid w:val="00E95BC1"/>
    <w:rsid w:val="00E963E2"/>
    <w:rsid w:val="00E96482"/>
    <w:rsid w:val="00E9649B"/>
    <w:rsid w:val="00E977E5"/>
    <w:rsid w:val="00EA00FA"/>
    <w:rsid w:val="00EA08BA"/>
    <w:rsid w:val="00EA0E91"/>
    <w:rsid w:val="00EA106F"/>
    <w:rsid w:val="00EA196B"/>
    <w:rsid w:val="00EA1BBE"/>
    <w:rsid w:val="00EA202A"/>
    <w:rsid w:val="00EA25FD"/>
    <w:rsid w:val="00EA278E"/>
    <w:rsid w:val="00EA2E11"/>
    <w:rsid w:val="00EA328A"/>
    <w:rsid w:val="00EA3641"/>
    <w:rsid w:val="00EA43E3"/>
    <w:rsid w:val="00EA6423"/>
    <w:rsid w:val="00EA7A0F"/>
    <w:rsid w:val="00EB08BE"/>
    <w:rsid w:val="00EB14CC"/>
    <w:rsid w:val="00EB1510"/>
    <w:rsid w:val="00EB1AF0"/>
    <w:rsid w:val="00EB2257"/>
    <w:rsid w:val="00EB277E"/>
    <w:rsid w:val="00EB53AF"/>
    <w:rsid w:val="00EB5693"/>
    <w:rsid w:val="00EB6016"/>
    <w:rsid w:val="00EB6155"/>
    <w:rsid w:val="00EB635D"/>
    <w:rsid w:val="00EC0921"/>
    <w:rsid w:val="00EC0D7C"/>
    <w:rsid w:val="00EC0FC8"/>
    <w:rsid w:val="00EC336A"/>
    <w:rsid w:val="00EC36E0"/>
    <w:rsid w:val="00EC3A6C"/>
    <w:rsid w:val="00EC3DC6"/>
    <w:rsid w:val="00EC4169"/>
    <w:rsid w:val="00EC600C"/>
    <w:rsid w:val="00EC67FF"/>
    <w:rsid w:val="00EC7393"/>
    <w:rsid w:val="00EC7D89"/>
    <w:rsid w:val="00ED0E23"/>
    <w:rsid w:val="00ED22D4"/>
    <w:rsid w:val="00ED2950"/>
    <w:rsid w:val="00ED4626"/>
    <w:rsid w:val="00ED5124"/>
    <w:rsid w:val="00ED54CE"/>
    <w:rsid w:val="00ED57B2"/>
    <w:rsid w:val="00ED638C"/>
    <w:rsid w:val="00ED68E2"/>
    <w:rsid w:val="00ED79AC"/>
    <w:rsid w:val="00ED79D4"/>
    <w:rsid w:val="00ED7BFE"/>
    <w:rsid w:val="00EE0A15"/>
    <w:rsid w:val="00EE1885"/>
    <w:rsid w:val="00EE1C7B"/>
    <w:rsid w:val="00EE26DC"/>
    <w:rsid w:val="00EE3903"/>
    <w:rsid w:val="00EE3D28"/>
    <w:rsid w:val="00EE4B5F"/>
    <w:rsid w:val="00EE5666"/>
    <w:rsid w:val="00EE592C"/>
    <w:rsid w:val="00EE5E6F"/>
    <w:rsid w:val="00EE69F8"/>
    <w:rsid w:val="00EE6AE8"/>
    <w:rsid w:val="00EE7947"/>
    <w:rsid w:val="00EE7B34"/>
    <w:rsid w:val="00EE7C07"/>
    <w:rsid w:val="00EF0014"/>
    <w:rsid w:val="00EF0C20"/>
    <w:rsid w:val="00EF1281"/>
    <w:rsid w:val="00EF14AA"/>
    <w:rsid w:val="00EF21F4"/>
    <w:rsid w:val="00EF2441"/>
    <w:rsid w:val="00EF2AD9"/>
    <w:rsid w:val="00EF33A2"/>
    <w:rsid w:val="00EF365C"/>
    <w:rsid w:val="00EF42FE"/>
    <w:rsid w:val="00EF5DE7"/>
    <w:rsid w:val="00EF5F08"/>
    <w:rsid w:val="00EF6353"/>
    <w:rsid w:val="00EF6970"/>
    <w:rsid w:val="00EF6EE7"/>
    <w:rsid w:val="00EF6F52"/>
    <w:rsid w:val="00EF7187"/>
    <w:rsid w:val="00EF7BF5"/>
    <w:rsid w:val="00F00065"/>
    <w:rsid w:val="00F00360"/>
    <w:rsid w:val="00F00480"/>
    <w:rsid w:val="00F009C1"/>
    <w:rsid w:val="00F00BEB"/>
    <w:rsid w:val="00F011B6"/>
    <w:rsid w:val="00F02C19"/>
    <w:rsid w:val="00F02D9F"/>
    <w:rsid w:val="00F0318C"/>
    <w:rsid w:val="00F032AF"/>
    <w:rsid w:val="00F03A9E"/>
    <w:rsid w:val="00F0556F"/>
    <w:rsid w:val="00F06011"/>
    <w:rsid w:val="00F06111"/>
    <w:rsid w:val="00F061D9"/>
    <w:rsid w:val="00F06C65"/>
    <w:rsid w:val="00F07397"/>
    <w:rsid w:val="00F10B3C"/>
    <w:rsid w:val="00F11F32"/>
    <w:rsid w:val="00F1221F"/>
    <w:rsid w:val="00F12909"/>
    <w:rsid w:val="00F12CD8"/>
    <w:rsid w:val="00F12ECD"/>
    <w:rsid w:val="00F12FEA"/>
    <w:rsid w:val="00F132E3"/>
    <w:rsid w:val="00F133DD"/>
    <w:rsid w:val="00F134AD"/>
    <w:rsid w:val="00F136AD"/>
    <w:rsid w:val="00F13AC2"/>
    <w:rsid w:val="00F143FE"/>
    <w:rsid w:val="00F14A42"/>
    <w:rsid w:val="00F14D00"/>
    <w:rsid w:val="00F154A3"/>
    <w:rsid w:val="00F1664B"/>
    <w:rsid w:val="00F166E2"/>
    <w:rsid w:val="00F16FB2"/>
    <w:rsid w:val="00F20565"/>
    <w:rsid w:val="00F20D43"/>
    <w:rsid w:val="00F20F43"/>
    <w:rsid w:val="00F21E4B"/>
    <w:rsid w:val="00F21EFD"/>
    <w:rsid w:val="00F222A6"/>
    <w:rsid w:val="00F2443F"/>
    <w:rsid w:val="00F24DD9"/>
    <w:rsid w:val="00F2510F"/>
    <w:rsid w:val="00F25135"/>
    <w:rsid w:val="00F26034"/>
    <w:rsid w:val="00F2611D"/>
    <w:rsid w:val="00F27C60"/>
    <w:rsid w:val="00F27F2C"/>
    <w:rsid w:val="00F303F0"/>
    <w:rsid w:val="00F3273C"/>
    <w:rsid w:val="00F3389B"/>
    <w:rsid w:val="00F34AE5"/>
    <w:rsid w:val="00F34BF4"/>
    <w:rsid w:val="00F36529"/>
    <w:rsid w:val="00F3665F"/>
    <w:rsid w:val="00F37B2B"/>
    <w:rsid w:val="00F37F44"/>
    <w:rsid w:val="00F40330"/>
    <w:rsid w:val="00F408ED"/>
    <w:rsid w:val="00F41140"/>
    <w:rsid w:val="00F4142E"/>
    <w:rsid w:val="00F415B8"/>
    <w:rsid w:val="00F419CB"/>
    <w:rsid w:val="00F42805"/>
    <w:rsid w:val="00F42849"/>
    <w:rsid w:val="00F42B01"/>
    <w:rsid w:val="00F437BF"/>
    <w:rsid w:val="00F43AFE"/>
    <w:rsid w:val="00F43B46"/>
    <w:rsid w:val="00F44677"/>
    <w:rsid w:val="00F47027"/>
    <w:rsid w:val="00F500FA"/>
    <w:rsid w:val="00F505B6"/>
    <w:rsid w:val="00F5187A"/>
    <w:rsid w:val="00F524DE"/>
    <w:rsid w:val="00F54065"/>
    <w:rsid w:val="00F54127"/>
    <w:rsid w:val="00F559E1"/>
    <w:rsid w:val="00F569A0"/>
    <w:rsid w:val="00F56EFE"/>
    <w:rsid w:val="00F5759E"/>
    <w:rsid w:val="00F575DB"/>
    <w:rsid w:val="00F57B86"/>
    <w:rsid w:val="00F57E5B"/>
    <w:rsid w:val="00F6048B"/>
    <w:rsid w:val="00F608FE"/>
    <w:rsid w:val="00F60ED8"/>
    <w:rsid w:val="00F614CD"/>
    <w:rsid w:val="00F61AD5"/>
    <w:rsid w:val="00F61B6B"/>
    <w:rsid w:val="00F6242F"/>
    <w:rsid w:val="00F62FC6"/>
    <w:rsid w:val="00F62FEE"/>
    <w:rsid w:val="00F6359A"/>
    <w:rsid w:val="00F65EA7"/>
    <w:rsid w:val="00F65F73"/>
    <w:rsid w:val="00F66390"/>
    <w:rsid w:val="00F664E1"/>
    <w:rsid w:val="00F66651"/>
    <w:rsid w:val="00F7103E"/>
    <w:rsid w:val="00F711F3"/>
    <w:rsid w:val="00F71721"/>
    <w:rsid w:val="00F71E5D"/>
    <w:rsid w:val="00F720C1"/>
    <w:rsid w:val="00F72A53"/>
    <w:rsid w:val="00F73DF4"/>
    <w:rsid w:val="00F74878"/>
    <w:rsid w:val="00F748B7"/>
    <w:rsid w:val="00F754DF"/>
    <w:rsid w:val="00F755ED"/>
    <w:rsid w:val="00F75B08"/>
    <w:rsid w:val="00F76F22"/>
    <w:rsid w:val="00F7735E"/>
    <w:rsid w:val="00F77577"/>
    <w:rsid w:val="00F777A5"/>
    <w:rsid w:val="00F7799E"/>
    <w:rsid w:val="00F80B43"/>
    <w:rsid w:val="00F818B8"/>
    <w:rsid w:val="00F819BE"/>
    <w:rsid w:val="00F81CC8"/>
    <w:rsid w:val="00F820BB"/>
    <w:rsid w:val="00F82711"/>
    <w:rsid w:val="00F82A95"/>
    <w:rsid w:val="00F82C91"/>
    <w:rsid w:val="00F830B6"/>
    <w:rsid w:val="00F83ABD"/>
    <w:rsid w:val="00F83B52"/>
    <w:rsid w:val="00F83C6F"/>
    <w:rsid w:val="00F85433"/>
    <w:rsid w:val="00F8571C"/>
    <w:rsid w:val="00F85CDC"/>
    <w:rsid w:val="00F86879"/>
    <w:rsid w:val="00F872B0"/>
    <w:rsid w:val="00F90B52"/>
    <w:rsid w:val="00F90D12"/>
    <w:rsid w:val="00F91382"/>
    <w:rsid w:val="00F913BC"/>
    <w:rsid w:val="00F91F72"/>
    <w:rsid w:val="00F93249"/>
    <w:rsid w:val="00F933C9"/>
    <w:rsid w:val="00F937A1"/>
    <w:rsid w:val="00F938BB"/>
    <w:rsid w:val="00F93D3A"/>
    <w:rsid w:val="00F93EA4"/>
    <w:rsid w:val="00F94039"/>
    <w:rsid w:val="00F94D6A"/>
    <w:rsid w:val="00F95071"/>
    <w:rsid w:val="00F95879"/>
    <w:rsid w:val="00F96032"/>
    <w:rsid w:val="00F962E7"/>
    <w:rsid w:val="00F96568"/>
    <w:rsid w:val="00F96BDC"/>
    <w:rsid w:val="00F97303"/>
    <w:rsid w:val="00F975D1"/>
    <w:rsid w:val="00FA056B"/>
    <w:rsid w:val="00FA0DE8"/>
    <w:rsid w:val="00FA1D3F"/>
    <w:rsid w:val="00FA3281"/>
    <w:rsid w:val="00FA396A"/>
    <w:rsid w:val="00FA456A"/>
    <w:rsid w:val="00FA4D2D"/>
    <w:rsid w:val="00FA4EDC"/>
    <w:rsid w:val="00FA6465"/>
    <w:rsid w:val="00FA71D6"/>
    <w:rsid w:val="00FA7D4B"/>
    <w:rsid w:val="00FA7FCB"/>
    <w:rsid w:val="00FB058A"/>
    <w:rsid w:val="00FB05B2"/>
    <w:rsid w:val="00FB19E0"/>
    <w:rsid w:val="00FB1A79"/>
    <w:rsid w:val="00FB22F9"/>
    <w:rsid w:val="00FB3483"/>
    <w:rsid w:val="00FB4860"/>
    <w:rsid w:val="00FB4B5D"/>
    <w:rsid w:val="00FB5207"/>
    <w:rsid w:val="00FB552C"/>
    <w:rsid w:val="00FB68DD"/>
    <w:rsid w:val="00FB6B44"/>
    <w:rsid w:val="00FB7D47"/>
    <w:rsid w:val="00FC03A0"/>
    <w:rsid w:val="00FC0D73"/>
    <w:rsid w:val="00FC2729"/>
    <w:rsid w:val="00FC29A2"/>
    <w:rsid w:val="00FC3E59"/>
    <w:rsid w:val="00FC52CD"/>
    <w:rsid w:val="00FC5948"/>
    <w:rsid w:val="00FC5DAC"/>
    <w:rsid w:val="00FC613C"/>
    <w:rsid w:val="00FC6438"/>
    <w:rsid w:val="00FC7E52"/>
    <w:rsid w:val="00FD01F5"/>
    <w:rsid w:val="00FD1E0A"/>
    <w:rsid w:val="00FD22AA"/>
    <w:rsid w:val="00FD233F"/>
    <w:rsid w:val="00FD333A"/>
    <w:rsid w:val="00FD3821"/>
    <w:rsid w:val="00FD438D"/>
    <w:rsid w:val="00FD4B86"/>
    <w:rsid w:val="00FD5B26"/>
    <w:rsid w:val="00FD5DEC"/>
    <w:rsid w:val="00FD674D"/>
    <w:rsid w:val="00FD6778"/>
    <w:rsid w:val="00FD6C3B"/>
    <w:rsid w:val="00FD6C77"/>
    <w:rsid w:val="00FD7026"/>
    <w:rsid w:val="00FD78FB"/>
    <w:rsid w:val="00FD7910"/>
    <w:rsid w:val="00FD7FF8"/>
    <w:rsid w:val="00FE1494"/>
    <w:rsid w:val="00FE1AB8"/>
    <w:rsid w:val="00FE1AC6"/>
    <w:rsid w:val="00FE20A2"/>
    <w:rsid w:val="00FE2231"/>
    <w:rsid w:val="00FE3EBF"/>
    <w:rsid w:val="00FE48AC"/>
    <w:rsid w:val="00FE54D2"/>
    <w:rsid w:val="00FE56DE"/>
    <w:rsid w:val="00FE5945"/>
    <w:rsid w:val="00FE6E4F"/>
    <w:rsid w:val="00FE72C4"/>
    <w:rsid w:val="00FE748D"/>
    <w:rsid w:val="00FE76B2"/>
    <w:rsid w:val="00FE7C55"/>
    <w:rsid w:val="00FE7D9A"/>
    <w:rsid w:val="00FF0BD2"/>
    <w:rsid w:val="00FF0FCA"/>
    <w:rsid w:val="00FF0FF7"/>
    <w:rsid w:val="00FF1D43"/>
    <w:rsid w:val="00FF28E6"/>
    <w:rsid w:val="00FF3017"/>
    <w:rsid w:val="00FF3A4E"/>
    <w:rsid w:val="00FF40F5"/>
    <w:rsid w:val="00FF5CD2"/>
    <w:rsid w:val="00FF6607"/>
    <w:rsid w:val="00FF676D"/>
    <w:rsid w:val="00FF6B39"/>
    <w:rsid w:val="00FF7A81"/>
    <w:rsid w:val="00FF7BEB"/>
    <w:rsid w:val="00FF7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20"/>
    <o:shapelayout v:ext="edit">
      <o:idmap v:ext="edit" data="2"/>
    </o:shapelayout>
  </w:shapeDefaults>
  <w:decimalSymbol w:val="."/>
  <w:listSeparator w:val=","/>
  <w14:docId w14:val="1DB154F2"/>
  <w15:chartTrackingRefBased/>
  <w15:docId w15:val="{46EB28D3-F27E-48A3-A209-8A6084089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B83"/>
  </w:style>
  <w:style w:type="paragraph" w:styleId="Heading1">
    <w:name w:val="heading 1"/>
    <w:basedOn w:val="Normal"/>
    <w:next w:val="Normal"/>
    <w:link w:val="Heading1Char"/>
    <w:uiPriority w:val="9"/>
    <w:qFormat/>
    <w:rsid w:val="005B16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16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16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16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16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16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16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16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16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6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16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16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16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16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16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16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16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16E7"/>
    <w:rPr>
      <w:rFonts w:eastAsiaTheme="majorEastAsia" w:cstheme="majorBidi"/>
      <w:color w:val="272727" w:themeColor="text1" w:themeTint="D8"/>
    </w:rPr>
  </w:style>
  <w:style w:type="paragraph" w:styleId="Title">
    <w:name w:val="Title"/>
    <w:basedOn w:val="Normal"/>
    <w:next w:val="Normal"/>
    <w:link w:val="TitleChar"/>
    <w:uiPriority w:val="10"/>
    <w:qFormat/>
    <w:rsid w:val="005B16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16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16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16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16E7"/>
    <w:pPr>
      <w:spacing w:before="160"/>
      <w:jc w:val="center"/>
    </w:pPr>
    <w:rPr>
      <w:i/>
      <w:iCs/>
      <w:color w:val="404040" w:themeColor="text1" w:themeTint="BF"/>
    </w:rPr>
  </w:style>
  <w:style w:type="character" w:customStyle="1" w:styleId="QuoteChar">
    <w:name w:val="Quote Char"/>
    <w:basedOn w:val="DefaultParagraphFont"/>
    <w:link w:val="Quote"/>
    <w:uiPriority w:val="29"/>
    <w:rsid w:val="005B16E7"/>
    <w:rPr>
      <w:i/>
      <w:iCs/>
      <w:color w:val="404040" w:themeColor="text1" w:themeTint="BF"/>
    </w:rPr>
  </w:style>
  <w:style w:type="paragraph" w:styleId="ListParagraph">
    <w:name w:val="List Paragraph"/>
    <w:basedOn w:val="Normal"/>
    <w:uiPriority w:val="99"/>
    <w:qFormat/>
    <w:rsid w:val="005B16E7"/>
    <w:pPr>
      <w:ind w:left="720"/>
      <w:contextualSpacing/>
    </w:pPr>
  </w:style>
  <w:style w:type="character" w:styleId="IntenseEmphasis">
    <w:name w:val="Intense Emphasis"/>
    <w:basedOn w:val="DefaultParagraphFont"/>
    <w:uiPriority w:val="21"/>
    <w:qFormat/>
    <w:rsid w:val="005B16E7"/>
    <w:rPr>
      <w:i/>
      <w:iCs/>
      <w:color w:val="0F4761" w:themeColor="accent1" w:themeShade="BF"/>
    </w:rPr>
  </w:style>
  <w:style w:type="paragraph" w:styleId="IntenseQuote">
    <w:name w:val="Intense Quote"/>
    <w:basedOn w:val="Normal"/>
    <w:next w:val="Normal"/>
    <w:link w:val="IntenseQuoteChar"/>
    <w:uiPriority w:val="30"/>
    <w:qFormat/>
    <w:rsid w:val="005B16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16E7"/>
    <w:rPr>
      <w:i/>
      <w:iCs/>
      <w:color w:val="0F4761" w:themeColor="accent1" w:themeShade="BF"/>
    </w:rPr>
  </w:style>
  <w:style w:type="character" w:styleId="IntenseReference">
    <w:name w:val="Intense Reference"/>
    <w:basedOn w:val="DefaultParagraphFont"/>
    <w:uiPriority w:val="32"/>
    <w:qFormat/>
    <w:rsid w:val="005B16E7"/>
    <w:rPr>
      <w:b/>
      <w:bCs/>
      <w:smallCaps/>
      <w:color w:val="0F4761" w:themeColor="accent1" w:themeShade="BF"/>
      <w:spacing w:val="5"/>
    </w:rPr>
  </w:style>
  <w:style w:type="paragraph" w:styleId="FootnoteText">
    <w:name w:val="footnote text"/>
    <w:basedOn w:val="Normal"/>
    <w:link w:val="FootnoteTextChar"/>
    <w:uiPriority w:val="99"/>
    <w:semiHidden/>
    <w:unhideWhenUsed/>
    <w:rsid w:val="00412240"/>
    <w:pPr>
      <w:spacing w:after="0" w:line="240" w:lineRule="auto"/>
    </w:pPr>
    <w:rPr>
      <w:rFonts w:eastAsia="Times New Roman"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412240"/>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412240"/>
    <w:rPr>
      <w:vertAlign w:val="superscript"/>
    </w:rPr>
  </w:style>
  <w:style w:type="paragraph" w:styleId="Bibliography">
    <w:name w:val="Bibliography"/>
    <w:basedOn w:val="Normal"/>
    <w:next w:val="Normal"/>
    <w:uiPriority w:val="37"/>
    <w:unhideWhenUsed/>
    <w:rsid w:val="00B424C4"/>
    <w:pPr>
      <w:spacing w:after="0" w:line="240" w:lineRule="auto"/>
      <w:ind w:left="720" w:hanging="720"/>
    </w:pPr>
  </w:style>
  <w:style w:type="character" w:styleId="CommentReference">
    <w:name w:val="annotation reference"/>
    <w:basedOn w:val="DefaultParagraphFont"/>
    <w:uiPriority w:val="99"/>
    <w:semiHidden/>
    <w:unhideWhenUsed/>
    <w:rsid w:val="00E45B2D"/>
    <w:rPr>
      <w:sz w:val="16"/>
      <w:szCs w:val="16"/>
    </w:rPr>
  </w:style>
  <w:style w:type="paragraph" w:styleId="CommentText">
    <w:name w:val="annotation text"/>
    <w:basedOn w:val="Normal"/>
    <w:link w:val="CommentTextChar"/>
    <w:uiPriority w:val="99"/>
    <w:unhideWhenUsed/>
    <w:rsid w:val="00E45B2D"/>
    <w:pPr>
      <w:spacing w:line="240" w:lineRule="auto"/>
    </w:pPr>
    <w:rPr>
      <w:sz w:val="20"/>
      <w:szCs w:val="20"/>
    </w:rPr>
  </w:style>
  <w:style w:type="character" w:customStyle="1" w:styleId="CommentTextChar">
    <w:name w:val="Comment Text Char"/>
    <w:basedOn w:val="DefaultParagraphFont"/>
    <w:link w:val="CommentText"/>
    <w:uiPriority w:val="99"/>
    <w:rsid w:val="00E45B2D"/>
    <w:rPr>
      <w:sz w:val="20"/>
      <w:szCs w:val="20"/>
    </w:rPr>
  </w:style>
  <w:style w:type="paragraph" w:styleId="CommentSubject">
    <w:name w:val="annotation subject"/>
    <w:basedOn w:val="CommentText"/>
    <w:next w:val="CommentText"/>
    <w:link w:val="CommentSubjectChar"/>
    <w:uiPriority w:val="99"/>
    <w:semiHidden/>
    <w:unhideWhenUsed/>
    <w:rsid w:val="00E45B2D"/>
    <w:rPr>
      <w:b/>
      <w:bCs/>
    </w:rPr>
  </w:style>
  <w:style w:type="character" w:customStyle="1" w:styleId="CommentSubjectChar">
    <w:name w:val="Comment Subject Char"/>
    <w:basedOn w:val="CommentTextChar"/>
    <w:link w:val="CommentSubject"/>
    <w:uiPriority w:val="99"/>
    <w:semiHidden/>
    <w:rsid w:val="00E45B2D"/>
    <w:rPr>
      <w:b/>
      <w:bCs/>
      <w:sz w:val="20"/>
      <w:szCs w:val="20"/>
    </w:rPr>
  </w:style>
  <w:style w:type="character" w:customStyle="1" w:styleId="MTEquationSection">
    <w:name w:val="MTEquationSection"/>
    <w:basedOn w:val="DefaultParagraphFont"/>
    <w:rsid w:val="00C21220"/>
    <w:rPr>
      <w:rFonts w:cs="Times New Roman"/>
      <w:b/>
      <w:vanish/>
      <w:color w:val="FF0000"/>
    </w:rPr>
  </w:style>
  <w:style w:type="paragraph" w:customStyle="1" w:styleId="MTDisplayEquation">
    <w:name w:val="MTDisplayEquation"/>
    <w:basedOn w:val="Normal"/>
    <w:next w:val="Normal"/>
    <w:link w:val="MTDisplayEquationChar"/>
    <w:rsid w:val="00B36890"/>
    <w:pPr>
      <w:tabs>
        <w:tab w:val="center" w:pos="4680"/>
        <w:tab w:val="right" w:pos="9360"/>
      </w:tabs>
      <w:autoSpaceDE w:val="0"/>
      <w:autoSpaceDN w:val="0"/>
      <w:adjustRightInd w:val="0"/>
      <w:spacing w:after="0" w:line="240" w:lineRule="auto"/>
      <w:jc w:val="both"/>
    </w:pPr>
    <w:rPr>
      <w:rFonts w:cs="Times New Roman"/>
    </w:rPr>
  </w:style>
  <w:style w:type="character" w:customStyle="1" w:styleId="MTDisplayEquationChar">
    <w:name w:val="MTDisplayEquation Char"/>
    <w:basedOn w:val="DefaultParagraphFont"/>
    <w:link w:val="MTDisplayEquation"/>
    <w:rsid w:val="00B36890"/>
    <w:rPr>
      <w:rFonts w:cs="Times New Roman"/>
    </w:rPr>
  </w:style>
  <w:style w:type="paragraph" w:styleId="Header">
    <w:name w:val="header"/>
    <w:basedOn w:val="Normal"/>
    <w:link w:val="HeaderChar"/>
    <w:uiPriority w:val="99"/>
    <w:unhideWhenUsed/>
    <w:rsid w:val="00F060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011"/>
  </w:style>
  <w:style w:type="paragraph" w:styleId="Footer">
    <w:name w:val="footer"/>
    <w:basedOn w:val="Normal"/>
    <w:link w:val="FooterChar"/>
    <w:uiPriority w:val="99"/>
    <w:unhideWhenUsed/>
    <w:rsid w:val="00F060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011"/>
  </w:style>
  <w:style w:type="character" w:styleId="Hyperlink">
    <w:name w:val="Hyperlink"/>
    <w:basedOn w:val="DefaultParagraphFont"/>
    <w:uiPriority w:val="99"/>
    <w:unhideWhenUsed/>
    <w:rsid w:val="00E60C2F"/>
    <w:rPr>
      <w:color w:val="467886" w:themeColor="hyperlink"/>
      <w:u w:val="single"/>
    </w:rPr>
  </w:style>
  <w:style w:type="character" w:styleId="UnresolvedMention">
    <w:name w:val="Unresolved Mention"/>
    <w:basedOn w:val="DefaultParagraphFont"/>
    <w:uiPriority w:val="99"/>
    <w:semiHidden/>
    <w:unhideWhenUsed/>
    <w:rsid w:val="00E60C2F"/>
    <w:rPr>
      <w:color w:val="605E5C"/>
      <w:shd w:val="clear" w:color="auto" w:fill="E1DFDD"/>
    </w:rPr>
  </w:style>
  <w:style w:type="character" w:styleId="FollowedHyperlink">
    <w:name w:val="FollowedHyperlink"/>
    <w:basedOn w:val="DefaultParagraphFont"/>
    <w:uiPriority w:val="99"/>
    <w:semiHidden/>
    <w:unhideWhenUsed/>
    <w:rsid w:val="003F77F4"/>
    <w:rPr>
      <w:color w:val="96607D"/>
      <w:u w:val="single"/>
    </w:rPr>
  </w:style>
  <w:style w:type="paragraph" w:customStyle="1" w:styleId="msonormal0">
    <w:name w:val="msonormal"/>
    <w:basedOn w:val="Normal"/>
    <w:rsid w:val="003F77F4"/>
    <w:pPr>
      <w:spacing w:before="100" w:beforeAutospacing="1" w:after="100" w:afterAutospacing="1" w:line="240" w:lineRule="auto"/>
    </w:pPr>
    <w:rPr>
      <w:rFonts w:eastAsia="Times New Roman" w:cs="Times New Roman"/>
      <w:kern w:val="0"/>
      <w14:ligatures w14:val="none"/>
    </w:rPr>
  </w:style>
  <w:style w:type="paragraph" w:customStyle="1" w:styleId="xl65">
    <w:name w:val="xl65"/>
    <w:basedOn w:val="Normal"/>
    <w:rsid w:val="003F77F4"/>
    <w:pPr>
      <w:shd w:val="clear" w:color="000000" w:fill="FFFFFF"/>
      <w:spacing w:before="100" w:beforeAutospacing="1" w:after="100" w:afterAutospacing="1" w:line="240" w:lineRule="auto"/>
    </w:pPr>
    <w:rPr>
      <w:rFonts w:eastAsia="Times New Roman" w:cs="Times New Roman"/>
      <w:kern w:val="0"/>
      <w14:ligatures w14:val="none"/>
    </w:rPr>
  </w:style>
  <w:style w:type="paragraph" w:customStyle="1" w:styleId="xl66">
    <w:name w:val="xl66"/>
    <w:basedOn w:val="Normal"/>
    <w:rsid w:val="003F77F4"/>
    <w:pPr>
      <w:pBdr>
        <w:left w:val="single" w:sz="8" w:space="0" w:color="auto"/>
        <w:bottom w:val="single" w:sz="8" w:space="0" w:color="auto"/>
      </w:pBdr>
      <w:shd w:val="clear" w:color="000000" w:fill="FFFFFF"/>
      <w:spacing w:before="100" w:beforeAutospacing="1" w:after="100" w:afterAutospacing="1" w:line="240" w:lineRule="auto"/>
      <w:jc w:val="center"/>
    </w:pPr>
    <w:rPr>
      <w:rFonts w:eastAsia="Times New Roman" w:cs="Times New Roman"/>
      <w:kern w:val="0"/>
      <w14:ligatures w14:val="none"/>
    </w:rPr>
  </w:style>
  <w:style w:type="paragraph" w:customStyle="1" w:styleId="xl67">
    <w:name w:val="xl67"/>
    <w:basedOn w:val="Normal"/>
    <w:rsid w:val="003F77F4"/>
    <w:pPr>
      <w:pBdr>
        <w:bottom w:val="single" w:sz="8" w:space="0" w:color="auto"/>
        <w:right w:val="single" w:sz="4" w:space="0" w:color="auto"/>
      </w:pBdr>
      <w:shd w:val="clear" w:color="000000" w:fill="FFFFFF"/>
      <w:spacing w:before="100" w:beforeAutospacing="1" w:after="100" w:afterAutospacing="1" w:line="240" w:lineRule="auto"/>
      <w:jc w:val="center"/>
    </w:pPr>
    <w:rPr>
      <w:rFonts w:eastAsia="Times New Roman" w:cs="Times New Roman"/>
      <w:kern w:val="0"/>
      <w14:ligatures w14:val="none"/>
    </w:rPr>
  </w:style>
  <w:style w:type="paragraph" w:customStyle="1" w:styleId="xl68">
    <w:name w:val="xl68"/>
    <w:basedOn w:val="Normal"/>
    <w:rsid w:val="003F77F4"/>
    <w:pPr>
      <w:pBdr>
        <w:left w:val="single" w:sz="4" w:space="0" w:color="auto"/>
        <w:bottom w:val="single" w:sz="8" w:space="0" w:color="auto"/>
      </w:pBdr>
      <w:shd w:val="clear" w:color="000000" w:fill="FFFFFF"/>
      <w:spacing w:before="100" w:beforeAutospacing="1" w:after="100" w:afterAutospacing="1" w:line="240" w:lineRule="auto"/>
      <w:jc w:val="center"/>
    </w:pPr>
    <w:rPr>
      <w:rFonts w:eastAsia="Times New Roman" w:cs="Times New Roman"/>
      <w:kern w:val="0"/>
      <w14:ligatures w14:val="none"/>
    </w:rPr>
  </w:style>
  <w:style w:type="paragraph" w:customStyle="1" w:styleId="xl69">
    <w:name w:val="xl69"/>
    <w:basedOn w:val="Normal"/>
    <w:rsid w:val="003F77F4"/>
    <w:pPr>
      <w:pBdr>
        <w:bottom w:val="single" w:sz="8" w:space="0" w:color="auto"/>
      </w:pBdr>
      <w:shd w:val="clear" w:color="000000" w:fill="FFFFFF"/>
      <w:spacing w:before="100" w:beforeAutospacing="1" w:after="100" w:afterAutospacing="1" w:line="240" w:lineRule="auto"/>
      <w:jc w:val="center"/>
    </w:pPr>
    <w:rPr>
      <w:rFonts w:eastAsia="Times New Roman" w:cs="Times New Roman"/>
      <w:kern w:val="0"/>
      <w14:ligatures w14:val="none"/>
    </w:rPr>
  </w:style>
  <w:style w:type="paragraph" w:customStyle="1" w:styleId="xl70">
    <w:name w:val="xl70"/>
    <w:basedOn w:val="Normal"/>
    <w:rsid w:val="003F77F4"/>
    <w:pPr>
      <w:pBdr>
        <w:bottom w:val="single" w:sz="8" w:space="0" w:color="auto"/>
        <w:right w:val="single" w:sz="8" w:space="0" w:color="auto"/>
      </w:pBdr>
      <w:shd w:val="clear" w:color="000000" w:fill="FFFFFF"/>
      <w:spacing w:before="100" w:beforeAutospacing="1" w:after="100" w:afterAutospacing="1" w:line="240" w:lineRule="auto"/>
      <w:jc w:val="center"/>
    </w:pPr>
    <w:rPr>
      <w:rFonts w:eastAsia="Times New Roman" w:cs="Times New Roman"/>
      <w:kern w:val="0"/>
      <w14:ligatures w14:val="none"/>
    </w:rPr>
  </w:style>
  <w:style w:type="paragraph" w:customStyle="1" w:styleId="xl71">
    <w:name w:val="xl71"/>
    <w:basedOn w:val="Normal"/>
    <w:rsid w:val="003F77F4"/>
    <w:pPr>
      <w:pBdr>
        <w:top w:val="single" w:sz="8" w:space="0" w:color="auto"/>
        <w:left w:val="single" w:sz="8" w:space="0" w:color="auto"/>
        <w:right w:val="single" w:sz="8" w:space="0" w:color="auto"/>
      </w:pBdr>
      <w:shd w:val="clear" w:color="000000" w:fill="FFFFFF"/>
      <w:spacing w:before="100" w:beforeAutospacing="1" w:after="100" w:afterAutospacing="1" w:line="240" w:lineRule="auto"/>
    </w:pPr>
    <w:rPr>
      <w:rFonts w:eastAsia="Times New Roman" w:cs="Times New Roman"/>
      <w:kern w:val="0"/>
      <w14:ligatures w14:val="none"/>
    </w:rPr>
  </w:style>
  <w:style w:type="paragraph" w:customStyle="1" w:styleId="xl72">
    <w:name w:val="xl72"/>
    <w:basedOn w:val="Normal"/>
    <w:rsid w:val="003F77F4"/>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eastAsia="Times New Roman" w:cs="Times New Roman"/>
      <w:kern w:val="0"/>
      <w14:ligatures w14:val="none"/>
    </w:rPr>
  </w:style>
  <w:style w:type="paragraph" w:customStyle="1" w:styleId="xl73">
    <w:name w:val="xl73"/>
    <w:basedOn w:val="Normal"/>
    <w:rsid w:val="003F77F4"/>
    <w:pPr>
      <w:pBdr>
        <w:top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kern w:val="0"/>
      <w14:ligatures w14:val="none"/>
    </w:rPr>
  </w:style>
  <w:style w:type="paragraph" w:customStyle="1" w:styleId="xl74">
    <w:name w:val="xl74"/>
    <w:basedOn w:val="Normal"/>
    <w:rsid w:val="003F77F4"/>
    <w:pPr>
      <w:pBdr>
        <w:top w:val="single" w:sz="8" w:space="0" w:color="auto"/>
      </w:pBdr>
      <w:shd w:val="clear" w:color="000000" w:fill="FFFFFF"/>
      <w:spacing w:before="100" w:beforeAutospacing="1" w:after="100" w:afterAutospacing="1" w:line="240" w:lineRule="auto"/>
      <w:jc w:val="center"/>
      <w:textAlignment w:val="center"/>
    </w:pPr>
    <w:rPr>
      <w:rFonts w:eastAsia="Times New Roman" w:cs="Times New Roman"/>
      <w:kern w:val="0"/>
      <w14:ligatures w14:val="none"/>
    </w:rPr>
  </w:style>
  <w:style w:type="paragraph" w:customStyle="1" w:styleId="xl75">
    <w:name w:val="xl75"/>
    <w:basedOn w:val="Normal"/>
    <w:rsid w:val="003F77F4"/>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Times New Roman"/>
      <w:kern w:val="0"/>
      <w14:ligatures w14:val="none"/>
    </w:rPr>
  </w:style>
  <w:style w:type="paragraph" w:customStyle="1" w:styleId="xl76">
    <w:name w:val="xl76"/>
    <w:basedOn w:val="Normal"/>
    <w:rsid w:val="003F77F4"/>
    <w:pPr>
      <w:pBdr>
        <w:left w:val="single" w:sz="8" w:space="0" w:color="auto"/>
        <w:right w:val="single" w:sz="8" w:space="0" w:color="auto"/>
      </w:pBdr>
      <w:shd w:val="clear" w:color="000000" w:fill="FFFFFF"/>
      <w:spacing w:before="100" w:beforeAutospacing="1" w:after="100" w:afterAutospacing="1" w:line="240" w:lineRule="auto"/>
    </w:pPr>
    <w:rPr>
      <w:rFonts w:eastAsia="Times New Roman" w:cs="Times New Roman"/>
      <w:kern w:val="0"/>
      <w14:ligatures w14:val="none"/>
    </w:rPr>
  </w:style>
  <w:style w:type="paragraph" w:customStyle="1" w:styleId="xl77">
    <w:name w:val="xl77"/>
    <w:basedOn w:val="Normal"/>
    <w:rsid w:val="003F77F4"/>
    <w:pPr>
      <w:pBdr>
        <w:left w:val="single" w:sz="8" w:space="0" w:color="auto"/>
      </w:pBdr>
      <w:shd w:val="clear" w:color="000000" w:fill="FFFFFF"/>
      <w:spacing w:before="100" w:beforeAutospacing="1" w:after="100" w:afterAutospacing="1" w:line="240" w:lineRule="auto"/>
      <w:jc w:val="center"/>
      <w:textAlignment w:val="center"/>
    </w:pPr>
    <w:rPr>
      <w:rFonts w:eastAsia="Times New Roman" w:cs="Times New Roman"/>
      <w:kern w:val="0"/>
      <w14:ligatures w14:val="none"/>
    </w:rPr>
  </w:style>
  <w:style w:type="paragraph" w:customStyle="1" w:styleId="xl78">
    <w:name w:val="xl78"/>
    <w:basedOn w:val="Normal"/>
    <w:rsid w:val="003F77F4"/>
    <w:pPr>
      <w:pBdr>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kern w:val="0"/>
      <w14:ligatures w14:val="none"/>
    </w:rPr>
  </w:style>
  <w:style w:type="paragraph" w:customStyle="1" w:styleId="xl79">
    <w:name w:val="xl79"/>
    <w:basedOn w:val="Normal"/>
    <w:rsid w:val="003F77F4"/>
    <w:pPr>
      <w:shd w:val="clear" w:color="000000" w:fill="FFFFFF"/>
      <w:spacing w:before="100" w:beforeAutospacing="1" w:after="100" w:afterAutospacing="1" w:line="240" w:lineRule="auto"/>
      <w:jc w:val="center"/>
      <w:textAlignment w:val="center"/>
    </w:pPr>
    <w:rPr>
      <w:rFonts w:eastAsia="Times New Roman" w:cs="Times New Roman"/>
      <w:kern w:val="0"/>
      <w14:ligatures w14:val="none"/>
    </w:rPr>
  </w:style>
  <w:style w:type="paragraph" w:customStyle="1" w:styleId="xl80">
    <w:name w:val="xl80"/>
    <w:basedOn w:val="Normal"/>
    <w:rsid w:val="003F77F4"/>
    <w:pPr>
      <w:pBdr>
        <w:right w:val="single" w:sz="8" w:space="0" w:color="auto"/>
      </w:pBdr>
      <w:shd w:val="clear" w:color="000000" w:fill="FFFFFF"/>
      <w:spacing w:before="100" w:beforeAutospacing="1" w:after="100" w:afterAutospacing="1" w:line="240" w:lineRule="auto"/>
      <w:jc w:val="center"/>
      <w:textAlignment w:val="center"/>
    </w:pPr>
    <w:rPr>
      <w:rFonts w:eastAsia="Times New Roman" w:cs="Times New Roman"/>
      <w:kern w:val="0"/>
      <w14:ligatures w14:val="none"/>
    </w:rPr>
  </w:style>
  <w:style w:type="paragraph" w:customStyle="1" w:styleId="xl81">
    <w:name w:val="xl81"/>
    <w:basedOn w:val="Normal"/>
    <w:rsid w:val="003F77F4"/>
    <w:pPr>
      <w:pBdr>
        <w:left w:val="single" w:sz="8" w:space="0" w:color="auto"/>
        <w:right w:val="single" w:sz="8" w:space="0" w:color="auto"/>
      </w:pBdr>
      <w:shd w:val="clear" w:color="000000" w:fill="FFFFFF"/>
      <w:spacing w:before="100" w:beforeAutospacing="1" w:after="100" w:afterAutospacing="1" w:line="240" w:lineRule="auto"/>
    </w:pPr>
    <w:rPr>
      <w:rFonts w:eastAsia="Times New Roman" w:cs="Times New Roman"/>
      <w:b/>
      <w:bCs/>
      <w:kern w:val="0"/>
      <w14:ligatures w14:val="none"/>
    </w:rPr>
  </w:style>
  <w:style w:type="paragraph" w:customStyle="1" w:styleId="xl82">
    <w:name w:val="xl82"/>
    <w:basedOn w:val="Normal"/>
    <w:rsid w:val="003F77F4"/>
    <w:pPr>
      <w:pBdr>
        <w:left w:val="single" w:sz="8" w:space="0" w:color="auto"/>
      </w:pBdr>
      <w:shd w:val="clear" w:color="000000" w:fill="FFFFFF"/>
      <w:spacing w:before="100" w:beforeAutospacing="1" w:after="100" w:afterAutospacing="1" w:line="240" w:lineRule="auto"/>
    </w:pPr>
    <w:rPr>
      <w:rFonts w:eastAsia="Times New Roman" w:cs="Times New Roman"/>
      <w:kern w:val="0"/>
      <w14:ligatures w14:val="none"/>
    </w:rPr>
  </w:style>
  <w:style w:type="paragraph" w:customStyle="1" w:styleId="xl83">
    <w:name w:val="xl83"/>
    <w:basedOn w:val="Normal"/>
    <w:rsid w:val="003F77F4"/>
    <w:pPr>
      <w:pBdr>
        <w:right w:val="single" w:sz="4" w:space="0" w:color="auto"/>
      </w:pBdr>
      <w:shd w:val="clear" w:color="000000" w:fill="FFFFFF"/>
      <w:spacing w:before="100" w:beforeAutospacing="1" w:after="100" w:afterAutospacing="1" w:line="240" w:lineRule="auto"/>
    </w:pPr>
    <w:rPr>
      <w:rFonts w:eastAsia="Times New Roman" w:cs="Times New Roman"/>
      <w:kern w:val="0"/>
      <w14:ligatures w14:val="none"/>
    </w:rPr>
  </w:style>
  <w:style w:type="paragraph" w:customStyle="1" w:styleId="xl84">
    <w:name w:val="xl84"/>
    <w:basedOn w:val="Normal"/>
    <w:rsid w:val="003F77F4"/>
    <w:pPr>
      <w:pBdr>
        <w:right w:val="single" w:sz="8" w:space="0" w:color="auto"/>
      </w:pBdr>
      <w:shd w:val="clear" w:color="000000" w:fill="FFFFFF"/>
      <w:spacing w:before="100" w:beforeAutospacing="1" w:after="100" w:afterAutospacing="1" w:line="240" w:lineRule="auto"/>
    </w:pPr>
    <w:rPr>
      <w:rFonts w:eastAsia="Times New Roman" w:cs="Times New Roman"/>
      <w:kern w:val="0"/>
      <w14:ligatures w14:val="none"/>
    </w:rPr>
  </w:style>
  <w:style w:type="paragraph" w:customStyle="1" w:styleId="xl85">
    <w:name w:val="xl85"/>
    <w:basedOn w:val="Normal"/>
    <w:rsid w:val="003F77F4"/>
    <w:pPr>
      <w:pBdr>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cs="Times New Roman"/>
      <w:kern w:val="0"/>
      <w14:ligatures w14:val="none"/>
    </w:rPr>
  </w:style>
  <w:style w:type="paragraph" w:customStyle="1" w:styleId="xl86">
    <w:name w:val="xl86"/>
    <w:basedOn w:val="Normal"/>
    <w:rsid w:val="003F77F4"/>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eastAsia="Times New Roman" w:cs="Times New Roman"/>
      <w:kern w:val="0"/>
      <w14:ligatures w14:val="none"/>
    </w:rPr>
  </w:style>
  <w:style w:type="paragraph" w:customStyle="1" w:styleId="xl87">
    <w:name w:val="xl87"/>
    <w:basedOn w:val="Normal"/>
    <w:rsid w:val="003F77F4"/>
    <w:pPr>
      <w:pBdr>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kern w:val="0"/>
      <w14:ligatures w14:val="none"/>
    </w:rPr>
  </w:style>
  <w:style w:type="paragraph" w:customStyle="1" w:styleId="xl88">
    <w:name w:val="xl88"/>
    <w:basedOn w:val="Normal"/>
    <w:rsid w:val="003F77F4"/>
    <w:pPr>
      <w:pBdr>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eastAsia="Times New Roman" w:cs="Times New Roman"/>
      <w:kern w:val="0"/>
      <w14:ligatures w14:val="none"/>
    </w:rPr>
  </w:style>
  <w:style w:type="paragraph" w:customStyle="1" w:styleId="xl89">
    <w:name w:val="xl89"/>
    <w:basedOn w:val="Normal"/>
    <w:rsid w:val="003F77F4"/>
    <w:pPr>
      <w:pBdr>
        <w:bottom w:val="single" w:sz="8" w:space="0" w:color="auto"/>
      </w:pBdr>
      <w:shd w:val="clear" w:color="000000" w:fill="FFFFFF"/>
      <w:spacing w:before="100" w:beforeAutospacing="1" w:after="100" w:afterAutospacing="1" w:line="240" w:lineRule="auto"/>
      <w:jc w:val="center"/>
      <w:textAlignment w:val="center"/>
    </w:pPr>
    <w:rPr>
      <w:rFonts w:eastAsia="Times New Roman" w:cs="Times New Roman"/>
      <w:kern w:val="0"/>
      <w14:ligatures w14:val="none"/>
    </w:rPr>
  </w:style>
  <w:style w:type="paragraph" w:customStyle="1" w:styleId="xl90">
    <w:name w:val="xl90"/>
    <w:basedOn w:val="Normal"/>
    <w:rsid w:val="003F77F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Times New Roman"/>
      <w:kern w:val="0"/>
      <w14:ligatures w14:val="none"/>
    </w:rPr>
  </w:style>
  <w:style w:type="paragraph" w:customStyle="1" w:styleId="xl91">
    <w:name w:val="xl91"/>
    <w:basedOn w:val="Normal"/>
    <w:rsid w:val="003F77F4"/>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pPr>
    <w:rPr>
      <w:rFonts w:eastAsia="Times New Roman" w:cs="Times New Roman"/>
      <w:kern w:val="0"/>
      <w14:ligatures w14:val="none"/>
    </w:rPr>
  </w:style>
  <w:style w:type="paragraph" w:customStyle="1" w:styleId="xl92">
    <w:name w:val="xl92"/>
    <w:basedOn w:val="Normal"/>
    <w:rsid w:val="003F77F4"/>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kern w:val="0"/>
      <w14:ligatures w14:val="none"/>
    </w:rPr>
  </w:style>
  <w:style w:type="paragraph" w:customStyle="1" w:styleId="xl93">
    <w:name w:val="xl93"/>
    <w:basedOn w:val="Normal"/>
    <w:rsid w:val="003F77F4"/>
    <w:pPr>
      <w:pBdr>
        <w:top w:val="single" w:sz="8" w:space="0" w:color="auto"/>
        <w:bottom w:val="single" w:sz="4" w:space="0" w:color="auto"/>
      </w:pBdr>
      <w:shd w:val="clear" w:color="000000" w:fill="FFFFFF"/>
      <w:spacing w:before="100" w:beforeAutospacing="1" w:after="100" w:afterAutospacing="1" w:line="240" w:lineRule="auto"/>
      <w:jc w:val="center"/>
    </w:pPr>
    <w:rPr>
      <w:rFonts w:eastAsia="Times New Roman" w:cs="Times New Roman"/>
      <w:kern w:val="0"/>
      <w14:ligatures w14:val="none"/>
    </w:rPr>
  </w:style>
  <w:style w:type="paragraph" w:customStyle="1" w:styleId="xl94">
    <w:name w:val="xl94"/>
    <w:basedOn w:val="Normal"/>
    <w:rsid w:val="003F77F4"/>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cs="Times New Roman"/>
      <w:kern w:val="0"/>
      <w14:ligatures w14:val="none"/>
    </w:rPr>
  </w:style>
  <w:style w:type="paragraph" w:customStyle="1" w:styleId="xl95">
    <w:name w:val="xl95"/>
    <w:basedOn w:val="Normal"/>
    <w:rsid w:val="003F77F4"/>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Times New Roman"/>
      <w:kern w:val="0"/>
      <w14:ligatures w14:val="none"/>
    </w:rPr>
  </w:style>
  <w:style w:type="paragraph" w:customStyle="1" w:styleId="xl96">
    <w:name w:val="xl96"/>
    <w:basedOn w:val="Normal"/>
    <w:rsid w:val="003F77F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Times New Roman"/>
      <w:kern w:val="0"/>
      <w14:ligatures w14:val="none"/>
    </w:rPr>
  </w:style>
  <w:style w:type="paragraph" w:customStyle="1" w:styleId="xl97">
    <w:name w:val="xl97"/>
    <w:basedOn w:val="Normal"/>
    <w:rsid w:val="003F77F4"/>
    <w:pPr>
      <w:pBdr>
        <w:top w:val="single" w:sz="8" w:space="0" w:color="auto"/>
        <w:left w:val="single" w:sz="8" w:space="0" w:color="auto"/>
        <w:bottom w:val="single" w:sz="4" w:space="0" w:color="auto"/>
      </w:pBdr>
      <w:shd w:val="clear" w:color="000000" w:fill="FFFFFF"/>
      <w:spacing w:before="100" w:beforeAutospacing="1" w:after="100" w:afterAutospacing="1" w:line="240" w:lineRule="auto"/>
      <w:jc w:val="center"/>
    </w:pPr>
    <w:rPr>
      <w:rFonts w:eastAsia="Times New Roman" w:cs="Times New Roman"/>
      <w:kern w:val="0"/>
      <w14:ligatures w14:val="none"/>
    </w:rPr>
  </w:style>
  <w:style w:type="character" w:styleId="EndnoteReference">
    <w:name w:val="endnote reference"/>
    <w:basedOn w:val="DefaultParagraphFont"/>
    <w:uiPriority w:val="99"/>
    <w:semiHidden/>
    <w:unhideWhenUsed/>
    <w:rsid w:val="007F7AD5"/>
    <w:rPr>
      <w:vertAlign w:val="superscript"/>
    </w:rPr>
  </w:style>
  <w:style w:type="paragraph" w:styleId="Revision">
    <w:name w:val="Revision"/>
    <w:hidden/>
    <w:uiPriority w:val="99"/>
    <w:semiHidden/>
    <w:rsid w:val="00EB14CC"/>
    <w:pPr>
      <w:spacing w:after="0" w:line="240" w:lineRule="auto"/>
    </w:pPr>
  </w:style>
  <w:style w:type="character" w:customStyle="1" w:styleId="anchor-text">
    <w:name w:val="anchor-text"/>
    <w:basedOn w:val="DefaultParagraphFont"/>
    <w:rsid w:val="00A27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71935">
      <w:bodyDiv w:val="1"/>
      <w:marLeft w:val="0"/>
      <w:marRight w:val="0"/>
      <w:marTop w:val="0"/>
      <w:marBottom w:val="0"/>
      <w:divBdr>
        <w:top w:val="none" w:sz="0" w:space="0" w:color="auto"/>
        <w:left w:val="none" w:sz="0" w:space="0" w:color="auto"/>
        <w:bottom w:val="none" w:sz="0" w:space="0" w:color="auto"/>
        <w:right w:val="none" w:sz="0" w:space="0" w:color="auto"/>
      </w:divBdr>
    </w:div>
    <w:div w:id="185024106">
      <w:bodyDiv w:val="1"/>
      <w:marLeft w:val="0"/>
      <w:marRight w:val="0"/>
      <w:marTop w:val="0"/>
      <w:marBottom w:val="0"/>
      <w:divBdr>
        <w:top w:val="none" w:sz="0" w:space="0" w:color="auto"/>
        <w:left w:val="none" w:sz="0" w:space="0" w:color="auto"/>
        <w:bottom w:val="none" w:sz="0" w:space="0" w:color="auto"/>
        <w:right w:val="none" w:sz="0" w:space="0" w:color="auto"/>
      </w:divBdr>
    </w:div>
    <w:div w:id="325548479">
      <w:bodyDiv w:val="1"/>
      <w:marLeft w:val="0"/>
      <w:marRight w:val="0"/>
      <w:marTop w:val="0"/>
      <w:marBottom w:val="0"/>
      <w:divBdr>
        <w:top w:val="none" w:sz="0" w:space="0" w:color="auto"/>
        <w:left w:val="none" w:sz="0" w:space="0" w:color="auto"/>
        <w:bottom w:val="none" w:sz="0" w:space="0" w:color="auto"/>
        <w:right w:val="none" w:sz="0" w:space="0" w:color="auto"/>
      </w:divBdr>
    </w:div>
    <w:div w:id="335114373">
      <w:bodyDiv w:val="1"/>
      <w:marLeft w:val="0"/>
      <w:marRight w:val="0"/>
      <w:marTop w:val="0"/>
      <w:marBottom w:val="0"/>
      <w:divBdr>
        <w:top w:val="none" w:sz="0" w:space="0" w:color="auto"/>
        <w:left w:val="none" w:sz="0" w:space="0" w:color="auto"/>
        <w:bottom w:val="none" w:sz="0" w:space="0" w:color="auto"/>
        <w:right w:val="none" w:sz="0" w:space="0" w:color="auto"/>
      </w:divBdr>
    </w:div>
    <w:div w:id="444812686">
      <w:bodyDiv w:val="1"/>
      <w:marLeft w:val="0"/>
      <w:marRight w:val="0"/>
      <w:marTop w:val="0"/>
      <w:marBottom w:val="0"/>
      <w:divBdr>
        <w:top w:val="none" w:sz="0" w:space="0" w:color="auto"/>
        <w:left w:val="none" w:sz="0" w:space="0" w:color="auto"/>
        <w:bottom w:val="none" w:sz="0" w:space="0" w:color="auto"/>
        <w:right w:val="none" w:sz="0" w:space="0" w:color="auto"/>
      </w:divBdr>
    </w:div>
    <w:div w:id="506554046">
      <w:bodyDiv w:val="1"/>
      <w:marLeft w:val="0"/>
      <w:marRight w:val="0"/>
      <w:marTop w:val="0"/>
      <w:marBottom w:val="0"/>
      <w:divBdr>
        <w:top w:val="none" w:sz="0" w:space="0" w:color="auto"/>
        <w:left w:val="none" w:sz="0" w:space="0" w:color="auto"/>
        <w:bottom w:val="none" w:sz="0" w:space="0" w:color="auto"/>
        <w:right w:val="none" w:sz="0" w:space="0" w:color="auto"/>
      </w:divBdr>
    </w:div>
    <w:div w:id="559243580">
      <w:bodyDiv w:val="1"/>
      <w:marLeft w:val="0"/>
      <w:marRight w:val="0"/>
      <w:marTop w:val="0"/>
      <w:marBottom w:val="0"/>
      <w:divBdr>
        <w:top w:val="none" w:sz="0" w:space="0" w:color="auto"/>
        <w:left w:val="none" w:sz="0" w:space="0" w:color="auto"/>
        <w:bottom w:val="none" w:sz="0" w:space="0" w:color="auto"/>
        <w:right w:val="none" w:sz="0" w:space="0" w:color="auto"/>
      </w:divBdr>
    </w:div>
    <w:div w:id="616642293">
      <w:bodyDiv w:val="1"/>
      <w:marLeft w:val="0"/>
      <w:marRight w:val="0"/>
      <w:marTop w:val="0"/>
      <w:marBottom w:val="0"/>
      <w:divBdr>
        <w:top w:val="none" w:sz="0" w:space="0" w:color="auto"/>
        <w:left w:val="none" w:sz="0" w:space="0" w:color="auto"/>
        <w:bottom w:val="none" w:sz="0" w:space="0" w:color="auto"/>
        <w:right w:val="none" w:sz="0" w:space="0" w:color="auto"/>
      </w:divBdr>
    </w:div>
    <w:div w:id="621038955">
      <w:bodyDiv w:val="1"/>
      <w:marLeft w:val="0"/>
      <w:marRight w:val="0"/>
      <w:marTop w:val="0"/>
      <w:marBottom w:val="0"/>
      <w:divBdr>
        <w:top w:val="none" w:sz="0" w:space="0" w:color="auto"/>
        <w:left w:val="none" w:sz="0" w:space="0" w:color="auto"/>
        <w:bottom w:val="none" w:sz="0" w:space="0" w:color="auto"/>
        <w:right w:val="none" w:sz="0" w:space="0" w:color="auto"/>
      </w:divBdr>
    </w:div>
    <w:div w:id="697778841">
      <w:bodyDiv w:val="1"/>
      <w:marLeft w:val="0"/>
      <w:marRight w:val="0"/>
      <w:marTop w:val="0"/>
      <w:marBottom w:val="0"/>
      <w:divBdr>
        <w:top w:val="none" w:sz="0" w:space="0" w:color="auto"/>
        <w:left w:val="none" w:sz="0" w:space="0" w:color="auto"/>
        <w:bottom w:val="none" w:sz="0" w:space="0" w:color="auto"/>
        <w:right w:val="none" w:sz="0" w:space="0" w:color="auto"/>
      </w:divBdr>
    </w:div>
    <w:div w:id="863177031">
      <w:bodyDiv w:val="1"/>
      <w:marLeft w:val="0"/>
      <w:marRight w:val="0"/>
      <w:marTop w:val="0"/>
      <w:marBottom w:val="0"/>
      <w:divBdr>
        <w:top w:val="none" w:sz="0" w:space="0" w:color="auto"/>
        <w:left w:val="none" w:sz="0" w:space="0" w:color="auto"/>
        <w:bottom w:val="none" w:sz="0" w:space="0" w:color="auto"/>
        <w:right w:val="none" w:sz="0" w:space="0" w:color="auto"/>
      </w:divBdr>
    </w:div>
    <w:div w:id="1147740928">
      <w:bodyDiv w:val="1"/>
      <w:marLeft w:val="0"/>
      <w:marRight w:val="0"/>
      <w:marTop w:val="0"/>
      <w:marBottom w:val="0"/>
      <w:divBdr>
        <w:top w:val="none" w:sz="0" w:space="0" w:color="auto"/>
        <w:left w:val="none" w:sz="0" w:space="0" w:color="auto"/>
        <w:bottom w:val="none" w:sz="0" w:space="0" w:color="auto"/>
        <w:right w:val="none" w:sz="0" w:space="0" w:color="auto"/>
      </w:divBdr>
    </w:div>
    <w:div w:id="1242786952">
      <w:bodyDiv w:val="1"/>
      <w:marLeft w:val="0"/>
      <w:marRight w:val="0"/>
      <w:marTop w:val="0"/>
      <w:marBottom w:val="0"/>
      <w:divBdr>
        <w:top w:val="none" w:sz="0" w:space="0" w:color="auto"/>
        <w:left w:val="none" w:sz="0" w:space="0" w:color="auto"/>
        <w:bottom w:val="none" w:sz="0" w:space="0" w:color="auto"/>
        <w:right w:val="none" w:sz="0" w:space="0" w:color="auto"/>
      </w:divBdr>
    </w:div>
    <w:div w:id="1287851501">
      <w:bodyDiv w:val="1"/>
      <w:marLeft w:val="0"/>
      <w:marRight w:val="0"/>
      <w:marTop w:val="0"/>
      <w:marBottom w:val="0"/>
      <w:divBdr>
        <w:top w:val="none" w:sz="0" w:space="0" w:color="auto"/>
        <w:left w:val="none" w:sz="0" w:space="0" w:color="auto"/>
        <w:bottom w:val="none" w:sz="0" w:space="0" w:color="auto"/>
        <w:right w:val="none" w:sz="0" w:space="0" w:color="auto"/>
      </w:divBdr>
    </w:div>
    <w:div w:id="1413238510">
      <w:bodyDiv w:val="1"/>
      <w:marLeft w:val="0"/>
      <w:marRight w:val="0"/>
      <w:marTop w:val="0"/>
      <w:marBottom w:val="0"/>
      <w:divBdr>
        <w:top w:val="none" w:sz="0" w:space="0" w:color="auto"/>
        <w:left w:val="none" w:sz="0" w:space="0" w:color="auto"/>
        <w:bottom w:val="none" w:sz="0" w:space="0" w:color="auto"/>
        <w:right w:val="none" w:sz="0" w:space="0" w:color="auto"/>
      </w:divBdr>
      <w:divsChild>
        <w:div w:id="1024667487">
          <w:marLeft w:val="0"/>
          <w:marRight w:val="0"/>
          <w:marTop w:val="0"/>
          <w:marBottom w:val="0"/>
          <w:divBdr>
            <w:top w:val="none" w:sz="0" w:space="0" w:color="auto"/>
            <w:left w:val="none" w:sz="0" w:space="0" w:color="auto"/>
            <w:bottom w:val="none" w:sz="0" w:space="0" w:color="auto"/>
            <w:right w:val="none" w:sz="0" w:space="0" w:color="auto"/>
          </w:divBdr>
        </w:div>
        <w:div w:id="1678115445">
          <w:marLeft w:val="0"/>
          <w:marRight w:val="0"/>
          <w:marTop w:val="0"/>
          <w:marBottom w:val="0"/>
          <w:divBdr>
            <w:top w:val="none" w:sz="0" w:space="0" w:color="auto"/>
            <w:left w:val="none" w:sz="0" w:space="0" w:color="auto"/>
            <w:bottom w:val="none" w:sz="0" w:space="0" w:color="auto"/>
            <w:right w:val="none" w:sz="0" w:space="0" w:color="auto"/>
          </w:divBdr>
        </w:div>
        <w:div w:id="1179736800">
          <w:marLeft w:val="0"/>
          <w:marRight w:val="0"/>
          <w:marTop w:val="0"/>
          <w:marBottom w:val="0"/>
          <w:divBdr>
            <w:top w:val="none" w:sz="0" w:space="0" w:color="auto"/>
            <w:left w:val="none" w:sz="0" w:space="0" w:color="auto"/>
            <w:bottom w:val="none" w:sz="0" w:space="0" w:color="auto"/>
            <w:right w:val="none" w:sz="0" w:space="0" w:color="auto"/>
          </w:divBdr>
        </w:div>
        <w:div w:id="1404982627">
          <w:marLeft w:val="0"/>
          <w:marRight w:val="0"/>
          <w:marTop w:val="0"/>
          <w:marBottom w:val="0"/>
          <w:divBdr>
            <w:top w:val="none" w:sz="0" w:space="0" w:color="auto"/>
            <w:left w:val="none" w:sz="0" w:space="0" w:color="auto"/>
            <w:bottom w:val="none" w:sz="0" w:space="0" w:color="auto"/>
            <w:right w:val="none" w:sz="0" w:space="0" w:color="auto"/>
          </w:divBdr>
        </w:div>
        <w:div w:id="1795051821">
          <w:marLeft w:val="0"/>
          <w:marRight w:val="0"/>
          <w:marTop w:val="0"/>
          <w:marBottom w:val="0"/>
          <w:divBdr>
            <w:top w:val="none" w:sz="0" w:space="0" w:color="auto"/>
            <w:left w:val="none" w:sz="0" w:space="0" w:color="auto"/>
            <w:bottom w:val="none" w:sz="0" w:space="0" w:color="auto"/>
            <w:right w:val="none" w:sz="0" w:space="0" w:color="auto"/>
          </w:divBdr>
        </w:div>
      </w:divsChild>
    </w:div>
    <w:div w:id="1423260778">
      <w:bodyDiv w:val="1"/>
      <w:marLeft w:val="0"/>
      <w:marRight w:val="0"/>
      <w:marTop w:val="0"/>
      <w:marBottom w:val="0"/>
      <w:divBdr>
        <w:top w:val="none" w:sz="0" w:space="0" w:color="auto"/>
        <w:left w:val="none" w:sz="0" w:space="0" w:color="auto"/>
        <w:bottom w:val="none" w:sz="0" w:space="0" w:color="auto"/>
        <w:right w:val="none" w:sz="0" w:space="0" w:color="auto"/>
      </w:divBdr>
    </w:div>
    <w:div w:id="1627085658">
      <w:bodyDiv w:val="1"/>
      <w:marLeft w:val="0"/>
      <w:marRight w:val="0"/>
      <w:marTop w:val="0"/>
      <w:marBottom w:val="0"/>
      <w:divBdr>
        <w:top w:val="none" w:sz="0" w:space="0" w:color="auto"/>
        <w:left w:val="none" w:sz="0" w:space="0" w:color="auto"/>
        <w:bottom w:val="none" w:sz="0" w:space="0" w:color="auto"/>
        <w:right w:val="none" w:sz="0" w:space="0" w:color="auto"/>
      </w:divBdr>
    </w:div>
    <w:div w:id="1837185815">
      <w:bodyDiv w:val="1"/>
      <w:marLeft w:val="0"/>
      <w:marRight w:val="0"/>
      <w:marTop w:val="0"/>
      <w:marBottom w:val="0"/>
      <w:divBdr>
        <w:top w:val="none" w:sz="0" w:space="0" w:color="auto"/>
        <w:left w:val="none" w:sz="0" w:space="0" w:color="auto"/>
        <w:bottom w:val="none" w:sz="0" w:space="0" w:color="auto"/>
        <w:right w:val="none" w:sz="0" w:space="0" w:color="auto"/>
      </w:divBdr>
    </w:div>
    <w:div w:id="1876235564">
      <w:bodyDiv w:val="1"/>
      <w:marLeft w:val="0"/>
      <w:marRight w:val="0"/>
      <w:marTop w:val="0"/>
      <w:marBottom w:val="0"/>
      <w:divBdr>
        <w:top w:val="none" w:sz="0" w:space="0" w:color="auto"/>
        <w:left w:val="none" w:sz="0" w:space="0" w:color="auto"/>
        <w:bottom w:val="none" w:sz="0" w:space="0" w:color="auto"/>
        <w:right w:val="none" w:sz="0" w:space="0" w:color="auto"/>
      </w:divBdr>
    </w:div>
    <w:div w:id="1890726588">
      <w:bodyDiv w:val="1"/>
      <w:marLeft w:val="0"/>
      <w:marRight w:val="0"/>
      <w:marTop w:val="0"/>
      <w:marBottom w:val="0"/>
      <w:divBdr>
        <w:top w:val="none" w:sz="0" w:space="0" w:color="auto"/>
        <w:left w:val="none" w:sz="0" w:space="0" w:color="auto"/>
        <w:bottom w:val="none" w:sz="0" w:space="0" w:color="auto"/>
        <w:right w:val="none" w:sz="0" w:space="0" w:color="auto"/>
      </w:divBdr>
    </w:div>
    <w:div w:id="211755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30.bin"/><Relationship Id="rId84" Type="http://schemas.openxmlformats.org/officeDocument/2006/relationships/image" Target="media/image37.wmf"/><Relationship Id="rId138" Type="http://schemas.openxmlformats.org/officeDocument/2006/relationships/oleObject" Target="embeddings/oleObject69.bin"/><Relationship Id="rId107" Type="http://schemas.openxmlformats.org/officeDocument/2006/relationships/image" Target="media/image47.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5.bin"/><Relationship Id="rId58" Type="http://schemas.openxmlformats.org/officeDocument/2006/relationships/image" Target="media/image24.wmf"/><Relationship Id="rId74" Type="http://schemas.openxmlformats.org/officeDocument/2006/relationships/image" Target="media/image32.wmf"/><Relationship Id="rId79" Type="http://schemas.openxmlformats.org/officeDocument/2006/relationships/oleObject" Target="embeddings/oleObject38.bin"/><Relationship Id="rId102" Type="http://schemas.openxmlformats.org/officeDocument/2006/relationships/oleObject" Target="embeddings/oleObject51.bin"/><Relationship Id="rId123" Type="http://schemas.openxmlformats.org/officeDocument/2006/relationships/image" Target="media/image55.wmf"/><Relationship Id="rId128" Type="http://schemas.openxmlformats.org/officeDocument/2006/relationships/oleObject" Target="embeddings/oleObject64.bin"/><Relationship Id="rId5" Type="http://schemas.openxmlformats.org/officeDocument/2006/relationships/webSettings" Target="webSettings.xml"/><Relationship Id="rId90" Type="http://schemas.openxmlformats.org/officeDocument/2006/relationships/oleObject" Target="embeddings/oleObject44.bin"/><Relationship Id="rId95" Type="http://schemas.openxmlformats.org/officeDocument/2006/relationships/oleObject" Target="embeddings/oleObject47.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oleObject" Target="embeddings/oleObject21.bin"/><Relationship Id="rId64" Type="http://schemas.openxmlformats.org/officeDocument/2006/relationships/image" Target="media/image27.wmf"/><Relationship Id="rId69" Type="http://schemas.openxmlformats.org/officeDocument/2006/relationships/oleObject" Target="embeddings/oleObject33.bin"/><Relationship Id="rId113" Type="http://schemas.openxmlformats.org/officeDocument/2006/relationships/image" Target="media/image50.wmf"/><Relationship Id="rId118" Type="http://schemas.openxmlformats.org/officeDocument/2006/relationships/oleObject" Target="embeddings/oleObject59.bin"/><Relationship Id="rId134" Type="http://schemas.openxmlformats.org/officeDocument/2006/relationships/oleObject" Target="embeddings/oleObject67.bin"/><Relationship Id="rId139" Type="http://schemas.openxmlformats.org/officeDocument/2006/relationships/image" Target="media/image63.wmf"/><Relationship Id="rId80" Type="http://schemas.openxmlformats.org/officeDocument/2006/relationships/image" Target="media/image35.wmf"/><Relationship Id="rId85" Type="http://schemas.openxmlformats.org/officeDocument/2006/relationships/oleObject" Target="embeddings/oleObject41.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8.bin"/><Relationship Id="rId103" Type="http://schemas.openxmlformats.org/officeDocument/2006/relationships/image" Target="media/image45.wmf"/><Relationship Id="rId108" Type="http://schemas.openxmlformats.org/officeDocument/2006/relationships/oleObject" Target="embeddings/oleObject54.bin"/><Relationship Id="rId124" Type="http://schemas.openxmlformats.org/officeDocument/2006/relationships/oleObject" Target="embeddings/oleObject62.bin"/><Relationship Id="rId129" Type="http://schemas.openxmlformats.org/officeDocument/2006/relationships/image" Target="media/image58.wmf"/><Relationship Id="rId54" Type="http://schemas.openxmlformats.org/officeDocument/2006/relationships/image" Target="media/image22.wmf"/><Relationship Id="rId70" Type="http://schemas.openxmlformats.org/officeDocument/2006/relationships/image" Target="media/image30.wmf"/><Relationship Id="rId75" Type="http://schemas.openxmlformats.org/officeDocument/2006/relationships/oleObject" Target="embeddings/oleObject36.bin"/><Relationship Id="rId91" Type="http://schemas.openxmlformats.org/officeDocument/2006/relationships/image" Target="media/image40.wmf"/><Relationship Id="rId96" Type="http://schemas.openxmlformats.org/officeDocument/2006/relationships/image" Target="media/image42.wmf"/><Relationship Id="rId140" Type="http://schemas.openxmlformats.org/officeDocument/2006/relationships/oleObject" Target="embeddings/oleObject70.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oleObject" Target="embeddings/oleObject57.bin"/><Relationship Id="rId119" Type="http://schemas.openxmlformats.org/officeDocument/2006/relationships/image" Target="media/image53.wmf"/><Relationship Id="rId44" Type="http://schemas.openxmlformats.org/officeDocument/2006/relationships/image" Target="media/image19.wmf"/><Relationship Id="rId60" Type="http://schemas.openxmlformats.org/officeDocument/2006/relationships/image" Target="media/image25.wmf"/><Relationship Id="rId65" Type="http://schemas.openxmlformats.org/officeDocument/2006/relationships/oleObject" Target="embeddings/oleObject31.bin"/><Relationship Id="rId81" Type="http://schemas.openxmlformats.org/officeDocument/2006/relationships/oleObject" Target="embeddings/oleObject39.bin"/><Relationship Id="rId86" Type="http://schemas.openxmlformats.org/officeDocument/2006/relationships/image" Target="media/image38.wmf"/><Relationship Id="rId130" Type="http://schemas.openxmlformats.org/officeDocument/2006/relationships/oleObject" Target="embeddings/oleObject65.bin"/><Relationship Id="rId135" Type="http://schemas.openxmlformats.org/officeDocument/2006/relationships/image" Target="media/image61.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48.wmf"/><Relationship Id="rId34" Type="http://schemas.openxmlformats.org/officeDocument/2006/relationships/image" Target="media/image14.wmf"/><Relationship Id="rId50" Type="http://schemas.openxmlformats.org/officeDocument/2006/relationships/image" Target="media/image21.wmf"/><Relationship Id="rId55" Type="http://schemas.openxmlformats.org/officeDocument/2006/relationships/oleObject" Target="embeddings/oleObject26.bin"/><Relationship Id="rId76" Type="http://schemas.openxmlformats.org/officeDocument/2006/relationships/image" Target="media/image33.wmf"/><Relationship Id="rId97" Type="http://schemas.openxmlformats.org/officeDocument/2006/relationships/oleObject" Target="embeddings/oleObject48.bin"/><Relationship Id="rId104" Type="http://schemas.openxmlformats.org/officeDocument/2006/relationships/oleObject" Target="embeddings/oleObject52.bin"/><Relationship Id="rId120" Type="http://schemas.openxmlformats.org/officeDocument/2006/relationships/oleObject" Target="embeddings/oleObject60.bin"/><Relationship Id="rId125" Type="http://schemas.openxmlformats.org/officeDocument/2006/relationships/image" Target="media/image56.wmf"/><Relationship Id="rId141"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oleObject" Target="embeddings/oleObject34.bin"/><Relationship Id="rId92" Type="http://schemas.openxmlformats.org/officeDocument/2006/relationships/oleObject" Target="embeddings/oleObject45.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28.wmf"/><Relationship Id="rId87" Type="http://schemas.openxmlformats.org/officeDocument/2006/relationships/oleObject" Target="embeddings/oleObject42.bin"/><Relationship Id="rId110" Type="http://schemas.openxmlformats.org/officeDocument/2006/relationships/oleObject" Target="embeddings/oleObject55.bin"/><Relationship Id="rId115" Type="http://schemas.openxmlformats.org/officeDocument/2006/relationships/image" Target="media/image51.wmf"/><Relationship Id="rId131" Type="http://schemas.openxmlformats.org/officeDocument/2006/relationships/image" Target="media/image59.wmf"/><Relationship Id="rId136" Type="http://schemas.openxmlformats.org/officeDocument/2006/relationships/oleObject" Target="embeddings/oleObject68.bin"/><Relationship Id="rId61" Type="http://schemas.openxmlformats.org/officeDocument/2006/relationships/oleObject" Target="embeddings/oleObject29.bin"/><Relationship Id="rId82" Type="http://schemas.openxmlformats.org/officeDocument/2006/relationships/image" Target="media/image36.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3.wmf"/><Relationship Id="rId77" Type="http://schemas.openxmlformats.org/officeDocument/2006/relationships/oleObject" Target="embeddings/oleObject37.bin"/><Relationship Id="rId100" Type="http://schemas.openxmlformats.org/officeDocument/2006/relationships/oleObject" Target="embeddings/oleObject50.bin"/><Relationship Id="rId105" Type="http://schemas.openxmlformats.org/officeDocument/2006/relationships/image" Target="media/image46.wmf"/><Relationship Id="rId126" Type="http://schemas.openxmlformats.org/officeDocument/2006/relationships/oleObject" Target="embeddings/oleObject63.bin"/><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1.wmf"/><Relationship Id="rId93" Type="http://schemas.openxmlformats.org/officeDocument/2006/relationships/image" Target="media/image41.wmf"/><Relationship Id="rId98" Type="http://schemas.openxmlformats.org/officeDocument/2006/relationships/oleObject" Target="embeddings/oleObject49.bin"/><Relationship Id="rId121" Type="http://schemas.openxmlformats.org/officeDocument/2006/relationships/image" Target="media/image54.wmf"/><Relationship Id="rId142"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2.bin"/><Relationship Id="rId116" Type="http://schemas.openxmlformats.org/officeDocument/2006/relationships/oleObject" Target="embeddings/oleObject58.bin"/><Relationship Id="rId137" Type="http://schemas.openxmlformats.org/officeDocument/2006/relationships/image" Target="media/image62.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6.wmf"/><Relationship Id="rId83" Type="http://schemas.openxmlformats.org/officeDocument/2006/relationships/oleObject" Target="embeddings/oleObject40.bin"/><Relationship Id="rId88" Type="http://schemas.openxmlformats.org/officeDocument/2006/relationships/oleObject" Target="embeddings/oleObject43.bin"/><Relationship Id="rId111" Type="http://schemas.openxmlformats.org/officeDocument/2006/relationships/image" Target="media/image49.wmf"/><Relationship Id="rId132" Type="http://schemas.openxmlformats.org/officeDocument/2006/relationships/oleObject" Target="embeddings/oleObject66.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7.bin"/><Relationship Id="rId106" Type="http://schemas.openxmlformats.org/officeDocument/2006/relationships/oleObject" Target="embeddings/oleObject53.bin"/><Relationship Id="rId127" Type="http://schemas.openxmlformats.org/officeDocument/2006/relationships/image" Target="media/image57.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4.bin"/><Relationship Id="rId73" Type="http://schemas.openxmlformats.org/officeDocument/2006/relationships/oleObject" Target="embeddings/oleObject35.bin"/><Relationship Id="rId78" Type="http://schemas.openxmlformats.org/officeDocument/2006/relationships/image" Target="media/image34.wmf"/><Relationship Id="rId94" Type="http://schemas.openxmlformats.org/officeDocument/2006/relationships/oleObject" Target="embeddings/oleObject46.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61.bin"/><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29.wmf"/><Relationship Id="rId89" Type="http://schemas.openxmlformats.org/officeDocument/2006/relationships/image" Target="media/image39.wmf"/><Relationship Id="rId112" Type="http://schemas.openxmlformats.org/officeDocument/2006/relationships/oleObject" Target="embeddings/oleObject56.bin"/><Relationship Id="rId133" Type="http://schemas.openxmlformats.org/officeDocument/2006/relationships/image" Target="media/image60.wmf"/><Relationship Id="rId16"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7B0D1-60FF-441A-B818-17AFA24B0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32</Pages>
  <Words>42234</Words>
  <Characters>240736</Characters>
  <Application>Microsoft Office Word</Application>
  <DocSecurity>0</DocSecurity>
  <Lines>2006</Lines>
  <Paragraphs>564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Robbennolt, Dale Andrew</dc:creator>
  <cp:keywords/>
  <dc:description/>
  <cp:lastModifiedBy>Macias, Lisa J</cp:lastModifiedBy>
  <cp:revision>2</cp:revision>
  <cp:lastPrinted>2024-06-13T22:22:00Z</cp:lastPrinted>
  <dcterms:created xsi:type="dcterms:W3CDTF">2025-02-19T16:00:00Z</dcterms:created>
  <dcterms:modified xsi:type="dcterms:W3CDTF">2025-02-19T16:00:00Z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id="09rNef8L"/&gt;&lt;style id="http://www.zotero.org/styles/transportation-research-part-b" hasBibliography="1" bibliographyStyleHasBeenSet="1"/&gt;&lt;prefs&gt;&lt;pref name="fieldType" value="Field"/&gt;&lt;pref name="do</vt:lpwstr>
  </property>
  <property fmtid="{D5CDD505-2E9C-101B-9397-08002B2CF9AE}" pid="3" name="ZOTERO_PREF_2">
    <vt:lpwstr>ntAskDelayCitationUpdates" value="true"/&gt;&lt;/prefs&gt;&lt;/data&gt;</vt:lpwstr>
  </property>
  <property fmtid="{D5CDD505-2E9C-101B-9397-08002B2CF9AE}" pid="4" name="MTEquationNumber2">
    <vt:lpwstr>(#E1)</vt:lpwstr>
  </property>
  <property fmtid="{D5CDD505-2E9C-101B-9397-08002B2CF9AE}" pid="5" name="MTEquationSection">
    <vt:lpwstr>1</vt:lpwstr>
  </property>
  <property fmtid="{D5CDD505-2E9C-101B-9397-08002B2CF9AE}" pid="6" name="MTWinEqns">
    <vt:bool>true</vt:bool>
  </property>
</Properties>
</file>